
<file path=[Content_Types].xml><?xml version="1.0" encoding="utf-8"?>
<Types xmlns="http://schemas.openxmlformats.org/package/2006/content-types">
  <Default Extension="xml" ContentType="application/xml"/>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D33241">
      <w:p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300" distR="114300" simplePos="0" relativeHeight="251667456" behindDoc="0" locked="0" layoutInCell="1" allowOverlap="1">
            <wp:simplePos x="0" y="0"/>
            <wp:positionH relativeFrom="column">
              <wp:posOffset>-2688590</wp:posOffset>
            </wp:positionH>
            <wp:positionV relativeFrom="paragraph">
              <wp:posOffset>648335</wp:posOffset>
            </wp:positionV>
            <wp:extent cx="10669270" cy="7539990"/>
            <wp:effectExtent l="0" t="0" r="3810" b="17780"/>
            <wp:wrapNone/>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3"/>
                    <a:stretch>
                      <a:fillRect/>
                    </a:stretch>
                  </pic:blipFill>
                  <pic:spPr>
                    <a:xfrm rot="5400000">
                      <a:off x="0" y="0"/>
                      <a:ext cx="10669270" cy="7539990"/>
                    </a:xfrm>
                    <a:prstGeom prst="rect">
                      <a:avLst/>
                    </a:prstGeom>
                    <a:noFill/>
                    <a:ln>
                      <a:noFill/>
                    </a:ln>
                  </pic:spPr>
                </pic:pic>
              </a:graphicData>
            </a:graphic>
          </wp:anchor>
        </w:drawing>
      </w:r>
    </w:p>
    <w:p w14:paraId="681FCF8C">
      <w:p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sdt>
      <w:sdtPr>
        <w:rPr>
          <w:rFonts w:ascii="宋体" w:hAnsi="宋体" w:eastAsia="宋体" w:cstheme="minorBidi"/>
          <w:b w:val="0"/>
          <w:bCs w:val="0"/>
          <w:kern w:val="2"/>
          <w:sz w:val="24"/>
          <w:szCs w:val="24"/>
          <w:lang w:val="en-US" w:eastAsia="zh-CN" w:bidi="ar-SA"/>
        </w:rPr>
        <w:id w:val="147481216"/>
        <w15:color w:val="DBDBDB"/>
        <w:docPartObj>
          <w:docPartGallery w:val="Table of Contents"/>
          <w:docPartUnique/>
        </w:docPartObj>
      </w:sdtPr>
      <w:sdtEndPr>
        <w:rPr>
          <w:rFonts w:hint="default" w:ascii="Times New Roman" w:hAnsi="Times New Roman" w:cs="Times New Roman" w:eastAsiaTheme="minorEastAsia"/>
          <w:b w:val="0"/>
          <w:bCs/>
          <w:kern w:val="2"/>
          <w:sz w:val="21"/>
          <w:szCs w:val="30"/>
          <w:lang w:val="en-US" w:eastAsia="zh-CN" w:bidi="ar-SA"/>
        </w:rPr>
      </w:sdtEndPr>
      <w:sdtContent>
        <w:p w14:paraId="657E1F40">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b w:val="0"/>
              <w:bCs w:val="0"/>
              <w:sz w:val="24"/>
              <w:szCs w:val="24"/>
            </w:rPr>
          </w:pPr>
          <w:r>
            <w:rPr>
              <w:rFonts w:ascii="宋体" w:hAnsi="宋体" w:eastAsia="宋体"/>
              <w:b w:val="0"/>
              <w:bCs w:val="0"/>
              <w:sz w:val="24"/>
              <w:szCs w:val="24"/>
            </w:rPr>
            <w:t>目录</w:t>
          </w:r>
        </w:p>
        <w:p w14:paraId="7FE64D7C">
          <w:pPr>
            <w:pStyle w:val="14"/>
            <w:tabs>
              <w:tab w:val="right" w:leader="dot" w:pos="8306"/>
            </w:tabs>
            <w:spacing w:line="360" w:lineRule="auto"/>
            <w:rPr>
              <w:sz w:val="24"/>
              <w:szCs w:val="24"/>
            </w:rPr>
          </w:pPr>
          <w:r>
            <w:rPr>
              <w:rFonts w:hint="default" w:ascii="Times New Roman" w:hAnsi="Times New Roman" w:cs="Times New Roman" w:eastAsiaTheme="minorEastAsia"/>
              <w:b w:val="0"/>
              <w:bCs w:val="0"/>
              <w:kern w:val="2"/>
              <w:sz w:val="24"/>
              <w:szCs w:val="24"/>
              <w:lang w:val="en-US" w:eastAsia="zh-CN" w:bidi="ar-SA"/>
            </w:rPr>
            <w:fldChar w:fldCharType="begin"/>
          </w:r>
          <w:r>
            <w:rPr>
              <w:rFonts w:hint="default" w:ascii="Times New Roman" w:hAnsi="Times New Roman" w:cs="Times New Roman" w:eastAsiaTheme="minorEastAsia"/>
              <w:b w:val="0"/>
              <w:bCs w:val="0"/>
              <w:kern w:val="2"/>
              <w:sz w:val="24"/>
              <w:szCs w:val="24"/>
              <w:lang w:val="en-US" w:eastAsia="zh-CN" w:bidi="ar-SA"/>
            </w:rPr>
            <w:instrText xml:space="preserve">TOC \o "1-3" \h \u </w:instrText>
          </w:r>
          <w:r>
            <w:rPr>
              <w:rFonts w:hint="default" w:ascii="Times New Roman" w:hAnsi="Times New Roman" w:cs="Times New Roman" w:eastAsiaTheme="minorEastAsia"/>
              <w:b w:val="0"/>
              <w:bCs w:val="0"/>
              <w:kern w:val="2"/>
              <w:sz w:val="24"/>
              <w:szCs w:val="24"/>
              <w:lang w:val="en-US" w:eastAsia="zh-CN" w:bidi="ar-SA"/>
            </w:rPr>
            <w:fldChar w:fldCharType="separate"/>
          </w: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_Toc11409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spacing w:val="2"/>
              <w:sz w:val="24"/>
              <w:szCs w:val="24"/>
              <w:lang w:val="en-US" w:eastAsia="zh-CN"/>
            </w:rPr>
            <w:t>1概述</w:t>
          </w:r>
          <w:r>
            <w:rPr>
              <w:sz w:val="24"/>
              <w:szCs w:val="24"/>
            </w:rPr>
            <w:tab/>
          </w:r>
          <w:r>
            <w:rPr>
              <w:sz w:val="24"/>
              <w:szCs w:val="24"/>
            </w:rPr>
            <w:fldChar w:fldCharType="begin"/>
          </w:r>
          <w:r>
            <w:rPr>
              <w:sz w:val="24"/>
              <w:szCs w:val="24"/>
            </w:rPr>
            <w:instrText xml:space="preserve"> PAGEREF _Toc11409 \h </w:instrText>
          </w:r>
          <w:r>
            <w:rPr>
              <w:sz w:val="24"/>
              <w:szCs w:val="24"/>
            </w:rPr>
            <w:fldChar w:fldCharType="separate"/>
          </w:r>
          <w:r>
            <w:rPr>
              <w:sz w:val="24"/>
              <w:szCs w:val="24"/>
            </w:rPr>
            <w:t>1</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4735704B">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_Toc16915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kern w:val="0"/>
              <w:sz w:val="24"/>
              <w:szCs w:val="24"/>
              <w:lang w:val="en-US" w:eastAsia="zh-CN"/>
            </w:rPr>
            <w:t>1.1建设项目背景</w:t>
          </w:r>
          <w:r>
            <w:rPr>
              <w:sz w:val="24"/>
              <w:szCs w:val="24"/>
            </w:rPr>
            <w:tab/>
          </w:r>
          <w:r>
            <w:rPr>
              <w:sz w:val="24"/>
              <w:szCs w:val="24"/>
            </w:rPr>
            <w:fldChar w:fldCharType="begin"/>
          </w:r>
          <w:r>
            <w:rPr>
              <w:sz w:val="24"/>
              <w:szCs w:val="24"/>
            </w:rPr>
            <w:instrText xml:space="preserve"> PAGEREF _Toc16915 \h </w:instrText>
          </w:r>
          <w:r>
            <w:rPr>
              <w:sz w:val="24"/>
              <w:szCs w:val="24"/>
            </w:rPr>
            <w:fldChar w:fldCharType="separate"/>
          </w:r>
          <w:r>
            <w:rPr>
              <w:sz w:val="24"/>
              <w:szCs w:val="24"/>
            </w:rPr>
            <w:t>1</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3EC403D2">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_Toc30494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kern w:val="0"/>
              <w:sz w:val="24"/>
              <w:szCs w:val="24"/>
              <w:lang w:val="en-US" w:eastAsia="zh-CN"/>
            </w:rPr>
            <w:t>1.2环境影响评价的工作过程</w:t>
          </w:r>
          <w:r>
            <w:rPr>
              <w:sz w:val="24"/>
              <w:szCs w:val="24"/>
            </w:rPr>
            <w:tab/>
          </w:r>
          <w:r>
            <w:rPr>
              <w:sz w:val="24"/>
              <w:szCs w:val="24"/>
            </w:rPr>
            <w:fldChar w:fldCharType="begin"/>
          </w:r>
          <w:r>
            <w:rPr>
              <w:sz w:val="24"/>
              <w:szCs w:val="24"/>
            </w:rPr>
            <w:instrText xml:space="preserve"> PAGEREF _Toc30494 \h </w:instrText>
          </w:r>
          <w:r>
            <w:rPr>
              <w:sz w:val="24"/>
              <w:szCs w:val="24"/>
            </w:rPr>
            <w:fldChar w:fldCharType="separate"/>
          </w:r>
          <w:r>
            <w:rPr>
              <w:sz w:val="24"/>
              <w:szCs w:val="24"/>
            </w:rPr>
            <w:t>2</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0E8C06B9">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_Toc2809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kern w:val="0"/>
              <w:sz w:val="24"/>
              <w:szCs w:val="24"/>
              <w:lang w:val="en-US" w:eastAsia="zh-CN"/>
            </w:rPr>
            <w:t>1.3分析判定相关情况</w:t>
          </w:r>
          <w:r>
            <w:rPr>
              <w:sz w:val="24"/>
              <w:szCs w:val="24"/>
            </w:rPr>
            <w:tab/>
          </w:r>
          <w:r>
            <w:rPr>
              <w:sz w:val="24"/>
              <w:szCs w:val="24"/>
            </w:rPr>
            <w:fldChar w:fldCharType="begin"/>
          </w:r>
          <w:r>
            <w:rPr>
              <w:sz w:val="24"/>
              <w:szCs w:val="24"/>
            </w:rPr>
            <w:instrText xml:space="preserve"> PAGEREF _Toc2809 \h </w:instrText>
          </w:r>
          <w:r>
            <w:rPr>
              <w:sz w:val="24"/>
              <w:szCs w:val="24"/>
            </w:rPr>
            <w:fldChar w:fldCharType="separate"/>
          </w:r>
          <w:r>
            <w:rPr>
              <w:sz w:val="24"/>
              <w:szCs w:val="24"/>
            </w:rPr>
            <w:t>4</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0523CBEA">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_Toc15203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1.3.1 产业政策符合性分析</w:t>
          </w:r>
          <w:r>
            <w:rPr>
              <w:sz w:val="24"/>
              <w:szCs w:val="24"/>
            </w:rPr>
            <w:tab/>
          </w:r>
          <w:r>
            <w:rPr>
              <w:sz w:val="24"/>
              <w:szCs w:val="24"/>
            </w:rPr>
            <w:fldChar w:fldCharType="begin"/>
          </w:r>
          <w:r>
            <w:rPr>
              <w:sz w:val="24"/>
              <w:szCs w:val="24"/>
            </w:rPr>
            <w:instrText xml:space="preserve"> PAGEREF _Toc15203 \h </w:instrText>
          </w:r>
          <w:r>
            <w:rPr>
              <w:sz w:val="24"/>
              <w:szCs w:val="24"/>
            </w:rPr>
            <w:fldChar w:fldCharType="separate"/>
          </w:r>
          <w:r>
            <w:rPr>
              <w:sz w:val="24"/>
              <w:szCs w:val="24"/>
            </w:rPr>
            <w:t>4</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311A6932">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_Toc5989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1.3.2相关规划符合性分析</w:t>
          </w:r>
          <w:r>
            <w:rPr>
              <w:sz w:val="24"/>
              <w:szCs w:val="24"/>
            </w:rPr>
            <w:tab/>
          </w:r>
          <w:r>
            <w:rPr>
              <w:sz w:val="24"/>
              <w:szCs w:val="24"/>
            </w:rPr>
            <w:fldChar w:fldCharType="begin"/>
          </w:r>
          <w:r>
            <w:rPr>
              <w:sz w:val="24"/>
              <w:szCs w:val="24"/>
            </w:rPr>
            <w:instrText xml:space="preserve"> PAGEREF _Toc5989 \h </w:instrText>
          </w:r>
          <w:r>
            <w:rPr>
              <w:sz w:val="24"/>
              <w:szCs w:val="24"/>
            </w:rPr>
            <w:fldChar w:fldCharType="separate"/>
          </w:r>
          <w:r>
            <w:rPr>
              <w:sz w:val="24"/>
              <w:szCs w:val="24"/>
            </w:rPr>
            <w:t>4</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4178A30E">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_Toc26639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1.3.3“三线一单”符合性分析</w:t>
          </w:r>
          <w:r>
            <w:rPr>
              <w:sz w:val="24"/>
              <w:szCs w:val="24"/>
            </w:rPr>
            <w:tab/>
          </w:r>
          <w:r>
            <w:rPr>
              <w:sz w:val="24"/>
              <w:szCs w:val="24"/>
            </w:rPr>
            <w:fldChar w:fldCharType="begin"/>
          </w:r>
          <w:r>
            <w:rPr>
              <w:sz w:val="24"/>
              <w:szCs w:val="24"/>
            </w:rPr>
            <w:instrText xml:space="preserve"> PAGEREF _Toc26639 \h </w:instrText>
          </w:r>
          <w:r>
            <w:rPr>
              <w:sz w:val="24"/>
              <w:szCs w:val="24"/>
            </w:rPr>
            <w:fldChar w:fldCharType="separate"/>
          </w:r>
          <w:r>
            <w:rPr>
              <w:sz w:val="24"/>
              <w:szCs w:val="24"/>
            </w:rPr>
            <w:t>13</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3F1F3B06">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_Toc692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1.3.4其他政策符合性分析</w:t>
          </w:r>
          <w:r>
            <w:rPr>
              <w:sz w:val="24"/>
              <w:szCs w:val="24"/>
            </w:rPr>
            <w:tab/>
          </w:r>
          <w:r>
            <w:rPr>
              <w:sz w:val="24"/>
              <w:szCs w:val="24"/>
            </w:rPr>
            <w:fldChar w:fldCharType="begin"/>
          </w:r>
          <w:r>
            <w:rPr>
              <w:sz w:val="24"/>
              <w:szCs w:val="24"/>
            </w:rPr>
            <w:instrText xml:space="preserve"> PAGEREF _Toc692 \h </w:instrText>
          </w:r>
          <w:r>
            <w:rPr>
              <w:sz w:val="24"/>
              <w:szCs w:val="24"/>
            </w:rPr>
            <w:fldChar w:fldCharType="separate"/>
          </w:r>
          <w:r>
            <w:rPr>
              <w:sz w:val="24"/>
              <w:szCs w:val="24"/>
            </w:rPr>
            <w:t>18</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2767D574">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_Toc7370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kern w:val="0"/>
              <w:sz w:val="24"/>
              <w:szCs w:val="24"/>
              <w:lang w:val="en-US" w:eastAsia="zh-CN"/>
            </w:rPr>
            <w:t>1.4关注的主要环境问题及环境影响</w:t>
          </w:r>
          <w:r>
            <w:rPr>
              <w:sz w:val="24"/>
              <w:szCs w:val="24"/>
            </w:rPr>
            <w:tab/>
          </w:r>
          <w:r>
            <w:rPr>
              <w:sz w:val="24"/>
              <w:szCs w:val="24"/>
            </w:rPr>
            <w:fldChar w:fldCharType="begin"/>
          </w:r>
          <w:r>
            <w:rPr>
              <w:sz w:val="24"/>
              <w:szCs w:val="24"/>
            </w:rPr>
            <w:instrText xml:space="preserve"> PAGEREF _Toc7370 \h </w:instrText>
          </w:r>
          <w:r>
            <w:rPr>
              <w:sz w:val="24"/>
              <w:szCs w:val="24"/>
            </w:rPr>
            <w:fldChar w:fldCharType="separate"/>
          </w:r>
          <w:r>
            <w:rPr>
              <w:sz w:val="24"/>
              <w:szCs w:val="24"/>
            </w:rPr>
            <w:t>25</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0D43CF47">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_Toc8357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kern w:val="0"/>
              <w:sz w:val="24"/>
              <w:szCs w:val="24"/>
              <w:lang w:val="en-US" w:eastAsia="zh-CN"/>
            </w:rPr>
            <w:t>1.5环境影响报告书主要结论</w:t>
          </w:r>
          <w:r>
            <w:rPr>
              <w:sz w:val="24"/>
              <w:szCs w:val="24"/>
            </w:rPr>
            <w:tab/>
          </w:r>
          <w:r>
            <w:rPr>
              <w:sz w:val="24"/>
              <w:szCs w:val="24"/>
            </w:rPr>
            <w:fldChar w:fldCharType="begin"/>
          </w:r>
          <w:r>
            <w:rPr>
              <w:sz w:val="24"/>
              <w:szCs w:val="24"/>
            </w:rPr>
            <w:instrText xml:space="preserve"> PAGEREF _Toc8357 \h </w:instrText>
          </w:r>
          <w:r>
            <w:rPr>
              <w:sz w:val="24"/>
              <w:szCs w:val="24"/>
            </w:rPr>
            <w:fldChar w:fldCharType="separate"/>
          </w:r>
          <w:r>
            <w:rPr>
              <w:sz w:val="24"/>
              <w:szCs w:val="24"/>
            </w:rPr>
            <w:t>25</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01656AAD">
          <w:pPr>
            <w:pStyle w:val="14"/>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_Toc11823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spacing w:val="2"/>
              <w:sz w:val="24"/>
              <w:szCs w:val="24"/>
              <w:lang w:val="en-US" w:eastAsia="zh-CN"/>
            </w:rPr>
            <w:t>2总则</w:t>
          </w:r>
          <w:r>
            <w:rPr>
              <w:sz w:val="24"/>
              <w:szCs w:val="24"/>
            </w:rPr>
            <w:tab/>
          </w:r>
          <w:r>
            <w:rPr>
              <w:sz w:val="24"/>
              <w:szCs w:val="24"/>
            </w:rPr>
            <w:fldChar w:fldCharType="begin"/>
          </w:r>
          <w:r>
            <w:rPr>
              <w:sz w:val="24"/>
              <w:szCs w:val="24"/>
            </w:rPr>
            <w:instrText xml:space="preserve"> PAGEREF _Toc11823 \h </w:instrText>
          </w:r>
          <w:r>
            <w:rPr>
              <w:sz w:val="24"/>
              <w:szCs w:val="24"/>
            </w:rPr>
            <w:fldChar w:fldCharType="separate"/>
          </w:r>
          <w:r>
            <w:rPr>
              <w:sz w:val="24"/>
              <w:szCs w:val="24"/>
            </w:rPr>
            <w:t>27</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14BD9709">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_Toc19446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kern w:val="0"/>
              <w:sz w:val="24"/>
              <w:szCs w:val="24"/>
              <w:lang w:val="en-US" w:eastAsia="zh-CN"/>
            </w:rPr>
            <w:t>2.1评价目的与评价原则</w:t>
          </w:r>
          <w:r>
            <w:rPr>
              <w:sz w:val="24"/>
              <w:szCs w:val="24"/>
            </w:rPr>
            <w:tab/>
          </w:r>
          <w:r>
            <w:rPr>
              <w:sz w:val="24"/>
              <w:szCs w:val="24"/>
            </w:rPr>
            <w:fldChar w:fldCharType="begin"/>
          </w:r>
          <w:r>
            <w:rPr>
              <w:sz w:val="24"/>
              <w:szCs w:val="24"/>
            </w:rPr>
            <w:instrText xml:space="preserve"> PAGEREF _Toc19446 \h </w:instrText>
          </w:r>
          <w:r>
            <w:rPr>
              <w:sz w:val="24"/>
              <w:szCs w:val="24"/>
            </w:rPr>
            <w:fldChar w:fldCharType="separate"/>
          </w:r>
          <w:r>
            <w:rPr>
              <w:sz w:val="24"/>
              <w:szCs w:val="24"/>
            </w:rPr>
            <w:t>27</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71A1A354">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_Toc10845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2.1.1评价目的</w:t>
          </w:r>
          <w:r>
            <w:rPr>
              <w:sz w:val="24"/>
              <w:szCs w:val="24"/>
            </w:rPr>
            <w:tab/>
          </w:r>
          <w:r>
            <w:rPr>
              <w:sz w:val="24"/>
              <w:szCs w:val="24"/>
            </w:rPr>
            <w:fldChar w:fldCharType="begin"/>
          </w:r>
          <w:r>
            <w:rPr>
              <w:sz w:val="24"/>
              <w:szCs w:val="24"/>
            </w:rPr>
            <w:instrText xml:space="preserve"> PAGEREF _Toc10845 \h </w:instrText>
          </w:r>
          <w:r>
            <w:rPr>
              <w:sz w:val="24"/>
              <w:szCs w:val="24"/>
            </w:rPr>
            <w:fldChar w:fldCharType="separate"/>
          </w:r>
          <w:r>
            <w:rPr>
              <w:sz w:val="24"/>
              <w:szCs w:val="24"/>
            </w:rPr>
            <w:t>27</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53A7ECF9">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_Toc1824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2.1.2评价原则</w:t>
          </w:r>
          <w:r>
            <w:rPr>
              <w:sz w:val="24"/>
              <w:szCs w:val="24"/>
            </w:rPr>
            <w:tab/>
          </w:r>
          <w:r>
            <w:rPr>
              <w:sz w:val="24"/>
              <w:szCs w:val="24"/>
            </w:rPr>
            <w:fldChar w:fldCharType="begin"/>
          </w:r>
          <w:r>
            <w:rPr>
              <w:sz w:val="24"/>
              <w:szCs w:val="24"/>
            </w:rPr>
            <w:instrText xml:space="preserve"> PAGEREF _Toc1824 \h </w:instrText>
          </w:r>
          <w:r>
            <w:rPr>
              <w:sz w:val="24"/>
              <w:szCs w:val="24"/>
            </w:rPr>
            <w:fldChar w:fldCharType="separate"/>
          </w:r>
          <w:r>
            <w:rPr>
              <w:sz w:val="24"/>
              <w:szCs w:val="24"/>
            </w:rPr>
            <w:t>27</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46B9EC7A">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_Toc27494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kern w:val="0"/>
              <w:sz w:val="24"/>
              <w:szCs w:val="24"/>
              <w:lang w:val="en-US" w:eastAsia="zh-CN"/>
            </w:rPr>
            <w:t>2.2编制依据</w:t>
          </w:r>
          <w:r>
            <w:rPr>
              <w:sz w:val="24"/>
              <w:szCs w:val="24"/>
            </w:rPr>
            <w:tab/>
          </w:r>
          <w:r>
            <w:rPr>
              <w:sz w:val="24"/>
              <w:szCs w:val="24"/>
            </w:rPr>
            <w:fldChar w:fldCharType="begin"/>
          </w:r>
          <w:r>
            <w:rPr>
              <w:sz w:val="24"/>
              <w:szCs w:val="24"/>
            </w:rPr>
            <w:instrText xml:space="preserve"> PAGEREF _Toc27494 \h </w:instrText>
          </w:r>
          <w:r>
            <w:rPr>
              <w:sz w:val="24"/>
              <w:szCs w:val="24"/>
            </w:rPr>
            <w:fldChar w:fldCharType="separate"/>
          </w:r>
          <w:r>
            <w:rPr>
              <w:sz w:val="24"/>
              <w:szCs w:val="24"/>
            </w:rPr>
            <w:t>28</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05882F2A">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_Toc26519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2.2.1法律</w:t>
          </w:r>
          <w:r>
            <w:rPr>
              <w:sz w:val="24"/>
              <w:szCs w:val="24"/>
            </w:rPr>
            <w:tab/>
          </w:r>
          <w:r>
            <w:rPr>
              <w:sz w:val="24"/>
              <w:szCs w:val="24"/>
            </w:rPr>
            <w:fldChar w:fldCharType="begin"/>
          </w:r>
          <w:r>
            <w:rPr>
              <w:sz w:val="24"/>
              <w:szCs w:val="24"/>
            </w:rPr>
            <w:instrText xml:space="preserve"> PAGEREF _Toc26519 \h </w:instrText>
          </w:r>
          <w:r>
            <w:rPr>
              <w:sz w:val="24"/>
              <w:szCs w:val="24"/>
            </w:rPr>
            <w:fldChar w:fldCharType="separate"/>
          </w:r>
          <w:r>
            <w:rPr>
              <w:sz w:val="24"/>
              <w:szCs w:val="24"/>
            </w:rPr>
            <w:t>28</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39AE02EF">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_Toc28134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2.2.2法规、规章</w:t>
          </w:r>
          <w:r>
            <w:rPr>
              <w:sz w:val="24"/>
              <w:szCs w:val="24"/>
            </w:rPr>
            <w:tab/>
          </w:r>
          <w:r>
            <w:rPr>
              <w:sz w:val="24"/>
              <w:szCs w:val="24"/>
            </w:rPr>
            <w:fldChar w:fldCharType="begin"/>
          </w:r>
          <w:r>
            <w:rPr>
              <w:sz w:val="24"/>
              <w:szCs w:val="24"/>
            </w:rPr>
            <w:instrText xml:space="preserve"> PAGEREF _Toc28134 \h </w:instrText>
          </w:r>
          <w:r>
            <w:rPr>
              <w:sz w:val="24"/>
              <w:szCs w:val="24"/>
            </w:rPr>
            <w:fldChar w:fldCharType="separate"/>
          </w:r>
          <w:r>
            <w:rPr>
              <w:sz w:val="24"/>
              <w:szCs w:val="24"/>
            </w:rPr>
            <w:t>29</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0C482350">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_Toc18563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bCs/>
              <w:kern w:val="0"/>
              <w:sz w:val="24"/>
              <w:szCs w:val="24"/>
              <w:lang w:val="en-US" w:eastAsia="zh-CN" w:bidi="ar-SA"/>
            </w:rPr>
            <w:t>2.2.3地方性法规、规章</w:t>
          </w:r>
          <w:r>
            <w:rPr>
              <w:sz w:val="24"/>
              <w:szCs w:val="24"/>
            </w:rPr>
            <w:tab/>
          </w:r>
          <w:r>
            <w:rPr>
              <w:sz w:val="24"/>
              <w:szCs w:val="24"/>
            </w:rPr>
            <w:fldChar w:fldCharType="begin"/>
          </w:r>
          <w:r>
            <w:rPr>
              <w:sz w:val="24"/>
              <w:szCs w:val="24"/>
            </w:rPr>
            <w:instrText xml:space="preserve"> PAGEREF _Toc18563 \h </w:instrText>
          </w:r>
          <w:r>
            <w:rPr>
              <w:sz w:val="24"/>
              <w:szCs w:val="24"/>
            </w:rPr>
            <w:fldChar w:fldCharType="separate"/>
          </w:r>
          <w:r>
            <w:rPr>
              <w:sz w:val="24"/>
              <w:szCs w:val="24"/>
            </w:rPr>
            <w:t>30</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1DFA5959">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_Toc5501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2.2.4相关规划</w:t>
          </w:r>
          <w:r>
            <w:rPr>
              <w:sz w:val="24"/>
              <w:szCs w:val="24"/>
            </w:rPr>
            <w:tab/>
          </w:r>
          <w:r>
            <w:rPr>
              <w:sz w:val="24"/>
              <w:szCs w:val="24"/>
            </w:rPr>
            <w:fldChar w:fldCharType="begin"/>
          </w:r>
          <w:r>
            <w:rPr>
              <w:sz w:val="24"/>
              <w:szCs w:val="24"/>
            </w:rPr>
            <w:instrText xml:space="preserve"> PAGEREF _Toc5501 \h </w:instrText>
          </w:r>
          <w:r>
            <w:rPr>
              <w:sz w:val="24"/>
              <w:szCs w:val="24"/>
            </w:rPr>
            <w:fldChar w:fldCharType="separate"/>
          </w:r>
          <w:r>
            <w:rPr>
              <w:sz w:val="24"/>
              <w:szCs w:val="24"/>
            </w:rPr>
            <w:t>31</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6A83F47E">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_Toc26575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2.2.5评价导则</w:t>
          </w:r>
          <w:r>
            <w:rPr>
              <w:rFonts w:hint="eastAsia" w:ascii="Times New Roman" w:hAnsi="Times New Roman" w:eastAsia="华文中宋" w:cs="Times New Roman"/>
              <w:kern w:val="0"/>
              <w:sz w:val="24"/>
              <w:szCs w:val="24"/>
              <w:lang w:val="en-US" w:eastAsia="zh-CN"/>
            </w:rPr>
            <w:t>、规范</w:t>
          </w:r>
          <w:r>
            <w:rPr>
              <w:sz w:val="24"/>
              <w:szCs w:val="24"/>
            </w:rPr>
            <w:tab/>
          </w:r>
          <w:r>
            <w:rPr>
              <w:sz w:val="24"/>
              <w:szCs w:val="24"/>
            </w:rPr>
            <w:fldChar w:fldCharType="begin"/>
          </w:r>
          <w:r>
            <w:rPr>
              <w:sz w:val="24"/>
              <w:szCs w:val="24"/>
            </w:rPr>
            <w:instrText xml:space="preserve"> PAGEREF _Toc26575 \h </w:instrText>
          </w:r>
          <w:r>
            <w:rPr>
              <w:sz w:val="24"/>
              <w:szCs w:val="24"/>
            </w:rPr>
            <w:fldChar w:fldCharType="separate"/>
          </w:r>
          <w:r>
            <w:rPr>
              <w:sz w:val="24"/>
              <w:szCs w:val="24"/>
            </w:rPr>
            <w:t>31</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2076F582">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_Toc5643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2.2.6其他</w:t>
          </w:r>
          <w:r>
            <w:rPr>
              <w:sz w:val="24"/>
              <w:szCs w:val="24"/>
            </w:rPr>
            <w:tab/>
          </w:r>
          <w:r>
            <w:rPr>
              <w:sz w:val="24"/>
              <w:szCs w:val="24"/>
            </w:rPr>
            <w:fldChar w:fldCharType="begin"/>
          </w:r>
          <w:r>
            <w:rPr>
              <w:sz w:val="24"/>
              <w:szCs w:val="24"/>
            </w:rPr>
            <w:instrText xml:space="preserve"> PAGEREF _Toc5643 \h </w:instrText>
          </w:r>
          <w:r>
            <w:rPr>
              <w:sz w:val="24"/>
              <w:szCs w:val="24"/>
            </w:rPr>
            <w:fldChar w:fldCharType="separate"/>
          </w:r>
          <w:r>
            <w:rPr>
              <w:sz w:val="24"/>
              <w:szCs w:val="24"/>
            </w:rPr>
            <w:t>32</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1079822F">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_Toc26865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kern w:val="0"/>
              <w:sz w:val="24"/>
              <w:szCs w:val="24"/>
              <w:lang w:val="en-US" w:eastAsia="zh-CN"/>
            </w:rPr>
            <w:t>2.3环境影响因素识别与评价因子筛选</w:t>
          </w:r>
          <w:r>
            <w:rPr>
              <w:sz w:val="24"/>
              <w:szCs w:val="24"/>
            </w:rPr>
            <w:tab/>
          </w:r>
          <w:r>
            <w:rPr>
              <w:sz w:val="24"/>
              <w:szCs w:val="24"/>
            </w:rPr>
            <w:fldChar w:fldCharType="begin"/>
          </w:r>
          <w:r>
            <w:rPr>
              <w:sz w:val="24"/>
              <w:szCs w:val="24"/>
            </w:rPr>
            <w:instrText xml:space="preserve"> PAGEREF _Toc26865 \h </w:instrText>
          </w:r>
          <w:r>
            <w:rPr>
              <w:sz w:val="24"/>
              <w:szCs w:val="24"/>
            </w:rPr>
            <w:fldChar w:fldCharType="separate"/>
          </w:r>
          <w:r>
            <w:rPr>
              <w:sz w:val="24"/>
              <w:szCs w:val="24"/>
            </w:rPr>
            <w:t>33</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7425FC8E">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_Toc12254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2.3.1 环境影响因素识别</w:t>
          </w:r>
          <w:r>
            <w:rPr>
              <w:sz w:val="24"/>
              <w:szCs w:val="24"/>
            </w:rPr>
            <w:tab/>
          </w:r>
          <w:r>
            <w:rPr>
              <w:sz w:val="24"/>
              <w:szCs w:val="24"/>
            </w:rPr>
            <w:fldChar w:fldCharType="begin"/>
          </w:r>
          <w:r>
            <w:rPr>
              <w:sz w:val="24"/>
              <w:szCs w:val="24"/>
            </w:rPr>
            <w:instrText xml:space="preserve"> PAGEREF _Toc12254 \h </w:instrText>
          </w:r>
          <w:r>
            <w:rPr>
              <w:sz w:val="24"/>
              <w:szCs w:val="24"/>
            </w:rPr>
            <w:fldChar w:fldCharType="separate"/>
          </w:r>
          <w:r>
            <w:rPr>
              <w:sz w:val="24"/>
              <w:szCs w:val="24"/>
            </w:rPr>
            <w:t>33</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5C2B0088">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_Toc21229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2.3.2评价因子筛选</w:t>
          </w:r>
          <w:r>
            <w:rPr>
              <w:sz w:val="24"/>
              <w:szCs w:val="24"/>
            </w:rPr>
            <w:tab/>
          </w:r>
          <w:r>
            <w:rPr>
              <w:sz w:val="24"/>
              <w:szCs w:val="24"/>
            </w:rPr>
            <w:fldChar w:fldCharType="begin"/>
          </w:r>
          <w:r>
            <w:rPr>
              <w:sz w:val="24"/>
              <w:szCs w:val="24"/>
            </w:rPr>
            <w:instrText xml:space="preserve"> PAGEREF _Toc21229 \h </w:instrText>
          </w:r>
          <w:r>
            <w:rPr>
              <w:sz w:val="24"/>
              <w:szCs w:val="24"/>
            </w:rPr>
            <w:fldChar w:fldCharType="separate"/>
          </w:r>
          <w:r>
            <w:rPr>
              <w:sz w:val="24"/>
              <w:szCs w:val="24"/>
            </w:rPr>
            <w:t>33</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7ACF78EB">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_Toc7726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kern w:val="0"/>
              <w:sz w:val="24"/>
              <w:szCs w:val="24"/>
              <w:lang w:val="en-US" w:eastAsia="zh-CN"/>
            </w:rPr>
            <w:t>2.4环境质量标准</w:t>
          </w:r>
          <w:r>
            <w:rPr>
              <w:sz w:val="24"/>
              <w:szCs w:val="24"/>
            </w:rPr>
            <w:tab/>
          </w:r>
          <w:r>
            <w:rPr>
              <w:sz w:val="24"/>
              <w:szCs w:val="24"/>
            </w:rPr>
            <w:fldChar w:fldCharType="begin"/>
          </w:r>
          <w:r>
            <w:rPr>
              <w:sz w:val="24"/>
              <w:szCs w:val="24"/>
            </w:rPr>
            <w:instrText xml:space="preserve"> PAGEREF _Toc7726 \h </w:instrText>
          </w:r>
          <w:r>
            <w:rPr>
              <w:sz w:val="24"/>
              <w:szCs w:val="24"/>
            </w:rPr>
            <w:fldChar w:fldCharType="separate"/>
          </w:r>
          <w:r>
            <w:rPr>
              <w:sz w:val="24"/>
              <w:szCs w:val="24"/>
            </w:rPr>
            <w:t>34</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15C48286">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_Toc2899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2.4.1环境功能区划</w:t>
          </w:r>
          <w:r>
            <w:rPr>
              <w:sz w:val="24"/>
              <w:szCs w:val="24"/>
            </w:rPr>
            <w:tab/>
          </w:r>
          <w:r>
            <w:rPr>
              <w:sz w:val="24"/>
              <w:szCs w:val="24"/>
            </w:rPr>
            <w:fldChar w:fldCharType="begin"/>
          </w:r>
          <w:r>
            <w:rPr>
              <w:sz w:val="24"/>
              <w:szCs w:val="24"/>
            </w:rPr>
            <w:instrText xml:space="preserve"> PAGEREF _Toc2899 \h </w:instrText>
          </w:r>
          <w:r>
            <w:rPr>
              <w:sz w:val="24"/>
              <w:szCs w:val="24"/>
            </w:rPr>
            <w:fldChar w:fldCharType="separate"/>
          </w:r>
          <w:r>
            <w:rPr>
              <w:sz w:val="24"/>
              <w:szCs w:val="24"/>
            </w:rPr>
            <w:t>34</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5995E828">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_Toc7755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2.4.2 污染物排放标准</w:t>
          </w:r>
          <w:r>
            <w:rPr>
              <w:sz w:val="24"/>
              <w:szCs w:val="24"/>
            </w:rPr>
            <w:tab/>
          </w:r>
          <w:r>
            <w:rPr>
              <w:sz w:val="24"/>
              <w:szCs w:val="24"/>
            </w:rPr>
            <w:fldChar w:fldCharType="begin"/>
          </w:r>
          <w:r>
            <w:rPr>
              <w:sz w:val="24"/>
              <w:szCs w:val="24"/>
            </w:rPr>
            <w:instrText xml:space="preserve"> PAGEREF _Toc7755 \h </w:instrText>
          </w:r>
          <w:r>
            <w:rPr>
              <w:sz w:val="24"/>
              <w:szCs w:val="24"/>
            </w:rPr>
            <w:fldChar w:fldCharType="separate"/>
          </w:r>
          <w:r>
            <w:rPr>
              <w:sz w:val="24"/>
              <w:szCs w:val="24"/>
            </w:rPr>
            <w:t>38</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6AEDD585">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_Toc11665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2.4.3其他标准</w:t>
          </w:r>
          <w:r>
            <w:rPr>
              <w:sz w:val="24"/>
              <w:szCs w:val="24"/>
            </w:rPr>
            <w:tab/>
          </w:r>
          <w:r>
            <w:rPr>
              <w:sz w:val="24"/>
              <w:szCs w:val="24"/>
            </w:rPr>
            <w:fldChar w:fldCharType="begin"/>
          </w:r>
          <w:r>
            <w:rPr>
              <w:sz w:val="24"/>
              <w:szCs w:val="24"/>
            </w:rPr>
            <w:instrText xml:space="preserve"> PAGEREF _Toc11665 \h </w:instrText>
          </w:r>
          <w:r>
            <w:rPr>
              <w:sz w:val="24"/>
              <w:szCs w:val="24"/>
            </w:rPr>
            <w:fldChar w:fldCharType="separate"/>
          </w:r>
          <w:r>
            <w:rPr>
              <w:sz w:val="24"/>
              <w:szCs w:val="24"/>
            </w:rPr>
            <w:t>40</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7078F34E">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_Toc25583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kern w:val="0"/>
              <w:sz w:val="24"/>
              <w:szCs w:val="24"/>
              <w:highlight w:val="none"/>
              <w:lang w:val="en-US" w:eastAsia="zh-CN"/>
            </w:rPr>
            <w:t>2.5评价工作等级及范围</w:t>
          </w:r>
          <w:r>
            <w:rPr>
              <w:sz w:val="24"/>
              <w:szCs w:val="24"/>
            </w:rPr>
            <w:tab/>
          </w:r>
          <w:r>
            <w:rPr>
              <w:sz w:val="24"/>
              <w:szCs w:val="24"/>
            </w:rPr>
            <w:fldChar w:fldCharType="begin"/>
          </w:r>
          <w:r>
            <w:rPr>
              <w:sz w:val="24"/>
              <w:szCs w:val="24"/>
            </w:rPr>
            <w:instrText xml:space="preserve"> PAGEREF _Toc25583 \h </w:instrText>
          </w:r>
          <w:r>
            <w:rPr>
              <w:sz w:val="24"/>
              <w:szCs w:val="24"/>
            </w:rPr>
            <w:fldChar w:fldCharType="separate"/>
          </w:r>
          <w:r>
            <w:rPr>
              <w:sz w:val="24"/>
              <w:szCs w:val="24"/>
            </w:rPr>
            <w:t>40</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4B832A60">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_Toc8882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highlight w:val="none"/>
              <w:lang w:val="en-US" w:eastAsia="zh-CN"/>
            </w:rPr>
            <w:t>2.5.1大气</w:t>
          </w:r>
          <w:r>
            <w:rPr>
              <w:sz w:val="24"/>
              <w:szCs w:val="24"/>
            </w:rPr>
            <w:tab/>
          </w:r>
          <w:r>
            <w:rPr>
              <w:sz w:val="24"/>
              <w:szCs w:val="24"/>
            </w:rPr>
            <w:fldChar w:fldCharType="begin"/>
          </w:r>
          <w:r>
            <w:rPr>
              <w:sz w:val="24"/>
              <w:szCs w:val="24"/>
            </w:rPr>
            <w:instrText xml:space="preserve"> PAGEREF _Toc8882 \h </w:instrText>
          </w:r>
          <w:r>
            <w:rPr>
              <w:sz w:val="24"/>
              <w:szCs w:val="24"/>
            </w:rPr>
            <w:fldChar w:fldCharType="separate"/>
          </w:r>
          <w:r>
            <w:rPr>
              <w:sz w:val="24"/>
              <w:szCs w:val="24"/>
            </w:rPr>
            <w:t>40</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6148BA82">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_Toc21889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highlight w:val="none"/>
              <w:lang w:val="en-US" w:eastAsia="zh-CN"/>
            </w:rPr>
            <w:t>2.5.2地表水环境</w:t>
          </w:r>
          <w:r>
            <w:rPr>
              <w:sz w:val="24"/>
              <w:szCs w:val="24"/>
            </w:rPr>
            <w:tab/>
          </w:r>
          <w:r>
            <w:rPr>
              <w:sz w:val="24"/>
              <w:szCs w:val="24"/>
            </w:rPr>
            <w:fldChar w:fldCharType="begin"/>
          </w:r>
          <w:r>
            <w:rPr>
              <w:sz w:val="24"/>
              <w:szCs w:val="24"/>
            </w:rPr>
            <w:instrText xml:space="preserve"> PAGEREF _Toc21889 \h </w:instrText>
          </w:r>
          <w:r>
            <w:rPr>
              <w:sz w:val="24"/>
              <w:szCs w:val="24"/>
            </w:rPr>
            <w:fldChar w:fldCharType="separate"/>
          </w:r>
          <w:r>
            <w:rPr>
              <w:sz w:val="24"/>
              <w:szCs w:val="24"/>
            </w:rPr>
            <w:t>42</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3AC13B83">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_Toc29118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2.5.3地下水环境</w:t>
          </w:r>
          <w:r>
            <w:rPr>
              <w:sz w:val="24"/>
              <w:szCs w:val="24"/>
            </w:rPr>
            <w:tab/>
          </w:r>
          <w:r>
            <w:rPr>
              <w:sz w:val="24"/>
              <w:szCs w:val="24"/>
            </w:rPr>
            <w:fldChar w:fldCharType="begin"/>
          </w:r>
          <w:r>
            <w:rPr>
              <w:sz w:val="24"/>
              <w:szCs w:val="24"/>
            </w:rPr>
            <w:instrText xml:space="preserve"> PAGEREF _Toc29118 \h </w:instrText>
          </w:r>
          <w:r>
            <w:rPr>
              <w:sz w:val="24"/>
              <w:szCs w:val="24"/>
            </w:rPr>
            <w:fldChar w:fldCharType="separate"/>
          </w:r>
          <w:r>
            <w:rPr>
              <w:sz w:val="24"/>
              <w:szCs w:val="24"/>
            </w:rPr>
            <w:t>43</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41762721">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_Toc14653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2.5.4声环境</w:t>
          </w:r>
          <w:r>
            <w:rPr>
              <w:sz w:val="24"/>
              <w:szCs w:val="24"/>
            </w:rPr>
            <w:tab/>
          </w:r>
          <w:r>
            <w:rPr>
              <w:sz w:val="24"/>
              <w:szCs w:val="24"/>
            </w:rPr>
            <w:fldChar w:fldCharType="begin"/>
          </w:r>
          <w:r>
            <w:rPr>
              <w:sz w:val="24"/>
              <w:szCs w:val="24"/>
            </w:rPr>
            <w:instrText xml:space="preserve"> PAGEREF _Toc14653 \h </w:instrText>
          </w:r>
          <w:r>
            <w:rPr>
              <w:sz w:val="24"/>
              <w:szCs w:val="24"/>
            </w:rPr>
            <w:fldChar w:fldCharType="separate"/>
          </w:r>
          <w:r>
            <w:rPr>
              <w:sz w:val="24"/>
              <w:szCs w:val="24"/>
            </w:rPr>
            <w:t>44</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7311F7E4">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_Toc8080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2.5.5土壤环境</w:t>
          </w:r>
          <w:r>
            <w:rPr>
              <w:sz w:val="24"/>
              <w:szCs w:val="24"/>
            </w:rPr>
            <w:tab/>
          </w:r>
          <w:r>
            <w:rPr>
              <w:sz w:val="24"/>
              <w:szCs w:val="24"/>
            </w:rPr>
            <w:fldChar w:fldCharType="begin"/>
          </w:r>
          <w:r>
            <w:rPr>
              <w:sz w:val="24"/>
              <w:szCs w:val="24"/>
            </w:rPr>
            <w:instrText xml:space="preserve"> PAGEREF _Toc8080 \h </w:instrText>
          </w:r>
          <w:r>
            <w:rPr>
              <w:sz w:val="24"/>
              <w:szCs w:val="24"/>
            </w:rPr>
            <w:fldChar w:fldCharType="separate"/>
          </w:r>
          <w:r>
            <w:rPr>
              <w:sz w:val="24"/>
              <w:szCs w:val="24"/>
            </w:rPr>
            <w:t>44</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139C7AD3">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_Toc16857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2.5.6生态环境</w:t>
          </w:r>
          <w:r>
            <w:rPr>
              <w:sz w:val="24"/>
              <w:szCs w:val="24"/>
            </w:rPr>
            <w:tab/>
          </w:r>
          <w:r>
            <w:rPr>
              <w:sz w:val="24"/>
              <w:szCs w:val="24"/>
            </w:rPr>
            <w:fldChar w:fldCharType="begin"/>
          </w:r>
          <w:r>
            <w:rPr>
              <w:sz w:val="24"/>
              <w:szCs w:val="24"/>
            </w:rPr>
            <w:instrText xml:space="preserve"> PAGEREF _Toc16857 \h </w:instrText>
          </w:r>
          <w:r>
            <w:rPr>
              <w:sz w:val="24"/>
              <w:szCs w:val="24"/>
            </w:rPr>
            <w:fldChar w:fldCharType="separate"/>
          </w:r>
          <w:r>
            <w:rPr>
              <w:sz w:val="24"/>
              <w:szCs w:val="24"/>
            </w:rPr>
            <w:t>46</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428216B9">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_Toc30758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2.5.7环境风险</w:t>
          </w:r>
          <w:r>
            <w:rPr>
              <w:sz w:val="24"/>
              <w:szCs w:val="24"/>
            </w:rPr>
            <w:tab/>
          </w:r>
          <w:r>
            <w:rPr>
              <w:sz w:val="24"/>
              <w:szCs w:val="24"/>
            </w:rPr>
            <w:fldChar w:fldCharType="begin"/>
          </w:r>
          <w:r>
            <w:rPr>
              <w:sz w:val="24"/>
              <w:szCs w:val="24"/>
            </w:rPr>
            <w:instrText xml:space="preserve"> PAGEREF _Toc30758 \h </w:instrText>
          </w:r>
          <w:r>
            <w:rPr>
              <w:sz w:val="24"/>
              <w:szCs w:val="24"/>
            </w:rPr>
            <w:fldChar w:fldCharType="separate"/>
          </w:r>
          <w:r>
            <w:rPr>
              <w:sz w:val="24"/>
              <w:szCs w:val="24"/>
            </w:rPr>
            <w:t>46</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5F7F26AA">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_Toc26357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kern w:val="0"/>
              <w:sz w:val="24"/>
              <w:szCs w:val="24"/>
              <w:lang w:val="en-US" w:eastAsia="zh-CN"/>
            </w:rPr>
            <w:t>2.6评价时段</w:t>
          </w:r>
          <w:r>
            <w:rPr>
              <w:sz w:val="24"/>
              <w:szCs w:val="24"/>
            </w:rPr>
            <w:tab/>
          </w:r>
          <w:r>
            <w:rPr>
              <w:sz w:val="24"/>
              <w:szCs w:val="24"/>
            </w:rPr>
            <w:fldChar w:fldCharType="begin"/>
          </w:r>
          <w:r>
            <w:rPr>
              <w:sz w:val="24"/>
              <w:szCs w:val="24"/>
            </w:rPr>
            <w:instrText xml:space="preserve"> PAGEREF _Toc26357 \h </w:instrText>
          </w:r>
          <w:r>
            <w:rPr>
              <w:sz w:val="24"/>
              <w:szCs w:val="24"/>
            </w:rPr>
            <w:fldChar w:fldCharType="separate"/>
          </w:r>
          <w:r>
            <w:rPr>
              <w:sz w:val="24"/>
              <w:szCs w:val="24"/>
            </w:rPr>
            <w:t>47</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703174C3">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_Toc27091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kern w:val="0"/>
              <w:sz w:val="24"/>
              <w:szCs w:val="24"/>
              <w:lang w:val="en-US" w:eastAsia="zh-CN"/>
            </w:rPr>
            <w:t>2.7评价重点</w:t>
          </w:r>
          <w:r>
            <w:rPr>
              <w:sz w:val="24"/>
              <w:szCs w:val="24"/>
            </w:rPr>
            <w:tab/>
          </w:r>
          <w:r>
            <w:rPr>
              <w:sz w:val="24"/>
              <w:szCs w:val="24"/>
            </w:rPr>
            <w:fldChar w:fldCharType="begin"/>
          </w:r>
          <w:r>
            <w:rPr>
              <w:sz w:val="24"/>
              <w:szCs w:val="24"/>
            </w:rPr>
            <w:instrText xml:space="preserve"> PAGEREF _Toc27091 \h </w:instrText>
          </w:r>
          <w:r>
            <w:rPr>
              <w:sz w:val="24"/>
              <w:szCs w:val="24"/>
            </w:rPr>
            <w:fldChar w:fldCharType="separate"/>
          </w:r>
          <w:r>
            <w:rPr>
              <w:sz w:val="24"/>
              <w:szCs w:val="24"/>
            </w:rPr>
            <w:t>47</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19C0EFFC">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_Toc9731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kern w:val="0"/>
              <w:sz w:val="24"/>
              <w:szCs w:val="24"/>
              <w:lang w:val="en-US" w:eastAsia="zh-CN"/>
            </w:rPr>
            <w:t>2.8主要环境</w:t>
          </w:r>
          <w:r>
            <w:rPr>
              <w:rFonts w:hint="eastAsia" w:ascii="Times New Roman" w:hAnsi="Times New Roman" w:eastAsia="华文中宋" w:cs="Times New Roman"/>
              <w:snapToGrid w:val="0"/>
              <w:kern w:val="0"/>
              <w:sz w:val="24"/>
              <w:szCs w:val="24"/>
              <w:lang w:val="en-US" w:eastAsia="zh-CN"/>
            </w:rPr>
            <w:t>保护</w:t>
          </w:r>
          <w:r>
            <w:rPr>
              <w:rFonts w:hint="default" w:ascii="Times New Roman" w:hAnsi="Times New Roman" w:eastAsia="华文中宋" w:cs="Times New Roman"/>
              <w:snapToGrid w:val="0"/>
              <w:kern w:val="0"/>
              <w:sz w:val="24"/>
              <w:szCs w:val="24"/>
              <w:lang w:val="en-US" w:eastAsia="zh-CN"/>
            </w:rPr>
            <w:t>目标</w:t>
          </w:r>
          <w:r>
            <w:rPr>
              <w:sz w:val="24"/>
              <w:szCs w:val="24"/>
            </w:rPr>
            <w:tab/>
          </w:r>
          <w:r>
            <w:rPr>
              <w:sz w:val="24"/>
              <w:szCs w:val="24"/>
            </w:rPr>
            <w:fldChar w:fldCharType="begin"/>
          </w:r>
          <w:r>
            <w:rPr>
              <w:sz w:val="24"/>
              <w:szCs w:val="24"/>
            </w:rPr>
            <w:instrText xml:space="preserve"> PAGEREF _Toc9731 \h </w:instrText>
          </w:r>
          <w:r>
            <w:rPr>
              <w:sz w:val="24"/>
              <w:szCs w:val="24"/>
            </w:rPr>
            <w:fldChar w:fldCharType="separate"/>
          </w:r>
          <w:r>
            <w:rPr>
              <w:sz w:val="24"/>
              <w:szCs w:val="24"/>
            </w:rPr>
            <w:t>47</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0077B81D">
          <w:pPr>
            <w:pStyle w:val="14"/>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_Toc19208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spacing w:val="2"/>
              <w:sz w:val="24"/>
              <w:szCs w:val="24"/>
              <w:lang w:val="en-US" w:eastAsia="zh-CN"/>
            </w:rPr>
            <w:t>3工程概况与工程分析</w:t>
          </w:r>
          <w:r>
            <w:rPr>
              <w:sz w:val="24"/>
              <w:szCs w:val="24"/>
            </w:rPr>
            <w:tab/>
          </w:r>
          <w:r>
            <w:rPr>
              <w:sz w:val="24"/>
              <w:szCs w:val="24"/>
            </w:rPr>
            <w:fldChar w:fldCharType="begin"/>
          </w:r>
          <w:r>
            <w:rPr>
              <w:sz w:val="24"/>
              <w:szCs w:val="24"/>
            </w:rPr>
            <w:instrText xml:space="preserve"> PAGEREF _Toc19208 \h </w:instrText>
          </w:r>
          <w:r>
            <w:rPr>
              <w:sz w:val="24"/>
              <w:szCs w:val="24"/>
            </w:rPr>
            <w:fldChar w:fldCharType="separate"/>
          </w:r>
          <w:r>
            <w:rPr>
              <w:sz w:val="24"/>
              <w:szCs w:val="24"/>
            </w:rPr>
            <w:t>49</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57A07FDF">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_Toc5997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kern w:val="0"/>
              <w:sz w:val="24"/>
              <w:szCs w:val="24"/>
              <w:lang w:val="en-US" w:eastAsia="zh-CN"/>
            </w:rPr>
            <w:t>3.1项目概括</w:t>
          </w:r>
          <w:r>
            <w:rPr>
              <w:sz w:val="24"/>
              <w:szCs w:val="24"/>
            </w:rPr>
            <w:tab/>
          </w:r>
          <w:r>
            <w:rPr>
              <w:sz w:val="24"/>
              <w:szCs w:val="24"/>
            </w:rPr>
            <w:fldChar w:fldCharType="begin"/>
          </w:r>
          <w:r>
            <w:rPr>
              <w:sz w:val="24"/>
              <w:szCs w:val="24"/>
            </w:rPr>
            <w:instrText xml:space="preserve"> PAGEREF _Toc5997 \h </w:instrText>
          </w:r>
          <w:r>
            <w:rPr>
              <w:sz w:val="24"/>
              <w:szCs w:val="24"/>
            </w:rPr>
            <w:fldChar w:fldCharType="separate"/>
          </w:r>
          <w:r>
            <w:rPr>
              <w:sz w:val="24"/>
              <w:szCs w:val="24"/>
            </w:rPr>
            <w:t>49</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30C4E7F0">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_Toc26452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3.1.1项目基本情况</w:t>
          </w:r>
          <w:r>
            <w:rPr>
              <w:sz w:val="24"/>
              <w:szCs w:val="24"/>
            </w:rPr>
            <w:tab/>
          </w:r>
          <w:r>
            <w:rPr>
              <w:sz w:val="24"/>
              <w:szCs w:val="24"/>
            </w:rPr>
            <w:fldChar w:fldCharType="begin"/>
          </w:r>
          <w:r>
            <w:rPr>
              <w:sz w:val="24"/>
              <w:szCs w:val="24"/>
            </w:rPr>
            <w:instrText xml:space="preserve"> PAGEREF _Toc26452 \h </w:instrText>
          </w:r>
          <w:r>
            <w:rPr>
              <w:sz w:val="24"/>
              <w:szCs w:val="24"/>
            </w:rPr>
            <w:fldChar w:fldCharType="separate"/>
          </w:r>
          <w:r>
            <w:rPr>
              <w:sz w:val="24"/>
              <w:szCs w:val="24"/>
            </w:rPr>
            <w:t>49</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62F3AEF2">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_Toc25098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3.1.2工程组成</w:t>
          </w:r>
          <w:r>
            <w:rPr>
              <w:sz w:val="24"/>
              <w:szCs w:val="24"/>
            </w:rPr>
            <w:tab/>
          </w:r>
          <w:r>
            <w:rPr>
              <w:sz w:val="24"/>
              <w:szCs w:val="24"/>
            </w:rPr>
            <w:fldChar w:fldCharType="begin"/>
          </w:r>
          <w:r>
            <w:rPr>
              <w:sz w:val="24"/>
              <w:szCs w:val="24"/>
            </w:rPr>
            <w:instrText xml:space="preserve"> PAGEREF _Toc25098 \h </w:instrText>
          </w:r>
          <w:r>
            <w:rPr>
              <w:sz w:val="24"/>
              <w:szCs w:val="24"/>
            </w:rPr>
            <w:fldChar w:fldCharType="separate"/>
          </w:r>
          <w:r>
            <w:rPr>
              <w:sz w:val="24"/>
              <w:szCs w:val="24"/>
            </w:rPr>
            <w:t>49</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28CB4A58">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_Toc21908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3.1</w:t>
          </w:r>
          <w:r>
            <w:rPr>
              <w:rFonts w:hint="eastAsia" w:ascii="Times New Roman" w:hAnsi="Times New Roman" w:eastAsia="华文中宋" w:cs="Times New Roman"/>
              <w:kern w:val="0"/>
              <w:sz w:val="24"/>
              <w:szCs w:val="24"/>
              <w:lang w:val="en-US" w:eastAsia="zh-CN"/>
            </w:rPr>
            <w:t>.3产品规模及开采方案</w:t>
          </w:r>
          <w:r>
            <w:rPr>
              <w:sz w:val="24"/>
              <w:szCs w:val="24"/>
            </w:rPr>
            <w:tab/>
          </w:r>
          <w:r>
            <w:rPr>
              <w:sz w:val="24"/>
              <w:szCs w:val="24"/>
            </w:rPr>
            <w:fldChar w:fldCharType="begin"/>
          </w:r>
          <w:r>
            <w:rPr>
              <w:sz w:val="24"/>
              <w:szCs w:val="24"/>
            </w:rPr>
            <w:instrText xml:space="preserve"> PAGEREF _Toc21908 \h </w:instrText>
          </w:r>
          <w:r>
            <w:rPr>
              <w:sz w:val="24"/>
              <w:szCs w:val="24"/>
            </w:rPr>
            <w:fldChar w:fldCharType="separate"/>
          </w:r>
          <w:r>
            <w:rPr>
              <w:sz w:val="24"/>
              <w:szCs w:val="24"/>
            </w:rPr>
            <w:t>51</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64B4BD27">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_Toc10018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highlight w:val="none"/>
              <w:lang w:val="en-US" w:eastAsia="zh-CN"/>
            </w:rPr>
            <w:t>3.1</w:t>
          </w:r>
          <w:r>
            <w:rPr>
              <w:rFonts w:hint="eastAsia" w:ascii="Times New Roman" w:hAnsi="Times New Roman" w:eastAsia="华文中宋" w:cs="Times New Roman"/>
              <w:kern w:val="0"/>
              <w:sz w:val="24"/>
              <w:szCs w:val="24"/>
              <w:highlight w:val="none"/>
              <w:lang w:val="en-US" w:eastAsia="zh-CN"/>
            </w:rPr>
            <w:t>.4</w:t>
          </w:r>
          <w:r>
            <w:rPr>
              <w:rFonts w:hint="default" w:ascii="Times New Roman" w:hAnsi="Times New Roman" w:eastAsia="华文中宋" w:cs="Times New Roman"/>
              <w:kern w:val="0"/>
              <w:sz w:val="24"/>
              <w:szCs w:val="24"/>
              <w:highlight w:val="none"/>
              <w:lang w:val="en-US" w:eastAsia="zh-CN"/>
            </w:rPr>
            <w:t>主体工程</w:t>
          </w:r>
          <w:r>
            <w:rPr>
              <w:sz w:val="24"/>
              <w:szCs w:val="24"/>
            </w:rPr>
            <w:tab/>
          </w:r>
          <w:r>
            <w:rPr>
              <w:sz w:val="24"/>
              <w:szCs w:val="24"/>
            </w:rPr>
            <w:fldChar w:fldCharType="begin"/>
          </w:r>
          <w:r>
            <w:rPr>
              <w:sz w:val="24"/>
              <w:szCs w:val="24"/>
            </w:rPr>
            <w:instrText xml:space="preserve"> PAGEREF _Toc10018 \h </w:instrText>
          </w:r>
          <w:r>
            <w:rPr>
              <w:sz w:val="24"/>
              <w:szCs w:val="24"/>
            </w:rPr>
            <w:fldChar w:fldCharType="separate"/>
          </w:r>
          <w:r>
            <w:rPr>
              <w:sz w:val="24"/>
              <w:szCs w:val="24"/>
            </w:rPr>
            <w:t>51</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3F8B5D52">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_Toc26725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3.1.</w:t>
          </w:r>
          <w:r>
            <w:rPr>
              <w:rFonts w:hint="eastAsia" w:ascii="Times New Roman" w:hAnsi="Times New Roman" w:eastAsia="华文中宋" w:cs="Times New Roman"/>
              <w:kern w:val="0"/>
              <w:sz w:val="24"/>
              <w:szCs w:val="24"/>
              <w:lang w:val="en-US" w:eastAsia="zh-CN"/>
            </w:rPr>
            <w:t>5储运</w:t>
          </w:r>
          <w:r>
            <w:rPr>
              <w:rFonts w:hint="default" w:ascii="Times New Roman" w:hAnsi="Times New Roman" w:eastAsia="华文中宋" w:cs="Times New Roman"/>
              <w:kern w:val="0"/>
              <w:sz w:val="24"/>
              <w:szCs w:val="24"/>
              <w:lang w:val="en-US" w:eastAsia="zh-CN"/>
            </w:rPr>
            <w:t>工程</w:t>
          </w:r>
          <w:r>
            <w:rPr>
              <w:sz w:val="24"/>
              <w:szCs w:val="24"/>
            </w:rPr>
            <w:tab/>
          </w:r>
          <w:r>
            <w:rPr>
              <w:sz w:val="24"/>
              <w:szCs w:val="24"/>
            </w:rPr>
            <w:fldChar w:fldCharType="begin"/>
          </w:r>
          <w:r>
            <w:rPr>
              <w:sz w:val="24"/>
              <w:szCs w:val="24"/>
            </w:rPr>
            <w:instrText xml:space="preserve"> PAGEREF _Toc26725 \h </w:instrText>
          </w:r>
          <w:r>
            <w:rPr>
              <w:sz w:val="24"/>
              <w:szCs w:val="24"/>
            </w:rPr>
            <w:fldChar w:fldCharType="separate"/>
          </w:r>
          <w:r>
            <w:rPr>
              <w:sz w:val="24"/>
              <w:szCs w:val="24"/>
            </w:rPr>
            <w:t>52</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037AED54">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_Toc4999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eastAsia" w:ascii="Times New Roman" w:hAnsi="Times New Roman" w:eastAsia="华文中宋" w:cs="Times New Roman"/>
              <w:kern w:val="0"/>
              <w:sz w:val="24"/>
              <w:szCs w:val="24"/>
              <w:lang w:val="en-US" w:eastAsia="zh-CN"/>
            </w:rPr>
            <w:t>3.1.6辅助工程</w:t>
          </w:r>
          <w:r>
            <w:rPr>
              <w:sz w:val="24"/>
              <w:szCs w:val="24"/>
            </w:rPr>
            <w:tab/>
          </w:r>
          <w:r>
            <w:rPr>
              <w:sz w:val="24"/>
              <w:szCs w:val="24"/>
            </w:rPr>
            <w:fldChar w:fldCharType="begin"/>
          </w:r>
          <w:r>
            <w:rPr>
              <w:sz w:val="24"/>
              <w:szCs w:val="24"/>
            </w:rPr>
            <w:instrText xml:space="preserve"> PAGEREF _Toc4999 \h </w:instrText>
          </w:r>
          <w:r>
            <w:rPr>
              <w:sz w:val="24"/>
              <w:szCs w:val="24"/>
            </w:rPr>
            <w:fldChar w:fldCharType="separate"/>
          </w:r>
          <w:r>
            <w:rPr>
              <w:sz w:val="24"/>
              <w:szCs w:val="24"/>
            </w:rPr>
            <w:t>54</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2DB7D255">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_Toc21329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eastAsia" w:ascii="Times New Roman" w:hAnsi="Times New Roman" w:eastAsia="华文中宋" w:cs="Times New Roman"/>
              <w:kern w:val="0"/>
              <w:sz w:val="24"/>
              <w:szCs w:val="24"/>
              <w:lang w:val="en-US" w:eastAsia="zh-CN"/>
            </w:rPr>
            <w:t>3.1.7选址的合理性分析</w:t>
          </w:r>
          <w:r>
            <w:rPr>
              <w:sz w:val="24"/>
              <w:szCs w:val="24"/>
            </w:rPr>
            <w:tab/>
          </w:r>
          <w:r>
            <w:rPr>
              <w:sz w:val="24"/>
              <w:szCs w:val="24"/>
            </w:rPr>
            <w:fldChar w:fldCharType="begin"/>
          </w:r>
          <w:r>
            <w:rPr>
              <w:sz w:val="24"/>
              <w:szCs w:val="24"/>
            </w:rPr>
            <w:instrText xml:space="preserve"> PAGEREF _Toc21329 \h </w:instrText>
          </w:r>
          <w:r>
            <w:rPr>
              <w:sz w:val="24"/>
              <w:szCs w:val="24"/>
            </w:rPr>
            <w:fldChar w:fldCharType="separate"/>
          </w:r>
          <w:r>
            <w:rPr>
              <w:sz w:val="24"/>
              <w:szCs w:val="24"/>
            </w:rPr>
            <w:t>55</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28AB5FB5">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_Toc26260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3.1.</w:t>
          </w:r>
          <w:r>
            <w:rPr>
              <w:rFonts w:hint="eastAsia" w:ascii="Times New Roman" w:hAnsi="Times New Roman" w:eastAsia="华文中宋" w:cs="Times New Roman"/>
              <w:kern w:val="0"/>
              <w:sz w:val="24"/>
              <w:szCs w:val="24"/>
              <w:lang w:val="en-US" w:eastAsia="zh-CN"/>
            </w:rPr>
            <w:t>8</w:t>
          </w:r>
          <w:r>
            <w:rPr>
              <w:rFonts w:hint="default" w:ascii="Times New Roman" w:hAnsi="Times New Roman" w:eastAsia="华文中宋" w:cs="Times New Roman"/>
              <w:kern w:val="0"/>
              <w:sz w:val="24"/>
              <w:szCs w:val="24"/>
              <w:lang w:val="en-US" w:eastAsia="zh-CN"/>
            </w:rPr>
            <w:t>公用工程</w:t>
          </w:r>
          <w:r>
            <w:rPr>
              <w:sz w:val="24"/>
              <w:szCs w:val="24"/>
            </w:rPr>
            <w:tab/>
          </w:r>
          <w:r>
            <w:rPr>
              <w:sz w:val="24"/>
              <w:szCs w:val="24"/>
            </w:rPr>
            <w:fldChar w:fldCharType="begin"/>
          </w:r>
          <w:r>
            <w:rPr>
              <w:sz w:val="24"/>
              <w:szCs w:val="24"/>
            </w:rPr>
            <w:instrText xml:space="preserve"> PAGEREF _Toc26260 \h </w:instrText>
          </w:r>
          <w:r>
            <w:rPr>
              <w:sz w:val="24"/>
              <w:szCs w:val="24"/>
            </w:rPr>
            <w:fldChar w:fldCharType="separate"/>
          </w:r>
          <w:r>
            <w:rPr>
              <w:sz w:val="24"/>
              <w:szCs w:val="24"/>
            </w:rPr>
            <w:t>55</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385525C1">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_Toc12887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3.1.</w:t>
          </w:r>
          <w:r>
            <w:rPr>
              <w:rFonts w:hint="eastAsia" w:ascii="Times New Roman" w:hAnsi="Times New Roman" w:eastAsia="华文中宋" w:cs="Times New Roman"/>
              <w:kern w:val="0"/>
              <w:sz w:val="24"/>
              <w:szCs w:val="24"/>
              <w:lang w:val="en-US" w:eastAsia="zh-CN"/>
            </w:rPr>
            <w:t>9</w:t>
          </w:r>
          <w:r>
            <w:rPr>
              <w:rFonts w:hint="default" w:ascii="Times New Roman" w:hAnsi="Times New Roman" w:eastAsia="华文中宋" w:cs="Times New Roman"/>
              <w:kern w:val="0"/>
              <w:sz w:val="24"/>
              <w:szCs w:val="24"/>
              <w:lang w:val="en-US" w:eastAsia="zh-CN"/>
            </w:rPr>
            <w:t>建设项目主要设备</w:t>
          </w:r>
          <w:r>
            <w:rPr>
              <w:sz w:val="24"/>
              <w:szCs w:val="24"/>
            </w:rPr>
            <w:tab/>
          </w:r>
          <w:r>
            <w:rPr>
              <w:sz w:val="24"/>
              <w:szCs w:val="24"/>
            </w:rPr>
            <w:fldChar w:fldCharType="begin"/>
          </w:r>
          <w:r>
            <w:rPr>
              <w:sz w:val="24"/>
              <w:szCs w:val="24"/>
            </w:rPr>
            <w:instrText xml:space="preserve"> PAGEREF _Toc12887 \h </w:instrText>
          </w:r>
          <w:r>
            <w:rPr>
              <w:sz w:val="24"/>
              <w:szCs w:val="24"/>
            </w:rPr>
            <w:fldChar w:fldCharType="separate"/>
          </w:r>
          <w:r>
            <w:rPr>
              <w:sz w:val="24"/>
              <w:szCs w:val="24"/>
            </w:rPr>
            <w:t>57</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4929DC98">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_Toc1557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3.1.</w:t>
          </w:r>
          <w:r>
            <w:rPr>
              <w:rFonts w:hint="eastAsia" w:ascii="Times New Roman" w:hAnsi="Times New Roman" w:eastAsia="华文中宋" w:cs="Times New Roman"/>
              <w:kern w:val="0"/>
              <w:sz w:val="24"/>
              <w:szCs w:val="24"/>
              <w:lang w:val="en-US" w:eastAsia="zh-CN"/>
            </w:rPr>
            <w:t>10</w:t>
          </w:r>
          <w:r>
            <w:rPr>
              <w:rFonts w:hint="default" w:ascii="Times New Roman" w:hAnsi="Times New Roman" w:eastAsia="华文中宋" w:cs="Times New Roman"/>
              <w:kern w:val="0"/>
              <w:sz w:val="24"/>
              <w:szCs w:val="24"/>
              <w:lang w:val="en-US" w:eastAsia="zh-CN"/>
            </w:rPr>
            <w:t>建设项目主要原辅材料</w:t>
          </w:r>
          <w:r>
            <w:rPr>
              <w:sz w:val="24"/>
              <w:szCs w:val="24"/>
            </w:rPr>
            <w:tab/>
          </w:r>
          <w:r>
            <w:rPr>
              <w:sz w:val="24"/>
              <w:szCs w:val="24"/>
            </w:rPr>
            <w:fldChar w:fldCharType="begin"/>
          </w:r>
          <w:r>
            <w:rPr>
              <w:sz w:val="24"/>
              <w:szCs w:val="24"/>
            </w:rPr>
            <w:instrText xml:space="preserve"> PAGEREF _Toc1557 \h </w:instrText>
          </w:r>
          <w:r>
            <w:rPr>
              <w:sz w:val="24"/>
              <w:szCs w:val="24"/>
            </w:rPr>
            <w:fldChar w:fldCharType="separate"/>
          </w:r>
          <w:r>
            <w:rPr>
              <w:sz w:val="24"/>
              <w:szCs w:val="24"/>
            </w:rPr>
            <w:t>58</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1A27ECB0">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_Toc20156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3.1.</w:t>
          </w:r>
          <w:r>
            <w:rPr>
              <w:rFonts w:hint="eastAsia" w:ascii="Times New Roman" w:hAnsi="Times New Roman" w:eastAsia="华文中宋" w:cs="Times New Roman"/>
              <w:kern w:val="0"/>
              <w:sz w:val="24"/>
              <w:szCs w:val="24"/>
              <w:lang w:val="en-US" w:eastAsia="zh-CN"/>
            </w:rPr>
            <w:t>11</w:t>
          </w:r>
          <w:r>
            <w:rPr>
              <w:rFonts w:hint="default" w:ascii="Times New Roman" w:hAnsi="Times New Roman" w:eastAsia="华文中宋" w:cs="Times New Roman"/>
              <w:kern w:val="0"/>
              <w:sz w:val="24"/>
              <w:szCs w:val="24"/>
              <w:lang w:val="en-US" w:eastAsia="zh-CN"/>
            </w:rPr>
            <w:t>工程总平面布置</w:t>
          </w:r>
          <w:r>
            <w:rPr>
              <w:sz w:val="24"/>
              <w:szCs w:val="24"/>
            </w:rPr>
            <w:tab/>
          </w:r>
          <w:r>
            <w:rPr>
              <w:sz w:val="24"/>
              <w:szCs w:val="24"/>
            </w:rPr>
            <w:fldChar w:fldCharType="begin"/>
          </w:r>
          <w:r>
            <w:rPr>
              <w:sz w:val="24"/>
              <w:szCs w:val="24"/>
            </w:rPr>
            <w:instrText xml:space="preserve"> PAGEREF _Toc20156 \h </w:instrText>
          </w:r>
          <w:r>
            <w:rPr>
              <w:sz w:val="24"/>
              <w:szCs w:val="24"/>
            </w:rPr>
            <w:fldChar w:fldCharType="separate"/>
          </w:r>
          <w:r>
            <w:rPr>
              <w:sz w:val="24"/>
              <w:szCs w:val="24"/>
            </w:rPr>
            <w:t>58</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0C7EDD36">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_Toc11864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3.1.</w:t>
          </w:r>
          <w:r>
            <w:rPr>
              <w:rFonts w:hint="eastAsia" w:ascii="Times New Roman" w:hAnsi="Times New Roman" w:eastAsia="华文中宋" w:cs="Times New Roman"/>
              <w:kern w:val="0"/>
              <w:sz w:val="24"/>
              <w:szCs w:val="24"/>
              <w:lang w:val="en-US" w:eastAsia="zh-CN"/>
            </w:rPr>
            <w:t>12</w:t>
          </w:r>
          <w:r>
            <w:rPr>
              <w:rFonts w:hint="default" w:ascii="Times New Roman" w:hAnsi="Times New Roman" w:eastAsia="华文中宋" w:cs="Times New Roman"/>
              <w:kern w:val="0"/>
              <w:sz w:val="24"/>
              <w:szCs w:val="24"/>
              <w:lang w:val="en-US" w:eastAsia="zh-CN"/>
            </w:rPr>
            <w:t>劳动定员与工作制度</w:t>
          </w:r>
          <w:r>
            <w:rPr>
              <w:sz w:val="24"/>
              <w:szCs w:val="24"/>
            </w:rPr>
            <w:tab/>
          </w:r>
          <w:r>
            <w:rPr>
              <w:sz w:val="24"/>
              <w:szCs w:val="24"/>
            </w:rPr>
            <w:fldChar w:fldCharType="begin"/>
          </w:r>
          <w:r>
            <w:rPr>
              <w:sz w:val="24"/>
              <w:szCs w:val="24"/>
            </w:rPr>
            <w:instrText xml:space="preserve"> PAGEREF _Toc11864 \h </w:instrText>
          </w:r>
          <w:r>
            <w:rPr>
              <w:sz w:val="24"/>
              <w:szCs w:val="24"/>
            </w:rPr>
            <w:fldChar w:fldCharType="separate"/>
          </w:r>
          <w:r>
            <w:rPr>
              <w:sz w:val="24"/>
              <w:szCs w:val="24"/>
            </w:rPr>
            <w:t>58</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09B3EC90">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_Toc4928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3.1.1</w:t>
          </w:r>
          <w:r>
            <w:rPr>
              <w:rFonts w:hint="eastAsia" w:ascii="Times New Roman" w:hAnsi="Times New Roman" w:eastAsia="华文中宋" w:cs="Times New Roman"/>
              <w:kern w:val="0"/>
              <w:sz w:val="24"/>
              <w:szCs w:val="24"/>
              <w:lang w:val="en-US" w:eastAsia="zh-CN"/>
            </w:rPr>
            <w:t>3</w:t>
          </w:r>
          <w:r>
            <w:rPr>
              <w:rFonts w:hint="default" w:ascii="Times New Roman" w:hAnsi="Times New Roman" w:eastAsia="华文中宋" w:cs="Times New Roman"/>
              <w:kern w:val="0"/>
              <w:sz w:val="24"/>
              <w:szCs w:val="24"/>
              <w:lang w:val="en-US" w:eastAsia="zh-CN"/>
            </w:rPr>
            <w:t>开采技术条件</w:t>
          </w:r>
          <w:r>
            <w:rPr>
              <w:sz w:val="24"/>
              <w:szCs w:val="24"/>
            </w:rPr>
            <w:tab/>
          </w:r>
          <w:r>
            <w:rPr>
              <w:sz w:val="24"/>
              <w:szCs w:val="24"/>
            </w:rPr>
            <w:fldChar w:fldCharType="begin"/>
          </w:r>
          <w:r>
            <w:rPr>
              <w:sz w:val="24"/>
              <w:szCs w:val="24"/>
            </w:rPr>
            <w:instrText xml:space="preserve"> PAGEREF _Toc4928 \h </w:instrText>
          </w:r>
          <w:r>
            <w:rPr>
              <w:sz w:val="24"/>
              <w:szCs w:val="24"/>
            </w:rPr>
            <w:fldChar w:fldCharType="separate"/>
          </w:r>
          <w:r>
            <w:rPr>
              <w:sz w:val="24"/>
              <w:szCs w:val="24"/>
            </w:rPr>
            <w:t>59</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5C6DA2BE">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_Toc2052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3.1.1</w:t>
          </w:r>
          <w:r>
            <w:rPr>
              <w:rFonts w:hint="eastAsia" w:ascii="Times New Roman" w:hAnsi="Times New Roman" w:eastAsia="华文中宋" w:cs="Times New Roman"/>
              <w:kern w:val="0"/>
              <w:sz w:val="24"/>
              <w:szCs w:val="24"/>
              <w:lang w:val="en-US" w:eastAsia="zh-CN"/>
            </w:rPr>
            <w:t>4</w:t>
          </w:r>
          <w:r>
            <w:rPr>
              <w:rFonts w:hint="default" w:ascii="Times New Roman" w:hAnsi="Times New Roman" w:eastAsia="华文中宋" w:cs="Times New Roman"/>
              <w:kern w:val="0"/>
              <w:sz w:val="24"/>
              <w:szCs w:val="24"/>
              <w:lang w:val="en-US" w:eastAsia="zh-CN"/>
            </w:rPr>
            <w:t>开采方案及工艺</w:t>
          </w:r>
          <w:r>
            <w:rPr>
              <w:sz w:val="24"/>
              <w:szCs w:val="24"/>
            </w:rPr>
            <w:tab/>
          </w:r>
          <w:r>
            <w:rPr>
              <w:sz w:val="24"/>
              <w:szCs w:val="24"/>
            </w:rPr>
            <w:fldChar w:fldCharType="begin"/>
          </w:r>
          <w:r>
            <w:rPr>
              <w:sz w:val="24"/>
              <w:szCs w:val="24"/>
            </w:rPr>
            <w:instrText xml:space="preserve"> PAGEREF _Toc2052 \h </w:instrText>
          </w:r>
          <w:r>
            <w:rPr>
              <w:sz w:val="24"/>
              <w:szCs w:val="24"/>
            </w:rPr>
            <w:fldChar w:fldCharType="separate"/>
          </w:r>
          <w:r>
            <w:rPr>
              <w:sz w:val="24"/>
              <w:szCs w:val="24"/>
            </w:rPr>
            <w:t>66</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0199CB08">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_Toc29490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eastAsia" w:ascii="Times New Roman" w:hAnsi="Times New Roman" w:eastAsia="华文中宋" w:cs="Times New Roman"/>
              <w:kern w:val="0"/>
              <w:sz w:val="24"/>
              <w:szCs w:val="24"/>
              <w:lang w:val="en-US" w:eastAsia="zh-CN"/>
            </w:rPr>
            <w:t>3.1.15露天矿防排水</w:t>
          </w:r>
          <w:r>
            <w:rPr>
              <w:sz w:val="24"/>
              <w:szCs w:val="24"/>
            </w:rPr>
            <w:tab/>
          </w:r>
          <w:r>
            <w:rPr>
              <w:sz w:val="24"/>
              <w:szCs w:val="24"/>
            </w:rPr>
            <w:fldChar w:fldCharType="begin"/>
          </w:r>
          <w:r>
            <w:rPr>
              <w:sz w:val="24"/>
              <w:szCs w:val="24"/>
            </w:rPr>
            <w:instrText xml:space="preserve"> PAGEREF _Toc29490 \h </w:instrText>
          </w:r>
          <w:r>
            <w:rPr>
              <w:sz w:val="24"/>
              <w:szCs w:val="24"/>
            </w:rPr>
            <w:fldChar w:fldCharType="separate"/>
          </w:r>
          <w:r>
            <w:rPr>
              <w:sz w:val="24"/>
              <w:szCs w:val="24"/>
            </w:rPr>
            <w:t>68</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1B655BCD">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_Toc31080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kern w:val="0"/>
              <w:sz w:val="24"/>
              <w:szCs w:val="24"/>
              <w:lang w:val="en-US" w:eastAsia="zh-CN"/>
            </w:rPr>
            <w:t>3.2工艺流程及产污环节分析</w:t>
          </w:r>
          <w:r>
            <w:rPr>
              <w:sz w:val="24"/>
              <w:szCs w:val="24"/>
            </w:rPr>
            <w:tab/>
          </w:r>
          <w:r>
            <w:rPr>
              <w:sz w:val="24"/>
              <w:szCs w:val="24"/>
            </w:rPr>
            <w:fldChar w:fldCharType="begin"/>
          </w:r>
          <w:r>
            <w:rPr>
              <w:sz w:val="24"/>
              <w:szCs w:val="24"/>
            </w:rPr>
            <w:instrText xml:space="preserve"> PAGEREF _Toc31080 \h </w:instrText>
          </w:r>
          <w:r>
            <w:rPr>
              <w:sz w:val="24"/>
              <w:szCs w:val="24"/>
            </w:rPr>
            <w:fldChar w:fldCharType="separate"/>
          </w:r>
          <w:r>
            <w:rPr>
              <w:sz w:val="24"/>
              <w:szCs w:val="24"/>
            </w:rPr>
            <w:t>69</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3759A9E1">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_Toc25338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3.2.1施工期工艺流程及产污环节分析</w:t>
          </w:r>
          <w:r>
            <w:rPr>
              <w:sz w:val="24"/>
              <w:szCs w:val="24"/>
            </w:rPr>
            <w:tab/>
          </w:r>
          <w:r>
            <w:rPr>
              <w:sz w:val="24"/>
              <w:szCs w:val="24"/>
            </w:rPr>
            <w:fldChar w:fldCharType="begin"/>
          </w:r>
          <w:r>
            <w:rPr>
              <w:sz w:val="24"/>
              <w:szCs w:val="24"/>
            </w:rPr>
            <w:instrText xml:space="preserve"> PAGEREF _Toc25338 \h </w:instrText>
          </w:r>
          <w:r>
            <w:rPr>
              <w:sz w:val="24"/>
              <w:szCs w:val="24"/>
            </w:rPr>
            <w:fldChar w:fldCharType="separate"/>
          </w:r>
          <w:r>
            <w:rPr>
              <w:sz w:val="24"/>
              <w:szCs w:val="24"/>
            </w:rPr>
            <w:t>69</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410CB05C">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_Toc30546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3.2.2 运营期工程分析</w:t>
          </w:r>
          <w:r>
            <w:rPr>
              <w:sz w:val="24"/>
              <w:szCs w:val="24"/>
            </w:rPr>
            <w:tab/>
          </w:r>
          <w:r>
            <w:rPr>
              <w:sz w:val="24"/>
              <w:szCs w:val="24"/>
            </w:rPr>
            <w:fldChar w:fldCharType="begin"/>
          </w:r>
          <w:r>
            <w:rPr>
              <w:sz w:val="24"/>
              <w:szCs w:val="24"/>
            </w:rPr>
            <w:instrText xml:space="preserve"> PAGEREF _Toc30546 \h </w:instrText>
          </w:r>
          <w:r>
            <w:rPr>
              <w:sz w:val="24"/>
              <w:szCs w:val="24"/>
            </w:rPr>
            <w:fldChar w:fldCharType="separate"/>
          </w:r>
          <w:r>
            <w:rPr>
              <w:sz w:val="24"/>
              <w:szCs w:val="24"/>
            </w:rPr>
            <w:t>73</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2B61F12C">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_Toc13839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3.2.3闭矿期污染源分析</w:t>
          </w:r>
          <w:r>
            <w:rPr>
              <w:sz w:val="24"/>
              <w:szCs w:val="24"/>
            </w:rPr>
            <w:tab/>
          </w:r>
          <w:r>
            <w:rPr>
              <w:sz w:val="24"/>
              <w:szCs w:val="24"/>
            </w:rPr>
            <w:fldChar w:fldCharType="begin"/>
          </w:r>
          <w:r>
            <w:rPr>
              <w:sz w:val="24"/>
              <w:szCs w:val="24"/>
            </w:rPr>
            <w:instrText xml:space="preserve"> PAGEREF _Toc13839 \h </w:instrText>
          </w:r>
          <w:r>
            <w:rPr>
              <w:sz w:val="24"/>
              <w:szCs w:val="24"/>
            </w:rPr>
            <w:fldChar w:fldCharType="separate"/>
          </w:r>
          <w:r>
            <w:rPr>
              <w:sz w:val="24"/>
              <w:szCs w:val="24"/>
            </w:rPr>
            <w:t>84</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5E2F8BE5">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_Toc31165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kern w:val="0"/>
              <w:sz w:val="24"/>
              <w:szCs w:val="24"/>
              <w:lang w:val="en-US" w:eastAsia="zh-CN"/>
            </w:rPr>
            <w:t>3.3总量控制</w:t>
          </w:r>
          <w:r>
            <w:rPr>
              <w:sz w:val="24"/>
              <w:szCs w:val="24"/>
            </w:rPr>
            <w:tab/>
          </w:r>
          <w:r>
            <w:rPr>
              <w:sz w:val="24"/>
              <w:szCs w:val="24"/>
            </w:rPr>
            <w:fldChar w:fldCharType="begin"/>
          </w:r>
          <w:r>
            <w:rPr>
              <w:sz w:val="24"/>
              <w:szCs w:val="24"/>
            </w:rPr>
            <w:instrText xml:space="preserve"> PAGEREF _Toc31165 \h </w:instrText>
          </w:r>
          <w:r>
            <w:rPr>
              <w:sz w:val="24"/>
              <w:szCs w:val="24"/>
            </w:rPr>
            <w:fldChar w:fldCharType="separate"/>
          </w:r>
          <w:r>
            <w:rPr>
              <w:sz w:val="24"/>
              <w:szCs w:val="24"/>
            </w:rPr>
            <w:t>85</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775FB037">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_Toc5487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eastAsia" w:ascii="Times New Roman" w:hAnsi="Times New Roman" w:eastAsia="华文中宋" w:cs="Times New Roman"/>
              <w:kern w:val="0"/>
              <w:sz w:val="24"/>
              <w:szCs w:val="24"/>
              <w:lang w:val="en-US" w:eastAsia="zh-CN"/>
            </w:rPr>
            <w:t>3.3.1总量控制原则</w:t>
          </w:r>
          <w:r>
            <w:rPr>
              <w:sz w:val="24"/>
              <w:szCs w:val="24"/>
            </w:rPr>
            <w:tab/>
          </w:r>
          <w:r>
            <w:rPr>
              <w:sz w:val="24"/>
              <w:szCs w:val="24"/>
            </w:rPr>
            <w:fldChar w:fldCharType="begin"/>
          </w:r>
          <w:r>
            <w:rPr>
              <w:sz w:val="24"/>
              <w:szCs w:val="24"/>
            </w:rPr>
            <w:instrText xml:space="preserve"> PAGEREF _Toc5487 \h </w:instrText>
          </w:r>
          <w:r>
            <w:rPr>
              <w:sz w:val="24"/>
              <w:szCs w:val="24"/>
            </w:rPr>
            <w:fldChar w:fldCharType="separate"/>
          </w:r>
          <w:r>
            <w:rPr>
              <w:sz w:val="24"/>
              <w:szCs w:val="24"/>
            </w:rPr>
            <w:t>85</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06B9A5FA">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_Toc6870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eastAsia" w:ascii="Times New Roman" w:hAnsi="Times New Roman" w:eastAsia="华文中宋" w:cs="Times New Roman"/>
              <w:kern w:val="0"/>
              <w:sz w:val="24"/>
              <w:szCs w:val="24"/>
              <w:lang w:val="en-US" w:eastAsia="zh-CN"/>
            </w:rPr>
            <w:t>3.3.2总量控制因子</w:t>
          </w:r>
          <w:r>
            <w:rPr>
              <w:sz w:val="24"/>
              <w:szCs w:val="24"/>
            </w:rPr>
            <w:tab/>
          </w:r>
          <w:r>
            <w:rPr>
              <w:sz w:val="24"/>
              <w:szCs w:val="24"/>
            </w:rPr>
            <w:fldChar w:fldCharType="begin"/>
          </w:r>
          <w:r>
            <w:rPr>
              <w:sz w:val="24"/>
              <w:szCs w:val="24"/>
            </w:rPr>
            <w:instrText xml:space="preserve"> PAGEREF _Toc6870 \h </w:instrText>
          </w:r>
          <w:r>
            <w:rPr>
              <w:sz w:val="24"/>
              <w:szCs w:val="24"/>
            </w:rPr>
            <w:fldChar w:fldCharType="separate"/>
          </w:r>
          <w:r>
            <w:rPr>
              <w:sz w:val="24"/>
              <w:szCs w:val="24"/>
            </w:rPr>
            <w:t>85</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580DB674">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_Toc6936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eastAsia" w:ascii="Times New Roman" w:hAnsi="Times New Roman" w:eastAsia="华文中宋" w:cs="Times New Roman"/>
              <w:snapToGrid w:val="0"/>
              <w:kern w:val="0"/>
              <w:sz w:val="24"/>
              <w:szCs w:val="24"/>
              <w:lang w:val="en-US" w:eastAsia="zh-CN"/>
            </w:rPr>
            <w:t>3.4清洁生产</w:t>
          </w:r>
          <w:r>
            <w:rPr>
              <w:sz w:val="24"/>
              <w:szCs w:val="24"/>
            </w:rPr>
            <w:tab/>
          </w:r>
          <w:r>
            <w:rPr>
              <w:sz w:val="24"/>
              <w:szCs w:val="24"/>
            </w:rPr>
            <w:fldChar w:fldCharType="begin"/>
          </w:r>
          <w:r>
            <w:rPr>
              <w:sz w:val="24"/>
              <w:szCs w:val="24"/>
            </w:rPr>
            <w:instrText xml:space="preserve"> PAGEREF _Toc6936 \h </w:instrText>
          </w:r>
          <w:r>
            <w:rPr>
              <w:sz w:val="24"/>
              <w:szCs w:val="24"/>
            </w:rPr>
            <w:fldChar w:fldCharType="separate"/>
          </w:r>
          <w:r>
            <w:rPr>
              <w:sz w:val="24"/>
              <w:szCs w:val="24"/>
            </w:rPr>
            <w:t>86</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17675B1E">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_Toc23328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eastAsia" w:ascii="Times New Roman" w:hAnsi="Times New Roman" w:eastAsia="华文中宋" w:cs="Times New Roman"/>
              <w:kern w:val="0"/>
              <w:sz w:val="24"/>
              <w:szCs w:val="24"/>
              <w:lang w:val="en-US" w:eastAsia="zh-CN"/>
            </w:rPr>
            <w:t>3.4.1清洁生产评价指标</w:t>
          </w:r>
          <w:r>
            <w:rPr>
              <w:sz w:val="24"/>
              <w:szCs w:val="24"/>
            </w:rPr>
            <w:tab/>
          </w:r>
          <w:r>
            <w:rPr>
              <w:sz w:val="24"/>
              <w:szCs w:val="24"/>
            </w:rPr>
            <w:fldChar w:fldCharType="begin"/>
          </w:r>
          <w:r>
            <w:rPr>
              <w:sz w:val="24"/>
              <w:szCs w:val="24"/>
            </w:rPr>
            <w:instrText xml:space="preserve"> PAGEREF _Toc23328 \h </w:instrText>
          </w:r>
          <w:r>
            <w:rPr>
              <w:sz w:val="24"/>
              <w:szCs w:val="24"/>
            </w:rPr>
            <w:fldChar w:fldCharType="separate"/>
          </w:r>
          <w:r>
            <w:rPr>
              <w:sz w:val="24"/>
              <w:szCs w:val="24"/>
            </w:rPr>
            <w:t>87</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74E96992">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_Toc16916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eastAsia" w:ascii="Times New Roman" w:hAnsi="Times New Roman" w:eastAsia="华文中宋" w:cs="Times New Roman"/>
              <w:kern w:val="0"/>
              <w:sz w:val="24"/>
              <w:szCs w:val="24"/>
              <w:lang w:val="en-US" w:eastAsia="zh-CN"/>
            </w:rPr>
            <w:t>3.4.2指标选取</w:t>
          </w:r>
          <w:r>
            <w:rPr>
              <w:sz w:val="24"/>
              <w:szCs w:val="24"/>
            </w:rPr>
            <w:tab/>
          </w:r>
          <w:r>
            <w:rPr>
              <w:sz w:val="24"/>
              <w:szCs w:val="24"/>
            </w:rPr>
            <w:fldChar w:fldCharType="begin"/>
          </w:r>
          <w:r>
            <w:rPr>
              <w:sz w:val="24"/>
              <w:szCs w:val="24"/>
            </w:rPr>
            <w:instrText xml:space="preserve"> PAGEREF _Toc16916 \h </w:instrText>
          </w:r>
          <w:r>
            <w:rPr>
              <w:sz w:val="24"/>
              <w:szCs w:val="24"/>
            </w:rPr>
            <w:fldChar w:fldCharType="separate"/>
          </w:r>
          <w:r>
            <w:rPr>
              <w:sz w:val="24"/>
              <w:szCs w:val="24"/>
            </w:rPr>
            <w:t>88</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1DC02CED">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_Toc7103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eastAsia" w:ascii="Times New Roman" w:hAnsi="Times New Roman" w:eastAsia="华文中宋" w:cs="Times New Roman"/>
              <w:kern w:val="0"/>
              <w:sz w:val="24"/>
              <w:szCs w:val="24"/>
              <w:lang w:val="en-US" w:eastAsia="zh-CN"/>
            </w:rPr>
            <w:t>3.4.3清洁生产评价方法</w:t>
          </w:r>
          <w:r>
            <w:rPr>
              <w:sz w:val="24"/>
              <w:szCs w:val="24"/>
            </w:rPr>
            <w:tab/>
          </w:r>
          <w:r>
            <w:rPr>
              <w:sz w:val="24"/>
              <w:szCs w:val="24"/>
            </w:rPr>
            <w:fldChar w:fldCharType="begin"/>
          </w:r>
          <w:r>
            <w:rPr>
              <w:sz w:val="24"/>
              <w:szCs w:val="24"/>
            </w:rPr>
            <w:instrText xml:space="preserve"> PAGEREF _Toc7103 \h </w:instrText>
          </w:r>
          <w:r>
            <w:rPr>
              <w:sz w:val="24"/>
              <w:szCs w:val="24"/>
            </w:rPr>
            <w:fldChar w:fldCharType="separate"/>
          </w:r>
          <w:r>
            <w:rPr>
              <w:sz w:val="24"/>
              <w:szCs w:val="24"/>
            </w:rPr>
            <w:t>94</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173397B9">
          <w:pPr>
            <w:pStyle w:val="14"/>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_Toc6166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spacing w:val="2"/>
              <w:sz w:val="24"/>
              <w:szCs w:val="24"/>
              <w:lang w:val="en-US" w:eastAsia="zh-CN"/>
            </w:rPr>
            <w:t>4环境现状调查及评价</w:t>
          </w:r>
          <w:r>
            <w:rPr>
              <w:sz w:val="24"/>
              <w:szCs w:val="24"/>
            </w:rPr>
            <w:tab/>
          </w:r>
          <w:r>
            <w:rPr>
              <w:sz w:val="24"/>
              <w:szCs w:val="24"/>
            </w:rPr>
            <w:fldChar w:fldCharType="begin"/>
          </w:r>
          <w:r>
            <w:rPr>
              <w:sz w:val="24"/>
              <w:szCs w:val="24"/>
            </w:rPr>
            <w:instrText xml:space="preserve"> PAGEREF _Toc6166 \h </w:instrText>
          </w:r>
          <w:r>
            <w:rPr>
              <w:sz w:val="24"/>
              <w:szCs w:val="24"/>
            </w:rPr>
            <w:fldChar w:fldCharType="separate"/>
          </w:r>
          <w:r>
            <w:rPr>
              <w:sz w:val="24"/>
              <w:szCs w:val="24"/>
            </w:rPr>
            <w:t>95</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7CA040F1">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_Toc10301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kern w:val="0"/>
              <w:sz w:val="24"/>
              <w:szCs w:val="24"/>
              <w:lang w:val="en-US" w:eastAsia="zh-CN"/>
            </w:rPr>
            <w:t>4.1自然环境概括</w:t>
          </w:r>
          <w:r>
            <w:rPr>
              <w:sz w:val="24"/>
              <w:szCs w:val="24"/>
            </w:rPr>
            <w:tab/>
          </w:r>
          <w:r>
            <w:rPr>
              <w:sz w:val="24"/>
              <w:szCs w:val="24"/>
            </w:rPr>
            <w:fldChar w:fldCharType="begin"/>
          </w:r>
          <w:r>
            <w:rPr>
              <w:sz w:val="24"/>
              <w:szCs w:val="24"/>
            </w:rPr>
            <w:instrText xml:space="preserve"> PAGEREF _Toc10301 \h </w:instrText>
          </w:r>
          <w:r>
            <w:rPr>
              <w:sz w:val="24"/>
              <w:szCs w:val="24"/>
            </w:rPr>
            <w:fldChar w:fldCharType="separate"/>
          </w:r>
          <w:r>
            <w:rPr>
              <w:sz w:val="24"/>
              <w:szCs w:val="24"/>
            </w:rPr>
            <w:t>95</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02D9ADAF">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_Toc17588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bCs/>
              <w:kern w:val="0"/>
              <w:sz w:val="24"/>
              <w:szCs w:val="24"/>
              <w:lang w:val="en-US" w:eastAsia="zh-CN"/>
            </w:rPr>
            <w:t>4.1.</w:t>
          </w:r>
          <w:r>
            <w:rPr>
              <w:rFonts w:hint="default" w:ascii="Times New Roman" w:hAnsi="Times New Roman" w:eastAsia="华文中宋" w:cs="Times New Roman"/>
              <w:bCs/>
              <w:snapToGrid w:val="0"/>
              <w:kern w:val="0"/>
              <w:sz w:val="24"/>
              <w:szCs w:val="24"/>
              <w:lang w:val="en-US" w:eastAsia="zh-CN" w:bidi="ar-SA"/>
            </w:rPr>
            <w:t>1地理位置</w:t>
          </w:r>
          <w:r>
            <w:rPr>
              <w:sz w:val="24"/>
              <w:szCs w:val="24"/>
            </w:rPr>
            <w:tab/>
          </w:r>
          <w:r>
            <w:rPr>
              <w:sz w:val="24"/>
              <w:szCs w:val="24"/>
            </w:rPr>
            <w:fldChar w:fldCharType="begin"/>
          </w:r>
          <w:r>
            <w:rPr>
              <w:sz w:val="24"/>
              <w:szCs w:val="24"/>
            </w:rPr>
            <w:instrText xml:space="preserve"> PAGEREF _Toc17588 \h </w:instrText>
          </w:r>
          <w:r>
            <w:rPr>
              <w:sz w:val="24"/>
              <w:szCs w:val="24"/>
            </w:rPr>
            <w:fldChar w:fldCharType="separate"/>
          </w:r>
          <w:r>
            <w:rPr>
              <w:sz w:val="24"/>
              <w:szCs w:val="24"/>
            </w:rPr>
            <w:t>95</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13C71789">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_Toc13117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4.1.2地形、地貌</w:t>
          </w:r>
          <w:r>
            <w:rPr>
              <w:sz w:val="24"/>
              <w:szCs w:val="24"/>
            </w:rPr>
            <w:tab/>
          </w:r>
          <w:r>
            <w:rPr>
              <w:sz w:val="24"/>
              <w:szCs w:val="24"/>
            </w:rPr>
            <w:fldChar w:fldCharType="begin"/>
          </w:r>
          <w:r>
            <w:rPr>
              <w:sz w:val="24"/>
              <w:szCs w:val="24"/>
            </w:rPr>
            <w:instrText xml:space="preserve"> PAGEREF _Toc13117 \h </w:instrText>
          </w:r>
          <w:r>
            <w:rPr>
              <w:sz w:val="24"/>
              <w:szCs w:val="24"/>
            </w:rPr>
            <w:fldChar w:fldCharType="separate"/>
          </w:r>
          <w:r>
            <w:rPr>
              <w:sz w:val="24"/>
              <w:szCs w:val="24"/>
            </w:rPr>
            <w:t>95</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3F815B0E">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_Toc23492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4.1.3气候条件</w:t>
          </w:r>
          <w:r>
            <w:rPr>
              <w:sz w:val="24"/>
              <w:szCs w:val="24"/>
            </w:rPr>
            <w:tab/>
          </w:r>
          <w:r>
            <w:rPr>
              <w:sz w:val="24"/>
              <w:szCs w:val="24"/>
            </w:rPr>
            <w:fldChar w:fldCharType="begin"/>
          </w:r>
          <w:r>
            <w:rPr>
              <w:sz w:val="24"/>
              <w:szCs w:val="24"/>
            </w:rPr>
            <w:instrText xml:space="preserve"> PAGEREF _Toc23492 \h </w:instrText>
          </w:r>
          <w:r>
            <w:rPr>
              <w:sz w:val="24"/>
              <w:szCs w:val="24"/>
            </w:rPr>
            <w:fldChar w:fldCharType="separate"/>
          </w:r>
          <w:r>
            <w:rPr>
              <w:sz w:val="24"/>
              <w:szCs w:val="24"/>
            </w:rPr>
            <w:t>95</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7BAB6645">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_Toc1529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4.1.4水文</w:t>
          </w:r>
          <w:r>
            <w:rPr>
              <w:sz w:val="24"/>
              <w:szCs w:val="24"/>
            </w:rPr>
            <w:tab/>
          </w:r>
          <w:r>
            <w:rPr>
              <w:sz w:val="24"/>
              <w:szCs w:val="24"/>
            </w:rPr>
            <w:fldChar w:fldCharType="begin"/>
          </w:r>
          <w:r>
            <w:rPr>
              <w:sz w:val="24"/>
              <w:szCs w:val="24"/>
            </w:rPr>
            <w:instrText xml:space="preserve"> PAGEREF _Toc1529 \h </w:instrText>
          </w:r>
          <w:r>
            <w:rPr>
              <w:sz w:val="24"/>
              <w:szCs w:val="24"/>
            </w:rPr>
            <w:fldChar w:fldCharType="separate"/>
          </w:r>
          <w:r>
            <w:rPr>
              <w:sz w:val="24"/>
              <w:szCs w:val="24"/>
            </w:rPr>
            <w:t>96</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28B5D595">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_Toc23407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4.1.5水文地质</w:t>
          </w:r>
          <w:r>
            <w:rPr>
              <w:sz w:val="24"/>
              <w:szCs w:val="24"/>
            </w:rPr>
            <w:tab/>
          </w:r>
          <w:r>
            <w:rPr>
              <w:sz w:val="24"/>
              <w:szCs w:val="24"/>
            </w:rPr>
            <w:fldChar w:fldCharType="begin"/>
          </w:r>
          <w:r>
            <w:rPr>
              <w:sz w:val="24"/>
              <w:szCs w:val="24"/>
            </w:rPr>
            <w:instrText xml:space="preserve"> PAGEREF _Toc23407 \h </w:instrText>
          </w:r>
          <w:r>
            <w:rPr>
              <w:sz w:val="24"/>
              <w:szCs w:val="24"/>
            </w:rPr>
            <w:fldChar w:fldCharType="separate"/>
          </w:r>
          <w:r>
            <w:rPr>
              <w:sz w:val="24"/>
              <w:szCs w:val="24"/>
            </w:rPr>
            <w:t>96</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13F6F7C1">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_Toc24702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4.1.6地震</w:t>
          </w:r>
          <w:r>
            <w:rPr>
              <w:sz w:val="24"/>
              <w:szCs w:val="24"/>
            </w:rPr>
            <w:tab/>
          </w:r>
          <w:r>
            <w:rPr>
              <w:sz w:val="24"/>
              <w:szCs w:val="24"/>
            </w:rPr>
            <w:fldChar w:fldCharType="begin"/>
          </w:r>
          <w:r>
            <w:rPr>
              <w:sz w:val="24"/>
              <w:szCs w:val="24"/>
            </w:rPr>
            <w:instrText xml:space="preserve"> PAGEREF _Toc24702 \h </w:instrText>
          </w:r>
          <w:r>
            <w:rPr>
              <w:sz w:val="24"/>
              <w:szCs w:val="24"/>
            </w:rPr>
            <w:fldChar w:fldCharType="separate"/>
          </w:r>
          <w:r>
            <w:rPr>
              <w:sz w:val="24"/>
              <w:szCs w:val="24"/>
            </w:rPr>
            <w:t>98</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7CD25703">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_Toc31723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cs="Times New Roman"/>
              <w:bCs/>
              <w:sz w:val="24"/>
              <w:szCs w:val="24"/>
              <w:highlight w:val="none"/>
              <w:lang w:val="en-US" w:eastAsia="zh-CN"/>
            </w:rPr>
            <w:t>4</w:t>
          </w:r>
          <w:r>
            <w:rPr>
              <w:rFonts w:hint="default" w:ascii="Times New Roman" w:hAnsi="Times New Roman" w:eastAsia="华文中宋" w:cs="Times New Roman"/>
              <w:bCs/>
              <w:snapToGrid w:val="0"/>
              <w:kern w:val="0"/>
              <w:sz w:val="24"/>
              <w:szCs w:val="24"/>
              <w:lang w:val="en-US" w:eastAsia="zh-CN" w:bidi="ar-SA"/>
            </w:rPr>
            <w:t>.2自然环境质量现状调查与评价</w:t>
          </w:r>
          <w:r>
            <w:rPr>
              <w:sz w:val="24"/>
              <w:szCs w:val="24"/>
            </w:rPr>
            <w:tab/>
          </w:r>
          <w:r>
            <w:rPr>
              <w:sz w:val="24"/>
              <w:szCs w:val="24"/>
            </w:rPr>
            <w:fldChar w:fldCharType="begin"/>
          </w:r>
          <w:r>
            <w:rPr>
              <w:sz w:val="24"/>
              <w:szCs w:val="24"/>
            </w:rPr>
            <w:instrText xml:space="preserve"> PAGEREF _Toc31723 \h </w:instrText>
          </w:r>
          <w:r>
            <w:rPr>
              <w:sz w:val="24"/>
              <w:szCs w:val="24"/>
            </w:rPr>
            <w:fldChar w:fldCharType="separate"/>
          </w:r>
          <w:r>
            <w:rPr>
              <w:sz w:val="24"/>
              <w:szCs w:val="24"/>
            </w:rPr>
            <w:t>99</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7AEB54E1">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_Toc14597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highlight w:val="none"/>
              <w:lang w:val="en-US" w:eastAsia="zh-CN"/>
            </w:rPr>
            <w:t>4.2.1区域环境空气质量达标情况调查与评价</w:t>
          </w:r>
          <w:r>
            <w:rPr>
              <w:sz w:val="24"/>
              <w:szCs w:val="24"/>
            </w:rPr>
            <w:tab/>
          </w:r>
          <w:r>
            <w:rPr>
              <w:sz w:val="24"/>
              <w:szCs w:val="24"/>
            </w:rPr>
            <w:fldChar w:fldCharType="begin"/>
          </w:r>
          <w:r>
            <w:rPr>
              <w:sz w:val="24"/>
              <w:szCs w:val="24"/>
            </w:rPr>
            <w:instrText xml:space="preserve"> PAGEREF _Toc14597 \h </w:instrText>
          </w:r>
          <w:r>
            <w:rPr>
              <w:sz w:val="24"/>
              <w:szCs w:val="24"/>
            </w:rPr>
            <w:fldChar w:fldCharType="separate"/>
          </w:r>
          <w:r>
            <w:rPr>
              <w:sz w:val="24"/>
              <w:szCs w:val="24"/>
            </w:rPr>
            <w:t>99</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4E76A1FB">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_Toc26114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4.2.2 地表水环境质量现状调查</w:t>
          </w:r>
          <w:r>
            <w:rPr>
              <w:rFonts w:hint="eastAsia" w:ascii="Times New Roman" w:hAnsi="Times New Roman" w:eastAsia="华文中宋" w:cs="Times New Roman"/>
              <w:kern w:val="0"/>
              <w:sz w:val="24"/>
              <w:szCs w:val="24"/>
              <w:lang w:val="en-US" w:eastAsia="zh-CN"/>
            </w:rPr>
            <w:t>与</w:t>
          </w:r>
          <w:r>
            <w:rPr>
              <w:rFonts w:hint="default" w:ascii="Times New Roman" w:hAnsi="Times New Roman" w:eastAsia="华文中宋" w:cs="Times New Roman"/>
              <w:kern w:val="0"/>
              <w:sz w:val="24"/>
              <w:szCs w:val="24"/>
              <w:lang w:val="en-US" w:eastAsia="zh-CN"/>
            </w:rPr>
            <w:t>评价</w:t>
          </w:r>
          <w:r>
            <w:rPr>
              <w:sz w:val="24"/>
              <w:szCs w:val="24"/>
            </w:rPr>
            <w:tab/>
          </w:r>
          <w:r>
            <w:rPr>
              <w:sz w:val="24"/>
              <w:szCs w:val="24"/>
            </w:rPr>
            <w:fldChar w:fldCharType="begin"/>
          </w:r>
          <w:r>
            <w:rPr>
              <w:sz w:val="24"/>
              <w:szCs w:val="24"/>
            </w:rPr>
            <w:instrText xml:space="preserve"> PAGEREF _Toc26114 \h </w:instrText>
          </w:r>
          <w:r>
            <w:rPr>
              <w:sz w:val="24"/>
              <w:szCs w:val="24"/>
            </w:rPr>
            <w:fldChar w:fldCharType="separate"/>
          </w:r>
          <w:r>
            <w:rPr>
              <w:sz w:val="24"/>
              <w:szCs w:val="24"/>
            </w:rPr>
            <w:t>101</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5B3AA85F">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_Toc15068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4.2.</w:t>
          </w:r>
          <w:r>
            <w:rPr>
              <w:rFonts w:hint="eastAsia" w:ascii="Times New Roman" w:hAnsi="Times New Roman" w:eastAsia="华文中宋" w:cs="Times New Roman"/>
              <w:kern w:val="0"/>
              <w:sz w:val="24"/>
              <w:szCs w:val="24"/>
              <w:lang w:val="en-US" w:eastAsia="zh-CN"/>
            </w:rPr>
            <w:t>3</w:t>
          </w:r>
          <w:r>
            <w:rPr>
              <w:rFonts w:hint="default" w:ascii="Times New Roman" w:hAnsi="Times New Roman" w:eastAsia="华文中宋" w:cs="Times New Roman"/>
              <w:kern w:val="0"/>
              <w:sz w:val="24"/>
              <w:szCs w:val="24"/>
              <w:lang w:val="en-US" w:eastAsia="zh-CN"/>
            </w:rPr>
            <w:t xml:space="preserve"> 地下水环境现状调查及评价</w:t>
          </w:r>
          <w:r>
            <w:rPr>
              <w:sz w:val="24"/>
              <w:szCs w:val="24"/>
            </w:rPr>
            <w:tab/>
          </w:r>
          <w:r>
            <w:rPr>
              <w:sz w:val="24"/>
              <w:szCs w:val="24"/>
            </w:rPr>
            <w:fldChar w:fldCharType="begin"/>
          </w:r>
          <w:r>
            <w:rPr>
              <w:sz w:val="24"/>
              <w:szCs w:val="24"/>
            </w:rPr>
            <w:instrText xml:space="preserve"> PAGEREF _Toc15068 \h </w:instrText>
          </w:r>
          <w:r>
            <w:rPr>
              <w:sz w:val="24"/>
              <w:szCs w:val="24"/>
            </w:rPr>
            <w:fldChar w:fldCharType="separate"/>
          </w:r>
          <w:r>
            <w:rPr>
              <w:sz w:val="24"/>
              <w:szCs w:val="24"/>
            </w:rPr>
            <w:t>102</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50E3CCF1">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_Toc20172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eastAsia" w:ascii="Times New Roman" w:hAnsi="Times New Roman" w:eastAsia="华文中宋" w:cs="Times New Roman"/>
              <w:kern w:val="0"/>
              <w:sz w:val="24"/>
              <w:szCs w:val="24"/>
              <w:lang w:val="en-US" w:eastAsia="zh-CN"/>
            </w:rPr>
            <w:t>4</w:t>
          </w:r>
          <w:r>
            <w:rPr>
              <w:rFonts w:hint="default" w:ascii="Times New Roman" w:hAnsi="Times New Roman" w:eastAsia="华文中宋" w:cs="Times New Roman"/>
              <w:kern w:val="0"/>
              <w:sz w:val="24"/>
              <w:szCs w:val="24"/>
              <w:lang w:val="en-US" w:eastAsia="zh-CN"/>
            </w:rPr>
            <w:t>.2.</w:t>
          </w:r>
          <w:r>
            <w:rPr>
              <w:rFonts w:hint="eastAsia" w:ascii="Times New Roman" w:hAnsi="Times New Roman" w:eastAsia="华文中宋" w:cs="Times New Roman"/>
              <w:kern w:val="0"/>
              <w:sz w:val="24"/>
              <w:szCs w:val="24"/>
              <w:lang w:val="en-US" w:eastAsia="zh-CN"/>
            </w:rPr>
            <w:t>4</w:t>
          </w:r>
          <w:r>
            <w:rPr>
              <w:rFonts w:hint="default" w:ascii="Times New Roman" w:hAnsi="Times New Roman" w:eastAsia="华文中宋" w:cs="Times New Roman"/>
              <w:kern w:val="0"/>
              <w:sz w:val="24"/>
              <w:szCs w:val="24"/>
              <w:lang w:val="en-US" w:eastAsia="zh-CN"/>
            </w:rPr>
            <w:t>声环境质量现状监测与评价</w:t>
          </w:r>
          <w:r>
            <w:rPr>
              <w:sz w:val="24"/>
              <w:szCs w:val="24"/>
            </w:rPr>
            <w:tab/>
          </w:r>
          <w:r>
            <w:rPr>
              <w:sz w:val="24"/>
              <w:szCs w:val="24"/>
            </w:rPr>
            <w:fldChar w:fldCharType="begin"/>
          </w:r>
          <w:r>
            <w:rPr>
              <w:sz w:val="24"/>
              <w:szCs w:val="24"/>
            </w:rPr>
            <w:instrText xml:space="preserve"> PAGEREF _Toc20172 \h </w:instrText>
          </w:r>
          <w:r>
            <w:rPr>
              <w:sz w:val="24"/>
              <w:szCs w:val="24"/>
            </w:rPr>
            <w:fldChar w:fldCharType="separate"/>
          </w:r>
          <w:r>
            <w:rPr>
              <w:sz w:val="24"/>
              <w:szCs w:val="24"/>
            </w:rPr>
            <w:t>103</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5BE8423E">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_Toc10825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4.2.</w:t>
          </w:r>
          <w:r>
            <w:rPr>
              <w:rFonts w:hint="eastAsia" w:ascii="Times New Roman" w:hAnsi="Times New Roman" w:eastAsia="华文中宋" w:cs="Times New Roman"/>
              <w:kern w:val="0"/>
              <w:sz w:val="24"/>
              <w:szCs w:val="24"/>
              <w:lang w:val="en-US" w:eastAsia="zh-CN"/>
            </w:rPr>
            <w:t>5</w:t>
          </w:r>
          <w:r>
            <w:rPr>
              <w:rFonts w:hint="default" w:ascii="Times New Roman" w:hAnsi="Times New Roman" w:eastAsia="华文中宋" w:cs="Times New Roman"/>
              <w:kern w:val="0"/>
              <w:sz w:val="24"/>
              <w:szCs w:val="24"/>
              <w:lang w:val="en-US" w:eastAsia="zh-CN"/>
            </w:rPr>
            <w:t xml:space="preserve"> 土壤环境现状监测与评价</w:t>
          </w:r>
          <w:r>
            <w:rPr>
              <w:sz w:val="24"/>
              <w:szCs w:val="24"/>
            </w:rPr>
            <w:tab/>
          </w:r>
          <w:r>
            <w:rPr>
              <w:sz w:val="24"/>
              <w:szCs w:val="24"/>
            </w:rPr>
            <w:fldChar w:fldCharType="begin"/>
          </w:r>
          <w:r>
            <w:rPr>
              <w:sz w:val="24"/>
              <w:szCs w:val="24"/>
            </w:rPr>
            <w:instrText xml:space="preserve"> PAGEREF _Toc10825 \h </w:instrText>
          </w:r>
          <w:r>
            <w:rPr>
              <w:sz w:val="24"/>
              <w:szCs w:val="24"/>
            </w:rPr>
            <w:fldChar w:fldCharType="separate"/>
          </w:r>
          <w:r>
            <w:rPr>
              <w:sz w:val="24"/>
              <w:szCs w:val="24"/>
            </w:rPr>
            <w:t>104</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5F2EFDD6">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_Toc13397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eastAsia" w:ascii="Times New Roman" w:hAnsi="Times New Roman" w:eastAsia="华文中宋" w:cs="Times New Roman"/>
              <w:kern w:val="0"/>
              <w:sz w:val="24"/>
              <w:szCs w:val="24"/>
              <w:highlight w:val="none"/>
              <w:lang w:val="en-US" w:eastAsia="zh-CN"/>
            </w:rPr>
            <w:t>4.2.6 其他监测内容</w:t>
          </w:r>
          <w:r>
            <w:rPr>
              <w:sz w:val="24"/>
              <w:szCs w:val="24"/>
            </w:rPr>
            <w:tab/>
          </w:r>
          <w:r>
            <w:rPr>
              <w:sz w:val="24"/>
              <w:szCs w:val="24"/>
            </w:rPr>
            <w:fldChar w:fldCharType="begin"/>
          </w:r>
          <w:r>
            <w:rPr>
              <w:sz w:val="24"/>
              <w:szCs w:val="24"/>
            </w:rPr>
            <w:instrText xml:space="preserve"> PAGEREF _Toc13397 \h </w:instrText>
          </w:r>
          <w:r>
            <w:rPr>
              <w:sz w:val="24"/>
              <w:szCs w:val="24"/>
            </w:rPr>
            <w:fldChar w:fldCharType="separate"/>
          </w:r>
          <w:r>
            <w:rPr>
              <w:sz w:val="24"/>
              <w:szCs w:val="24"/>
            </w:rPr>
            <w:t>108</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742E2B96">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_Toc29630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4.2.</w:t>
          </w:r>
          <w:r>
            <w:rPr>
              <w:rFonts w:hint="eastAsia" w:ascii="Times New Roman" w:hAnsi="Times New Roman" w:eastAsia="华文中宋" w:cs="Times New Roman"/>
              <w:kern w:val="0"/>
              <w:sz w:val="24"/>
              <w:szCs w:val="24"/>
              <w:lang w:val="en-US" w:eastAsia="zh-CN"/>
            </w:rPr>
            <w:t>7</w:t>
          </w:r>
          <w:r>
            <w:rPr>
              <w:rFonts w:hint="default" w:ascii="Times New Roman" w:hAnsi="Times New Roman" w:eastAsia="华文中宋" w:cs="Times New Roman"/>
              <w:kern w:val="0"/>
              <w:sz w:val="24"/>
              <w:szCs w:val="24"/>
              <w:lang w:val="en-US" w:eastAsia="zh-CN"/>
            </w:rPr>
            <w:t xml:space="preserve"> 生态环境现状调查与评价</w:t>
          </w:r>
          <w:r>
            <w:rPr>
              <w:sz w:val="24"/>
              <w:szCs w:val="24"/>
            </w:rPr>
            <w:tab/>
          </w:r>
          <w:r>
            <w:rPr>
              <w:sz w:val="24"/>
              <w:szCs w:val="24"/>
            </w:rPr>
            <w:fldChar w:fldCharType="begin"/>
          </w:r>
          <w:r>
            <w:rPr>
              <w:sz w:val="24"/>
              <w:szCs w:val="24"/>
            </w:rPr>
            <w:instrText xml:space="preserve"> PAGEREF _Toc29630 \h </w:instrText>
          </w:r>
          <w:r>
            <w:rPr>
              <w:sz w:val="24"/>
              <w:szCs w:val="24"/>
            </w:rPr>
            <w:fldChar w:fldCharType="separate"/>
          </w:r>
          <w:r>
            <w:rPr>
              <w:sz w:val="24"/>
              <w:szCs w:val="24"/>
            </w:rPr>
            <w:t>109</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117BB856">
          <w:pPr>
            <w:pStyle w:val="14"/>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_Toc23049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spacing w:val="2"/>
              <w:sz w:val="24"/>
              <w:szCs w:val="24"/>
              <w:lang w:val="en-US" w:eastAsia="zh-CN"/>
            </w:rPr>
            <w:t>5环境影响预测与评价</w:t>
          </w:r>
          <w:r>
            <w:rPr>
              <w:sz w:val="24"/>
              <w:szCs w:val="24"/>
            </w:rPr>
            <w:tab/>
          </w:r>
          <w:r>
            <w:rPr>
              <w:sz w:val="24"/>
              <w:szCs w:val="24"/>
            </w:rPr>
            <w:fldChar w:fldCharType="begin"/>
          </w:r>
          <w:r>
            <w:rPr>
              <w:sz w:val="24"/>
              <w:szCs w:val="24"/>
            </w:rPr>
            <w:instrText xml:space="preserve"> PAGEREF _Toc23049 \h </w:instrText>
          </w:r>
          <w:r>
            <w:rPr>
              <w:sz w:val="24"/>
              <w:szCs w:val="24"/>
            </w:rPr>
            <w:fldChar w:fldCharType="separate"/>
          </w:r>
          <w:r>
            <w:rPr>
              <w:sz w:val="24"/>
              <w:szCs w:val="24"/>
            </w:rPr>
            <w:t>121</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5C002C80">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_Toc16898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kern w:val="0"/>
              <w:sz w:val="24"/>
              <w:szCs w:val="24"/>
              <w:lang w:val="en-US" w:eastAsia="zh-CN"/>
            </w:rPr>
            <w:t>5.1施工期环境影响预测与评</w:t>
          </w:r>
          <w:r>
            <w:rPr>
              <w:rFonts w:hint="default" w:ascii="Times New Roman" w:hAnsi="Times New Roman" w:cs="Times New Roman" w:eastAsiaTheme="minorEastAsia"/>
              <w:bCs/>
              <w:kern w:val="2"/>
              <w:sz w:val="24"/>
              <w:szCs w:val="24"/>
              <w:lang w:val="en-US" w:eastAsia="zh-CN" w:bidi="ar-SA"/>
            </w:rPr>
            <w:t>价</w:t>
          </w:r>
          <w:r>
            <w:rPr>
              <w:sz w:val="24"/>
              <w:szCs w:val="24"/>
            </w:rPr>
            <w:tab/>
          </w:r>
          <w:r>
            <w:rPr>
              <w:sz w:val="24"/>
              <w:szCs w:val="24"/>
            </w:rPr>
            <w:fldChar w:fldCharType="begin"/>
          </w:r>
          <w:r>
            <w:rPr>
              <w:sz w:val="24"/>
              <w:szCs w:val="24"/>
            </w:rPr>
            <w:instrText xml:space="preserve"> PAGEREF _Toc16898 \h </w:instrText>
          </w:r>
          <w:r>
            <w:rPr>
              <w:sz w:val="24"/>
              <w:szCs w:val="24"/>
            </w:rPr>
            <w:fldChar w:fldCharType="separate"/>
          </w:r>
          <w:r>
            <w:rPr>
              <w:sz w:val="24"/>
              <w:szCs w:val="24"/>
            </w:rPr>
            <w:t>121</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227A8670">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_Toc24635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5.1.1施工期大气环境的影响分析</w:t>
          </w:r>
          <w:r>
            <w:rPr>
              <w:sz w:val="24"/>
              <w:szCs w:val="24"/>
            </w:rPr>
            <w:tab/>
          </w:r>
          <w:r>
            <w:rPr>
              <w:sz w:val="24"/>
              <w:szCs w:val="24"/>
            </w:rPr>
            <w:fldChar w:fldCharType="begin"/>
          </w:r>
          <w:r>
            <w:rPr>
              <w:sz w:val="24"/>
              <w:szCs w:val="24"/>
            </w:rPr>
            <w:instrText xml:space="preserve"> PAGEREF _Toc24635 \h </w:instrText>
          </w:r>
          <w:r>
            <w:rPr>
              <w:sz w:val="24"/>
              <w:szCs w:val="24"/>
            </w:rPr>
            <w:fldChar w:fldCharType="separate"/>
          </w:r>
          <w:r>
            <w:rPr>
              <w:sz w:val="24"/>
              <w:szCs w:val="24"/>
            </w:rPr>
            <w:t>121</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54D4664A">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_Toc20248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5.1.2</w:t>
          </w:r>
          <w:r>
            <w:rPr>
              <w:rFonts w:hint="default" w:ascii="Times New Roman" w:hAnsi="Times New Roman" w:eastAsia="华文中宋" w:cs="Times New Roman"/>
              <w:kern w:val="0"/>
              <w:sz w:val="24"/>
              <w:szCs w:val="24"/>
              <w:lang w:val="zh-CN" w:eastAsia="zh-CN"/>
            </w:rPr>
            <w:t>施工废水对环境的影响</w:t>
          </w:r>
          <w:r>
            <w:rPr>
              <w:sz w:val="24"/>
              <w:szCs w:val="24"/>
            </w:rPr>
            <w:tab/>
          </w:r>
          <w:r>
            <w:rPr>
              <w:sz w:val="24"/>
              <w:szCs w:val="24"/>
            </w:rPr>
            <w:fldChar w:fldCharType="begin"/>
          </w:r>
          <w:r>
            <w:rPr>
              <w:sz w:val="24"/>
              <w:szCs w:val="24"/>
            </w:rPr>
            <w:instrText xml:space="preserve"> PAGEREF _Toc20248 \h </w:instrText>
          </w:r>
          <w:r>
            <w:rPr>
              <w:sz w:val="24"/>
              <w:szCs w:val="24"/>
            </w:rPr>
            <w:fldChar w:fldCharType="separate"/>
          </w:r>
          <w:r>
            <w:rPr>
              <w:sz w:val="24"/>
              <w:szCs w:val="24"/>
            </w:rPr>
            <w:t>123</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3DC5781B">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_Toc533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5.1.3施工期声环境影响</w:t>
          </w:r>
          <w:r>
            <w:rPr>
              <w:sz w:val="24"/>
              <w:szCs w:val="24"/>
            </w:rPr>
            <w:tab/>
          </w:r>
          <w:r>
            <w:rPr>
              <w:sz w:val="24"/>
              <w:szCs w:val="24"/>
            </w:rPr>
            <w:fldChar w:fldCharType="begin"/>
          </w:r>
          <w:r>
            <w:rPr>
              <w:sz w:val="24"/>
              <w:szCs w:val="24"/>
            </w:rPr>
            <w:instrText xml:space="preserve"> PAGEREF _Toc533 \h </w:instrText>
          </w:r>
          <w:r>
            <w:rPr>
              <w:sz w:val="24"/>
              <w:szCs w:val="24"/>
            </w:rPr>
            <w:fldChar w:fldCharType="separate"/>
          </w:r>
          <w:r>
            <w:rPr>
              <w:sz w:val="24"/>
              <w:szCs w:val="24"/>
            </w:rPr>
            <w:t>123</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1C78ACD1">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_Toc5587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5.1.4</w:t>
          </w:r>
          <w:r>
            <w:rPr>
              <w:rFonts w:hint="default" w:ascii="Times New Roman" w:hAnsi="Times New Roman" w:eastAsia="华文中宋" w:cs="Times New Roman"/>
              <w:kern w:val="0"/>
              <w:sz w:val="24"/>
              <w:szCs w:val="24"/>
              <w:lang w:val="zh-CN"/>
            </w:rPr>
            <w:t>施工固废对环境影响分析</w:t>
          </w:r>
          <w:r>
            <w:rPr>
              <w:sz w:val="24"/>
              <w:szCs w:val="24"/>
            </w:rPr>
            <w:tab/>
          </w:r>
          <w:r>
            <w:rPr>
              <w:sz w:val="24"/>
              <w:szCs w:val="24"/>
            </w:rPr>
            <w:fldChar w:fldCharType="begin"/>
          </w:r>
          <w:r>
            <w:rPr>
              <w:sz w:val="24"/>
              <w:szCs w:val="24"/>
            </w:rPr>
            <w:instrText xml:space="preserve"> PAGEREF _Toc5587 \h </w:instrText>
          </w:r>
          <w:r>
            <w:rPr>
              <w:sz w:val="24"/>
              <w:szCs w:val="24"/>
            </w:rPr>
            <w:fldChar w:fldCharType="separate"/>
          </w:r>
          <w:r>
            <w:rPr>
              <w:sz w:val="24"/>
              <w:szCs w:val="24"/>
            </w:rPr>
            <w:t>124</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7C6B75A4">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_Toc4652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5.1.5施工期生态环境影响分析</w:t>
          </w:r>
          <w:r>
            <w:rPr>
              <w:sz w:val="24"/>
              <w:szCs w:val="24"/>
            </w:rPr>
            <w:tab/>
          </w:r>
          <w:r>
            <w:rPr>
              <w:sz w:val="24"/>
              <w:szCs w:val="24"/>
            </w:rPr>
            <w:fldChar w:fldCharType="begin"/>
          </w:r>
          <w:r>
            <w:rPr>
              <w:sz w:val="24"/>
              <w:szCs w:val="24"/>
            </w:rPr>
            <w:instrText xml:space="preserve"> PAGEREF _Toc4652 \h </w:instrText>
          </w:r>
          <w:r>
            <w:rPr>
              <w:sz w:val="24"/>
              <w:szCs w:val="24"/>
            </w:rPr>
            <w:fldChar w:fldCharType="separate"/>
          </w:r>
          <w:r>
            <w:rPr>
              <w:sz w:val="24"/>
              <w:szCs w:val="24"/>
            </w:rPr>
            <w:t>124</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3A0BFD1D">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_Toc32081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5.1.6施工活动对周边沙化土地的影响</w:t>
          </w:r>
          <w:r>
            <w:rPr>
              <w:sz w:val="24"/>
              <w:szCs w:val="24"/>
            </w:rPr>
            <w:tab/>
          </w:r>
          <w:r>
            <w:rPr>
              <w:sz w:val="24"/>
              <w:szCs w:val="24"/>
            </w:rPr>
            <w:fldChar w:fldCharType="begin"/>
          </w:r>
          <w:r>
            <w:rPr>
              <w:sz w:val="24"/>
              <w:szCs w:val="24"/>
            </w:rPr>
            <w:instrText xml:space="preserve"> PAGEREF _Toc32081 \h </w:instrText>
          </w:r>
          <w:r>
            <w:rPr>
              <w:sz w:val="24"/>
              <w:szCs w:val="24"/>
            </w:rPr>
            <w:fldChar w:fldCharType="separate"/>
          </w:r>
          <w:r>
            <w:rPr>
              <w:sz w:val="24"/>
              <w:szCs w:val="24"/>
            </w:rPr>
            <w:t>128</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0E12C577">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_Toc18047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5</w:t>
          </w:r>
          <w:r>
            <w:rPr>
              <w:rFonts w:hint="default" w:ascii="Times New Roman" w:hAnsi="Times New Roman" w:eastAsia="华文中宋" w:cs="Times New Roman"/>
              <w:kern w:val="0"/>
              <w:sz w:val="24"/>
              <w:szCs w:val="24"/>
              <w:lang w:val="zh-CN"/>
            </w:rPr>
            <w:t>.</w:t>
          </w:r>
          <w:r>
            <w:rPr>
              <w:rFonts w:hint="default" w:ascii="Times New Roman" w:hAnsi="Times New Roman" w:eastAsia="华文中宋" w:cs="Times New Roman"/>
              <w:kern w:val="0"/>
              <w:sz w:val="24"/>
              <w:szCs w:val="24"/>
              <w:lang w:val="en-US" w:eastAsia="zh-CN"/>
            </w:rPr>
            <w:t>1.7施工期</w:t>
          </w:r>
          <w:r>
            <w:rPr>
              <w:rFonts w:hint="default" w:ascii="Times New Roman" w:hAnsi="Times New Roman" w:eastAsia="华文中宋" w:cs="Times New Roman"/>
              <w:kern w:val="0"/>
              <w:sz w:val="24"/>
              <w:szCs w:val="24"/>
              <w:lang w:val="zh-CN"/>
            </w:rPr>
            <w:t>交通运输影响分析</w:t>
          </w:r>
          <w:r>
            <w:rPr>
              <w:sz w:val="24"/>
              <w:szCs w:val="24"/>
            </w:rPr>
            <w:tab/>
          </w:r>
          <w:r>
            <w:rPr>
              <w:sz w:val="24"/>
              <w:szCs w:val="24"/>
            </w:rPr>
            <w:fldChar w:fldCharType="begin"/>
          </w:r>
          <w:r>
            <w:rPr>
              <w:sz w:val="24"/>
              <w:szCs w:val="24"/>
            </w:rPr>
            <w:instrText xml:space="preserve"> PAGEREF _Toc18047 \h </w:instrText>
          </w:r>
          <w:r>
            <w:rPr>
              <w:sz w:val="24"/>
              <w:szCs w:val="24"/>
            </w:rPr>
            <w:fldChar w:fldCharType="separate"/>
          </w:r>
          <w:r>
            <w:rPr>
              <w:sz w:val="24"/>
              <w:szCs w:val="24"/>
            </w:rPr>
            <w:t>129</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421C1EF2">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_Toc2447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5.1.8施工期环境影响小结</w:t>
          </w:r>
          <w:r>
            <w:rPr>
              <w:sz w:val="24"/>
              <w:szCs w:val="24"/>
            </w:rPr>
            <w:tab/>
          </w:r>
          <w:r>
            <w:rPr>
              <w:sz w:val="24"/>
              <w:szCs w:val="24"/>
            </w:rPr>
            <w:fldChar w:fldCharType="begin"/>
          </w:r>
          <w:r>
            <w:rPr>
              <w:sz w:val="24"/>
              <w:szCs w:val="24"/>
            </w:rPr>
            <w:instrText xml:space="preserve"> PAGEREF _Toc2447 \h </w:instrText>
          </w:r>
          <w:r>
            <w:rPr>
              <w:sz w:val="24"/>
              <w:szCs w:val="24"/>
            </w:rPr>
            <w:fldChar w:fldCharType="separate"/>
          </w:r>
          <w:r>
            <w:rPr>
              <w:sz w:val="24"/>
              <w:szCs w:val="24"/>
            </w:rPr>
            <w:t>129</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35126907">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_Toc26949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5.1.9施工期环境管理</w:t>
          </w:r>
          <w:r>
            <w:rPr>
              <w:sz w:val="24"/>
              <w:szCs w:val="24"/>
            </w:rPr>
            <w:tab/>
          </w:r>
          <w:r>
            <w:rPr>
              <w:sz w:val="24"/>
              <w:szCs w:val="24"/>
            </w:rPr>
            <w:fldChar w:fldCharType="begin"/>
          </w:r>
          <w:r>
            <w:rPr>
              <w:sz w:val="24"/>
              <w:szCs w:val="24"/>
            </w:rPr>
            <w:instrText xml:space="preserve"> PAGEREF _Toc26949 \h </w:instrText>
          </w:r>
          <w:r>
            <w:rPr>
              <w:sz w:val="24"/>
              <w:szCs w:val="24"/>
            </w:rPr>
            <w:fldChar w:fldCharType="separate"/>
          </w:r>
          <w:r>
            <w:rPr>
              <w:sz w:val="24"/>
              <w:szCs w:val="24"/>
            </w:rPr>
            <w:t>129</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0A0B6309">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_Toc358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kern w:val="0"/>
              <w:sz w:val="24"/>
              <w:szCs w:val="24"/>
              <w:lang w:val="en-US" w:eastAsia="zh-CN"/>
            </w:rPr>
            <w:t>5.2运营期环境影响预测与评价</w:t>
          </w:r>
          <w:r>
            <w:rPr>
              <w:sz w:val="24"/>
              <w:szCs w:val="24"/>
            </w:rPr>
            <w:tab/>
          </w:r>
          <w:r>
            <w:rPr>
              <w:sz w:val="24"/>
              <w:szCs w:val="24"/>
            </w:rPr>
            <w:fldChar w:fldCharType="begin"/>
          </w:r>
          <w:r>
            <w:rPr>
              <w:sz w:val="24"/>
              <w:szCs w:val="24"/>
            </w:rPr>
            <w:instrText xml:space="preserve"> PAGEREF _Toc358 \h </w:instrText>
          </w:r>
          <w:r>
            <w:rPr>
              <w:sz w:val="24"/>
              <w:szCs w:val="24"/>
            </w:rPr>
            <w:fldChar w:fldCharType="separate"/>
          </w:r>
          <w:r>
            <w:rPr>
              <w:sz w:val="24"/>
              <w:szCs w:val="24"/>
            </w:rPr>
            <w:t>130</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5328499E">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_Toc15717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5.2.1大气环境影响预测与评价</w:t>
          </w:r>
          <w:r>
            <w:rPr>
              <w:sz w:val="24"/>
              <w:szCs w:val="24"/>
            </w:rPr>
            <w:tab/>
          </w:r>
          <w:r>
            <w:rPr>
              <w:sz w:val="24"/>
              <w:szCs w:val="24"/>
            </w:rPr>
            <w:fldChar w:fldCharType="begin"/>
          </w:r>
          <w:r>
            <w:rPr>
              <w:sz w:val="24"/>
              <w:szCs w:val="24"/>
            </w:rPr>
            <w:instrText xml:space="preserve"> PAGEREF _Toc15717 \h </w:instrText>
          </w:r>
          <w:r>
            <w:rPr>
              <w:sz w:val="24"/>
              <w:szCs w:val="24"/>
            </w:rPr>
            <w:fldChar w:fldCharType="separate"/>
          </w:r>
          <w:r>
            <w:rPr>
              <w:sz w:val="24"/>
              <w:szCs w:val="24"/>
            </w:rPr>
            <w:t>130</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583DB8A8">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_Toc15797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5.2.2地表水环境影响分析</w:t>
          </w:r>
          <w:r>
            <w:rPr>
              <w:sz w:val="24"/>
              <w:szCs w:val="24"/>
            </w:rPr>
            <w:tab/>
          </w:r>
          <w:r>
            <w:rPr>
              <w:sz w:val="24"/>
              <w:szCs w:val="24"/>
            </w:rPr>
            <w:fldChar w:fldCharType="begin"/>
          </w:r>
          <w:r>
            <w:rPr>
              <w:sz w:val="24"/>
              <w:szCs w:val="24"/>
            </w:rPr>
            <w:instrText xml:space="preserve"> PAGEREF _Toc15797 \h </w:instrText>
          </w:r>
          <w:r>
            <w:rPr>
              <w:sz w:val="24"/>
              <w:szCs w:val="24"/>
            </w:rPr>
            <w:fldChar w:fldCharType="separate"/>
          </w:r>
          <w:r>
            <w:rPr>
              <w:sz w:val="24"/>
              <w:szCs w:val="24"/>
            </w:rPr>
            <w:t>139</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700484F0">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_Toc7059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5.2.3地下水环境影响评价</w:t>
          </w:r>
          <w:r>
            <w:rPr>
              <w:sz w:val="24"/>
              <w:szCs w:val="24"/>
            </w:rPr>
            <w:tab/>
          </w:r>
          <w:r>
            <w:rPr>
              <w:sz w:val="24"/>
              <w:szCs w:val="24"/>
            </w:rPr>
            <w:fldChar w:fldCharType="begin"/>
          </w:r>
          <w:r>
            <w:rPr>
              <w:sz w:val="24"/>
              <w:szCs w:val="24"/>
            </w:rPr>
            <w:instrText xml:space="preserve"> PAGEREF _Toc7059 \h </w:instrText>
          </w:r>
          <w:r>
            <w:rPr>
              <w:sz w:val="24"/>
              <w:szCs w:val="24"/>
            </w:rPr>
            <w:fldChar w:fldCharType="separate"/>
          </w:r>
          <w:r>
            <w:rPr>
              <w:sz w:val="24"/>
              <w:szCs w:val="24"/>
            </w:rPr>
            <w:t>143</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061EC99A">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_Toc12924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5.2.4声环境影响分析</w:t>
          </w:r>
          <w:r>
            <w:rPr>
              <w:sz w:val="24"/>
              <w:szCs w:val="24"/>
            </w:rPr>
            <w:tab/>
          </w:r>
          <w:r>
            <w:rPr>
              <w:sz w:val="24"/>
              <w:szCs w:val="24"/>
            </w:rPr>
            <w:fldChar w:fldCharType="begin"/>
          </w:r>
          <w:r>
            <w:rPr>
              <w:sz w:val="24"/>
              <w:szCs w:val="24"/>
            </w:rPr>
            <w:instrText xml:space="preserve"> PAGEREF _Toc12924 \h </w:instrText>
          </w:r>
          <w:r>
            <w:rPr>
              <w:sz w:val="24"/>
              <w:szCs w:val="24"/>
            </w:rPr>
            <w:fldChar w:fldCharType="separate"/>
          </w:r>
          <w:r>
            <w:rPr>
              <w:sz w:val="24"/>
              <w:szCs w:val="24"/>
            </w:rPr>
            <w:t>153</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3222894C">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_Toc13666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5.2.5固体废物环境影响分析</w:t>
          </w:r>
          <w:r>
            <w:rPr>
              <w:sz w:val="24"/>
              <w:szCs w:val="24"/>
            </w:rPr>
            <w:tab/>
          </w:r>
          <w:r>
            <w:rPr>
              <w:sz w:val="24"/>
              <w:szCs w:val="24"/>
            </w:rPr>
            <w:fldChar w:fldCharType="begin"/>
          </w:r>
          <w:r>
            <w:rPr>
              <w:sz w:val="24"/>
              <w:szCs w:val="24"/>
            </w:rPr>
            <w:instrText xml:space="preserve"> PAGEREF _Toc13666 \h </w:instrText>
          </w:r>
          <w:r>
            <w:rPr>
              <w:sz w:val="24"/>
              <w:szCs w:val="24"/>
            </w:rPr>
            <w:fldChar w:fldCharType="separate"/>
          </w:r>
          <w:r>
            <w:rPr>
              <w:sz w:val="24"/>
              <w:szCs w:val="24"/>
            </w:rPr>
            <w:t>159</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4989E4CE">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_Toc2617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5.2.6.土壤环境影响分析</w:t>
          </w:r>
          <w:r>
            <w:rPr>
              <w:sz w:val="24"/>
              <w:szCs w:val="24"/>
            </w:rPr>
            <w:tab/>
          </w:r>
          <w:r>
            <w:rPr>
              <w:sz w:val="24"/>
              <w:szCs w:val="24"/>
            </w:rPr>
            <w:fldChar w:fldCharType="begin"/>
          </w:r>
          <w:r>
            <w:rPr>
              <w:sz w:val="24"/>
              <w:szCs w:val="24"/>
            </w:rPr>
            <w:instrText xml:space="preserve"> PAGEREF _Toc2617 \h </w:instrText>
          </w:r>
          <w:r>
            <w:rPr>
              <w:sz w:val="24"/>
              <w:szCs w:val="24"/>
            </w:rPr>
            <w:fldChar w:fldCharType="separate"/>
          </w:r>
          <w:r>
            <w:rPr>
              <w:sz w:val="24"/>
              <w:szCs w:val="24"/>
            </w:rPr>
            <w:t>162</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0A39A030">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_Toc5578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5.2.7生态环境影响分析及评价</w:t>
          </w:r>
          <w:r>
            <w:rPr>
              <w:sz w:val="24"/>
              <w:szCs w:val="24"/>
            </w:rPr>
            <w:tab/>
          </w:r>
          <w:r>
            <w:rPr>
              <w:sz w:val="24"/>
              <w:szCs w:val="24"/>
            </w:rPr>
            <w:fldChar w:fldCharType="begin"/>
          </w:r>
          <w:r>
            <w:rPr>
              <w:sz w:val="24"/>
              <w:szCs w:val="24"/>
            </w:rPr>
            <w:instrText xml:space="preserve"> PAGEREF _Toc5578 \h </w:instrText>
          </w:r>
          <w:r>
            <w:rPr>
              <w:sz w:val="24"/>
              <w:szCs w:val="24"/>
            </w:rPr>
            <w:fldChar w:fldCharType="separate"/>
          </w:r>
          <w:r>
            <w:rPr>
              <w:sz w:val="24"/>
              <w:szCs w:val="24"/>
            </w:rPr>
            <w:t>167</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2E9DDEDB">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_Toc11463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5.2.8环境风险评价</w:t>
          </w:r>
          <w:r>
            <w:rPr>
              <w:sz w:val="24"/>
              <w:szCs w:val="24"/>
            </w:rPr>
            <w:tab/>
          </w:r>
          <w:r>
            <w:rPr>
              <w:sz w:val="24"/>
              <w:szCs w:val="24"/>
            </w:rPr>
            <w:fldChar w:fldCharType="begin"/>
          </w:r>
          <w:r>
            <w:rPr>
              <w:sz w:val="24"/>
              <w:szCs w:val="24"/>
            </w:rPr>
            <w:instrText xml:space="preserve"> PAGEREF _Toc11463 \h </w:instrText>
          </w:r>
          <w:r>
            <w:rPr>
              <w:sz w:val="24"/>
              <w:szCs w:val="24"/>
            </w:rPr>
            <w:fldChar w:fldCharType="separate"/>
          </w:r>
          <w:r>
            <w:rPr>
              <w:sz w:val="24"/>
              <w:szCs w:val="24"/>
            </w:rPr>
            <w:t>175</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19238E9C">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_Toc29424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eastAsia" w:ascii="Times New Roman" w:hAnsi="Times New Roman" w:eastAsia="华文中宋" w:cs="Times New Roman"/>
              <w:snapToGrid w:val="0"/>
              <w:kern w:val="0"/>
              <w:sz w:val="24"/>
              <w:szCs w:val="24"/>
              <w:lang w:val="en-US" w:eastAsia="zh-CN"/>
            </w:rPr>
            <w:t>5.3闭矿期环境影响预测与评价</w:t>
          </w:r>
          <w:r>
            <w:rPr>
              <w:sz w:val="24"/>
              <w:szCs w:val="24"/>
            </w:rPr>
            <w:tab/>
          </w:r>
          <w:r>
            <w:rPr>
              <w:sz w:val="24"/>
              <w:szCs w:val="24"/>
            </w:rPr>
            <w:fldChar w:fldCharType="begin"/>
          </w:r>
          <w:r>
            <w:rPr>
              <w:sz w:val="24"/>
              <w:szCs w:val="24"/>
            </w:rPr>
            <w:instrText xml:space="preserve"> PAGEREF _Toc29424 \h </w:instrText>
          </w:r>
          <w:r>
            <w:rPr>
              <w:sz w:val="24"/>
              <w:szCs w:val="24"/>
            </w:rPr>
            <w:fldChar w:fldCharType="separate"/>
          </w:r>
          <w:r>
            <w:rPr>
              <w:sz w:val="24"/>
              <w:szCs w:val="24"/>
            </w:rPr>
            <w:t>183</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0B7CE50E">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_Toc5767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eastAsia" w:ascii="Times New Roman" w:hAnsi="Times New Roman" w:eastAsia="华文中宋" w:cs="Times New Roman"/>
              <w:kern w:val="0"/>
              <w:sz w:val="24"/>
              <w:szCs w:val="24"/>
              <w:lang w:val="en-US" w:eastAsia="zh-CN"/>
            </w:rPr>
            <w:t>5.3.1大气环境的影响</w:t>
          </w:r>
          <w:r>
            <w:rPr>
              <w:sz w:val="24"/>
              <w:szCs w:val="24"/>
            </w:rPr>
            <w:tab/>
          </w:r>
          <w:r>
            <w:rPr>
              <w:sz w:val="24"/>
              <w:szCs w:val="24"/>
            </w:rPr>
            <w:fldChar w:fldCharType="begin"/>
          </w:r>
          <w:r>
            <w:rPr>
              <w:sz w:val="24"/>
              <w:szCs w:val="24"/>
            </w:rPr>
            <w:instrText xml:space="preserve"> PAGEREF _Toc5767 \h </w:instrText>
          </w:r>
          <w:r>
            <w:rPr>
              <w:sz w:val="24"/>
              <w:szCs w:val="24"/>
            </w:rPr>
            <w:fldChar w:fldCharType="separate"/>
          </w:r>
          <w:r>
            <w:rPr>
              <w:sz w:val="24"/>
              <w:szCs w:val="24"/>
            </w:rPr>
            <w:t>184</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53D2BA7A">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_Toc17210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eastAsia" w:ascii="Times New Roman" w:hAnsi="Times New Roman" w:eastAsia="华文中宋" w:cs="Times New Roman"/>
              <w:kern w:val="0"/>
              <w:sz w:val="24"/>
              <w:szCs w:val="24"/>
              <w:lang w:val="en-US" w:eastAsia="zh-CN"/>
            </w:rPr>
            <w:t>5.3.2地表水环境的影响</w:t>
          </w:r>
          <w:r>
            <w:rPr>
              <w:sz w:val="24"/>
              <w:szCs w:val="24"/>
            </w:rPr>
            <w:tab/>
          </w:r>
          <w:r>
            <w:rPr>
              <w:sz w:val="24"/>
              <w:szCs w:val="24"/>
            </w:rPr>
            <w:fldChar w:fldCharType="begin"/>
          </w:r>
          <w:r>
            <w:rPr>
              <w:sz w:val="24"/>
              <w:szCs w:val="24"/>
            </w:rPr>
            <w:instrText xml:space="preserve"> PAGEREF _Toc17210 \h </w:instrText>
          </w:r>
          <w:r>
            <w:rPr>
              <w:sz w:val="24"/>
              <w:szCs w:val="24"/>
            </w:rPr>
            <w:fldChar w:fldCharType="separate"/>
          </w:r>
          <w:r>
            <w:rPr>
              <w:sz w:val="24"/>
              <w:szCs w:val="24"/>
            </w:rPr>
            <w:t>184</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68E10CE4">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_Toc18858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eastAsia" w:ascii="Times New Roman" w:hAnsi="Times New Roman" w:eastAsia="华文中宋" w:cs="Times New Roman"/>
              <w:kern w:val="0"/>
              <w:sz w:val="24"/>
              <w:szCs w:val="24"/>
              <w:lang w:val="en-US" w:eastAsia="zh-CN"/>
            </w:rPr>
            <w:t>5.3.3地下水环境的影响</w:t>
          </w:r>
          <w:r>
            <w:rPr>
              <w:sz w:val="24"/>
              <w:szCs w:val="24"/>
            </w:rPr>
            <w:tab/>
          </w:r>
          <w:r>
            <w:rPr>
              <w:sz w:val="24"/>
              <w:szCs w:val="24"/>
            </w:rPr>
            <w:fldChar w:fldCharType="begin"/>
          </w:r>
          <w:r>
            <w:rPr>
              <w:sz w:val="24"/>
              <w:szCs w:val="24"/>
            </w:rPr>
            <w:instrText xml:space="preserve"> PAGEREF _Toc18858 \h </w:instrText>
          </w:r>
          <w:r>
            <w:rPr>
              <w:sz w:val="24"/>
              <w:szCs w:val="24"/>
            </w:rPr>
            <w:fldChar w:fldCharType="separate"/>
          </w:r>
          <w:r>
            <w:rPr>
              <w:sz w:val="24"/>
              <w:szCs w:val="24"/>
            </w:rPr>
            <w:t>184</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7407FB9C">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_Toc22513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eastAsia" w:ascii="Times New Roman" w:hAnsi="Times New Roman" w:eastAsia="华文中宋" w:cs="Times New Roman"/>
              <w:kern w:val="0"/>
              <w:sz w:val="24"/>
              <w:szCs w:val="24"/>
              <w:lang w:val="en-US" w:eastAsia="zh-CN"/>
            </w:rPr>
            <w:t>5.3.4声环境的影响</w:t>
          </w:r>
          <w:r>
            <w:rPr>
              <w:sz w:val="24"/>
              <w:szCs w:val="24"/>
            </w:rPr>
            <w:tab/>
          </w:r>
          <w:r>
            <w:rPr>
              <w:sz w:val="24"/>
              <w:szCs w:val="24"/>
            </w:rPr>
            <w:fldChar w:fldCharType="begin"/>
          </w:r>
          <w:r>
            <w:rPr>
              <w:sz w:val="24"/>
              <w:szCs w:val="24"/>
            </w:rPr>
            <w:instrText xml:space="preserve"> PAGEREF _Toc22513 \h </w:instrText>
          </w:r>
          <w:r>
            <w:rPr>
              <w:sz w:val="24"/>
              <w:szCs w:val="24"/>
            </w:rPr>
            <w:fldChar w:fldCharType="separate"/>
          </w:r>
          <w:r>
            <w:rPr>
              <w:sz w:val="24"/>
              <w:szCs w:val="24"/>
            </w:rPr>
            <w:t>184</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765618AA">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_Toc12998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eastAsia" w:ascii="Times New Roman" w:hAnsi="Times New Roman" w:eastAsia="华文中宋" w:cs="Times New Roman"/>
              <w:kern w:val="0"/>
              <w:sz w:val="24"/>
              <w:szCs w:val="24"/>
              <w:lang w:val="en-US" w:eastAsia="zh-CN"/>
            </w:rPr>
            <w:t>5.3.5土壤环境的影响</w:t>
          </w:r>
          <w:r>
            <w:rPr>
              <w:sz w:val="24"/>
              <w:szCs w:val="24"/>
            </w:rPr>
            <w:tab/>
          </w:r>
          <w:r>
            <w:rPr>
              <w:sz w:val="24"/>
              <w:szCs w:val="24"/>
            </w:rPr>
            <w:fldChar w:fldCharType="begin"/>
          </w:r>
          <w:r>
            <w:rPr>
              <w:sz w:val="24"/>
              <w:szCs w:val="24"/>
            </w:rPr>
            <w:instrText xml:space="preserve"> PAGEREF _Toc12998 \h </w:instrText>
          </w:r>
          <w:r>
            <w:rPr>
              <w:sz w:val="24"/>
              <w:szCs w:val="24"/>
            </w:rPr>
            <w:fldChar w:fldCharType="separate"/>
          </w:r>
          <w:r>
            <w:rPr>
              <w:sz w:val="24"/>
              <w:szCs w:val="24"/>
            </w:rPr>
            <w:t>185</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019C4374">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_Toc4606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eastAsia" w:ascii="Times New Roman" w:hAnsi="Times New Roman" w:eastAsia="华文中宋" w:cs="Times New Roman"/>
              <w:kern w:val="0"/>
              <w:sz w:val="24"/>
              <w:szCs w:val="24"/>
              <w:lang w:val="en-US" w:eastAsia="zh-CN"/>
            </w:rPr>
            <w:t>5.3.6生态环境的影响</w:t>
          </w:r>
          <w:r>
            <w:rPr>
              <w:sz w:val="24"/>
              <w:szCs w:val="24"/>
            </w:rPr>
            <w:tab/>
          </w:r>
          <w:r>
            <w:rPr>
              <w:sz w:val="24"/>
              <w:szCs w:val="24"/>
            </w:rPr>
            <w:fldChar w:fldCharType="begin"/>
          </w:r>
          <w:r>
            <w:rPr>
              <w:sz w:val="24"/>
              <w:szCs w:val="24"/>
            </w:rPr>
            <w:instrText xml:space="preserve"> PAGEREF _Toc4606 \h </w:instrText>
          </w:r>
          <w:r>
            <w:rPr>
              <w:sz w:val="24"/>
              <w:szCs w:val="24"/>
            </w:rPr>
            <w:fldChar w:fldCharType="separate"/>
          </w:r>
          <w:r>
            <w:rPr>
              <w:sz w:val="24"/>
              <w:szCs w:val="24"/>
            </w:rPr>
            <w:t>185</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446A1F7A">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_Toc25376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eastAsia" w:ascii="Times New Roman" w:hAnsi="Times New Roman" w:eastAsia="华文中宋" w:cs="Times New Roman"/>
              <w:kern w:val="0"/>
              <w:sz w:val="24"/>
              <w:szCs w:val="24"/>
              <w:lang w:val="en-US" w:eastAsia="zh-CN"/>
            </w:rPr>
            <w:t>5.3.7固体废弃物的影响</w:t>
          </w:r>
          <w:r>
            <w:rPr>
              <w:sz w:val="24"/>
              <w:szCs w:val="24"/>
            </w:rPr>
            <w:tab/>
          </w:r>
          <w:r>
            <w:rPr>
              <w:sz w:val="24"/>
              <w:szCs w:val="24"/>
            </w:rPr>
            <w:fldChar w:fldCharType="begin"/>
          </w:r>
          <w:r>
            <w:rPr>
              <w:sz w:val="24"/>
              <w:szCs w:val="24"/>
            </w:rPr>
            <w:instrText xml:space="preserve"> PAGEREF _Toc25376 \h </w:instrText>
          </w:r>
          <w:r>
            <w:rPr>
              <w:sz w:val="24"/>
              <w:szCs w:val="24"/>
            </w:rPr>
            <w:fldChar w:fldCharType="separate"/>
          </w:r>
          <w:r>
            <w:rPr>
              <w:sz w:val="24"/>
              <w:szCs w:val="24"/>
            </w:rPr>
            <w:t>185</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34746436">
          <w:pPr>
            <w:pStyle w:val="14"/>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_Toc10632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spacing w:val="2"/>
              <w:sz w:val="24"/>
              <w:szCs w:val="24"/>
              <w:lang w:val="en-US" w:eastAsia="zh-CN"/>
            </w:rPr>
            <w:t>6环境保护措施及其可行性论证</w:t>
          </w:r>
          <w:r>
            <w:rPr>
              <w:sz w:val="24"/>
              <w:szCs w:val="24"/>
            </w:rPr>
            <w:tab/>
          </w:r>
          <w:r>
            <w:rPr>
              <w:sz w:val="24"/>
              <w:szCs w:val="24"/>
            </w:rPr>
            <w:fldChar w:fldCharType="begin"/>
          </w:r>
          <w:r>
            <w:rPr>
              <w:sz w:val="24"/>
              <w:szCs w:val="24"/>
            </w:rPr>
            <w:instrText xml:space="preserve"> PAGEREF _Toc10632 \h </w:instrText>
          </w:r>
          <w:r>
            <w:rPr>
              <w:sz w:val="24"/>
              <w:szCs w:val="24"/>
            </w:rPr>
            <w:fldChar w:fldCharType="separate"/>
          </w:r>
          <w:r>
            <w:rPr>
              <w:sz w:val="24"/>
              <w:szCs w:val="24"/>
            </w:rPr>
            <w:t>186</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2A2E1FC4">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_Toc22105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kern w:val="0"/>
              <w:sz w:val="24"/>
              <w:szCs w:val="24"/>
              <w:lang w:val="en-US" w:eastAsia="zh-CN"/>
            </w:rPr>
            <w:t>6.1施工期污染防治措施</w:t>
          </w:r>
          <w:r>
            <w:rPr>
              <w:sz w:val="24"/>
              <w:szCs w:val="24"/>
            </w:rPr>
            <w:tab/>
          </w:r>
          <w:r>
            <w:rPr>
              <w:sz w:val="24"/>
              <w:szCs w:val="24"/>
            </w:rPr>
            <w:fldChar w:fldCharType="begin"/>
          </w:r>
          <w:r>
            <w:rPr>
              <w:sz w:val="24"/>
              <w:szCs w:val="24"/>
            </w:rPr>
            <w:instrText xml:space="preserve"> PAGEREF _Toc22105 \h </w:instrText>
          </w:r>
          <w:r>
            <w:rPr>
              <w:sz w:val="24"/>
              <w:szCs w:val="24"/>
            </w:rPr>
            <w:fldChar w:fldCharType="separate"/>
          </w:r>
          <w:r>
            <w:rPr>
              <w:sz w:val="24"/>
              <w:szCs w:val="24"/>
            </w:rPr>
            <w:t>186</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7E8D3ADE">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_Toc1911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6.1.1大气污染防治措施</w:t>
          </w:r>
          <w:r>
            <w:rPr>
              <w:sz w:val="24"/>
              <w:szCs w:val="24"/>
            </w:rPr>
            <w:tab/>
          </w:r>
          <w:r>
            <w:rPr>
              <w:sz w:val="24"/>
              <w:szCs w:val="24"/>
            </w:rPr>
            <w:fldChar w:fldCharType="begin"/>
          </w:r>
          <w:r>
            <w:rPr>
              <w:sz w:val="24"/>
              <w:szCs w:val="24"/>
            </w:rPr>
            <w:instrText xml:space="preserve"> PAGEREF _Toc1911 \h </w:instrText>
          </w:r>
          <w:r>
            <w:rPr>
              <w:sz w:val="24"/>
              <w:szCs w:val="24"/>
            </w:rPr>
            <w:fldChar w:fldCharType="separate"/>
          </w:r>
          <w:r>
            <w:rPr>
              <w:sz w:val="24"/>
              <w:szCs w:val="24"/>
            </w:rPr>
            <w:t>186</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1DD834FA">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_Toc26202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6.1.2废水污染防治措施</w:t>
          </w:r>
          <w:r>
            <w:rPr>
              <w:sz w:val="24"/>
              <w:szCs w:val="24"/>
            </w:rPr>
            <w:tab/>
          </w:r>
          <w:r>
            <w:rPr>
              <w:sz w:val="24"/>
              <w:szCs w:val="24"/>
            </w:rPr>
            <w:fldChar w:fldCharType="begin"/>
          </w:r>
          <w:r>
            <w:rPr>
              <w:sz w:val="24"/>
              <w:szCs w:val="24"/>
            </w:rPr>
            <w:instrText xml:space="preserve"> PAGEREF _Toc26202 \h </w:instrText>
          </w:r>
          <w:r>
            <w:rPr>
              <w:sz w:val="24"/>
              <w:szCs w:val="24"/>
            </w:rPr>
            <w:fldChar w:fldCharType="separate"/>
          </w:r>
          <w:r>
            <w:rPr>
              <w:sz w:val="24"/>
              <w:szCs w:val="24"/>
            </w:rPr>
            <w:t>187</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3BDE3262">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_Toc26669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6.1.3固体废物污染防治措施</w:t>
          </w:r>
          <w:r>
            <w:rPr>
              <w:sz w:val="24"/>
              <w:szCs w:val="24"/>
            </w:rPr>
            <w:tab/>
          </w:r>
          <w:r>
            <w:rPr>
              <w:sz w:val="24"/>
              <w:szCs w:val="24"/>
            </w:rPr>
            <w:fldChar w:fldCharType="begin"/>
          </w:r>
          <w:r>
            <w:rPr>
              <w:sz w:val="24"/>
              <w:szCs w:val="24"/>
            </w:rPr>
            <w:instrText xml:space="preserve"> PAGEREF _Toc26669 \h </w:instrText>
          </w:r>
          <w:r>
            <w:rPr>
              <w:sz w:val="24"/>
              <w:szCs w:val="24"/>
            </w:rPr>
            <w:fldChar w:fldCharType="separate"/>
          </w:r>
          <w:r>
            <w:rPr>
              <w:sz w:val="24"/>
              <w:szCs w:val="24"/>
            </w:rPr>
            <w:t>187</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7CF04CE5">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_Toc26540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6.1.4噪声污染防治措施</w:t>
          </w:r>
          <w:r>
            <w:rPr>
              <w:sz w:val="24"/>
              <w:szCs w:val="24"/>
            </w:rPr>
            <w:tab/>
          </w:r>
          <w:r>
            <w:rPr>
              <w:sz w:val="24"/>
              <w:szCs w:val="24"/>
            </w:rPr>
            <w:fldChar w:fldCharType="begin"/>
          </w:r>
          <w:r>
            <w:rPr>
              <w:sz w:val="24"/>
              <w:szCs w:val="24"/>
            </w:rPr>
            <w:instrText xml:space="preserve"> PAGEREF _Toc26540 \h </w:instrText>
          </w:r>
          <w:r>
            <w:rPr>
              <w:sz w:val="24"/>
              <w:szCs w:val="24"/>
            </w:rPr>
            <w:fldChar w:fldCharType="separate"/>
          </w:r>
          <w:r>
            <w:rPr>
              <w:sz w:val="24"/>
              <w:szCs w:val="24"/>
            </w:rPr>
            <w:t>187</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738BA1E8">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_Toc30969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6.1.5</w:t>
          </w:r>
          <w:r>
            <w:rPr>
              <w:rFonts w:hint="eastAsia" w:ascii="Times New Roman" w:hAnsi="Times New Roman" w:eastAsia="华文中宋" w:cs="Times New Roman"/>
              <w:kern w:val="0"/>
              <w:sz w:val="24"/>
              <w:szCs w:val="24"/>
              <w:lang w:val="en-US" w:eastAsia="zh-CN"/>
            </w:rPr>
            <w:t>生态环境保护措施</w:t>
          </w:r>
          <w:r>
            <w:rPr>
              <w:sz w:val="24"/>
              <w:szCs w:val="24"/>
            </w:rPr>
            <w:tab/>
          </w:r>
          <w:r>
            <w:rPr>
              <w:sz w:val="24"/>
              <w:szCs w:val="24"/>
            </w:rPr>
            <w:fldChar w:fldCharType="begin"/>
          </w:r>
          <w:r>
            <w:rPr>
              <w:sz w:val="24"/>
              <w:szCs w:val="24"/>
            </w:rPr>
            <w:instrText xml:space="preserve"> PAGEREF _Toc30969 \h </w:instrText>
          </w:r>
          <w:r>
            <w:rPr>
              <w:sz w:val="24"/>
              <w:szCs w:val="24"/>
            </w:rPr>
            <w:fldChar w:fldCharType="separate"/>
          </w:r>
          <w:r>
            <w:rPr>
              <w:sz w:val="24"/>
              <w:szCs w:val="24"/>
            </w:rPr>
            <w:t>187</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5E6CE184">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_Toc31146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kern w:val="0"/>
              <w:sz w:val="24"/>
              <w:szCs w:val="24"/>
              <w:lang w:val="en-US" w:eastAsia="zh-CN"/>
            </w:rPr>
            <w:t>6.2运营期污染防治措施</w:t>
          </w:r>
          <w:r>
            <w:rPr>
              <w:sz w:val="24"/>
              <w:szCs w:val="24"/>
            </w:rPr>
            <w:tab/>
          </w:r>
          <w:r>
            <w:rPr>
              <w:sz w:val="24"/>
              <w:szCs w:val="24"/>
            </w:rPr>
            <w:fldChar w:fldCharType="begin"/>
          </w:r>
          <w:r>
            <w:rPr>
              <w:sz w:val="24"/>
              <w:szCs w:val="24"/>
            </w:rPr>
            <w:instrText xml:space="preserve"> PAGEREF _Toc31146 \h </w:instrText>
          </w:r>
          <w:r>
            <w:rPr>
              <w:sz w:val="24"/>
              <w:szCs w:val="24"/>
            </w:rPr>
            <w:fldChar w:fldCharType="separate"/>
          </w:r>
          <w:r>
            <w:rPr>
              <w:sz w:val="24"/>
              <w:szCs w:val="24"/>
            </w:rPr>
            <w:t>189</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60E72638">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_Toc28161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6.2.1大气污染治理措施及其可行性分析</w:t>
          </w:r>
          <w:r>
            <w:rPr>
              <w:sz w:val="24"/>
              <w:szCs w:val="24"/>
            </w:rPr>
            <w:tab/>
          </w:r>
          <w:r>
            <w:rPr>
              <w:sz w:val="24"/>
              <w:szCs w:val="24"/>
            </w:rPr>
            <w:fldChar w:fldCharType="begin"/>
          </w:r>
          <w:r>
            <w:rPr>
              <w:sz w:val="24"/>
              <w:szCs w:val="24"/>
            </w:rPr>
            <w:instrText xml:space="preserve"> PAGEREF _Toc28161 \h </w:instrText>
          </w:r>
          <w:r>
            <w:rPr>
              <w:sz w:val="24"/>
              <w:szCs w:val="24"/>
            </w:rPr>
            <w:fldChar w:fldCharType="separate"/>
          </w:r>
          <w:r>
            <w:rPr>
              <w:sz w:val="24"/>
              <w:szCs w:val="24"/>
            </w:rPr>
            <w:t>189</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5E9276FA">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_Toc12589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6.2.2水环境污染防治措施及其可行性分析</w:t>
          </w:r>
          <w:r>
            <w:rPr>
              <w:sz w:val="24"/>
              <w:szCs w:val="24"/>
            </w:rPr>
            <w:tab/>
          </w:r>
          <w:r>
            <w:rPr>
              <w:sz w:val="24"/>
              <w:szCs w:val="24"/>
            </w:rPr>
            <w:fldChar w:fldCharType="begin"/>
          </w:r>
          <w:r>
            <w:rPr>
              <w:sz w:val="24"/>
              <w:szCs w:val="24"/>
            </w:rPr>
            <w:instrText xml:space="preserve"> PAGEREF _Toc12589 \h </w:instrText>
          </w:r>
          <w:r>
            <w:rPr>
              <w:sz w:val="24"/>
              <w:szCs w:val="24"/>
            </w:rPr>
            <w:fldChar w:fldCharType="separate"/>
          </w:r>
          <w:r>
            <w:rPr>
              <w:sz w:val="24"/>
              <w:szCs w:val="24"/>
            </w:rPr>
            <w:t>192</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53AB5C1E">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_Toc15555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eastAsia" w:ascii="Times New Roman" w:hAnsi="Times New Roman" w:eastAsia="华文中宋" w:cs="Times New Roman"/>
              <w:kern w:val="0"/>
              <w:sz w:val="24"/>
              <w:szCs w:val="24"/>
              <w:lang w:val="en-US" w:eastAsia="zh-CN"/>
            </w:rPr>
            <w:t>6.2.3噪声环</w:t>
          </w:r>
          <w:r>
            <w:rPr>
              <w:rFonts w:hint="default" w:ascii="Times New Roman" w:hAnsi="Times New Roman" w:eastAsia="华文中宋" w:cs="Times New Roman"/>
              <w:kern w:val="0"/>
              <w:sz w:val="24"/>
              <w:szCs w:val="24"/>
              <w:lang w:val="en-US" w:eastAsia="zh-CN"/>
            </w:rPr>
            <w:t>境污染防治措施及可行性论证</w:t>
          </w:r>
          <w:r>
            <w:rPr>
              <w:sz w:val="24"/>
              <w:szCs w:val="24"/>
            </w:rPr>
            <w:tab/>
          </w:r>
          <w:r>
            <w:rPr>
              <w:sz w:val="24"/>
              <w:szCs w:val="24"/>
            </w:rPr>
            <w:fldChar w:fldCharType="begin"/>
          </w:r>
          <w:r>
            <w:rPr>
              <w:sz w:val="24"/>
              <w:szCs w:val="24"/>
            </w:rPr>
            <w:instrText xml:space="preserve"> PAGEREF _Toc15555 \h </w:instrText>
          </w:r>
          <w:r>
            <w:rPr>
              <w:sz w:val="24"/>
              <w:szCs w:val="24"/>
            </w:rPr>
            <w:fldChar w:fldCharType="separate"/>
          </w:r>
          <w:r>
            <w:rPr>
              <w:sz w:val="24"/>
              <w:szCs w:val="24"/>
            </w:rPr>
            <w:t>197</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22318366">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_Toc14751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6</w:t>
          </w:r>
          <w:r>
            <w:rPr>
              <w:rFonts w:hint="default" w:ascii="Times New Roman" w:hAnsi="Times New Roman" w:eastAsia="华文中宋" w:cs="Times New Roman"/>
              <w:kern w:val="0"/>
              <w:sz w:val="24"/>
              <w:szCs w:val="24"/>
              <w:lang w:val="zh-CN" w:eastAsia="zh-CN"/>
            </w:rPr>
            <w:t>.2.4固体废物污染防治措施及可行性论证</w:t>
          </w:r>
          <w:r>
            <w:rPr>
              <w:sz w:val="24"/>
              <w:szCs w:val="24"/>
            </w:rPr>
            <w:tab/>
          </w:r>
          <w:r>
            <w:rPr>
              <w:sz w:val="24"/>
              <w:szCs w:val="24"/>
            </w:rPr>
            <w:fldChar w:fldCharType="begin"/>
          </w:r>
          <w:r>
            <w:rPr>
              <w:sz w:val="24"/>
              <w:szCs w:val="24"/>
            </w:rPr>
            <w:instrText xml:space="preserve"> PAGEREF _Toc14751 \h </w:instrText>
          </w:r>
          <w:r>
            <w:rPr>
              <w:sz w:val="24"/>
              <w:szCs w:val="24"/>
            </w:rPr>
            <w:fldChar w:fldCharType="separate"/>
          </w:r>
          <w:r>
            <w:rPr>
              <w:sz w:val="24"/>
              <w:szCs w:val="24"/>
            </w:rPr>
            <w:t>197</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1D5B59B6">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_Toc18270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6.2.5土壤污染防治措施</w:t>
          </w:r>
          <w:r>
            <w:rPr>
              <w:sz w:val="24"/>
              <w:szCs w:val="24"/>
            </w:rPr>
            <w:tab/>
          </w:r>
          <w:r>
            <w:rPr>
              <w:sz w:val="24"/>
              <w:szCs w:val="24"/>
            </w:rPr>
            <w:fldChar w:fldCharType="begin"/>
          </w:r>
          <w:r>
            <w:rPr>
              <w:sz w:val="24"/>
              <w:szCs w:val="24"/>
            </w:rPr>
            <w:instrText xml:space="preserve"> PAGEREF _Toc18270 \h </w:instrText>
          </w:r>
          <w:r>
            <w:rPr>
              <w:sz w:val="24"/>
              <w:szCs w:val="24"/>
            </w:rPr>
            <w:fldChar w:fldCharType="separate"/>
          </w:r>
          <w:r>
            <w:rPr>
              <w:sz w:val="24"/>
              <w:szCs w:val="24"/>
            </w:rPr>
            <w:t>201</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2CA51D8E">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_Toc10136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6.2.6生态保护与恢复治理措施</w:t>
          </w:r>
          <w:r>
            <w:rPr>
              <w:sz w:val="24"/>
              <w:szCs w:val="24"/>
            </w:rPr>
            <w:tab/>
          </w:r>
          <w:r>
            <w:rPr>
              <w:sz w:val="24"/>
              <w:szCs w:val="24"/>
            </w:rPr>
            <w:fldChar w:fldCharType="begin"/>
          </w:r>
          <w:r>
            <w:rPr>
              <w:sz w:val="24"/>
              <w:szCs w:val="24"/>
            </w:rPr>
            <w:instrText xml:space="preserve"> PAGEREF _Toc10136 \h </w:instrText>
          </w:r>
          <w:r>
            <w:rPr>
              <w:sz w:val="24"/>
              <w:szCs w:val="24"/>
            </w:rPr>
            <w:fldChar w:fldCharType="separate"/>
          </w:r>
          <w:r>
            <w:rPr>
              <w:sz w:val="24"/>
              <w:szCs w:val="24"/>
            </w:rPr>
            <w:t>202</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6087B05D">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_Toc26421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eastAsia" w:ascii="Times New Roman" w:hAnsi="Times New Roman" w:eastAsia="华文中宋" w:cs="Times New Roman"/>
              <w:snapToGrid w:val="0"/>
              <w:kern w:val="0"/>
              <w:sz w:val="24"/>
              <w:szCs w:val="24"/>
              <w:lang w:val="en-US" w:eastAsia="zh-CN"/>
            </w:rPr>
            <w:t>6.3闭矿期环境保护措施</w:t>
          </w:r>
          <w:r>
            <w:rPr>
              <w:sz w:val="24"/>
              <w:szCs w:val="24"/>
            </w:rPr>
            <w:tab/>
          </w:r>
          <w:r>
            <w:rPr>
              <w:sz w:val="24"/>
              <w:szCs w:val="24"/>
            </w:rPr>
            <w:fldChar w:fldCharType="begin"/>
          </w:r>
          <w:r>
            <w:rPr>
              <w:sz w:val="24"/>
              <w:szCs w:val="24"/>
            </w:rPr>
            <w:instrText xml:space="preserve"> PAGEREF _Toc26421 \h </w:instrText>
          </w:r>
          <w:r>
            <w:rPr>
              <w:sz w:val="24"/>
              <w:szCs w:val="24"/>
            </w:rPr>
            <w:fldChar w:fldCharType="separate"/>
          </w:r>
          <w:r>
            <w:rPr>
              <w:sz w:val="24"/>
              <w:szCs w:val="24"/>
            </w:rPr>
            <w:t>208</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10110D70">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_Toc20850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eastAsia" w:ascii="Times New Roman" w:hAnsi="Times New Roman" w:eastAsia="华文中宋" w:cs="Times New Roman"/>
              <w:kern w:val="0"/>
              <w:sz w:val="24"/>
              <w:szCs w:val="24"/>
              <w:lang w:val="en-US" w:eastAsia="zh-CN"/>
            </w:rPr>
            <w:t>6.3.1闭矿期大气环境保护措施</w:t>
          </w:r>
          <w:r>
            <w:rPr>
              <w:sz w:val="24"/>
              <w:szCs w:val="24"/>
            </w:rPr>
            <w:tab/>
          </w:r>
          <w:r>
            <w:rPr>
              <w:sz w:val="24"/>
              <w:szCs w:val="24"/>
            </w:rPr>
            <w:fldChar w:fldCharType="begin"/>
          </w:r>
          <w:r>
            <w:rPr>
              <w:sz w:val="24"/>
              <w:szCs w:val="24"/>
            </w:rPr>
            <w:instrText xml:space="preserve"> PAGEREF _Toc20850 \h </w:instrText>
          </w:r>
          <w:r>
            <w:rPr>
              <w:sz w:val="24"/>
              <w:szCs w:val="24"/>
            </w:rPr>
            <w:fldChar w:fldCharType="separate"/>
          </w:r>
          <w:r>
            <w:rPr>
              <w:sz w:val="24"/>
              <w:szCs w:val="24"/>
            </w:rPr>
            <w:t>208</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324AB965">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_Toc31155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eastAsia" w:ascii="Times New Roman" w:hAnsi="Times New Roman" w:eastAsia="华文中宋" w:cs="Times New Roman"/>
              <w:kern w:val="0"/>
              <w:sz w:val="24"/>
              <w:szCs w:val="24"/>
              <w:lang w:val="en-US" w:eastAsia="zh-CN"/>
            </w:rPr>
            <w:t>6.3.2闭矿期水环境保护措施</w:t>
          </w:r>
          <w:r>
            <w:rPr>
              <w:sz w:val="24"/>
              <w:szCs w:val="24"/>
            </w:rPr>
            <w:tab/>
          </w:r>
          <w:r>
            <w:rPr>
              <w:sz w:val="24"/>
              <w:szCs w:val="24"/>
            </w:rPr>
            <w:fldChar w:fldCharType="begin"/>
          </w:r>
          <w:r>
            <w:rPr>
              <w:sz w:val="24"/>
              <w:szCs w:val="24"/>
            </w:rPr>
            <w:instrText xml:space="preserve"> PAGEREF _Toc31155 \h </w:instrText>
          </w:r>
          <w:r>
            <w:rPr>
              <w:sz w:val="24"/>
              <w:szCs w:val="24"/>
            </w:rPr>
            <w:fldChar w:fldCharType="separate"/>
          </w:r>
          <w:r>
            <w:rPr>
              <w:sz w:val="24"/>
              <w:szCs w:val="24"/>
            </w:rPr>
            <w:t>208</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28314FA7">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_Toc25976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eastAsia" w:ascii="Times New Roman" w:hAnsi="Times New Roman" w:eastAsia="华文中宋" w:cs="Times New Roman"/>
              <w:kern w:val="0"/>
              <w:sz w:val="24"/>
              <w:szCs w:val="24"/>
              <w:lang w:val="en-US" w:eastAsia="zh-CN"/>
            </w:rPr>
            <w:t>6.3.3闭矿期噪声污染防治措施</w:t>
          </w:r>
          <w:r>
            <w:rPr>
              <w:sz w:val="24"/>
              <w:szCs w:val="24"/>
            </w:rPr>
            <w:tab/>
          </w:r>
          <w:r>
            <w:rPr>
              <w:sz w:val="24"/>
              <w:szCs w:val="24"/>
            </w:rPr>
            <w:fldChar w:fldCharType="begin"/>
          </w:r>
          <w:r>
            <w:rPr>
              <w:sz w:val="24"/>
              <w:szCs w:val="24"/>
            </w:rPr>
            <w:instrText xml:space="preserve"> PAGEREF _Toc25976 \h </w:instrText>
          </w:r>
          <w:r>
            <w:rPr>
              <w:sz w:val="24"/>
              <w:szCs w:val="24"/>
            </w:rPr>
            <w:fldChar w:fldCharType="separate"/>
          </w:r>
          <w:r>
            <w:rPr>
              <w:sz w:val="24"/>
              <w:szCs w:val="24"/>
            </w:rPr>
            <w:t>209</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53E78EA0">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_Toc26685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eastAsia" w:ascii="Times New Roman" w:hAnsi="Times New Roman" w:eastAsia="华文中宋" w:cs="Times New Roman"/>
              <w:kern w:val="0"/>
              <w:sz w:val="24"/>
              <w:szCs w:val="24"/>
              <w:lang w:val="en-US" w:eastAsia="zh-CN"/>
            </w:rPr>
            <w:t>6.3.4闭矿期固废和土壤污染防治措施</w:t>
          </w:r>
          <w:r>
            <w:rPr>
              <w:sz w:val="24"/>
              <w:szCs w:val="24"/>
            </w:rPr>
            <w:tab/>
          </w:r>
          <w:r>
            <w:rPr>
              <w:sz w:val="24"/>
              <w:szCs w:val="24"/>
            </w:rPr>
            <w:fldChar w:fldCharType="begin"/>
          </w:r>
          <w:r>
            <w:rPr>
              <w:sz w:val="24"/>
              <w:szCs w:val="24"/>
            </w:rPr>
            <w:instrText xml:space="preserve"> PAGEREF _Toc26685 \h </w:instrText>
          </w:r>
          <w:r>
            <w:rPr>
              <w:sz w:val="24"/>
              <w:szCs w:val="24"/>
            </w:rPr>
            <w:fldChar w:fldCharType="separate"/>
          </w:r>
          <w:r>
            <w:rPr>
              <w:sz w:val="24"/>
              <w:szCs w:val="24"/>
            </w:rPr>
            <w:t>209</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01F76262">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_Toc29344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eastAsia" w:ascii="Times New Roman" w:hAnsi="Times New Roman" w:eastAsia="华文中宋" w:cs="Times New Roman"/>
              <w:kern w:val="0"/>
              <w:sz w:val="24"/>
              <w:szCs w:val="24"/>
              <w:lang w:val="en-US" w:eastAsia="zh-CN"/>
            </w:rPr>
            <w:t>6.3.5闭矿期生态环境保护措施</w:t>
          </w:r>
          <w:r>
            <w:rPr>
              <w:sz w:val="24"/>
              <w:szCs w:val="24"/>
            </w:rPr>
            <w:tab/>
          </w:r>
          <w:r>
            <w:rPr>
              <w:sz w:val="24"/>
              <w:szCs w:val="24"/>
            </w:rPr>
            <w:fldChar w:fldCharType="begin"/>
          </w:r>
          <w:r>
            <w:rPr>
              <w:sz w:val="24"/>
              <w:szCs w:val="24"/>
            </w:rPr>
            <w:instrText xml:space="preserve"> PAGEREF _Toc29344 \h </w:instrText>
          </w:r>
          <w:r>
            <w:rPr>
              <w:sz w:val="24"/>
              <w:szCs w:val="24"/>
            </w:rPr>
            <w:fldChar w:fldCharType="separate"/>
          </w:r>
          <w:r>
            <w:rPr>
              <w:sz w:val="24"/>
              <w:szCs w:val="24"/>
            </w:rPr>
            <w:t>209</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2B557D9F">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_Toc11407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eastAsia" w:ascii="Times New Roman" w:hAnsi="Times New Roman" w:eastAsia="华文中宋" w:cs="Times New Roman"/>
              <w:snapToGrid w:val="0"/>
              <w:kern w:val="0"/>
              <w:sz w:val="24"/>
              <w:szCs w:val="24"/>
              <w:lang w:val="en-US" w:eastAsia="zh-CN"/>
            </w:rPr>
            <w:t>6.4闭矿期土地复垦</w:t>
          </w:r>
          <w:r>
            <w:rPr>
              <w:sz w:val="24"/>
              <w:szCs w:val="24"/>
            </w:rPr>
            <w:tab/>
          </w:r>
          <w:r>
            <w:rPr>
              <w:sz w:val="24"/>
              <w:szCs w:val="24"/>
            </w:rPr>
            <w:fldChar w:fldCharType="begin"/>
          </w:r>
          <w:r>
            <w:rPr>
              <w:sz w:val="24"/>
              <w:szCs w:val="24"/>
            </w:rPr>
            <w:instrText xml:space="preserve"> PAGEREF _Toc11407 \h </w:instrText>
          </w:r>
          <w:r>
            <w:rPr>
              <w:sz w:val="24"/>
              <w:szCs w:val="24"/>
            </w:rPr>
            <w:fldChar w:fldCharType="separate"/>
          </w:r>
          <w:r>
            <w:rPr>
              <w:sz w:val="24"/>
              <w:szCs w:val="24"/>
            </w:rPr>
            <w:t>210</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1BF92677">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_Toc32747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eastAsia" w:ascii="Times New Roman" w:hAnsi="Times New Roman" w:eastAsia="华文中宋" w:cs="Times New Roman"/>
              <w:kern w:val="0"/>
              <w:sz w:val="24"/>
              <w:szCs w:val="24"/>
              <w:lang w:val="en-US" w:eastAsia="zh-CN"/>
            </w:rPr>
            <w:t>6.4.1土地复垦质量要求</w:t>
          </w:r>
          <w:r>
            <w:rPr>
              <w:sz w:val="24"/>
              <w:szCs w:val="24"/>
            </w:rPr>
            <w:tab/>
          </w:r>
          <w:r>
            <w:rPr>
              <w:sz w:val="24"/>
              <w:szCs w:val="24"/>
            </w:rPr>
            <w:fldChar w:fldCharType="begin"/>
          </w:r>
          <w:r>
            <w:rPr>
              <w:sz w:val="24"/>
              <w:szCs w:val="24"/>
            </w:rPr>
            <w:instrText xml:space="preserve"> PAGEREF _Toc32747 \h </w:instrText>
          </w:r>
          <w:r>
            <w:rPr>
              <w:sz w:val="24"/>
              <w:szCs w:val="24"/>
            </w:rPr>
            <w:fldChar w:fldCharType="separate"/>
          </w:r>
          <w:r>
            <w:rPr>
              <w:sz w:val="24"/>
              <w:szCs w:val="24"/>
            </w:rPr>
            <w:t>210</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7E50C28F">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_Toc7443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eastAsia" w:ascii="Times New Roman" w:hAnsi="Times New Roman" w:eastAsia="华文中宋" w:cs="Times New Roman"/>
              <w:kern w:val="0"/>
              <w:sz w:val="24"/>
              <w:szCs w:val="24"/>
              <w:lang w:val="en-US" w:eastAsia="zh-CN"/>
            </w:rPr>
            <w:t>6.4.2土地复垦工程</w:t>
          </w:r>
          <w:r>
            <w:rPr>
              <w:sz w:val="24"/>
              <w:szCs w:val="24"/>
            </w:rPr>
            <w:tab/>
          </w:r>
          <w:r>
            <w:rPr>
              <w:sz w:val="24"/>
              <w:szCs w:val="24"/>
            </w:rPr>
            <w:fldChar w:fldCharType="begin"/>
          </w:r>
          <w:r>
            <w:rPr>
              <w:sz w:val="24"/>
              <w:szCs w:val="24"/>
            </w:rPr>
            <w:instrText xml:space="preserve"> PAGEREF _Toc7443 \h </w:instrText>
          </w:r>
          <w:r>
            <w:rPr>
              <w:sz w:val="24"/>
              <w:szCs w:val="24"/>
            </w:rPr>
            <w:fldChar w:fldCharType="separate"/>
          </w:r>
          <w:r>
            <w:rPr>
              <w:sz w:val="24"/>
              <w:szCs w:val="24"/>
            </w:rPr>
            <w:t>212</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5C97D824">
          <w:pPr>
            <w:pStyle w:val="14"/>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_Toc28633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spacing w:val="2"/>
              <w:sz w:val="24"/>
              <w:szCs w:val="24"/>
              <w:lang w:val="en-US" w:eastAsia="zh-CN"/>
            </w:rPr>
            <w:t>7</w:t>
          </w:r>
          <w:r>
            <w:rPr>
              <w:rFonts w:hint="default" w:ascii="Times New Roman" w:hAnsi="Times New Roman" w:eastAsia="华文中宋" w:cs="Times New Roman"/>
              <w:snapToGrid w:val="0"/>
              <w:spacing w:val="2"/>
              <w:sz w:val="24"/>
              <w:szCs w:val="24"/>
              <w:lang w:val="zh-CN"/>
            </w:rPr>
            <w:t>环境影响经济损益分析</w:t>
          </w:r>
          <w:r>
            <w:rPr>
              <w:sz w:val="24"/>
              <w:szCs w:val="24"/>
            </w:rPr>
            <w:tab/>
          </w:r>
          <w:r>
            <w:rPr>
              <w:sz w:val="24"/>
              <w:szCs w:val="24"/>
            </w:rPr>
            <w:fldChar w:fldCharType="begin"/>
          </w:r>
          <w:r>
            <w:rPr>
              <w:sz w:val="24"/>
              <w:szCs w:val="24"/>
            </w:rPr>
            <w:instrText xml:space="preserve"> PAGEREF _Toc28633 \h </w:instrText>
          </w:r>
          <w:r>
            <w:rPr>
              <w:sz w:val="24"/>
              <w:szCs w:val="24"/>
            </w:rPr>
            <w:fldChar w:fldCharType="separate"/>
          </w:r>
          <w:r>
            <w:rPr>
              <w:sz w:val="24"/>
              <w:szCs w:val="24"/>
            </w:rPr>
            <w:t>222</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65BF502E">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_Toc26875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kern w:val="0"/>
              <w:sz w:val="24"/>
              <w:szCs w:val="24"/>
              <w:lang w:val="en-US" w:eastAsia="zh-CN"/>
            </w:rPr>
            <w:t>7</w:t>
          </w:r>
          <w:r>
            <w:rPr>
              <w:rFonts w:hint="default" w:ascii="Times New Roman" w:hAnsi="Times New Roman" w:eastAsia="华文中宋" w:cs="Times New Roman"/>
              <w:snapToGrid w:val="0"/>
              <w:kern w:val="0"/>
              <w:sz w:val="24"/>
              <w:szCs w:val="24"/>
              <w:lang w:val="zh-CN"/>
            </w:rPr>
            <w:t>.1环保投资估算</w:t>
          </w:r>
          <w:r>
            <w:rPr>
              <w:sz w:val="24"/>
              <w:szCs w:val="24"/>
            </w:rPr>
            <w:tab/>
          </w:r>
          <w:r>
            <w:rPr>
              <w:sz w:val="24"/>
              <w:szCs w:val="24"/>
            </w:rPr>
            <w:fldChar w:fldCharType="begin"/>
          </w:r>
          <w:r>
            <w:rPr>
              <w:sz w:val="24"/>
              <w:szCs w:val="24"/>
            </w:rPr>
            <w:instrText xml:space="preserve"> PAGEREF _Toc26875 \h </w:instrText>
          </w:r>
          <w:r>
            <w:rPr>
              <w:sz w:val="24"/>
              <w:szCs w:val="24"/>
            </w:rPr>
            <w:fldChar w:fldCharType="separate"/>
          </w:r>
          <w:r>
            <w:rPr>
              <w:sz w:val="24"/>
              <w:szCs w:val="24"/>
            </w:rPr>
            <w:t>222</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01021467">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_Toc6309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kern w:val="0"/>
              <w:sz w:val="24"/>
              <w:szCs w:val="24"/>
              <w:lang w:val="en-US" w:eastAsia="zh-CN"/>
            </w:rPr>
            <w:t>7.2环境效益分析</w:t>
          </w:r>
          <w:r>
            <w:rPr>
              <w:sz w:val="24"/>
              <w:szCs w:val="24"/>
            </w:rPr>
            <w:tab/>
          </w:r>
          <w:r>
            <w:rPr>
              <w:sz w:val="24"/>
              <w:szCs w:val="24"/>
            </w:rPr>
            <w:fldChar w:fldCharType="begin"/>
          </w:r>
          <w:r>
            <w:rPr>
              <w:sz w:val="24"/>
              <w:szCs w:val="24"/>
            </w:rPr>
            <w:instrText xml:space="preserve"> PAGEREF _Toc6309 \h </w:instrText>
          </w:r>
          <w:r>
            <w:rPr>
              <w:sz w:val="24"/>
              <w:szCs w:val="24"/>
            </w:rPr>
            <w:fldChar w:fldCharType="separate"/>
          </w:r>
          <w:r>
            <w:rPr>
              <w:sz w:val="24"/>
              <w:szCs w:val="24"/>
            </w:rPr>
            <w:t>223</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201E5723">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_Toc10790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kern w:val="0"/>
              <w:sz w:val="24"/>
              <w:szCs w:val="24"/>
              <w:lang w:val="en-US" w:eastAsia="zh-CN"/>
            </w:rPr>
            <w:t>7.3社会效益分析</w:t>
          </w:r>
          <w:r>
            <w:rPr>
              <w:sz w:val="24"/>
              <w:szCs w:val="24"/>
            </w:rPr>
            <w:tab/>
          </w:r>
          <w:r>
            <w:rPr>
              <w:sz w:val="24"/>
              <w:szCs w:val="24"/>
            </w:rPr>
            <w:fldChar w:fldCharType="begin"/>
          </w:r>
          <w:r>
            <w:rPr>
              <w:sz w:val="24"/>
              <w:szCs w:val="24"/>
            </w:rPr>
            <w:instrText xml:space="preserve"> PAGEREF _Toc10790 \h </w:instrText>
          </w:r>
          <w:r>
            <w:rPr>
              <w:sz w:val="24"/>
              <w:szCs w:val="24"/>
            </w:rPr>
            <w:fldChar w:fldCharType="separate"/>
          </w:r>
          <w:r>
            <w:rPr>
              <w:sz w:val="24"/>
              <w:szCs w:val="24"/>
            </w:rPr>
            <w:t>223</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0C86943A">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_Toc32537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7.3.1符合市场需要和经济发展要求</w:t>
          </w:r>
          <w:r>
            <w:rPr>
              <w:sz w:val="24"/>
              <w:szCs w:val="24"/>
            </w:rPr>
            <w:tab/>
          </w:r>
          <w:r>
            <w:rPr>
              <w:sz w:val="24"/>
              <w:szCs w:val="24"/>
            </w:rPr>
            <w:fldChar w:fldCharType="begin"/>
          </w:r>
          <w:r>
            <w:rPr>
              <w:sz w:val="24"/>
              <w:szCs w:val="24"/>
            </w:rPr>
            <w:instrText xml:space="preserve"> PAGEREF _Toc32537 \h </w:instrText>
          </w:r>
          <w:r>
            <w:rPr>
              <w:sz w:val="24"/>
              <w:szCs w:val="24"/>
            </w:rPr>
            <w:fldChar w:fldCharType="separate"/>
          </w:r>
          <w:r>
            <w:rPr>
              <w:sz w:val="24"/>
              <w:szCs w:val="24"/>
            </w:rPr>
            <w:t>223</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79D39F90">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_Toc25357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7.3.2符合节约能源、环境保护的需要</w:t>
          </w:r>
          <w:r>
            <w:rPr>
              <w:sz w:val="24"/>
              <w:szCs w:val="24"/>
            </w:rPr>
            <w:tab/>
          </w:r>
          <w:r>
            <w:rPr>
              <w:sz w:val="24"/>
              <w:szCs w:val="24"/>
            </w:rPr>
            <w:fldChar w:fldCharType="begin"/>
          </w:r>
          <w:r>
            <w:rPr>
              <w:sz w:val="24"/>
              <w:szCs w:val="24"/>
            </w:rPr>
            <w:instrText xml:space="preserve"> PAGEREF _Toc25357 \h </w:instrText>
          </w:r>
          <w:r>
            <w:rPr>
              <w:sz w:val="24"/>
              <w:szCs w:val="24"/>
            </w:rPr>
            <w:fldChar w:fldCharType="separate"/>
          </w:r>
          <w:r>
            <w:rPr>
              <w:sz w:val="24"/>
              <w:szCs w:val="24"/>
            </w:rPr>
            <w:t>223</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3F22793F">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_Toc20791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7.3.3有利于企业自身发展和社会经济的发展</w:t>
          </w:r>
          <w:r>
            <w:rPr>
              <w:sz w:val="24"/>
              <w:szCs w:val="24"/>
            </w:rPr>
            <w:tab/>
          </w:r>
          <w:r>
            <w:rPr>
              <w:sz w:val="24"/>
              <w:szCs w:val="24"/>
            </w:rPr>
            <w:fldChar w:fldCharType="begin"/>
          </w:r>
          <w:r>
            <w:rPr>
              <w:sz w:val="24"/>
              <w:szCs w:val="24"/>
            </w:rPr>
            <w:instrText xml:space="preserve"> PAGEREF _Toc20791 \h </w:instrText>
          </w:r>
          <w:r>
            <w:rPr>
              <w:sz w:val="24"/>
              <w:szCs w:val="24"/>
            </w:rPr>
            <w:fldChar w:fldCharType="separate"/>
          </w:r>
          <w:r>
            <w:rPr>
              <w:sz w:val="24"/>
              <w:szCs w:val="24"/>
            </w:rPr>
            <w:t>224</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772EB11C">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_Toc12630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kern w:val="0"/>
              <w:sz w:val="24"/>
              <w:szCs w:val="24"/>
              <w:lang w:val="en-US" w:eastAsia="zh-CN"/>
            </w:rPr>
            <w:t>7.4经济效益分析</w:t>
          </w:r>
          <w:r>
            <w:rPr>
              <w:sz w:val="24"/>
              <w:szCs w:val="24"/>
            </w:rPr>
            <w:tab/>
          </w:r>
          <w:r>
            <w:rPr>
              <w:sz w:val="24"/>
              <w:szCs w:val="24"/>
            </w:rPr>
            <w:fldChar w:fldCharType="begin"/>
          </w:r>
          <w:r>
            <w:rPr>
              <w:sz w:val="24"/>
              <w:szCs w:val="24"/>
            </w:rPr>
            <w:instrText xml:space="preserve"> PAGEREF _Toc12630 \h </w:instrText>
          </w:r>
          <w:r>
            <w:rPr>
              <w:sz w:val="24"/>
              <w:szCs w:val="24"/>
            </w:rPr>
            <w:fldChar w:fldCharType="separate"/>
          </w:r>
          <w:r>
            <w:rPr>
              <w:sz w:val="24"/>
              <w:szCs w:val="24"/>
            </w:rPr>
            <w:t>224</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526989B9">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_Toc26389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kern w:val="0"/>
              <w:sz w:val="24"/>
              <w:szCs w:val="24"/>
              <w:lang w:val="en-US" w:eastAsia="zh-CN"/>
            </w:rPr>
            <w:t>7.5小结</w:t>
          </w:r>
          <w:r>
            <w:rPr>
              <w:sz w:val="24"/>
              <w:szCs w:val="24"/>
            </w:rPr>
            <w:tab/>
          </w:r>
          <w:r>
            <w:rPr>
              <w:sz w:val="24"/>
              <w:szCs w:val="24"/>
            </w:rPr>
            <w:fldChar w:fldCharType="begin"/>
          </w:r>
          <w:r>
            <w:rPr>
              <w:sz w:val="24"/>
              <w:szCs w:val="24"/>
            </w:rPr>
            <w:instrText xml:space="preserve"> PAGEREF _Toc26389 \h </w:instrText>
          </w:r>
          <w:r>
            <w:rPr>
              <w:sz w:val="24"/>
              <w:szCs w:val="24"/>
            </w:rPr>
            <w:fldChar w:fldCharType="separate"/>
          </w:r>
          <w:r>
            <w:rPr>
              <w:sz w:val="24"/>
              <w:szCs w:val="24"/>
            </w:rPr>
            <w:t>224</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630F6971">
          <w:pPr>
            <w:pStyle w:val="14"/>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_Toc442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spacing w:val="2"/>
              <w:sz w:val="24"/>
              <w:szCs w:val="24"/>
              <w:lang w:val="en-US" w:eastAsia="zh-CN"/>
            </w:rPr>
            <w:t>8环境管理与环境监测计划</w:t>
          </w:r>
          <w:r>
            <w:rPr>
              <w:sz w:val="24"/>
              <w:szCs w:val="24"/>
            </w:rPr>
            <w:tab/>
          </w:r>
          <w:r>
            <w:rPr>
              <w:sz w:val="24"/>
              <w:szCs w:val="24"/>
            </w:rPr>
            <w:fldChar w:fldCharType="begin"/>
          </w:r>
          <w:r>
            <w:rPr>
              <w:sz w:val="24"/>
              <w:szCs w:val="24"/>
            </w:rPr>
            <w:instrText xml:space="preserve"> PAGEREF _Toc442 \h </w:instrText>
          </w:r>
          <w:r>
            <w:rPr>
              <w:sz w:val="24"/>
              <w:szCs w:val="24"/>
            </w:rPr>
            <w:fldChar w:fldCharType="separate"/>
          </w:r>
          <w:r>
            <w:rPr>
              <w:sz w:val="24"/>
              <w:szCs w:val="24"/>
            </w:rPr>
            <w:t>225</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6E4F6589">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_Toc913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kern w:val="0"/>
              <w:sz w:val="24"/>
              <w:szCs w:val="24"/>
              <w:lang w:val="en-US" w:eastAsia="zh-CN"/>
            </w:rPr>
            <w:t>8.1环境管理</w:t>
          </w:r>
          <w:r>
            <w:rPr>
              <w:sz w:val="24"/>
              <w:szCs w:val="24"/>
            </w:rPr>
            <w:tab/>
          </w:r>
          <w:r>
            <w:rPr>
              <w:sz w:val="24"/>
              <w:szCs w:val="24"/>
            </w:rPr>
            <w:fldChar w:fldCharType="begin"/>
          </w:r>
          <w:r>
            <w:rPr>
              <w:sz w:val="24"/>
              <w:szCs w:val="24"/>
            </w:rPr>
            <w:instrText xml:space="preserve"> PAGEREF _Toc913 \h </w:instrText>
          </w:r>
          <w:r>
            <w:rPr>
              <w:sz w:val="24"/>
              <w:szCs w:val="24"/>
            </w:rPr>
            <w:fldChar w:fldCharType="separate"/>
          </w:r>
          <w:r>
            <w:rPr>
              <w:sz w:val="24"/>
              <w:szCs w:val="24"/>
            </w:rPr>
            <w:t>225</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61E7428C">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_Toc14435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8.1.1制定有关的管理制度及管理计划</w:t>
          </w:r>
          <w:r>
            <w:rPr>
              <w:sz w:val="24"/>
              <w:szCs w:val="24"/>
            </w:rPr>
            <w:tab/>
          </w:r>
          <w:r>
            <w:rPr>
              <w:sz w:val="24"/>
              <w:szCs w:val="24"/>
            </w:rPr>
            <w:fldChar w:fldCharType="begin"/>
          </w:r>
          <w:r>
            <w:rPr>
              <w:sz w:val="24"/>
              <w:szCs w:val="24"/>
            </w:rPr>
            <w:instrText xml:space="preserve"> PAGEREF _Toc14435 \h </w:instrText>
          </w:r>
          <w:r>
            <w:rPr>
              <w:sz w:val="24"/>
              <w:szCs w:val="24"/>
            </w:rPr>
            <w:fldChar w:fldCharType="separate"/>
          </w:r>
          <w:r>
            <w:rPr>
              <w:sz w:val="24"/>
              <w:szCs w:val="24"/>
            </w:rPr>
            <w:t>225</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31F36236">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_Toc7128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8.1.2建设工程各阶段环境管理工作计划</w:t>
          </w:r>
          <w:r>
            <w:rPr>
              <w:sz w:val="24"/>
              <w:szCs w:val="24"/>
            </w:rPr>
            <w:tab/>
          </w:r>
          <w:r>
            <w:rPr>
              <w:sz w:val="24"/>
              <w:szCs w:val="24"/>
            </w:rPr>
            <w:fldChar w:fldCharType="begin"/>
          </w:r>
          <w:r>
            <w:rPr>
              <w:sz w:val="24"/>
              <w:szCs w:val="24"/>
            </w:rPr>
            <w:instrText xml:space="preserve"> PAGEREF _Toc7128 \h </w:instrText>
          </w:r>
          <w:r>
            <w:rPr>
              <w:sz w:val="24"/>
              <w:szCs w:val="24"/>
            </w:rPr>
            <w:fldChar w:fldCharType="separate"/>
          </w:r>
          <w:r>
            <w:rPr>
              <w:sz w:val="24"/>
              <w:szCs w:val="24"/>
            </w:rPr>
            <w:t>226</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3872809B">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_Toc6380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kern w:val="0"/>
              <w:sz w:val="24"/>
              <w:szCs w:val="24"/>
              <w:lang w:val="en-US" w:eastAsia="zh-CN"/>
            </w:rPr>
            <w:t>8.2排污口规范化管理</w:t>
          </w:r>
          <w:r>
            <w:rPr>
              <w:sz w:val="24"/>
              <w:szCs w:val="24"/>
            </w:rPr>
            <w:tab/>
          </w:r>
          <w:r>
            <w:rPr>
              <w:sz w:val="24"/>
              <w:szCs w:val="24"/>
            </w:rPr>
            <w:fldChar w:fldCharType="begin"/>
          </w:r>
          <w:r>
            <w:rPr>
              <w:sz w:val="24"/>
              <w:szCs w:val="24"/>
            </w:rPr>
            <w:instrText xml:space="preserve"> PAGEREF _Toc6380 \h </w:instrText>
          </w:r>
          <w:r>
            <w:rPr>
              <w:sz w:val="24"/>
              <w:szCs w:val="24"/>
            </w:rPr>
            <w:fldChar w:fldCharType="separate"/>
          </w:r>
          <w:r>
            <w:rPr>
              <w:sz w:val="24"/>
              <w:szCs w:val="24"/>
            </w:rPr>
            <w:t>229</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3006CBDB">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_Toc25542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8.2.1排污口规范化原则</w:t>
          </w:r>
          <w:r>
            <w:rPr>
              <w:sz w:val="24"/>
              <w:szCs w:val="24"/>
            </w:rPr>
            <w:tab/>
          </w:r>
          <w:r>
            <w:rPr>
              <w:sz w:val="24"/>
              <w:szCs w:val="24"/>
            </w:rPr>
            <w:fldChar w:fldCharType="begin"/>
          </w:r>
          <w:r>
            <w:rPr>
              <w:sz w:val="24"/>
              <w:szCs w:val="24"/>
            </w:rPr>
            <w:instrText xml:space="preserve"> PAGEREF _Toc25542 \h </w:instrText>
          </w:r>
          <w:r>
            <w:rPr>
              <w:sz w:val="24"/>
              <w:szCs w:val="24"/>
            </w:rPr>
            <w:fldChar w:fldCharType="separate"/>
          </w:r>
          <w:r>
            <w:rPr>
              <w:sz w:val="24"/>
              <w:szCs w:val="24"/>
            </w:rPr>
            <w:t>230</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732F6B43">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_Toc21413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8.2.2排污口建档管理</w:t>
          </w:r>
          <w:r>
            <w:rPr>
              <w:sz w:val="24"/>
              <w:szCs w:val="24"/>
            </w:rPr>
            <w:tab/>
          </w:r>
          <w:r>
            <w:rPr>
              <w:sz w:val="24"/>
              <w:szCs w:val="24"/>
            </w:rPr>
            <w:fldChar w:fldCharType="begin"/>
          </w:r>
          <w:r>
            <w:rPr>
              <w:sz w:val="24"/>
              <w:szCs w:val="24"/>
            </w:rPr>
            <w:instrText xml:space="preserve"> PAGEREF _Toc21413 \h </w:instrText>
          </w:r>
          <w:r>
            <w:rPr>
              <w:sz w:val="24"/>
              <w:szCs w:val="24"/>
            </w:rPr>
            <w:fldChar w:fldCharType="separate"/>
          </w:r>
          <w:r>
            <w:rPr>
              <w:sz w:val="24"/>
              <w:szCs w:val="24"/>
            </w:rPr>
            <w:t>230</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0E3F825E">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_Toc3758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8.2.3环境影响评价制度与排污许可制衔接分析</w:t>
          </w:r>
          <w:r>
            <w:rPr>
              <w:sz w:val="24"/>
              <w:szCs w:val="24"/>
            </w:rPr>
            <w:tab/>
          </w:r>
          <w:r>
            <w:rPr>
              <w:sz w:val="24"/>
              <w:szCs w:val="24"/>
            </w:rPr>
            <w:fldChar w:fldCharType="begin"/>
          </w:r>
          <w:r>
            <w:rPr>
              <w:sz w:val="24"/>
              <w:szCs w:val="24"/>
            </w:rPr>
            <w:instrText xml:space="preserve"> PAGEREF _Toc3758 \h </w:instrText>
          </w:r>
          <w:r>
            <w:rPr>
              <w:sz w:val="24"/>
              <w:szCs w:val="24"/>
            </w:rPr>
            <w:fldChar w:fldCharType="separate"/>
          </w:r>
          <w:r>
            <w:rPr>
              <w:sz w:val="24"/>
              <w:szCs w:val="24"/>
            </w:rPr>
            <w:t>231</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64096C0D">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_Toc2516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kern w:val="0"/>
              <w:sz w:val="24"/>
              <w:szCs w:val="24"/>
              <w:lang w:val="en-US" w:eastAsia="zh-CN"/>
            </w:rPr>
            <w:t>8.3环境监测计划</w:t>
          </w:r>
          <w:r>
            <w:rPr>
              <w:sz w:val="24"/>
              <w:szCs w:val="24"/>
            </w:rPr>
            <w:tab/>
          </w:r>
          <w:r>
            <w:rPr>
              <w:sz w:val="24"/>
              <w:szCs w:val="24"/>
            </w:rPr>
            <w:fldChar w:fldCharType="begin"/>
          </w:r>
          <w:r>
            <w:rPr>
              <w:sz w:val="24"/>
              <w:szCs w:val="24"/>
            </w:rPr>
            <w:instrText xml:space="preserve"> PAGEREF _Toc2516 \h </w:instrText>
          </w:r>
          <w:r>
            <w:rPr>
              <w:sz w:val="24"/>
              <w:szCs w:val="24"/>
            </w:rPr>
            <w:fldChar w:fldCharType="separate"/>
          </w:r>
          <w:r>
            <w:rPr>
              <w:sz w:val="24"/>
              <w:szCs w:val="24"/>
            </w:rPr>
            <w:t>231</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3E308AA4">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_Toc28432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8.3.1监测目的</w:t>
          </w:r>
          <w:r>
            <w:rPr>
              <w:sz w:val="24"/>
              <w:szCs w:val="24"/>
            </w:rPr>
            <w:tab/>
          </w:r>
          <w:r>
            <w:rPr>
              <w:sz w:val="24"/>
              <w:szCs w:val="24"/>
            </w:rPr>
            <w:fldChar w:fldCharType="begin"/>
          </w:r>
          <w:r>
            <w:rPr>
              <w:sz w:val="24"/>
              <w:szCs w:val="24"/>
            </w:rPr>
            <w:instrText xml:space="preserve"> PAGEREF _Toc28432 \h </w:instrText>
          </w:r>
          <w:r>
            <w:rPr>
              <w:sz w:val="24"/>
              <w:szCs w:val="24"/>
            </w:rPr>
            <w:fldChar w:fldCharType="separate"/>
          </w:r>
          <w:r>
            <w:rPr>
              <w:sz w:val="24"/>
              <w:szCs w:val="24"/>
            </w:rPr>
            <w:t>231</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130C84FE">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_Toc26878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8.3.2监测计划</w:t>
          </w:r>
          <w:r>
            <w:rPr>
              <w:sz w:val="24"/>
              <w:szCs w:val="24"/>
            </w:rPr>
            <w:tab/>
          </w:r>
          <w:r>
            <w:rPr>
              <w:sz w:val="24"/>
              <w:szCs w:val="24"/>
            </w:rPr>
            <w:fldChar w:fldCharType="begin"/>
          </w:r>
          <w:r>
            <w:rPr>
              <w:sz w:val="24"/>
              <w:szCs w:val="24"/>
            </w:rPr>
            <w:instrText xml:space="preserve"> PAGEREF _Toc26878 \h </w:instrText>
          </w:r>
          <w:r>
            <w:rPr>
              <w:sz w:val="24"/>
              <w:szCs w:val="24"/>
            </w:rPr>
            <w:fldChar w:fldCharType="separate"/>
          </w:r>
          <w:r>
            <w:rPr>
              <w:sz w:val="24"/>
              <w:szCs w:val="24"/>
            </w:rPr>
            <w:t>231</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7791EA85">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_Toc13633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8.3.3应急环境监测计划</w:t>
          </w:r>
          <w:r>
            <w:rPr>
              <w:sz w:val="24"/>
              <w:szCs w:val="24"/>
            </w:rPr>
            <w:tab/>
          </w:r>
          <w:r>
            <w:rPr>
              <w:sz w:val="24"/>
              <w:szCs w:val="24"/>
            </w:rPr>
            <w:fldChar w:fldCharType="begin"/>
          </w:r>
          <w:r>
            <w:rPr>
              <w:sz w:val="24"/>
              <w:szCs w:val="24"/>
            </w:rPr>
            <w:instrText xml:space="preserve"> PAGEREF _Toc13633 \h </w:instrText>
          </w:r>
          <w:r>
            <w:rPr>
              <w:sz w:val="24"/>
              <w:szCs w:val="24"/>
            </w:rPr>
            <w:fldChar w:fldCharType="separate"/>
          </w:r>
          <w:r>
            <w:rPr>
              <w:sz w:val="24"/>
              <w:szCs w:val="24"/>
            </w:rPr>
            <w:t>233</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4FE716CF">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_Toc15746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kern w:val="0"/>
              <w:sz w:val="24"/>
              <w:szCs w:val="24"/>
              <w:lang w:val="en-US" w:eastAsia="zh-CN"/>
            </w:rPr>
            <w:t>8.4环境管理及环保行动计划</w:t>
          </w:r>
          <w:r>
            <w:rPr>
              <w:sz w:val="24"/>
              <w:szCs w:val="24"/>
            </w:rPr>
            <w:tab/>
          </w:r>
          <w:r>
            <w:rPr>
              <w:sz w:val="24"/>
              <w:szCs w:val="24"/>
            </w:rPr>
            <w:fldChar w:fldCharType="begin"/>
          </w:r>
          <w:r>
            <w:rPr>
              <w:sz w:val="24"/>
              <w:szCs w:val="24"/>
            </w:rPr>
            <w:instrText xml:space="preserve"> PAGEREF _Toc15746 \h </w:instrText>
          </w:r>
          <w:r>
            <w:rPr>
              <w:sz w:val="24"/>
              <w:szCs w:val="24"/>
            </w:rPr>
            <w:fldChar w:fldCharType="separate"/>
          </w:r>
          <w:r>
            <w:rPr>
              <w:sz w:val="24"/>
              <w:szCs w:val="24"/>
            </w:rPr>
            <w:t>233</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0AEFAA9F">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_Toc19476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kern w:val="0"/>
              <w:sz w:val="24"/>
              <w:szCs w:val="24"/>
              <w:lang w:val="en-US" w:eastAsia="zh-CN"/>
            </w:rPr>
            <w:t>8.5环境监理</w:t>
          </w:r>
          <w:r>
            <w:rPr>
              <w:sz w:val="24"/>
              <w:szCs w:val="24"/>
            </w:rPr>
            <w:tab/>
          </w:r>
          <w:r>
            <w:rPr>
              <w:sz w:val="24"/>
              <w:szCs w:val="24"/>
            </w:rPr>
            <w:fldChar w:fldCharType="begin"/>
          </w:r>
          <w:r>
            <w:rPr>
              <w:sz w:val="24"/>
              <w:szCs w:val="24"/>
            </w:rPr>
            <w:instrText xml:space="preserve"> PAGEREF _Toc19476 \h </w:instrText>
          </w:r>
          <w:r>
            <w:rPr>
              <w:sz w:val="24"/>
              <w:szCs w:val="24"/>
            </w:rPr>
            <w:fldChar w:fldCharType="separate"/>
          </w:r>
          <w:r>
            <w:rPr>
              <w:sz w:val="24"/>
              <w:szCs w:val="24"/>
            </w:rPr>
            <w:t>236</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0A82330B">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_Toc7950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kern w:val="0"/>
              <w:sz w:val="24"/>
              <w:szCs w:val="24"/>
              <w:lang w:val="en-US" w:eastAsia="zh-CN"/>
            </w:rPr>
            <w:t>8.6竣工验收</w:t>
          </w:r>
          <w:r>
            <w:rPr>
              <w:sz w:val="24"/>
              <w:szCs w:val="24"/>
            </w:rPr>
            <w:tab/>
          </w:r>
          <w:r>
            <w:rPr>
              <w:sz w:val="24"/>
              <w:szCs w:val="24"/>
            </w:rPr>
            <w:fldChar w:fldCharType="begin"/>
          </w:r>
          <w:r>
            <w:rPr>
              <w:sz w:val="24"/>
              <w:szCs w:val="24"/>
            </w:rPr>
            <w:instrText xml:space="preserve"> PAGEREF _Toc7950 \h </w:instrText>
          </w:r>
          <w:r>
            <w:rPr>
              <w:sz w:val="24"/>
              <w:szCs w:val="24"/>
            </w:rPr>
            <w:fldChar w:fldCharType="separate"/>
          </w:r>
          <w:r>
            <w:rPr>
              <w:sz w:val="24"/>
              <w:szCs w:val="24"/>
            </w:rPr>
            <w:t>237</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4207B3C7">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_Toc3074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8.6.1验收范围</w:t>
          </w:r>
          <w:r>
            <w:rPr>
              <w:sz w:val="24"/>
              <w:szCs w:val="24"/>
            </w:rPr>
            <w:tab/>
          </w:r>
          <w:r>
            <w:rPr>
              <w:sz w:val="24"/>
              <w:szCs w:val="24"/>
            </w:rPr>
            <w:fldChar w:fldCharType="begin"/>
          </w:r>
          <w:r>
            <w:rPr>
              <w:sz w:val="24"/>
              <w:szCs w:val="24"/>
            </w:rPr>
            <w:instrText xml:space="preserve"> PAGEREF _Toc3074 \h </w:instrText>
          </w:r>
          <w:r>
            <w:rPr>
              <w:sz w:val="24"/>
              <w:szCs w:val="24"/>
            </w:rPr>
            <w:fldChar w:fldCharType="separate"/>
          </w:r>
          <w:r>
            <w:rPr>
              <w:sz w:val="24"/>
              <w:szCs w:val="24"/>
            </w:rPr>
            <w:t>237</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0A5DE8BA">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_Toc11699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8.6.2验收内容</w:t>
          </w:r>
          <w:r>
            <w:rPr>
              <w:sz w:val="24"/>
              <w:szCs w:val="24"/>
            </w:rPr>
            <w:tab/>
          </w:r>
          <w:r>
            <w:rPr>
              <w:sz w:val="24"/>
              <w:szCs w:val="24"/>
            </w:rPr>
            <w:fldChar w:fldCharType="begin"/>
          </w:r>
          <w:r>
            <w:rPr>
              <w:sz w:val="24"/>
              <w:szCs w:val="24"/>
            </w:rPr>
            <w:instrText xml:space="preserve"> PAGEREF _Toc11699 \h </w:instrText>
          </w:r>
          <w:r>
            <w:rPr>
              <w:sz w:val="24"/>
              <w:szCs w:val="24"/>
            </w:rPr>
            <w:fldChar w:fldCharType="separate"/>
          </w:r>
          <w:r>
            <w:rPr>
              <w:sz w:val="24"/>
              <w:szCs w:val="24"/>
            </w:rPr>
            <w:t>237</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3A3DBF7B">
          <w:pPr>
            <w:pStyle w:val="14"/>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_Toc103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spacing w:val="2"/>
              <w:sz w:val="24"/>
              <w:szCs w:val="24"/>
              <w:lang w:val="en-US" w:eastAsia="zh-CN"/>
            </w:rPr>
            <w:t>9环境影响评价结论</w:t>
          </w:r>
          <w:r>
            <w:rPr>
              <w:sz w:val="24"/>
              <w:szCs w:val="24"/>
            </w:rPr>
            <w:tab/>
          </w:r>
          <w:r>
            <w:rPr>
              <w:sz w:val="24"/>
              <w:szCs w:val="24"/>
            </w:rPr>
            <w:fldChar w:fldCharType="begin"/>
          </w:r>
          <w:r>
            <w:rPr>
              <w:sz w:val="24"/>
              <w:szCs w:val="24"/>
            </w:rPr>
            <w:instrText xml:space="preserve"> PAGEREF _Toc103 \h </w:instrText>
          </w:r>
          <w:r>
            <w:rPr>
              <w:sz w:val="24"/>
              <w:szCs w:val="24"/>
            </w:rPr>
            <w:fldChar w:fldCharType="separate"/>
          </w:r>
          <w:r>
            <w:rPr>
              <w:sz w:val="24"/>
              <w:szCs w:val="24"/>
            </w:rPr>
            <w:t>240</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59F24F4B">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_Toc19621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kern w:val="0"/>
              <w:sz w:val="24"/>
              <w:szCs w:val="24"/>
              <w:lang w:val="en-US" w:eastAsia="zh-CN"/>
            </w:rPr>
            <w:t>9.1建设项目概括</w:t>
          </w:r>
          <w:r>
            <w:rPr>
              <w:sz w:val="24"/>
              <w:szCs w:val="24"/>
            </w:rPr>
            <w:tab/>
          </w:r>
          <w:r>
            <w:rPr>
              <w:sz w:val="24"/>
              <w:szCs w:val="24"/>
            </w:rPr>
            <w:fldChar w:fldCharType="begin"/>
          </w:r>
          <w:r>
            <w:rPr>
              <w:sz w:val="24"/>
              <w:szCs w:val="24"/>
            </w:rPr>
            <w:instrText xml:space="preserve"> PAGEREF _Toc19621 \h </w:instrText>
          </w:r>
          <w:r>
            <w:rPr>
              <w:sz w:val="24"/>
              <w:szCs w:val="24"/>
            </w:rPr>
            <w:fldChar w:fldCharType="separate"/>
          </w:r>
          <w:r>
            <w:rPr>
              <w:sz w:val="24"/>
              <w:szCs w:val="24"/>
            </w:rPr>
            <w:t>240</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058292FE">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_Toc6090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kern w:val="0"/>
              <w:sz w:val="24"/>
              <w:szCs w:val="24"/>
              <w:lang w:val="en-US" w:eastAsia="zh-CN"/>
            </w:rPr>
            <w:t>9.2环境质量现状</w:t>
          </w:r>
          <w:r>
            <w:rPr>
              <w:sz w:val="24"/>
              <w:szCs w:val="24"/>
            </w:rPr>
            <w:tab/>
          </w:r>
          <w:r>
            <w:rPr>
              <w:sz w:val="24"/>
              <w:szCs w:val="24"/>
            </w:rPr>
            <w:fldChar w:fldCharType="begin"/>
          </w:r>
          <w:r>
            <w:rPr>
              <w:sz w:val="24"/>
              <w:szCs w:val="24"/>
            </w:rPr>
            <w:instrText xml:space="preserve"> PAGEREF _Toc6090 \h </w:instrText>
          </w:r>
          <w:r>
            <w:rPr>
              <w:sz w:val="24"/>
              <w:szCs w:val="24"/>
            </w:rPr>
            <w:fldChar w:fldCharType="separate"/>
          </w:r>
          <w:r>
            <w:rPr>
              <w:sz w:val="24"/>
              <w:szCs w:val="24"/>
            </w:rPr>
            <w:t>240</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57D300BC">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_Toc28650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9.2.</w:t>
          </w:r>
          <w:r>
            <w:rPr>
              <w:rFonts w:hint="eastAsia" w:ascii="Times New Roman" w:hAnsi="Times New Roman" w:eastAsia="华文中宋" w:cs="Times New Roman"/>
              <w:kern w:val="0"/>
              <w:sz w:val="24"/>
              <w:szCs w:val="24"/>
              <w:lang w:val="en-US" w:eastAsia="zh-CN"/>
            </w:rPr>
            <w:t>1</w:t>
          </w:r>
          <w:r>
            <w:rPr>
              <w:rFonts w:hint="default" w:ascii="Times New Roman" w:hAnsi="Times New Roman" w:eastAsia="华文中宋" w:cs="Times New Roman"/>
              <w:kern w:val="0"/>
              <w:sz w:val="24"/>
              <w:szCs w:val="24"/>
              <w:lang w:val="en-US" w:eastAsia="zh-CN"/>
            </w:rPr>
            <w:t>环境空气质量</w:t>
          </w:r>
          <w:r>
            <w:rPr>
              <w:sz w:val="24"/>
              <w:szCs w:val="24"/>
            </w:rPr>
            <w:tab/>
          </w:r>
          <w:r>
            <w:rPr>
              <w:sz w:val="24"/>
              <w:szCs w:val="24"/>
            </w:rPr>
            <w:fldChar w:fldCharType="begin"/>
          </w:r>
          <w:r>
            <w:rPr>
              <w:sz w:val="24"/>
              <w:szCs w:val="24"/>
            </w:rPr>
            <w:instrText xml:space="preserve"> PAGEREF _Toc28650 \h </w:instrText>
          </w:r>
          <w:r>
            <w:rPr>
              <w:sz w:val="24"/>
              <w:szCs w:val="24"/>
            </w:rPr>
            <w:fldChar w:fldCharType="separate"/>
          </w:r>
          <w:r>
            <w:rPr>
              <w:sz w:val="24"/>
              <w:szCs w:val="24"/>
            </w:rPr>
            <w:t>240</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1A657F81">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_Toc8016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9.2.</w:t>
          </w:r>
          <w:r>
            <w:rPr>
              <w:rFonts w:hint="eastAsia" w:ascii="Times New Roman" w:hAnsi="Times New Roman" w:eastAsia="华文中宋" w:cs="Times New Roman"/>
              <w:kern w:val="0"/>
              <w:sz w:val="24"/>
              <w:szCs w:val="24"/>
              <w:lang w:val="en-US" w:eastAsia="zh-CN"/>
            </w:rPr>
            <w:t>2</w:t>
          </w:r>
          <w:r>
            <w:rPr>
              <w:rFonts w:hint="default" w:ascii="Times New Roman" w:hAnsi="Times New Roman" w:eastAsia="华文中宋" w:cs="Times New Roman"/>
              <w:kern w:val="0"/>
              <w:sz w:val="24"/>
              <w:szCs w:val="24"/>
              <w:lang w:val="en-US" w:eastAsia="zh-CN"/>
            </w:rPr>
            <w:t>声环境质量</w:t>
          </w:r>
          <w:r>
            <w:rPr>
              <w:sz w:val="24"/>
              <w:szCs w:val="24"/>
            </w:rPr>
            <w:tab/>
          </w:r>
          <w:r>
            <w:rPr>
              <w:sz w:val="24"/>
              <w:szCs w:val="24"/>
            </w:rPr>
            <w:fldChar w:fldCharType="begin"/>
          </w:r>
          <w:r>
            <w:rPr>
              <w:sz w:val="24"/>
              <w:szCs w:val="24"/>
            </w:rPr>
            <w:instrText xml:space="preserve"> PAGEREF _Toc8016 \h </w:instrText>
          </w:r>
          <w:r>
            <w:rPr>
              <w:sz w:val="24"/>
              <w:szCs w:val="24"/>
            </w:rPr>
            <w:fldChar w:fldCharType="separate"/>
          </w:r>
          <w:r>
            <w:rPr>
              <w:sz w:val="24"/>
              <w:szCs w:val="24"/>
            </w:rPr>
            <w:t>240</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5B660E03">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_Toc31870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9.2.</w:t>
          </w:r>
          <w:r>
            <w:rPr>
              <w:rFonts w:hint="eastAsia" w:ascii="Times New Roman" w:hAnsi="Times New Roman" w:eastAsia="华文中宋" w:cs="Times New Roman"/>
              <w:kern w:val="0"/>
              <w:sz w:val="24"/>
              <w:szCs w:val="24"/>
              <w:lang w:val="en-US" w:eastAsia="zh-CN"/>
            </w:rPr>
            <w:t>3</w:t>
          </w:r>
          <w:r>
            <w:rPr>
              <w:rFonts w:hint="default" w:ascii="Times New Roman" w:hAnsi="Times New Roman" w:eastAsia="华文中宋" w:cs="Times New Roman"/>
              <w:kern w:val="0"/>
              <w:sz w:val="24"/>
              <w:szCs w:val="24"/>
              <w:lang w:val="en-US" w:eastAsia="zh-CN"/>
            </w:rPr>
            <w:t>生态环境质量现状</w:t>
          </w:r>
          <w:r>
            <w:rPr>
              <w:sz w:val="24"/>
              <w:szCs w:val="24"/>
            </w:rPr>
            <w:tab/>
          </w:r>
          <w:r>
            <w:rPr>
              <w:sz w:val="24"/>
              <w:szCs w:val="24"/>
            </w:rPr>
            <w:fldChar w:fldCharType="begin"/>
          </w:r>
          <w:r>
            <w:rPr>
              <w:sz w:val="24"/>
              <w:szCs w:val="24"/>
            </w:rPr>
            <w:instrText xml:space="preserve"> PAGEREF _Toc31870 \h </w:instrText>
          </w:r>
          <w:r>
            <w:rPr>
              <w:sz w:val="24"/>
              <w:szCs w:val="24"/>
            </w:rPr>
            <w:fldChar w:fldCharType="separate"/>
          </w:r>
          <w:r>
            <w:rPr>
              <w:sz w:val="24"/>
              <w:szCs w:val="24"/>
            </w:rPr>
            <w:t>240</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17B2A67C">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_Toc10945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kern w:val="0"/>
              <w:sz w:val="24"/>
              <w:szCs w:val="24"/>
              <w:lang w:val="en-US" w:eastAsia="zh-CN"/>
            </w:rPr>
            <w:t>9.3环境影响评价结论</w:t>
          </w:r>
          <w:r>
            <w:rPr>
              <w:sz w:val="24"/>
              <w:szCs w:val="24"/>
            </w:rPr>
            <w:tab/>
          </w:r>
          <w:r>
            <w:rPr>
              <w:sz w:val="24"/>
              <w:szCs w:val="24"/>
            </w:rPr>
            <w:fldChar w:fldCharType="begin"/>
          </w:r>
          <w:r>
            <w:rPr>
              <w:sz w:val="24"/>
              <w:szCs w:val="24"/>
            </w:rPr>
            <w:instrText xml:space="preserve"> PAGEREF _Toc10945 \h </w:instrText>
          </w:r>
          <w:r>
            <w:rPr>
              <w:sz w:val="24"/>
              <w:szCs w:val="24"/>
            </w:rPr>
            <w:fldChar w:fldCharType="separate"/>
          </w:r>
          <w:r>
            <w:rPr>
              <w:sz w:val="24"/>
              <w:szCs w:val="24"/>
            </w:rPr>
            <w:t>241</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755AB501">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_Toc30402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9.3.1生态环境影响评价结论</w:t>
          </w:r>
          <w:r>
            <w:rPr>
              <w:sz w:val="24"/>
              <w:szCs w:val="24"/>
            </w:rPr>
            <w:tab/>
          </w:r>
          <w:r>
            <w:rPr>
              <w:sz w:val="24"/>
              <w:szCs w:val="24"/>
            </w:rPr>
            <w:fldChar w:fldCharType="begin"/>
          </w:r>
          <w:r>
            <w:rPr>
              <w:sz w:val="24"/>
              <w:szCs w:val="24"/>
            </w:rPr>
            <w:instrText xml:space="preserve"> PAGEREF _Toc30402 \h </w:instrText>
          </w:r>
          <w:r>
            <w:rPr>
              <w:sz w:val="24"/>
              <w:szCs w:val="24"/>
            </w:rPr>
            <w:fldChar w:fldCharType="separate"/>
          </w:r>
          <w:r>
            <w:rPr>
              <w:sz w:val="24"/>
              <w:szCs w:val="24"/>
            </w:rPr>
            <w:t>241</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43426AE6">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_Toc21968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9.3.2大气环境影响结论</w:t>
          </w:r>
          <w:r>
            <w:rPr>
              <w:sz w:val="24"/>
              <w:szCs w:val="24"/>
            </w:rPr>
            <w:tab/>
          </w:r>
          <w:r>
            <w:rPr>
              <w:sz w:val="24"/>
              <w:szCs w:val="24"/>
            </w:rPr>
            <w:fldChar w:fldCharType="begin"/>
          </w:r>
          <w:r>
            <w:rPr>
              <w:sz w:val="24"/>
              <w:szCs w:val="24"/>
            </w:rPr>
            <w:instrText xml:space="preserve"> PAGEREF _Toc21968 \h </w:instrText>
          </w:r>
          <w:r>
            <w:rPr>
              <w:sz w:val="24"/>
              <w:szCs w:val="24"/>
            </w:rPr>
            <w:fldChar w:fldCharType="separate"/>
          </w:r>
          <w:r>
            <w:rPr>
              <w:sz w:val="24"/>
              <w:szCs w:val="24"/>
            </w:rPr>
            <w:t>242</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65ADE8E8">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_Toc22826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9.3.3声环境影响结论</w:t>
          </w:r>
          <w:r>
            <w:rPr>
              <w:sz w:val="24"/>
              <w:szCs w:val="24"/>
            </w:rPr>
            <w:tab/>
          </w:r>
          <w:r>
            <w:rPr>
              <w:sz w:val="24"/>
              <w:szCs w:val="24"/>
            </w:rPr>
            <w:fldChar w:fldCharType="begin"/>
          </w:r>
          <w:r>
            <w:rPr>
              <w:sz w:val="24"/>
              <w:szCs w:val="24"/>
            </w:rPr>
            <w:instrText xml:space="preserve"> PAGEREF _Toc22826 \h </w:instrText>
          </w:r>
          <w:r>
            <w:rPr>
              <w:sz w:val="24"/>
              <w:szCs w:val="24"/>
            </w:rPr>
            <w:fldChar w:fldCharType="separate"/>
          </w:r>
          <w:r>
            <w:rPr>
              <w:sz w:val="24"/>
              <w:szCs w:val="24"/>
            </w:rPr>
            <w:t>242</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4A93B993">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_Toc28800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9.3.4水环境影响评价结论</w:t>
          </w:r>
          <w:r>
            <w:rPr>
              <w:sz w:val="24"/>
              <w:szCs w:val="24"/>
            </w:rPr>
            <w:tab/>
          </w:r>
          <w:r>
            <w:rPr>
              <w:sz w:val="24"/>
              <w:szCs w:val="24"/>
            </w:rPr>
            <w:fldChar w:fldCharType="begin"/>
          </w:r>
          <w:r>
            <w:rPr>
              <w:sz w:val="24"/>
              <w:szCs w:val="24"/>
            </w:rPr>
            <w:instrText xml:space="preserve"> PAGEREF _Toc28800 \h </w:instrText>
          </w:r>
          <w:r>
            <w:rPr>
              <w:sz w:val="24"/>
              <w:szCs w:val="24"/>
            </w:rPr>
            <w:fldChar w:fldCharType="separate"/>
          </w:r>
          <w:r>
            <w:rPr>
              <w:sz w:val="24"/>
              <w:szCs w:val="24"/>
            </w:rPr>
            <w:t>242</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58268ADE">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_Toc32130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9.3.5固废影响分析结论</w:t>
          </w:r>
          <w:r>
            <w:rPr>
              <w:sz w:val="24"/>
              <w:szCs w:val="24"/>
            </w:rPr>
            <w:tab/>
          </w:r>
          <w:r>
            <w:rPr>
              <w:sz w:val="24"/>
              <w:szCs w:val="24"/>
            </w:rPr>
            <w:fldChar w:fldCharType="begin"/>
          </w:r>
          <w:r>
            <w:rPr>
              <w:sz w:val="24"/>
              <w:szCs w:val="24"/>
            </w:rPr>
            <w:instrText xml:space="preserve"> PAGEREF _Toc32130 \h </w:instrText>
          </w:r>
          <w:r>
            <w:rPr>
              <w:sz w:val="24"/>
              <w:szCs w:val="24"/>
            </w:rPr>
            <w:fldChar w:fldCharType="separate"/>
          </w:r>
          <w:r>
            <w:rPr>
              <w:sz w:val="24"/>
              <w:szCs w:val="24"/>
            </w:rPr>
            <w:t>242</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28311B57">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_Toc30687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kern w:val="0"/>
              <w:sz w:val="24"/>
              <w:szCs w:val="24"/>
              <w:lang w:val="en-US" w:eastAsia="zh-CN"/>
            </w:rPr>
            <w:t>9.4污染防治措施</w:t>
          </w:r>
          <w:r>
            <w:rPr>
              <w:sz w:val="24"/>
              <w:szCs w:val="24"/>
            </w:rPr>
            <w:tab/>
          </w:r>
          <w:r>
            <w:rPr>
              <w:sz w:val="24"/>
              <w:szCs w:val="24"/>
            </w:rPr>
            <w:fldChar w:fldCharType="begin"/>
          </w:r>
          <w:r>
            <w:rPr>
              <w:sz w:val="24"/>
              <w:szCs w:val="24"/>
            </w:rPr>
            <w:instrText xml:space="preserve"> PAGEREF _Toc30687 \h </w:instrText>
          </w:r>
          <w:r>
            <w:rPr>
              <w:sz w:val="24"/>
              <w:szCs w:val="24"/>
            </w:rPr>
            <w:fldChar w:fldCharType="separate"/>
          </w:r>
          <w:r>
            <w:rPr>
              <w:sz w:val="24"/>
              <w:szCs w:val="24"/>
            </w:rPr>
            <w:t>242</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5A29BD18">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_Toc5450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9.4.1大气污染防治措施</w:t>
          </w:r>
          <w:r>
            <w:rPr>
              <w:sz w:val="24"/>
              <w:szCs w:val="24"/>
            </w:rPr>
            <w:tab/>
          </w:r>
          <w:r>
            <w:rPr>
              <w:sz w:val="24"/>
              <w:szCs w:val="24"/>
            </w:rPr>
            <w:fldChar w:fldCharType="begin"/>
          </w:r>
          <w:r>
            <w:rPr>
              <w:sz w:val="24"/>
              <w:szCs w:val="24"/>
            </w:rPr>
            <w:instrText xml:space="preserve"> PAGEREF _Toc5450 \h </w:instrText>
          </w:r>
          <w:r>
            <w:rPr>
              <w:sz w:val="24"/>
              <w:szCs w:val="24"/>
            </w:rPr>
            <w:fldChar w:fldCharType="separate"/>
          </w:r>
          <w:r>
            <w:rPr>
              <w:sz w:val="24"/>
              <w:szCs w:val="24"/>
            </w:rPr>
            <w:t>242</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62512E8A">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_Toc1394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9.4.2水环境污染防治措施</w:t>
          </w:r>
          <w:r>
            <w:rPr>
              <w:sz w:val="24"/>
              <w:szCs w:val="24"/>
            </w:rPr>
            <w:tab/>
          </w:r>
          <w:r>
            <w:rPr>
              <w:sz w:val="24"/>
              <w:szCs w:val="24"/>
            </w:rPr>
            <w:fldChar w:fldCharType="begin"/>
          </w:r>
          <w:r>
            <w:rPr>
              <w:sz w:val="24"/>
              <w:szCs w:val="24"/>
            </w:rPr>
            <w:instrText xml:space="preserve"> PAGEREF _Toc1394 \h </w:instrText>
          </w:r>
          <w:r>
            <w:rPr>
              <w:sz w:val="24"/>
              <w:szCs w:val="24"/>
            </w:rPr>
            <w:fldChar w:fldCharType="separate"/>
          </w:r>
          <w:r>
            <w:rPr>
              <w:sz w:val="24"/>
              <w:szCs w:val="24"/>
            </w:rPr>
            <w:t>243</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00C79063">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_Toc20978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9.4.3声环境污染防治措施</w:t>
          </w:r>
          <w:r>
            <w:rPr>
              <w:sz w:val="24"/>
              <w:szCs w:val="24"/>
            </w:rPr>
            <w:tab/>
          </w:r>
          <w:r>
            <w:rPr>
              <w:sz w:val="24"/>
              <w:szCs w:val="24"/>
            </w:rPr>
            <w:fldChar w:fldCharType="begin"/>
          </w:r>
          <w:r>
            <w:rPr>
              <w:sz w:val="24"/>
              <w:szCs w:val="24"/>
            </w:rPr>
            <w:instrText xml:space="preserve"> PAGEREF _Toc20978 \h </w:instrText>
          </w:r>
          <w:r>
            <w:rPr>
              <w:sz w:val="24"/>
              <w:szCs w:val="24"/>
            </w:rPr>
            <w:fldChar w:fldCharType="separate"/>
          </w:r>
          <w:r>
            <w:rPr>
              <w:sz w:val="24"/>
              <w:szCs w:val="24"/>
            </w:rPr>
            <w:t>244</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42FEFFF7">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_Toc29433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9.4.4固体废物污染防治措施</w:t>
          </w:r>
          <w:r>
            <w:rPr>
              <w:sz w:val="24"/>
              <w:szCs w:val="24"/>
            </w:rPr>
            <w:tab/>
          </w:r>
          <w:r>
            <w:rPr>
              <w:sz w:val="24"/>
              <w:szCs w:val="24"/>
            </w:rPr>
            <w:fldChar w:fldCharType="begin"/>
          </w:r>
          <w:r>
            <w:rPr>
              <w:sz w:val="24"/>
              <w:szCs w:val="24"/>
            </w:rPr>
            <w:instrText xml:space="preserve"> PAGEREF _Toc29433 \h </w:instrText>
          </w:r>
          <w:r>
            <w:rPr>
              <w:sz w:val="24"/>
              <w:szCs w:val="24"/>
            </w:rPr>
            <w:fldChar w:fldCharType="separate"/>
          </w:r>
          <w:r>
            <w:rPr>
              <w:sz w:val="24"/>
              <w:szCs w:val="24"/>
            </w:rPr>
            <w:t>244</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3C3487AA">
          <w:pPr>
            <w:pStyle w:val="11"/>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_Toc9217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kern w:val="0"/>
              <w:sz w:val="24"/>
              <w:szCs w:val="24"/>
              <w:lang w:val="en-US" w:eastAsia="zh-CN"/>
            </w:rPr>
            <w:t>9.4.5生态恢复及治理措施</w:t>
          </w:r>
          <w:r>
            <w:rPr>
              <w:sz w:val="24"/>
              <w:szCs w:val="24"/>
            </w:rPr>
            <w:tab/>
          </w:r>
          <w:r>
            <w:rPr>
              <w:sz w:val="24"/>
              <w:szCs w:val="24"/>
            </w:rPr>
            <w:fldChar w:fldCharType="begin"/>
          </w:r>
          <w:r>
            <w:rPr>
              <w:sz w:val="24"/>
              <w:szCs w:val="24"/>
            </w:rPr>
            <w:instrText xml:space="preserve"> PAGEREF _Toc9217 \h </w:instrText>
          </w:r>
          <w:r>
            <w:rPr>
              <w:sz w:val="24"/>
              <w:szCs w:val="24"/>
            </w:rPr>
            <w:fldChar w:fldCharType="separate"/>
          </w:r>
          <w:r>
            <w:rPr>
              <w:sz w:val="24"/>
              <w:szCs w:val="24"/>
            </w:rPr>
            <w:t>245</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6A8D19C4">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_Toc7552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kern w:val="0"/>
              <w:sz w:val="24"/>
              <w:szCs w:val="24"/>
              <w:lang w:val="en-US" w:eastAsia="zh-CN"/>
            </w:rPr>
            <w:t>9.5环境风险防范措施</w:t>
          </w:r>
          <w:r>
            <w:rPr>
              <w:sz w:val="24"/>
              <w:szCs w:val="24"/>
            </w:rPr>
            <w:tab/>
          </w:r>
          <w:r>
            <w:rPr>
              <w:sz w:val="24"/>
              <w:szCs w:val="24"/>
            </w:rPr>
            <w:fldChar w:fldCharType="begin"/>
          </w:r>
          <w:r>
            <w:rPr>
              <w:sz w:val="24"/>
              <w:szCs w:val="24"/>
            </w:rPr>
            <w:instrText xml:space="preserve"> PAGEREF _Toc7552 \h </w:instrText>
          </w:r>
          <w:r>
            <w:rPr>
              <w:sz w:val="24"/>
              <w:szCs w:val="24"/>
            </w:rPr>
            <w:fldChar w:fldCharType="separate"/>
          </w:r>
          <w:r>
            <w:rPr>
              <w:sz w:val="24"/>
              <w:szCs w:val="24"/>
            </w:rPr>
            <w:t>245</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608483AB">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_Toc28781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kern w:val="0"/>
              <w:sz w:val="24"/>
              <w:szCs w:val="24"/>
              <w:lang w:val="en-US" w:eastAsia="zh-CN"/>
            </w:rPr>
            <w:t>9.6公众意见采纳情况</w:t>
          </w:r>
          <w:r>
            <w:rPr>
              <w:sz w:val="24"/>
              <w:szCs w:val="24"/>
            </w:rPr>
            <w:tab/>
          </w:r>
          <w:r>
            <w:rPr>
              <w:sz w:val="24"/>
              <w:szCs w:val="24"/>
            </w:rPr>
            <w:fldChar w:fldCharType="begin"/>
          </w:r>
          <w:r>
            <w:rPr>
              <w:sz w:val="24"/>
              <w:szCs w:val="24"/>
            </w:rPr>
            <w:instrText xml:space="preserve"> PAGEREF _Toc28781 \h </w:instrText>
          </w:r>
          <w:r>
            <w:rPr>
              <w:sz w:val="24"/>
              <w:szCs w:val="24"/>
            </w:rPr>
            <w:fldChar w:fldCharType="separate"/>
          </w:r>
          <w:r>
            <w:rPr>
              <w:sz w:val="24"/>
              <w:szCs w:val="24"/>
            </w:rPr>
            <w:t>245</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2B288121">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_Toc18905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kern w:val="0"/>
              <w:sz w:val="24"/>
              <w:szCs w:val="24"/>
              <w:lang w:val="en-US" w:eastAsia="zh-CN"/>
            </w:rPr>
            <w:t>9.7环境影响经济损益分</w:t>
          </w:r>
          <w:r>
            <w:rPr>
              <w:rFonts w:hint="default" w:ascii="Times New Roman" w:hAnsi="Times New Roman" w:eastAsia="华文中宋" w:cs="Times New Roman"/>
              <w:snapToGrid w:val="0"/>
              <w:kern w:val="0"/>
              <w:sz w:val="24"/>
              <w:szCs w:val="24"/>
              <w:highlight w:val="none"/>
              <w:lang w:val="en-US" w:eastAsia="zh-CN"/>
            </w:rPr>
            <w:t>析</w:t>
          </w:r>
          <w:r>
            <w:rPr>
              <w:sz w:val="24"/>
              <w:szCs w:val="24"/>
            </w:rPr>
            <w:tab/>
          </w:r>
          <w:r>
            <w:rPr>
              <w:sz w:val="24"/>
              <w:szCs w:val="24"/>
            </w:rPr>
            <w:fldChar w:fldCharType="begin"/>
          </w:r>
          <w:r>
            <w:rPr>
              <w:sz w:val="24"/>
              <w:szCs w:val="24"/>
            </w:rPr>
            <w:instrText xml:space="preserve"> PAGEREF _Toc18905 \h </w:instrText>
          </w:r>
          <w:r>
            <w:rPr>
              <w:sz w:val="24"/>
              <w:szCs w:val="24"/>
            </w:rPr>
            <w:fldChar w:fldCharType="separate"/>
          </w:r>
          <w:r>
            <w:rPr>
              <w:sz w:val="24"/>
              <w:szCs w:val="24"/>
            </w:rPr>
            <w:t>246</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42C6CF5C">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_Toc21929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kern w:val="0"/>
              <w:sz w:val="24"/>
              <w:szCs w:val="24"/>
              <w:lang w:val="en-US" w:eastAsia="zh-CN"/>
            </w:rPr>
            <w:t>9.8环境管理与监测计划</w:t>
          </w:r>
          <w:r>
            <w:rPr>
              <w:sz w:val="24"/>
              <w:szCs w:val="24"/>
            </w:rPr>
            <w:tab/>
          </w:r>
          <w:r>
            <w:rPr>
              <w:sz w:val="24"/>
              <w:szCs w:val="24"/>
            </w:rPr>
            <w:fldChar w:fldCharType="begin"/>
          </w:r>
          <w:r>
            <w:rPr>
              <w:sz w:val="24"/>
              <w:szCs w:val="24"/>
            </w:rPr>
            <w:instrText xml:space="preserve"> PAGEREF _Toc21929 \h </w:instrText>
          </w:r>
          <w:r>
            <w:rPr>
              <w:sz w:val="24"/>
              <w:szCs w:val="24"/>
            </w:rPr>
            <w:fldChar w:fldCharType="separate"/>
          </w:r>
          <w:r>
            <w:rPr>
              <w:sz w:val="24"/>
              <w:szCs w:val="24"/>
            </w:rPr>
            <w:t>246</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3688CE94">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_Toc32237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kern w:val="0"/>
              <w:sz w:val="24"/>
              <w:szCs w:val="24"/>
              <w:lang w:val="en-US" w:eastAsia="zh-CN"/>
            </w:rPr>
            <w:t>9.9环境影响可行性结论</w:t>
          </w:r>
          <w:r>
            <w:rPr>
              <w:sz w:val="24"/>
              <w:szCs w:val="24"/>
            </w:rPr>
            <w:tab/>
          </w:r>
          <w:r>
            <w:rPr>
              <w:sz w:val="24"/>
              <w:szCs w:val="24"/>
            </w:rPr>
            <w:fldChar w:fldCharType="begin"/>
          </w:r>
          <w:r>
            <w:rPr>
              <w:sz w:val="24"/>
              <w:szCs w:val="24"/>
            </w:rPr>
            <w:instrText xml:space="preserve"> PAGEREF _Toc32237 \h </w:instrText>
          </w:r>
          <w:r>
            <w:rPr>
              <w:sz w:val="24"/>
              <w:szCs w:val="24"/>
            </w:rPr>
            <w:fldChar w:fldCharType="separate"/>
          </w:r>
          <w:r>
            <w:rPr>
              <w:sz w:val="24"/>
              <w:szCs w:val="24"/>
            </w:rPr>
            <w:t>246</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33F0EAF8">
          <w:pPr>
            <w:pStyle w:val="16"/>
            <w:tabs>
              <w:tab w:val="right" w:leader="dot" w:pos="8306"/>
            </w:tabs>
            <w:spacing w:line="360" w:lineRule="auto"/>
            <w:rPr>
              <w:sz w:val="24"/>
              <w:szCs w:val="24"/>
            </w:rPr>
          </w:pPr>
          <w:r>
            <w:rPr>
              <w:rFonts w:hint="default" w:ascii="Times New Roman" w:hAnsi="Times New Roman" w:cs="Times New Roman" w:eastAsiaTheme="minorEastAsia"/>
              <w:bCs w:val="0"/>
              <w:kern w:val="2"/>
              <w:sz w:val="24"/>
              <w:szCs w:val="24"/>
              <w:lang w:val="en-US" w:eastAsia="zh-CN" w:bidi="ar-SA"/>
            </w:rPr>
            <w:fldChar w:fldCharType="begin"/>
          </w:r>
          <w:r>
            <w:rPr>
              <w:rFonts w:hint="default" w:ascii="Times New Roman" w:hAnsi="Times New Roman" w:cs="Times New Roman" w:eastAsiaTheme="minorEastAsia"/>
              <w:bCs w:val="0"/>
              <w:kern w:val="2"/>
              <w:sz w:val="24"/>
              <w:szCs w:val="24"/>
              <w:lang w:val="en-US" w:eastAsia="zh-CN" w:bidi="ar-SA"/>
            </w:rPr>
            <w:instrText xml:space="preserve"> HYPERLINK \l _Toc9784 </w:instrText>
          </w:r>
          <w:r>
            <w:rPr>
              <w:rFonts w:hint="default" w:ascii="Times New Roman" w:hAnsi="Times New Roman" w:cs="Times New Roman" w:eastAsiaTheme="minorEastAsia"/>
              <w:bCs w:val="0"/>
              <w:kern w:val="2"/>
              <w:sz w:val="24"/>
              <w:szCs w:val="24"/>
              <w:lang w:val="en-US" w:eastAsia="zh-CN" w:bidi="ar-SA"/>
            </w:rPr>
            <w:fldChar w:fldCharType="separate"/>
          </w:r>
          <w:r>
            <w:rPr>
              <w:rFonts w:hint="default" w:ascii="Times New Roman" w:hAnsi="Times New Roman" w:eastAsia="华文中宋" w:cs="Times New Roman"/>
              <w:snapToGrid w:val="0"/>
              <w:kern w:val="0"/>
              <w:sz w:val="24"/>
              <w:szCs w:val="24"/>
              <w:lang w:val="en-US" w:eastAsia="zh-CN"/>
            </w:rPr>
            <w:t>9.10要求与建议</w:t>
          </w:r>
          <w:r>
            <w:rPr>
              <w:sz w:val="24"/>
              <w:szCs w:val="24"/>
            </w:rPr>
            <w:tab/>
          </w:r>
          <w:r>
            <w:rPr>
              <w:sz w:val="24"/>
              <w:szCs w:val="24"/>
            </w:rPr>
            <w:fldChar w:fldCharType="begin"/>
          </w:r>
          <w:r>
            <w:rPr>
              <w:sz w:val="24"/>
              <w:szCs w:val="24"/>
            </w:rPr>
            <w:instrText xml:space="preserve"> PAGEREF _Toc9784 \h </w:instrText>
          </w:r>
          <w:r>
            <w:rPr>
              <w:sz w:val="24"/>
              <w:szCs w:val="24"/>
            </w:rPr>
            <w:fldChar w:fldCharType="separate"/>
          </w:r>
          <w:r>
            <w:rPr>
              <w:sz w:val="24"/>
              <w:szCs w:val="24"/>
            </w:rPr>
            <w:t>246</w:t>
          </w:r>
          <w:r>
            <w:rPr>
              <w:sz w:val="24"/>
              <w:szCs w:val="24"/>
            </w:rPr>
            <w:fldChar w:fldCharType="end"/>
          </w:r>
          <w:r>
            <w:rPr>
              <w:rFonts w:hint="default" w:ascii="Times New Roman" w:hAnsi="Times New Roman" w:cs="Times New Roman" w:eastAsiaTheme="minorEastAsia"/>
              <w:bCs w:val="0"/>
              <w:kern w:val="2"/>
              <w:sz w:val="24"/>
              <w:szCs w:val="24"/>
              <w:lang w:val="en-US" w:eastAsia="zh-CN" w:bidi="ar-SA"/>
            </w:rPr>
            <w:fldChar w:fldCharType="end"/>
          </w:r>
        </w:p>
        <w:p w14:paraId="632E792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eastAsiaTheme="minorEastAsia"/>
              <w:bCs/>
              <w:kern w:val="2"/>
              <w:sz w:val="21"/>
              <w:szCs w:val="30"/>
              <w:lang w:val="en-US" w:eastAsia="zh-CN" w:bidi="ar-SA"/>
            </w:rPr>
          </w:pPr>
          <w:r>
            <w:rPr>
              <w:rFonts w:hint="default" w:ascii="Times New Roman" w:hAnsi="Times New Roman" w:cs="Times New Roman" w:eastAsiaTheme="minorEastAsia"/>
              <w:bCs w:val="0"/>
              <w:kern w:val="2"/>
              <w:sz w:val="24"/>
              <w:szCs w:val="24"/>
              <w:lang w:val="en-US" w:eastAsia="zh-CN" w:bidi="ar-SA"/>
            </w:rPr>
            <w:fldChar w:fldCharType="end"/>
          </w:r>
        </w:p>
      </w:sdtContent>
    </w:sdt>
    <w:p w14:paraId="550BD69F">
      <w:pPr>
        <w:jc w:val="center"/>
        <w:outlineLvl w:val="9"/>
        <w:rPr>
          <w:rFonts w:hint="default" w:ascii="Times New Roman" w:hAnsi="Times New Roman" w:cs="Times New Roman" w:eastAsiaTheme="minorEastAsia"/>
          <w:bCs/>
          <w:kern w:val="2"/>
          <w:sz w:val="21"/>
          <w:szCs w:val="30"/>
          <w:lang w:val="en-US" w:eastAsia="zh-CN" w:bidi="ar-SA"/>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720" w:num="1"/>
          <w:rtlGutter w:val="0"/>
          <w:docGrid w:linePitch="312" w:charSpace="0"/>
        </w:sectPr>
      </w:pPr>
    </w:p>
    <w:p w14:paraId="7F833B4E">
      <w:pPr>
        <w:pStyle w:val="2"/>
        <w:pageBreakBefore/>
        <w:spacing w:before="241" w:beforeLines="50" w:after="241" w:afterLines="50" w:line="560" w:lineRule="exact"/>
        <w:ind w:left="554" w:hanging="555" w:hangingChars="152"/>
        <w:rPr>
          <w:rFonts w:hint="default" w:ascii="Times New Roman" w:hAnsi="Times New Roman" w:eastAsia="华文中宋" w:cs="Times New Roman"/>
          <w:snapToGrid w:val="0"/>
          <w:spacing w:val="2"/>
          <w:sz w:val="36"/>
          <w:szCs w:val="44"/>
          <w:lang w:val="en-US" w:eastAsia="zh-CN"/>
        </w:rPr>
      </w:pPr>
      <w:bookmarkStart w:id="0" w:name="_Toc6651"/>
      <w:bookmarkStart w:id="1" w:name="_Toc11409"/>
      <w:r>
        <w:rPr>
          <w:rFonts w:hint="default" w:ascii="Times New Roman" w:hAnsi="Times New Roman" w:eastAsia="华文中宋" w:cs="Times New Roman"/>
          <w:snapToGrid w:val="0"/>
          <w:spacing w:val="2"/>
          <w:sz w:val="36"/>
          <w:szCs w:val="44"/>
          <w:lang w:val="en-US" w:eastAsia="zh-CN"/>
        </w:rPr>
        <w:t>1概述</w:t>
      </w:r>
      <w:bookmarkEnd w:id="0"/>
      <w:bookmarkEnd w:id="1"/>
    </w:p>
    <w:p w14:paraId="10D03E25">
      <w:pPr>
        <w:pStyle w:val="3"/>
        <w:spacing w:before="120" w:after="120" w:line="500" w:lineRule="exact"/>
        <w:ind w:left="375" w:hanging="375" w:firstLineChars="0"/>
        <w:contextualSpacing/>
        <w:rPr>
          <w:rFonts w:hint="default" w:ascii="Times New Roman" w:hAnsi="Times New Roman" w:eastAsia="华文中宋" w:cs="Times New Roman"/>
          <w:snapToGrid w:val="0"/>
          <w:kern w:val="0"/>
          <w:sz w:val="28"/>
          <w:szCs w:val="28"/>
          <w:lang w:val="en-US" w:eastAsia="zh-CN"/>
        </w:rPr>
      </w:pPr>
      <w:bookmarkStart w:id="2" w:name="_Toc14886"/>
      <w:bookmarkStart w:id="3" w:name="_Toc16915"/>
      <w:r>
        <w:rPr>
          <w:rFonts w:hint="default" w:ascii="Times New Roman" w:hAnsi="Times New Roman" w:eastAsia="华文中宋" w:cs="Times New Roman"/>
          <w:snapToGrid w:val="0"/>
          <w:kern w:val="0"/>
          <w:sz w:val="28"/>
          <w:szCs w:val="28"/>
          <w:lang w:val="en-US" w:eastAsia="zh-CN"/>
        </w:rPr>
        <w:t>1.1建设项目背景</w:t>
      </w:r>
      <w:bookmarkEnd w:id="2"/>
      <w:bookmarkEnd w:id="3"/>
    </w:p>
    <w:p w14:paraId="2142C25E">
      <w:pPr>
        <w:adjustRightInd w:val="0"/>
        <w:snapToGrid w:val="0"/>
        <w:spacing w:line="500" w:lineRule="exact"/>
        <w:ind w:firstLine="480" w:firstLineChars="200"/>
        <w:jc w:val="left"/>
        <w:rPr>
          <w:rFonts w:hint="default" w:ascii="Times New Roman" w:hAnsi="Times New Roman" w:eastAsia="华文中宋" w:cs="Times New Roman"/>
          <w:sz w:val="24"/>
        </w:rPr>
      </w:pPr>
      <w:r>
        <w:rPr>
          <w:rFonts w:hint="eastAsia" w:ascii="Times New Roman" w:hAnsi="Times New Roman" w:eastAsia="华文中宋" w:cs="Times New Roman"/>
          <w:sz w:val="24"/>
          <w:lang w:val="en-US" w:eastAsia="zh-CN"/>
        </w:rPr>
        <w:t>民丰县盼水河铅锑矿工程</w:t>
      </w:r>
      <w:r>
        <w:rPr>
          <w:rFonts w:hint="default" w:ascii="Times New Roman" w:hAnsi="Times New Roman" w:eastAsia="华文中宋" w:cs="Times New Roman"/>
          <w:sz w:val="24"/>
          <w:lang w:val="en-US" w:eastAsia="zh-CN"/>
        </w:rPr>
        <w:t>项目</w:t>
      </w:r>
      <w:r>
        <w:rPr>
          <w:rFonts w:hint="default" w:ascii="Times New Roman" w:hAnsi="Times New Roman" w:eastAsia="华文中宋" w:cs="Times New Roman"/>
          <w:sz w:val="24"/>
          <w:lang w:eastAsia="zh-CN"/>
        </w:rPr>
        <w:t>位于民丰县城</w:t>
      </w:r>
      <w:r>
        <w:rPr>
          <w:rFonts w:hint="default" w:ascii="Times New Roman" w:hAnsi="Times New Roman" w:eastAsia="华文中宋" w:cs="Times New Roman"/>
          <w:sz w:val="24"/>
          <w:lang w:val="en-US" w:eastAsia="zh-CN"/>
        </w:rPr>
        <w:t>170</w:t>
      </w:r>
      <w:r>
        <w:rPr>
          <w:rFonts w:hint="default" w:ascii="Times New Roman" w:hAnsi="Times New Roman" w:eastAsia="华文中宋" w:cs="Times New Roman"/>
          <w:sz w:val="24"/>
          <w:lang w:eastAsia="zh-CN"/>
        </w:rPr>
        <w:t>°方向、直距约</w:t>
      </w:r>
      <w:r>
        <w:rPr>
          <w:rFonts w:hint="default" w:ascii="Times New Roman" w:hAnsi="Times New Roman" w:eastAsia="华文中宋" w:cs="Times New Roman"/>
          <w:sz w:val="24"/>
          <w:lang w:val="en-US" w:eastAsia="zh-CN"/>
        </w:rPr>
        <w:t>140</w:t>
      </w:r>
      <w:r>
        <w:rPr>
          <w:rFonts w:hint="default" w:ascii="Times New Roman" w:hAnsi="Times New Roman" w:eastAsia="华文中宋" w:cs="Times New Roman"/>
          <w:sz w:val="24"/>
          <w:lang w:eastAsia="zh-CN"/>
        </w:rPr>
        <w:t>千米处，行政区划隶属和田地区民丰县管辖。</w:t>
      </w:r>
    </w:p>
    <w:p w14:paraId="246BF365">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eastAsia" w:ascii="Times New Roman" w:hAnsi="Times New Roman" w:eastAsia="华文中宋" w:cs="Times New Roman"/>
          <w:b/>
          <w:szCs w:val="21"/>
          <w:lang w:val="en-US" w:eastAsia="zh-CN"/>
        </w:rPr>
        <w:t>表1.1-1  矿区拐点坐标一览表  （2000国家大地坐标系）</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5"/>
        <w:gridCol w:w="3906"/>
        <w:gridCol w:w="2841"/>
      </w:tblGrid>
      <w:tr w14:paraId="6E9DF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5" w:type="dxa"/>
          </w:tcPr>
          <w:p w14:paraId="05B1D2C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序号</w:t>
            </w:r>
          </w:p>
        </w:tc>
        <w:tc>
          <w:tcPr>
            <w:tcW w:w="3906" w:type="dxa"/>
          </w:tcPr>
          <w:p w14:paraId="1852A01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X坐标</w:t>
            </w:r>
          </w:p>
        </w:tc>
        <w:tc>
          <w:tcPr>
            <w:tcW w:w="2841" w:type="dxa"/>
          </w:tcPr>
          <w:p w14:paraId="6DB82B2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Y坐标</w:t>
            </w:r>
          </w:p>
        </w:tc>
      </w:tr>
      <w:tr w14:paraId="1006B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5" w:type="dxa"/>
          </w:tcPr>
          <w:p w14:paraId="094ECF5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w:t>
            </w:r>
          </w:p>
        </w:tc>
        <w:tc>
          <w:tcPr>
            <w:tcW w:w="3906" w:type="dxa"/>
          </w:tcPr>
          <w:p w14:paraId="04F2367E">
            <w:pPr>
              <w:spacing w:line="300" w:lineRule="exact"/>
              <w:jc w:val="center"/>
              <w:rPr>
                <w:rFonts w:hint="default" w:ascii="Times New Roman" w:hAnsi="Times New Roman" w:eastAsia="华文中宋" w:cs="Times New Roman"/>
                <w:szCs w:val="21"/>
                <w:lang w:val="en-US" w:eastAsia="zh-CN"/>
              </w:rPr>
            </w:pPr>
          </w:p>
        </w:tc>
        <w:tc>
          <w:tcPr>
            <w:tcW w:w="2841" w:type="dxa"/>
          </w:tcPr>
          <w:p w14:paraId="5A4EFFEF">
            <w:pPr>
              <w:spacing w:line="300" w:lineRule="exact"/>
              <w:jc w:val="center"/>
              <w:rPr>
                <w:rFonts w:hint="default" w:ascii="Times New Roman" w:hAnsi="Times New Roman" w:eastAsia="华文中宋" w:cs="Times New Roman"/>
                <w:szCs w:val="21"/>
                <w:lang w:val="en-US" w:eastAsia="zh-CN"/>
              </w:rPr>
            </w:pPr>
          </w:p>
        </w:tc>
      </w:tr>
      <w:tr w14:paraId="38C75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5" w:type="dxa"/>
          </w:tcPr>
          <w:p w14:paraId="0C71784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w:t>
            </w:r>
          </w:p>
        </w:tc>
        <w:tc>
          <w:tcPr>
            <w:tcW w:w="3906" w:type="dxa"/>
          </w:tcPr>
          <w:p w14:paraId="5F0E4853">
            <w:pPr>
              <w:spacing w:line="300" w:lineRule="exact"/>
              <w:jc w:val="center"/>
              <w:rPr>
                <w:rFonts w:hint="default" w:ascii="Times New Roman" w:hAnsi="Times New Roman" w:eastAsia="华文中宋" w:cs="Times New Roman"/>
                <w:szCs w:val="21"/>
                <w:lang w:val="en-US" w:eastAsia="zh-CN"/>
              </w:rPr>
            </w:pPr>
          </w:p>
        </w:tc>
        <w:tc>
          <w:tcPr>
            <w:tcW w:w="2841" w:type="dxa"/>
          </w:tcPr>
          <w:p w14:paraId="10AED004">
            <w:pPr>
              <w:spacing w:line="300" w:lineRule="exact"/>
              <w:jc w:val="center"/>
              <w:rPr>
                <w:rFonts w:hint="default" w:ascii="Times New Roman" w:hAnsi="Times New Roman" w:eastAsia="华文中宋" w:cs="Times New Roman"/>
                <w:szCs w:val="21"/>
                <w:lang w:val="en-US" w:eastAsia="zh-CN"/>
              </w:rPr>
            </w:pPr>
          </w:p>
        </w:tc>
      </w:tr>
      <w:tr w14:paraId="4D381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5" w:type="dxa"/>
          </w:tcPr>
          <w:p w14:paraId="321D0E9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w:t>
            </w:r>
          </w:p>
        </w:tc>
        <w:tc>
          <w:tcPr>
            <w:tcW w:w="3906" w:type="dxa"/>
          </w:tcPr>
          <w:p w14:paraId="36AE23F3">
            <w:pPr>
              <w:spacing w:line="300" w:lineRule="exact"/>
              <w:jc w:val="center"/>
              <w:rPr>
                <w:rFonts w:hint="default" w:ascii="Times New Roman" w:hAnsi="Times New Roman" w:eastAsia="华文中宋" w:cs="Times New Roman"/>
                <w:szCs w:val="21"/>
                <w:lang w:val="en-US" w:eastAsia="zh-CN"/>
              </w:rPr>
            </w:pPr>
          </w:p>
        </w:tc>
        <w:tc>
          <w:tcPr>
            <w:tcW w:w="2841" w:type="dxa"/>
          </w:tcPr>
          <w:p w14:paraId="67C4B013">
            <w:pPr>
              <w:spacing w:line="300" w:lineRule="exact"/>
              <w:jc w:val="center"/>
              <w:rPr>
                <w:rFonts w:hint="default" w:ascii="Times New Roman" w:hAnsi="Times New Roman" w:eastAsia="华文中宋" w:cs="Times New Roman"/>
                <w:szCs w:val="21"/>
                <w:lang w:val="en-US" w:eastAsia="zh-CN"/>
              </w:rPr>
            </w:pPr>
          </w:p>
        </w:tc>
      </w:tr>
      <w:tr w14:paraId="44C23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5" w:type="dxa"/>
          </w:tcPr>
          <w:p w14:paraId="0244E57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4</w:t>
            </w:r>
          </w:p>
        </w:tc>
        <w:tc>
          <w:tcPr>
            <w:tcW w:w="3906" w:type="dxa"/>
          </w:tcPr>
          <w:p w14:paraId="3F1DA94A">
            <w:pPr>
              <w:spacing w:line="300" w:lineRule="exact"/>
              <w:jc w:val="center"/>
              <w:rPr>
                <w:rFonts w:hint="default" w:ascii="Times New Roman" w:hAnsi="Times New Roman" w:eastAsia="华文中宋" w:cs="Times New Roman"/>
                <w:szCs w:val="21"/>
                <w:lang w:val="en-US" w:eastAsia="zh-CN"/>
              </w:rPr>
            </w:pPr>
          </w:p>
        </w:tc>
        <w:tc>
          <w:tcPr>
            <w:tcW w:w="2841" w:type="dxa"/>
          </w:tcPr>
          <w:p w14:paraId="33F00D7E">
            <w:pPr>
              <w:spacing w:line="300" w:lineRule="exact"/>
              <w:jc w:val="center"/>
              <w:rPr>
                <w:rFonts w:hint="default" w:ascii="Times New Roman" w:hAnsi="Times New Roman" w:eastAsia="华文中宋" w:cs="Times New Roman"/>
                <w:szCs w:val="21"/>
                <w:lang w:val="en-US" w:eastAsia="zh-CN"/>
              </w:rPr>
            </w:pPr>
          </w:p>
        </w:tc>
      </w:tr>
      <w:tr w14:paraId="38673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5" w:type="dxa"/>
          </w:tcPr>
          <w:p w14:paraId="47B6E8B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w:t>
            </w:r>
          </w:p>
        </w:tc>
        <w:tc>
          <w:tcPr>
            <w:tcW w:w="3906" w:type="dxa"/>
          </w:tcPr>
          <w:p w14:paraId="6D692678">
            <w:pPr>
              <w:spacing w:line="300" w:lineRule="exact"/>
              <w:jc w:val="center"/>
              <w:rPr>
                <w:rFonts w:hint="default" w:ascii="Times New Roman" w:hAnsi="Times New Roman" w:eastAsia="华文中宋" w:cs="Times New Roman"/>
                <w:szCs w:val="21"/>
                <w:lang w:val="en-US" w:eastAsia="zh-CN"/>
              </w:rPr>
            </w:pPr>
          </w:p>
        </w:tc>
        <w:tc>
          <w:tcPr>
            <w:tcW w:w="2841" w:type="dxa"/>
          </w:tcPr>
          <w:p w14:paraId="7D535C04">
            <w:pPr>
              <w:spacing w:line="300" w:lineRule="exact"/>
              <w:jc w:val="center"/>
              <w:rPr>
                <w:rFonts w:hint="default" w:ascii="Times New Roman" w:hAnsi="Times New Roman" w:eastAsia="华文中宋" w:cs="Times New Roman"/>
                <w:szCs w:val="21"/>
                <w:lang w:val="en-US" w:eastAsia="zh-CN"/>
              </w:rPr>
            </w:pPr>
          </w:p>
        </w:tc>
      </w:tr>
      <w:tr w14:paraId="3759A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5" w:type="dxa"/>
          </w:tcPr>
          <w:p w14:paraId="15336BE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6</w:t>
            </w:r>
          </w:p>
        </w:tc>
        <w:tc>
          <w:tcPr>
            <w:tcW w:w="3906" w:type="dxa"/>
          </w:tcPr>
          <w:p w14:paraId="72270FFB">
            <w:pPr>
              <w:spacing w:line="300" w:lineRule="exact"/>
              <w:jc w:val="center"/>
              <w:rPr>
                <w:rFonts w:hint="default" w:ascii="Times New Roman" w:hAnsi="Times New Roman" w:eastAsia="华文中宋" w:cs="Times New Roman"/>
                <w:szCs w:val="21"/>
                <w:lang w:val="en-US" w:eastAsia="zh-CN"/>
              </w:rPr>
            </w:pPr>
          </w:p>
        </w:tc>
        <w:tc>
          <w:tcPr>
            <w:tcW w:w="2841" w:type="dxa"/>
          </w:tcPr>
          <w:p w14:paraId="40DEFBE1">
            <w:pPr>
              <w:spacing w:line="300" w:lineRule="exact"/>
              <w:jc w:val="center"/>
              <w:rPr>
                <w:rFonts w:hint="default" w:ascii="Times New Roman" w:hAnsi="Times New Roman" w:eastAsia="华文中宋" w:cs="Times New Roman"/>
                <w:szCs w:val="21"/>
                <w:lang w:val="en-US" w:eastAsia="zh-CN"/>
              </w:rPr>
            </w:pPr>
          </w:p>
        </w:tc>
      </w:tr>
    </w:tbl>
    <w:p w14:paraId="6AA4128D">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矿山自2013年取得采矿许可证以来未进行过建设及开采，</w:t>
      </w:r>
      <w:r>
        <w:rPr>
          <w:rFonts w:hint="default" w:ascii="Times New Roman" w:hAnsi="Times New Roman" w:eastAsia="华文中宋" w:cs="Times New Roman"/>
          <w:sz w:val="24"/>
          <w:lang w:eastAsia="zh-CN"/>
        </w:rPr>
        <w:t>民丰县万水源矿业有限责任公司为迎合市场需求和降低开采成本，委托</w:t>
      </w:r>
      <w:r>
        <w:rPr>
          <w:rFonts w:hint="default" w:ascii="Times New Roman" w:hAnsi="Times New Roman" w:eastAsia="华文中宋" w:cs="Times New Roman"/>
          <w:sz w:val="24"/>
          <w:lang w:val="en-US" w:eastAsia="zh-CN"/>
        </w:rPr>
        <w:t>新疆普勘地矿技术有限公司重新进行开采设计</w:t>
      </w:r>
      <w:r>
        <w:rPr>
          <w:rFonts w:hint="default" w:ascii="Times New Roman" w:hAnsi="Times New Roman" w:eastAsia="华文中宋" w:cs="Times New Roman"/>
          <w:sz w:val="24"/>
          <w:lang w:eastAsia="zh-CN"/>
        </w:rPr>
        <w:t>，开采方式由</w:t>
      </w:r>
      <w:r>
        <w:rPr>
          <w:rFonts w:hint="eastAsia" w:ascii="Times New Roman" w:hAnsi="Times New Roman" w:eastAsia="华文中宋" w:cs="Times New Roman"/>
          <w:sz w:val="24"/>
          <w:lang w:eastAsia="zh-CN"/>
        </w:rPr>
        <w:t>“地下开采”</w:t>
      </w:r>
      <w:r>
        <w:rPr>
          <w:rFonts w:hint="default" w:ascii="Times New Roman" w:hAnsi="Times New Roman" w:eastAsia="华文中宋" w:cs="Times New Roman"/>
          <w:sz w:val="24"/>
          <w:lang w:eastAsia="zh-CN"/>
        </w:rPr>
        <w:t>变更为</w:t>
      </w:r>
      <w:r>
        <w:rPr>
          <w:rFonts w:hint="eastAsia" w:ascii="Times New Roman" w:hAnsi="Times New Roman" w:eastAsia="华文中宋" w:cs="Times New Roman"/>
          <w:sz w:val="24"/>
          <w:lang w:eastAsia="zh-CN"/>
        </w:rPr>
        <w:t>“露天开采”</w:t>
      </w:r>
      <w:r>
        <w:rPr>
          <w:rFonts w:hint="default" w:ascii="Times New Roman" w:hAnsi="Times New Roman" w:eastAsia="华文中宋" w:cs="Times New Roman"/>
          <w:sz w:val="24"/>
          <w:lang w:eastAsia="zh-CN"/>
        </w:rPr>
        <w:t>，</w:t>
      </w:r>
      <w:r>
        <w:rPr>
          <w:rFonts w:hint="default" w:ascii="Times New Roman" w:hAnsi="Times New Roman" w:eastAsia="华文中宋" w:cs="Times New Roman"/>
          <w:sz w:val="24"/>
          <w:lang w:val="en-US" w:eastAsia="zh-CN"/>
        </w:rPr>
        <w:t>开采</w:t>
      </w:r>
      <w:r>
        <w:rPr>
          <w:rFonts w:hint="default" w:ascii="Times New Roman" w:hAnsi="Times New Roman" w:eastAsia="华文中宋" w:cs="Times New Roman"/>
          <w:sz w:val="24"/>
          <w:lang w:eastAsia="zh-CN"/>
        </w:rPr>
        <w:t>规模由</w:t>
      </w:r>
      <w:r>
        <w:rPr>
          <w:rFonts w:hint="eastAsia" w:ascii="Times New Roman" w:hAnsi="Times New Roman" w:eastAsia="华文中宋" w:cs="Times New Roman"/>
          <w:sz w:val="24"/>
          <w:lang w:eastAsia="zh-CN"/>
        </w:rPr>
        <w:t>“</w:t>
      </w:r>
      <w:r>
        <w:rPr>
          <w:rFonts w:hint="eastAsia" w:ascii="Times New Roman" w:hAnsi="Times New Roman" w:eastAsia="华文中宋" w:cs="Times New Roman"/>
          <w:sz w:val="24"/>
          <w:lang w:val="en-US" w:eastAsia="zh-CN"/>
        </w:rPr>
        <w:t>8万吨/年</w:t>
      </w:r>
      <w:r>
        <w:rPr>
          <w:rFonts w:hint="eastAsia" w:ascii="Times New Roman" w:hAnsi="Times New Roman" w:eastAsia="华文中宋" w:cs="Times New Roman"/>
          <w:sz w:val="24"/>
          <w:lang w:eastAsia="zh-CN"/>
        </w:rPr>
        <w:t>”</w:t>
      </w:r>
      <w:r>
        <w:rPr>
          <w:rFonts w:hint="default" w:ascii="Times New Roman" w:hAnsi="Times New Roman" w:eastAsia="华文中宋" w:cs="Times New Roman"/>
          <w:sz w:val="24"/>
          <w:lang w:val="en-US" w:eastAsia="zh-CN"/>
        </w:rPr>
        <w:t>变更为</w:t>
      </w:r>
      <w:r>
        <w:rPr>
          <w:rFonts w:hint="eastAsia" w:ascii="Times New Roman" w:hAnsi="Times New Roman" w:eastAsia="华文中宋" w:cs="Times New Roman"/>
          <w:sz w:val="24"/>
          <w:lang w:eastAsia="zh-CN"/>
        </w:rPr>
        <w:t>“</w:t>
      </w:r>
      <w:r>
        <w:rPr>
          <w:rFonts w:hint="eastAsia" w:ascii="Times New Roman" w:hAnsi="Times New Roman" w:eastAsia="华文中宋" w:cs="Times New Roman"/>
          <w:sz w:val="24"/>
          <w:lang w:val="en-US" w:eastAsia="zh-CN"/>
        </w:rPr>
        <w:t>12万吨/年</w:t>
      </w:r>
      <w:r>
        <w:rPr>
          <w:rFonts w:hint="eastAsia" w:ascii="Times New Roman" w:hAnsi="Times New Roman" w:eastAsia="华文中宋" w:cs="Times New Roman"/>
          <w:sz w:val="24"/>
          <w:lang w:eastAsia="zh-CN"/>
        </w:rPr>
        <w:t>”</w:t>
      </w:r>
      <w:r>
        <w:rPr>
          <w:rFonts w:hint="default" w:ascii="Times New Roman" w:hAnsi="Times New Roman" w:eastAsia="华文中宋" w:cs="Times New Roman"/>
          <w:sz w:val="24"/>
          <w:lang w:eastAsia="zh-CN"/>
        </w:rPr>
        <w:t>，</w:t>
      </w:r>
      <w:r>
        <w:rPr>
          <w:rFonts w:hint="default" w:ascii="Times New Roman" w:hAnsi="Times New Roman" w:eastAsia="华文中宋" w:cs="Times New Roman"/>
          <w:sz w:val="24"/>
          <w:lang w:val="en-US" w:eastAsia="zh-CN"/>
        </w:rPr>
        <w:t>有效期限2024年02月18日</w:t>
      </w:r>
      <w:r>
        <w:rPr>
          <w:rFonts w:hint="eastAsia" w:ascii="Times New Roman" w:hAnsi="Times New Roman" w:eastAsia="华文中宋" w:cs="Times New Roman"/>
          <w:sz w:val="24"/>
          <w:lang w:val="en-US" w:eastAsia="zh-CN"/>
        </w:rPr>
        <w:t>—</w:t>
      </w:r>
      <w:r>
        <w:rPr>
          <w:rFonts w:hint="default" w:ascii="Times New Roman" w:hAnsi="Times New Roman" w:eastAsia="华文中宋" w:cs="Times New Roman"/>
          <w:sz w:val="24"/>
          <w:lang w:val="en-US" w:eastAsia="zh-CN"/>
        </w:rPr>
        <w:t>2029年02月18日。</w:t>
      </w:r>
      <w:r>
        <w:rPr>
          <w:rFonts w:hint="default" w:ascii="Times New Roman" w:hAnsi="Times New Roman" w:eastAsia="华文中宋" w:cs="Times New Roman"/>
          <w:sz w:val="24"/>
        </w:rPr>
        <w:t>根据新疆维吾尔自治区国土资源厅下发的</w:t>
      </w:r>
      <w:r>
        <w:rPr>
          <w:rFonts w:hint="default" w:ascii="Times New Roman" w:hAnsi="Times New Roman" w:eastAsia="华文中宋" w:cs="Times New Roman"/>
          <w:sz w:val="24"/>
          <w:lang w:eastAsia="zh-CN"/>
        </w:rPr>
        <w:t>民丰县万水源矿业有限责任公司新疆民丰县盼水河锑铅矿</w:t>
      </w:r>
      <w:r>
        <w:rPr>
          <w:rFonts w:hint="default" w:ascii="Times New Roman" w:hAnsi="Times New Roman" w:eastAsia="华文中宋" w:cs="Times New Roman"/>
          <w:sz w:val="24"/>
        </w:rPr>
        <w:t>采矿许可证</w:t>
      </w:r>
      <w:r>
        <w:rPr>
          <w:rFonts w:hint="default" w:ascii="Times New Roman" w:hAnsi="Times New Roman" w:eastAsia="华文中宋" w:cs="Times New Roman"/>
          <w:sz w:val="24"/>
          <w:lang w:eastAsia="zh-CN"/>
        </w:rPr>
        <w:t>（</w:t>
      </w:r>
      <w:r>
        <w:rPr>
          <w:rFonts w:hint="default" w:ascii="Times New Roman" w:hAnsi="Times New Roman" w:eastAsia="华文中宋" w:cs="Times New Roman"/>
          <w:sz w:val="24"/>
        </w:rPr>
        <w:t>证号：</w:t>
      </w:r>
      <w:r>
        <w:rPr>
          <w:rFonts w:hint="default" w:ascii="Times New Roman" w:hAnsi="Times New Roman" w:eastAsia="华文中宋" w:cs="Times New Roman"/>
          <w:sz w:val="24"/>
          <w:lang w:eastAsia="zh-CN"/>
        </w:rPr>
        <w:t>C6500002013053210129869），</w:t>
      </w:r>
      <w:r>
        <w:rPr>
          <w:rFonts w:hint="default" w:ascii="Times New Roman" w:hAnsi="Times New Roman" w:eastAsia="华文中宋" w:cs="Times New Roman"/>
          <w:sz w:val="24"/>
        </w:rPr>
        <w:t>矿区范围由</w:t>
      </w:r>
      <w:r>
        <w:rPr>
          <w:rFonts w:hint="default" w:ascii="Times New Roman" w:hAnsi="Times New Roman" w:eastAsia="华文中宋" w:cs="Times New Roman"/>
          <w:sz w:val="24"/>
          <w:lang w:val="en-US" w:eastAsia="zh-CN"/>
        </w:rPr>
        <w:t>6</w:t>
      </w:r>
      <w:r>
        <w:rPr>
          <w:rFonts w:hint="default" w:ascii="Times New Roman" w:hAnsi="Times New Roman" w:eastAsia="华文中宋" w:cs="Times New Roman"/>
          <w:sz w:val="24"/>
        </w:rPr>
        <w:t>个拐点圈定，矿区面积</w:t>
      </w:r>
      <w:r>
        <w:rPr>
          <w:rFonts w:hint="default" w:ascii="Times New Roman" w:hAnsi="Times New Roman" w:eastAsia="华文中宋" w:cs="Times New Roman"/>
          <w:sz w:val="24"/>
          <w:lang w:eastAsia="zh-CN"/>
        </w:rPr>
        <w:t>0.9168平方千米，</w:t>
      </w:r>
      <w:r>
        <w:rPr>
          <w:rFonts w:hint="default" w:ascii="Times New Roman" w:hAnsi="Times New Roman" w:eastAsia="华文中宋" w:cs="Times New Roman"/>
          <w:sz w:val="24"/>
        </w:rPr>
        <w:t>开采标高</w:t>
      </w:r>
      <w:r>
        <w:rPr>
          <w:rFonts w:hint="default" w:ascii="Times New Roman" w:hAnsi="Times New Roman" w:eastAsia="华文中宋" w:cs="Times New Roman"/>
          <w:sz w:val="24"/>
          <w:lang w:val="en-US" w:eastAsia="zh-CN"/>
        </w:rPr>
        <w:t>5152</w:t>
      </w:r>
      <w:r>
        <w:rPr>
          <w:rFonts w:hint="default" w:ascii="Times New Roman" w:hAnsi="Times New Roman" w:eastAsia="华文中宋" w:cs="Times New Roman"/>
          <w:sz w:val="24"/>
        </w:rPr>
        <w:t>米</w:t>
      </w:r>
      <w:r>
        <w:rPr>
          <w:rFonts w:hint="eastAsia" w:ascii="Times New Roman" w:hAnsi="Times New Roman" w:eastAsia="华文中宋" w:cs="Times New Roman"/>
          <w:sz w:val="24"/>
          <w:lang w:eastAsia="zh-CN"/>
        </w:rPr>
        <w:t>～</w:t>
      </w:r>
      <w:r>
        <w:rPr>
          <w:rFonts w:hint="default" w:ascii="Times New Roman" w:hAnsi="Times New Roman" w:eastAsia="华文中宋" w:cs="Times New Roman"/>
          <w:sz w:val="24"/>
          <w:lang w:val="en-US" w:eastAsia="zh-CN"/>
        </w:rPr>
        <w:t>5098</w:t>
      </w:r>
      <w:r>
        <w:rPr>
          <w:rFonts w:hint="default" w:ascii="Times New Roman" w:hAnsi="Times New Roman" w:eastAsia="华文中宋" w:cs="Times New Roman"/>
          <w:sz w:val="24"/>
        </w:rPr>
        <w:t>米。</w:t>
      </w:r>
    </w:p>
    <w:p w14:paraId="76245341">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根据《新疆民丰县盼水河铅锑矿详查报告》矿产资源储量评审意见书（新国土资储评〔2011〕131号）。总资源量：矿石量64.33万吨，铅金属量为38689.98吨，锑金属量为6973.66吨，其中：控制的内蕴经济资源量（332）：矿石量为38.99万吨。铅金属量为23412.82吨，锑金属量为4284.04吨；推断的内蕴经济资源量（333）：矿石量为25.34万吨。铅金属量为15277.16吨。锑金属为2689.61吨。</w:t>
      </w:r>
    </w:p>
    <w:p w14:paraId="06E98055">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本项目为锑铅矿石开采，在《</w:t>
      </w:r>
      <w:bookmarkStart w:id="4" w:name="OLE_LINK11"/>
      <w:r>
        <w:rPr>
          <w:rFonts w:hint="default" w:ascii="Times New Roman" w:hAnsi="Times New Roman" w:eastAsia="华文中宋" w:cs="Times New Roman"/>
          <w:sz w:val="24"/>
          <w:lang w:val="en-US" w:eastAsia="zh-CN"/>
        </w:rPr>
        <w:t>矿产资源开发利用辐射环境监督管理名录</w:t>
      </w:r>
      <w:bookmarkEnd w:id="4"/>
      <w:r>
        <w:rPr>
          <w:rFonts w:hint="default" w:ascii="Times New Roman" w:hAnsi="Times New Roman" w:eastAsia="华文中宋" w:cs="Times New Roman"/>
          <w:sz w:val="24"/>
          <w:lang w:val="en-US" w:eastAsia="zh-CN"/>
        </w:rPr>
        <w:t>》中。</w:t>
      </w:r>
    </w:p>
    <w:p w14:paraId="0C8F48A3">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2024年10月，建设单位委托佛山市陶瓷研究所检测有限公司对原矿石、废石进行了铀（钍）系元素活度浓度</w:t>
      </w:r>
      <w:r>
        <w:rPr>
          <w:rFonts w:hint="eastAsia" w:ascii="Times New Roman" w:hAnsi="Times New Roman" w:eastAsia="华文中宋" w:cs="Times New Roman"/>
          <w:sz w:val="24"/>
          <w:lang w:val="en-US" w:eastAsia="zh-CN"/>
        </w:rPr>
        <w:t>检测</w:t>
      </w:r>
      <w:r>
        <w:rPr>
          <w:rFonts w:hint="default" w:ascii="Times New Roman" w:hAnsi="Times New Roman" w:eastAsia="华文中宋" w:cs="Times New Roman"/>
          <w:sz w:val="24"/>
          <w:lang w:val="en-US" w:eastAsia="zh-CN"/>
        </w:rPr>
        <w:t>，</w:t>
      </w:r>
      <w:r>
        <w:rPr>
          <w:rFonts w:hint="eastAsia" w:ascii="Times New Roman" w:hAnsi="Times New Roman" w:eastAsia="华文中宋" w:cs="Times New Roman"/>
          <w:sz w:val="24"/>
          <w:lang w:val="en-US" w:eastAsia="zh-CN"/>
        </w:rPr>
        <w:t>根据检测报告结果，</w:t>
      </w:r>
      <w:r>
        <w:rPr>
          <w:rFonts w:hint="default" w:ascii="Times New Roman" w:hAnsi="Times New Roman" w:eastAsia="华文中宋" w:cs="Times New Roman"/>
          <w:sz w:val="24"/>
          <w:lang w:val="en-US" w:eastAsia="zh-CN"/>
        </w:rPr>
        <w:t>该项目原矿石放射性元素活度浓度232Th（钍-232）</w:t>
      </w:r>
      <w:r>
        <w:rPr>
          <w:rFonts w:hint="eastAsia" w:ascii="Times New Roman" w:hAnsi="Times New Roman" w:eastAsia="华文中宋" w:cs="Times New Roman"/>
          <w:sz w:val="24"/>
          <w:lang w:val="en-US" w:eastAsia="zh-CN"/>
        </w:rPr>
        <w:t>为</w:t>
      </w:r>
      <w:r>
        <w:rPr>
          <w:rFonts w:hint="default" w:ascii="Times New Roman" w:hAnsi="Times New Roman" w:eastAsia="华文中宋" w:cs="Times New Roman"/>
          <w:sz w:val="24"/>
          <w:lang w:val="en-US" w:eastAsia="zh-CN"/>
        </w:rPr>
        <w:t>13.9q/kg（0.0139Bq/g）</w:t>
      </w:r>
      <w:r>
        <w:rPr>
          <w:rFonts w:hint="eastAsia" w:ascii="Times New Roman" w:hAnsi="Times New Roman" w:eastAsia="华文中宋" w:cs="Times New Roman"/>
          <w:sz w:val="24"/>
          <w:lang w:val="en-US" w:eastAsia="zh-CN"/>
        </w:rPr>
        <w:t>，</w:t>
      </w:r>
      <w:r>
        <w:rPr>
          <w:rFonts w:hint="default" w:ascii="Times New Roman" w:hAnsi="Times New Roman" w:eastAsia="华文中宋" w:cs="Times New Roman"/>
          <w:sz w:val="24"/>
          <w:lang w:val="en-US" w:eastAsia="zh-CN"/>
        </w:rPr>
        <w:t>废石放射性元素活度浓度232Th（钍-232）</w:t>
      </w:r>
      <w:r>
        <w:rPr>
          <w:rFonts w:hint="eastAsia" w:ascii="Times New Roman" w:hAnsi="Times New Roman" w:eastAsia="华文中宋" w:cs="Times New Roman"/>
          <w:sz w:val="24"/>
          <w:lang w:val="en-US" w:eastAsia="zh-CN"/>
        </w:rPr>
        <w:t>为</w:t>
      </w:r>
      <w:r>
        <w:rPr>
          <w:rFonts w:hint="default" w:ascii="Times New Roman" w:hAnsi="Times New Roman" w:eastAsia="华文中宋" w:cs="Times New Roman"/>
          <w:sz w:val="24"/>
          <w:lang w:val="en-US" w:eastAsia="zh-CN"/>
        </w:rPr>
        <w:t>10.3q/kg（0.0103Bq/g）</w:t>
      </w:r>
      <w:r>
        <w:rPr>
          <w:rFonts w:hint="eastAsia" w:ascii="Times New Roman" w:hAnsi="Times New Roman" w:eastAsia="华文中宋" w:cs="Times New Roman"/>
          <w:sz w:val="24"/>
          <w:lang w:val="en-US" w:eastAsia="zh-CN"/>
        </w:rPr>
        <w:t>，项目原矿石及废石</w:t>
      </w:r>
      <w:r>
        <w:rPr>
          <w:rFonts w:hint="default" w:ascii="Times New Roman" w:hAnsi="Times New Roman" w:eastAsia="华文中宋" w:cs="Times New Roman"/>
          <w:sz w:val="24"/>
          <w:lang w:val="en-US" w:eastAsia="zh-CN"/>
        </w:rPr>
        <w:t>中含有的铀（钍）系单个核素活度浓度</w:t>
      </w:r>
      <w:r>
        <w:rPr>
          <w:rFonts w:hint="eastAsia" w:ascii="Times New Roman" w:hAnsi="Times New Roman" w:eastAsia="华文中宋" w:cs="Times New Roman"/>
          <w:sz w:val="24"/>
          <w:lang w:val="en-US" w:eastAsia="zh-CN"/>
        </w:rPr>
        <w:t>均</w:t>
      </w:r>
      <w:r>
        <w:rPr>
          <w:rFonts w:hint="default" w:ascii="Times New Roman" w:hAnsi="Times New Roman" w:eastAsia="华文中宋" w:cs="Times New Roman"/>
          <w:sz w:val="24"/>
          <w:lang w:val="en-US" w:eastAsia="zh-CN"/>
        </w:rPr>
        <w:t>未超过1贝可/克（Bq/g）。根据《关于发布〈矿产资源开发利用辐射环境监督管理名录〉的公告》（生态环境部公告2020年第54号）规定，本项目不单独设置辐射环境影响评价专篇。</w:t>
      </w:r>
    </w:p>
    <w:p w14:paraId="3B64819B">
      <w:pPr>
        <w:pStyle w:val="3"/>
        <w:spacing w:before="120" w:after="120" w:line="500" w:lineRule="exact"/>
        <w:ind w:left="375" w:hanging="375" w:firstLineChars="0"/>
        <w:contextualSpacing/>
        <w:rPr>
          <w:rFonts w:hint="default" w:ascii="Times New Roman" w:hAnsi="Times New Roman" w:eastAsia="华文中宋" w:cs="Times New Roman"/>
          <w:snapToGrid w:val="0"/>
          <w:kern w:val="0"/>
          <w:sz w:val="28"/>
          <w:szCs w:val="28"/>
          <w:lang w:val="en-US" w:eastAsia="zh-CN"/>
        </w:rPr>
      </w:pPr>
      <w:bookmarkStart w:id="5" w:name="_Toc29022"/>
      <w:bookmarkStart w:id="6" w:name="_Toc30494"/>
      <w:r>
        <w:rPr>
          <w:rFonts w:hint="default" w:ascii="Times New Roman" w:hAnsi="Times New Roman" w:eastAsia="华文中宋" w:cs="Times New Roman"/>
          <w:snapToGrid w:val="0"/>
          <w:kern w:val="0"/>
          <w:sz w:val="28"/>
          <w:szCs w:val="28"/>
          <w:lang w:val="en-US" w:eastAsia="zh-CN"/>
        </w:rPr>
        <w:t>1.2环境影响评价的工作过程</w:t>
      </w:r>
      <w:bookmarkEnd w:id="5"/>
      <w:bookmarkEnd w:id="6"/>
    </w:p>
    <w:p w14:paraId="0AB83744">
      <w:pPr>
        <w:adjustRightInd w:val="0"/>
        <w:snapToGrid w:val="0"/>
        <w:spacing w:line="500" w:lineRule="exact"/>
        <w:ind w:firstLine="480" w:firstLineChars="200"/>
        <w:jc w:val="left"/>
        <w:rPr>
          <w:rFonts w:hint="default" w:ascii="Times New Roman" w:hAnsi="Times New Roman" w:eastAsia="华文中宋" w:cs="Times New Roman"/>
          <w:sz w:val="24"/>
          <w:lang w:eastAsia="zh-CN"/>
        </w:rPr>
      </w:pPr>
      <w:r>
        <w:rPr>
          <w:rFonts w:hint="default" w:ascii="Times New Roman" w:hAnsi="Times New Roman" w:eastAsia="华文中宋" w:cs="Times New Roman"/>
          <w:sz w:val="24"/>
          <w:lang w:val="en-US" w:eastAsia="zh-CN"/>
        </w:rPr>
        <w:t>根据《中华人民共和国环境保护法》（2015年1月1日）、《中华人民共和国环境影响评价法》（2018年12月29日）、《建设项目环境保护管理条例》（国务院令第682号）和生态环境部《建设项目环境影响评价分类管理名录（2021年版）》等有关</w:t>
      </w:r>
      <w:r>
        <w:rPr>
          <w:rFonts w:hint="eastAsia" w:ascii="Times New Roman" w:hAnsi="Times New Roman" w:eastAsia="华文中宋" w:cs="Times New Roman"/>
          <w:sz w:val="24"/>
          <w:lang w:val="en-US" w:eastAsia="zh-CN"/>
        </w:rPr>
        <w:t>法律法规的</w:t>
      </w:r>
      <w:r>
        <w:rPr>
          <w:rFonts w:hint="default" w:ascii="Times New Roman" w:hAnsi="Times New Roman" w:eastAsia="华文中宋" w:cs="Times New Roman"/>
          <w:sz w:val="24"/>
          <w:lang w:val="en-US" w:eastAsia="zh-CN"/>
        </w:rPr>
        <w:t>规定，本工程应编制环境影响报告书。</w:t>
      </w:r>
    </w:p>
    <w:p w14:paraId="332A2E8B">
      <w:pPr>
        <w:adjustRightInd w:val="0"/>
        <w:snapToGrid w:val="0"/>
        <w:spacing w:line="500" w:lineRule="exact"/>
        <w:ind w:firstLine="480" w:firstLineChars="200"/>
        <w:jc w:val="left"/>
        <w:rPr>
          <w:rFonts w:hint="default" w:ascii="Times New Roman" w:hAnsi="Times New Roman" w:eastAsia="华文中宋" w:cs="Times New Roman"/>
          <w:sz w:val="24"/>
        </w:rPr>
      </w:pPr>
      <w:r>
        <w:rPr>
          <w:rFonts w:hint="default" w:ascii="Times New Roman" w:hAnsi="Times New Roman" w:eastAsia="华文中宋" w:cs="Times New Roman"/>
          <w:sz w:val="24"/>
          <w:lang w:eastAsia="zh-CN"/>
        </w:rPr>
        <w:t>民丰县万水源矿业有限责任公司</w:t>
      </w:r>
      <w:r>
        <w:rPr>
          <w:rFonts w:hint="default" w:ascii="Times New Roman" w:hAnsi="Times New Roman" w:eastAsia="华文中宋" w:cs="Times New Roman"/>
          <w:sz w:val="24"/>
          <w:lang w:val="en-US" w:eastAsia="zh-CN"/>
        </w:rPr>
        <w:t>于2024年7月</w:t>
      </w:r>
      <w:r>
        <w:rPr>
          <w:rFonts w:hint="eastAsia" w:ascii="Times New Roman" w:hAnsi="Times New Roman" w:eastAsia="华文中宋" w:cs="Times New Roman"/>
          <w:sz w:val="24"/>
          <w:lang w:val="en-US" w:eastAsia="zh-CN"/>
        </w:rPr>
        <w:t>8</w:t>
      </w:r>
      <w:r>
        <w:rPr>
          <w:rFonts w:hint="default" w:ascii="Times New Roman" w:hAnsi="Times New Roman" w:eastAsia="华文中宋" w:cs="Times New Roman"/>
          <w:sz w:val="24"/>
          <w:lang w:val="en-US" w:eastAsia="zh-CN"/>
        </w:rPr>
        <w:t>日正式</w:t>
      </w:r>
      <w:r>
        <w:rPr>
          <w:rFonts w:hint="default" w:ascii="Times New Roman" w:hAnsi="Times New Roman" w:eastAsia="华文中宋" w:cs="Times New Roman"/>
          <w:sz w:val="24"/>
        </w:rPr>
        <w:t>委托</w:t>
      </w:r>
      <w:r>
        <w:rPr>
          <w:rFonts w:hint="default" w:ascii="Times New Roman" w:hAnsi="Times New Roman" w:eastAsia="华文中宋" w:cs="Times New Roman"/>
          <w:sz w:val="24"/>
          <w:lang w:val="en-US" w:eastAsia="zh-CN"/>
        </w:rPr>
        <w:t>新疆领畅环保科技有限公司承担</w:t>
      </w:r>
      <w:r>
        <w:rPr>
          <w:rFonts w:hint="eastAsia" w:ascii="Times New Roman" w:hAnsi="Times New Roman" w:eastAsia="华文中宋" w:cs="Times New Roman"/>
          <w:sz w:val="24"/>
          <w:lang w:val="en-US" w:eastAsia="zh-CN"/>
        </w:rPr>
        <w:t>该</w:t>
      </w:r>
      <w:r>
        <w:rPr>
          <w:rFonts w:hint="default" w:ascii="Times New Roman" w:hAnsi="Times New Roman" w:eastAsia="华文中宋" w:cs="Times New Roman"/>
          <w:sz w:val="24"/>
          <w:lang w:val="en-US" w:eastAsia="zh-CN"/>
        </w:rPr>
        <w:t>项目的环境影响评价工作</w:t>
      </w:r>
      <w:r>
        <w:rPr>
          <w:rFonts w:hint="default" w:ascii="Times New Roman" w:hAnsi="Times New Roman" w:eastAsia="华文中宋" w:cs="Times New Roman"/>
          <w:sz w:val="24"/>
        </w:rPr>
        <w:t>，</w:t>
      </w:r>
      <w:r>
        <w:rPr>
          <w:rFonts w:hint="eastAsia" w:ascii="Times New Roman" w:hAnsi="Times New Roman" w:eastAsia="华文中宋" w:cs="Times New Roman"/>
          <w:sz w:val="24"/>
          <w:lang w:eastAsia="zh-CN"/>
        </w:rPr>
        <w:t>接受</w:t>
      </w:r>
      <w:r>
        <w:rPr>
          <w:rFonts w:hint="default" w:ascii="Times New Roman" w:hAnsi="Times New Roman" w:eastAsia="华文中宋" w:cs="Times New Roman"/>
          <w:sz w:val="24"/>
          <w:lang w:val="en-US" w:eastAsia="zh-CN"/>
        </w:rPr>
        <w:t>委托后，我</w:t>
      </w:r>
      <w:r>
        <w:rPr>
          <w:rFonts w:hint="default" w:ascii="Times New Roman" w:hAnsi="Times New Roman" w:eastAsia="华文中宋" w:cs="Times New Roman"/>
          <w:sz w:val="24"/>
        </w:rPr>
        <w:t>单位组织有关环评人员</w:t>
      </w:r>
      <w:r>
        <w:rPr>
          <w:rFonts w:hint="default" w:ascii="Times New Roman" w:hAnsi="Times New Roman" w:eastAsia="华文中宋" w:cs="Times New Roman"/>
          <w:sz w:val="24"/>
          <w:lang w:val="en-US" w:eastAsia="zh-CN"/>
        </w:rPr>
        <w:t>研究了工程设计及相关文件，进行初步工程分析后</w:t>
      </w:r>
      <w:r>
        <w:rPr>
          <w:rFonts w:hint="default" w:ascii="Times New Roman" w:hAnsi="Times New Roman" w:eastAsia="华文中宋" w:cs="Times New Roman"/>
          <w:sz w:val="24"/>
        </w:rPr>
        <w:t>赴现场进行实地</w:t>
      </w:r>
      <w:r>
        <w:rPr>
          <w:rFonts w:hint="default" w:ascii="Times New Roman" w:hAnsi="Times New Roman" w:eastAsia="华文中宋" w:cs="Times New Roman"/>
          <w:sz w:val="24"/>
          <w:lang w:val="en-US" w:eastAsia="zh-CN"/>
        </w:rPr>
        <w:t>踏勘和调查</w:t>
      </w:r>
      <w:r>
        <w:rPr>
          <w:rFonts w:hint="default" w:ascii="Times New Roman" w:hAnsi="Times New Roman" w:eastAsia="华文中宋" w:cs="Times New Roman"/>
          <w:sz w:val="24"/>
        </w:rPr>
        <w:t>，</w:t>
      </w:r>
      <w:r>
        <w:rPr>
          <w:rFonts w:hint="default" w:ascii="Times New Roman" w:hAnsi="Times New Roman" w:eastAsia="华文中宋" w:cs="Times New Roman"/>
          <w:sz w:val="24"/>
          <w:lang w:val="en-US" w:eastAsia="zh-CN"/>
        </w:rPr>
        <w:t>并制定了工作方案，按照国家及地方环境保护的有关规定，以及《建设项目环境影响评价技术导则</w:t>
      </w:r>
      <w:r>
        <w:rPr>
          <w:rFonts w:hint="eastAsia" w:ascii="Times New Roman" w:hAnsi="Times New Roman" w:eastAsia="华文中宋" w:cs="Times New Roman"/>
          <w:sz w:val="24"/>
          <w:lang w:val="en-US" w:eastAsia="zh-CN"/>
        </w:rPr>
        <w:t>－</w:t>
      </w:r>
      <w:r>
        <w:rPr>
          <w:rFonts w:hint="default" w:ascii="Times New Roman" w:hAnsi="Times New Roman" w:eastAsia="华文中宋" w:cs="Times New Roman"/>
          <w:sz w:val="24"/>
          <w:lang w:val="en-US" w:eastAsia="zh-CN"/>
        </w:rPr>
        <w:t>总纲》相关的要求，在综合分析的基础上，进行了环境现状调查与评价，环境影响预测与评价，提出环境保护措施等工作。在此基础上编制完成了《</w:t>
      </w:r>
      <w:r>
        <w:rPr>
          <w:rFonts w:hint="eastAsia" w:ascii="Times New Roman" w:hAnsi="Times New Roman" w:eastAsia="华文中宋" w:cs="Times New Roman"/>
          <w:sz w:val="24"/>
          <w:lang w:val="en-US" w:eastAsia="zh-CN"/>
        </w:rPr>
        <w:t>民丰县盼水河铅锑矿工程</w:t>
      </w:r>
      <w:r>
        <w:rPr>
          <w:rFonts w:hint="default" w:ascii="Times New Roman" w:hAnsi="Times New Roman" w:eastAsia="华文中宋" w:cs="Times New Roman"/>
          <w:sz w:val="24"/>
          <w:lang w:val="en-US" w:eastAsia="zh-CN"/>
        </w:rPr>
        <w:t>项目环境影响报告书》，并提交环境主管部门和专家审查。</w:t>
      </w:r>
    </w:p>
    <w:p w14:paraId="24A9EE8E">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根据《</w:t>
      </w:r>
      <w:r>
        <w:rPr>
          <w:rFonts w:hint="eastAsia" w:ascii="Times New Roman" w:hAnsi="Times New Roman" w:eastAsia="华文中宋" w:cs="Times New Roman"/>
          <w:sz w:val="24"/>
          <w:lang w:val="en-US" w:eastAsia="zh-CN"/>
        </w:rPr>
        <w:t>建设项目</w:t>
      </w:r>
      <w:r>
        <w:rPr>
          <w:rFonts w:hint="default" w:ascii="Times New Roman" w:hAnsi="Times New Roman" w:eastAsia="华文中宋" w:cs="Times New Roman"/>
          <w:sz w:val="24"/>
          <w:lang w:val="en-US" w:eastAsia="zh-CN"/>
        </w:rPr>
        <w:t>环境影响评价技术导则</w:t>
      </w:r>
      <w:r>
        <w:rPr>
          <w:rFonts w:hint="eastAsia" w:ascii="Times New Roman" w:hAnsi="Times New Roman" w:eastAsia="华文中宋" w:cs="Times New Roman"/>
          <w:sz w:val="24"/>
          <w:lang w:val="en-US" w:eastAsia="zh-CN"/>
        </w:rPr>
        <w:t xml:space="preserve"> </w:t>
      </w:r>
      <w:r>
        <w:rPr>
          <w:rFonts w:hint="default" w:ascii="Times New Roman" w:hAnsi="Times New Roman" w:eastAsia="华文中宋" w:cs="Times New Roman"/>
          <w:sz w:val="24"/>
          <w:lang w:val="en-US" w:eastAsia="zh-CN"/>
        </w:rPr>
        <w:t>总纲》（HJ2.1-2016）的有关要求，本项目环境影响评价工作程序见图</w:t>
      </w:r>
      <w:r>
        <w:rPr>
          <w:rFonts w:hint="eastAsia" w:ascii="Times New Roman" w:hAnsi="Times New Roman" w:eastAsia="华文中宋" w:cs="Times New Roman"/>
          <w:sz w:val="24"/>
          <w:lang w:val="en-US" w:eastAsia="zh-CN"/>
        </w:rPr>
        <w:t>1.2-1</w:t>
      </w:r>
      <w:r>
        <w:rPr>
          <w:rFonts w:hint="default" w:ascii="Times New Roman" w:hAnsi="Times New Roman" w:eastAsia="华文中宋" w:cs="Times New Roman"/>
          <w:sz w:val="24"/>
          <w:lang w:val="en-US" w:eastAsia="zh-CN"/>
        </w:rPr>
        <w:t>。</w:t>
      </w:r>
    </w:p>
    <w:p w14:paraId="4E79B1AE">
      <w:pPr>
        <w:bidi w:val="0"/>
        <w:spacing w:line="360" w:lineRule="auto"/>
        <w:jc w:val="both"/>
        <w:rPr>
          <w:rFonts w:hint="default" w:ascii="Times New Roman" w:hAnsi="Times New Roman" w:eastAsia="宋体" w:cs="Times New Roman"/>
          <w:color w:val="auto"/>
        </w:rPr>
      </w:pPr>
      <w:r>
        <w:rPr>
          <w:rFonts w:hint="default" w:ascii="Times New Roman" w:hAnsi="Times New Roman" w:cs="Times New Roman"/>
        </w:rPr>
        <w:drawing>
          <wp:inline distT="0" distB="0" distL="114300" distR="114300">
            <wp:extent cx="5271770" cy="7223125"/>
            <wp:effectExtent l="0" t="0" r="5080"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1770" cy="7223125"/>
                    </a:xfrm>
                    <a:prstGeom prst="rect">
                      <a:avLst/>
                    </a:prstGeom>
                    <a:noFill/>
                    <a:ln>
                      <a:noFill/>
                    </a:ln>
                  </pic:spPr>
                </pic:pic>
              </a:graphicData>
            </a:graphic>
          </wp:inline>
        </w:drawing>
      </w:r>
    </w:p>
    <w:p w14:paraId="06EE6C1F">
      <w:pPr>
        <w:pStyle w:val="22"/>
        <w:rPr>
          <w:rFonts w:hint="default" w:ascii="Times New Roman" w:hAnsi="Times New Roman" w:cs="Times New Roman"/>
          <w:b/>
          <w:bCs/>
          <w:lang w:val="en-US" w:eastAsia="zh-CN"/>
        </w:rPr>
      </w:pPr>
      <w:r>
        <w:rPr>
          <w:rFonts w:hint="default" w:ascii="Times New Roman" w:hAnsi="Times New Roman" w:cs="Times New Roman"/>
          <w:b/>
          <w:bCs/>
          <w:lang w:val="en-US" w:eastAsia="zh-CN"/>
        </w:rPr>
        <w:t>图</w:t>
      </w:r>
      <w:r>
        <w:rPr>
          <w:rFonts w:hint="eastAsia" w:ascii="Times New Roman" w:hAnsi="Times New Roman" w:cs="Times New Roman"/>
          <w:b/>
          <w:bCs/>
          <w:lang w:val="en-US" w:eastAsia="zh-CN"/>
        </w:rPr>
        <w:t>1.2-1</w:t>
      </w:r>
      <w:r>
        <w:rPr>
          <w:rFonts w:hint="default" w:ascii="Times New Roman" w:hAnsi="Times New Roman" w:cs="Times New Roman"/>
          <w:b/>
          <w:bCs/>
          <w:lang w:val="en-US" w:eastAsia="zh-CN"/>
        </w:rPr>
        <w:t xml:space="preserve">  环境影响评价工作程序图</w:t>
      </w:r>
    </w:p>
    <w:p w14:paraId="1F0E571C">
      <w:pPr>
        <w:rPr>
          <w:rFonts w:hint="default" w:ascii="Times New Roman" w:hAnsi="Times New Roman" w:cs="Times New Roman"/>
          <w:b/>
          <w:bCs/>
          <w:lang w:val="en-US" w:eastAsia="zh-CN"/>
        </w:rPr>
      </w:pPr>
      <w:r>
        <w:rPr>
          <w:rFonts w:hint="default" w:ascii="Times New Roman" w:hAnsi="Times New Roman" w:cs="Times New Roman"/>
          <w:b/>
          <w:bCs/>
          <w:lang w:val="en-US" w:eastAsia="zh-CN"/>
        </w:rPr>
        <w:br w:type="page"/>
      </w:r>
    </w:p>
    <w:p w14:paraId="6CDF1C4C">
      <w:pPr>
        <w:pStyle w:val="3"/>
        <w:spacing w:before="120" w:after="120" w:line="500" w:lineRule="exact"/>
        <w:ind w:left="375" w:hanging="375" w:firstLineChars="0"/>
        <w:contextualSpacing/>
        <w:rPr>
          <w:rFonts w:hint="default" w:ascii="Times New Roman" w:hAnsi="Times New Roman" w:eastAsia="华文中宋" w:cs="Times New Roman"/>
          <w:snapToGrid w:val="0"/>
          <w:kern w:val="0"/>
          <w:sz w:val="28"/>
          <w:szCs w:val="28"/>
          <w:lang w:val="en-US" w:eastAsia="zh-CN"/>
        </w:rPr>
      </w:pPr>
      <w:bookmarkStart w:id="7" w:name="_Toc19067"/>
      <w:bookmarkStart w:id="8" w:name="_Toc2809"/>
      <w:r>
        <w:rPr>
          <w:rFonts w:hint="default" w:ascii="Times New Roman" w:hAnsi="Times New Roman" w:eastAsia="华文中宋" w:cs="Times New Roman"/>
          <w:snapToGrid w:val="0"/>
          <w:kern w:val="0"/>
          <w:sz w:val="28"/>
          <w:szCs w:val="28"/>
          <w:lang w:val="en-US" w:eastAsia="zh-CN"/>
        </w:rPr>
        <w:t>1.3分析判定相关情况</w:t>
      </w:r>
      <w:bookmarkEnd w:id="7"/>
      <w:bookmarkEnd w:id="8"/>
    </w:p>
    <w:p w14:paraId="059A1268">
      <w:pPr>
        <w:pStyle w:val="4"/>
        <w:spacing w:before="120" w:after="120" w:line="500" w:lineRule="exact"/>
        <w:rPr>
          <w:rFonts w:hint="default" w:ascii="Times New Roman" w:hAnsi="Times New Roman" w:eastAsia="华文中宋" w:cs="Times New Roman"/>
          <w:kern w:val="0"/>
          <w:sz w:val="24"/>
          <w:szCs w:val="24"/>
          <w:lang w:val="en-US" w:eastAsia="zh-CN"/>
        </w:rPr>
      </w:pPr>
      <w:bookmarkStart w:id="9" w:name="_Toc15203"/>
      <w:r>
        <w:rPr>
          <w:rFonts w:hint="default" w:ascii="Times New Roman" w:hAnsi="Times New Roman" w:eastAsia="华文中宋" w:cs="Times New Roman"/>
          <w:kern w:val="0"/>
          <w:sz w:val="24"/>
          <w:szCs w:val="24"/>
          <w:lang w:val="en-US" w:eastAsia="zh-CN"/>
        </w:rPr>
        <w:t>1.3.1 产业政策符合性分析</w:t>
      </w:r>
      <w:bookmarkEnd w:id="9"/>
    </w:p>
    <w:p w14:paraId="7DF34BF7">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根据《新疆维吾尔自治区重点行业生态环境准入条件</w:t>
      </w:r>
      <w:r>
        <w:rPr>
          <w:rFonts w:hint="eastAsia" w:ascii="Times New Roman" w:hAnsi="Times New Roman" w:eastAsia="华文中宋" w:cs="Times New Roman"/>
          <w:sz w:val="24"/>
          <w:lang w:val="en-US" w:eastAsia="zh-CN"/>
        </w:rPr>
        <w:t>（</w:t>
      </w:r>
      <w:r>
        <w:rPr>
          <w:rFonts w:hint="default" w:ascii="Times New Roman" w:hAnsi="Times New Roman" w:eastAsia="华文中宋" w:cs="Times New Roman"/>
          <w:sz w:val="24"/>
          <w:lang w:val="en-US" w:eastAsia="zh-CN"/>
        </w:rPr>
        <w:t>2024年</w:t>
      </w:r>
      <w:r>
        <w:rPr>
          <w:rFonts w:hint="eastAsia" w:ascii="Times New Roman" w:hAnsi="Times New Roman" w:eastAsia="华文中宋" w:cs="Times New Roman"/>
          <w:sz w:val="24"/>
          <w:lang w:val="en-US" w:eastAsia="zh-CN"/>
        </w:rPr>
        <w:t>）</w:t>
      </w:r>
      <w:r>
        <w:rPr>
          <w:rFonts w:hint="default" w:ascii="Times New Roman" w:hAnsi="Times New Roman" w:eastAsia="华文中宋" w:cs="Times New Roman"/>
          <w:sz w:val="24"/>
          <w:lang w:val="en-US" w:eastAsia="zh-CN"/>
        </w:rPr>
        <w:t>》中关于金属矿采选行业环境准入条件要求，本工程的建设符合国家、自治区相关产业政策、法律法规、条例等要求。</w:t>
      </w:r>
      <w:r>
        <w:rPr>
          <w:rFonts w:hint="eastAsia" w:ascii="Times New Roman" w:hAnsi="Times New Roman" w:eastAsia="华文中宋" w:cs="Times New Roman"/>
          <w:sz w:val="24"/>
          <w:lang w:val="en-US" w:eastAsia="zh-CN"/>
        </w:rPr>
        <w:t>本项目西南侧约32km处为羌塘国家级自然保护区，项目区东侧约140km处为中昆仑自治区级自然保护区，项目区东侧约380km处为阿尔金山国家级自然保护区。</w:t>
      </w:r>
      <w:r>
        <w:rPr>
          <w:rFonts w:hint="default" w:ascii="Times New Roman" w:hAnsi="Times New Roman" w:eastAsia="华文中宋" w:cs="Times New Roman"/>
          <w:sz w:val="24"/>
          <w:lang w:val="en-US" w:eastAsia="zh-CN"/>
        </w:rPr>
        <w:t>开采区域不属于自然保护区、风景名胜区等生态禁采及限采范围，项目生态保护及污染防治措施符合准入条件要求。</w:t>
      </w:r>
    </w:p>
    <w:p w14:paraId="338820B1">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根据《产业结构调整指导目录（2024年）》，本项目不属于《产业结构调整指导目录（2024年）》中鼓励类、限制类和淘汰类，视为允许类项目，符合国家产业政策要求。</w:t>
      </w:r>
    </w:p>
    <w:p w14:paraId="2FA39980">
      <w:pPr>
        <w:pStyle w:val="4"/>
        <w:spacing w:before="120" w:after="120" w:line="500" w:lineRule="exact"/>
        <w:rPr>
          <w:rFonts w:hint="default" w:ascii="Times New Roman" w:hAnsi="Times New Roman" w:eastAsia="华文中宋" w:cs="Times New Roman"/>
          <w:kern w:val="0"/>
          <w:sz w:val="24"/>
          <w:szCs w:val="24"/>
          <w:lang w:val="en-US" w:eastAsia="zh-CN"/>
        </w:rPr>
      </w:pPr>
      <w:bookmarkStart w:id="10" w:name="_Toc5989"/>
      <w:r>
        <w:rPr>
          <w:rFonts w:hint="default" w:ascii="Times New Roman" w:hAnsi="Times New Roman" w:eastAsia="华文中宋" w:cs="Times New Roman"/>
          <w:kern w:val="0"/>
          <w:sz w:val="24"/>
          <w:szCs w:val="24"/>
          <w:lang w:val="en-US" w:eastAsia="zh-CN"/>
        </w:rPr>
        <w:t>1.3.2相关规划符合性分析</w:t>
      </w:r>
      <w:bookmarkEnd w:id="10"/>
    </w:p>
    <w:p w14:paraId="3DF2590C">
      <w:pPr>
        <w:adjustRightInd w:val="0"/>
        <w:snapToGrid w:val="0"/>
        <w:spacing w:line="500" w:lineRule="exact"/>
        <w:jc w:val="left"/>
        <w:rPr>
          <w:rFonts w:hint="default" w:ascii="Times New Roman" w:hAnsi="Times New Roman" w:eastAsia="华文中宋" w:cs="Times New Roman"/>
          <w:b/>
          <w:bCs/>
          <w:sz w:val="24"/>
          <w:lang w:val="en-US" w:eastAsia="zh-CN"/>
        </w:rPr>
      </w:pPr>
      <w:r>
        <w:rPr>
          <w:rFonts w:hint="eastAsia" w:ascii="Times New Roman" w:hAnsi="Times New Roman" w:eastAsia="华文中宋" w:cs="Times New Roman"/>
          <w:b/>
          <w:bCs/>
          <w:sz w:val="24"/>
          <w:lang w:val="en-US" w:eastAsia="zh-CN"/>
        </w:rPr>
        <w:t>1.3.2.1</w:t>
      </w:r>
      <w:r>
        <w:rPr>
          <w:rFonts w:hint="default" w:ascii="Times New Roman" w:hAnsi="Times New Roman" w:eastAsia="华文中宋" w:cs="Times New Roman"/>
          <w:b/>
          <w:bCs/>
          <w:sz w:val="24"/>
          <w:lang w:val="en-US" w:eastAsia="zh-CN"/>
        </w:rPr>
        <w:t>与《新疆维吾尔自治区矿产资源总体规划（2021–2025年）》符合性分析</w:t>
      </w:r>
    </w:p>
    <w:p w14:paraId="08B70D48">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（1）</w:t>
      </w:r>
      <w:r>
        <w:rPr>
          <w:rFonts w:hint="default" w:ascii="Times New Roman" w:hAnsi="Times New Roman" w:eastAsia="华文中宋" w:cs="Times New Roman"/>
          <w:sz w:val="24"/>
          <w:lang w:val="en-US" w:eastAsia="zh-CN"/>
        </w:rPr>
        <w:t>根据总体规划中关于重要矿种</w:t>
      </w:r>
      <w:r>
        <w:rPr>
          <w:rFonts w:hint="eastAsia" w:ascii="Times New Roman" w:hAnsi="Times New Roman" w:eastAsia="华文中宋" w:cs="Times New Roman"/>
          <w:sz w:val="24"/>
          <w:lang w:val="en-US" w:eastAsia="zh-CN"/>
        </w:rPr>
        <w:t>勘查开发</w:t>
      </w:r>
      <w:r>
        <w:rPr>
          <w:rFonts w:hint="default" w:ascii="Times New Roman" w:hAnsi="Times New Roman" w:eastAsia="华文中宋" w:cs="Times New Roman"/>
          <w:sz w:val="24"/>
          <w:lang w:val="en-US" w:eastAsia="zh-CN"/>
        </w:rPr>
        <w:t>方向的要求：</w:t>
      </w:r>
    </w:p>
    <w:p w14:paraId="456527E3">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重点勘察开采矿种：石油、天然气、页岩气、煤层气、煤、地热等能源矿产，铁、铬、锰、铜、镍、钴、铅锌、金、锂、铍、钒、钛等金属矿产，以及钾盐、萤石、硅质原料等非金属矿产。</w:t>
      </w:r>
    </w:p>
    <w:p w14:paraId="43D6AFB0">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限制开采矿种：砖瓦用粘土等矿产，严格控制钨、稀土等特定保护性开采矿产。“限粘”县市禁止新设砖瓦用粘土采矿权。限制开采矿种，除严格矿业权人准入条件外，应论证资源供需形势，对开采总量进行调控，同时严格资源环境承载力论证，保护环境。合理控制国家规定实行保护性开采的特定矿种开采强度。</w:t>
      </w:r>
    </w:p>
    <w:p w14:paraId="18E1ADC2">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禁止开采矿种：禁止开采砷和放射性等有毒有害物质超过规定标准的煤炭项目，砂铁、汞、可耕地砖瓦用粘土等矿产。除和田地区外其他地区禁止新设</w:t>
      </w:r>
      <w:r>
        <w:rPr>
          <w:rFonts w:hint="eastAsia" w:ascii="Times New Roman" w:hAnsi="Times New Roman" w:eastAsia="华文中宋" w:cs="Times New Roman"/>
          <w:sz w:val="24"/>
          <w:lang w:val="en-US" w:eastAsia="zh-CN"/>
        </w:rPr>
        <w:t>沙金</w:t>
      </w:r>
      <w:r>
        <w:rPr>
          <w:rFonts w:hint="default" w:ascii="Times New Roman" w:hAnsi="Times New Roman" w:eastAsia="华文中宋" w:cs="Times New Roman"/>
          <w:sz w:val="24"/>
          <w:lang w:val="en-US" w:eastAsia="zh-CN"/>
        </w:rPr>
        <w:t>开采项目，严格砂金开发项目环境影响评价。</w:t>
      </w:r>
    </w:p>
    <w:p w14:paraId="2DB5CB7F">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本项目开采矿种为锑铅矿，不属于规划中的限制和禁止开采矿种。</w:t>
      </w:r>
    </w:p>
    <w:p w14:paraId="16E28632">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（2）</w:t>
      </w:r>
      <w:r>
        <w:rPr>
          <w:rFonts w:hint="default" w:ascii="Times New Roman" w:hAnsi="Times New Roman" w:eastAsia="华文中宋" w:cs="Times New Roman"/>
          <w:sz w:val="24"/>
          <w:lang w:val="en-US" w:eastAsia="zh-CN"/>
        </w:rPr>
        <w:t>《新疆维吾尔自治区矿产资源总体规划（2021—2025年）》专栏15为部分矿种最低开采规模设计标准，见表1.3-1。</w:t>
      </w:r>
    </w:p>
    <w:p w14:paraId="683B96DB">
      <w:pPr>
        <w:snapToGrid w:val="0"/>
        <w:spacing w:before="241" w:beforeLines="50"/>
        <w:ind w:firstLine="949" w:firstLineChars="45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表1.3-1  部分矿种最低开采规模设计标准</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1110"/>
        <w:gridCol w:w="1080"/>
        <w:gridCol w:w="990"/>
        <w:gridCol w:w="840"/>
        <w:gridCol w:w="660"/>
        <w:gridCol w:w="945"/>
        <w:gridCol w:w="2322"/>
      </w:tblGrid>
      <w:tr w14:paraId="25C8D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center"/>
          </w:tcPr>
          <w:p w14:paraId="0161247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序号</w:t>
            </w:r>
          </w:p>
        </w:tc>
        <w:tc>
          <w:tcPr>
            <w:tcW w:w="1110" w:type="dxa"/>
            <w:vAlign w:val="center"/>
          </w:tcPr>
          <w:p w14:paraId="017A2DC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名称</w:t>
            </w:r>
          </w:p>
        </w:tc>
        <w:tc>
          <w:tcPr>
            <w:tcW w:w="1080" w:type="dxa"/>
            <w:vAlign w:val="center"/>
          </w:tcPr>
          <w:p w14:paraId="2416CB7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单位/年</w:t>
            </w:r>
          </w:p>
        </w:tc>
        <w:tc>
          <w:tcPr>
            <w:tcW w:w="990" w:type="dxa"/>
            <w:vAlign w:val="center"/>
          </w:tcPr>
          <w:p w14:paraId="4526C72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大型</w:t>
            </w:r>
          </w:p>
        </w:tc>
        <w:tc>
          <w:tcPr>
            <w:tcW w:w="840" w:type="dxa"/>
            <w:vAlign w:val="center"/>
          </w:tcPr>
          <w:p w14:paraId="07C1756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中型</w:t>
            </w:r>
          </w:p>
        </w:tc>
        <w:tc>
          <w:tcPr>
            <w:tcW w:w="660" w:type="dxa"/>
            <w:vAlign w:val="center"/>
          </w:tcPr>
          <w:p w14:paraId="45B3F96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小型</w:t>
            </w:r>
          </w:p>
        </w:tc>
        <w:tc>
          <w:tcPr>
            <w:tcW w:w="945" w:type="dxa"/>
            <w:vAlign w:val="center"/>
          </w:tcPr>
          <w:p w14:paraId="20E4A80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最低服务年限</w:t>
            </w:r>
          </w:p>
        </w:tc>
        <w:tc>
          <w:tcPr>
            <w:tcW w:w="2322" w:type="dxa"/>
            <w:vAlign w:val="center"/>
          </w:tcPr>
          <w:p w14:paraId="3BCD16C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备注</w:t>
            </w:r>
          </w:p>
        </w:tc>
      </w:tr>
      <w:tr w14:paraId="42E61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center"/>
          </w:tcPr>
          <w:p w14:paraId="08AF9A3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w:t>
            </w:r>
          </w:p>
        </w:tc>
        <w:tc>
          <w:tcPr>
            <w:tcW w:w="1110" w:type="dxa"/>
            <w:vAlign w:val="center"/>
          </w:tcPr>
          <w:p w14:paraId="5A74191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煤（地下开采/露天开采）</w:t>
            </w:r>
          </w:p>
        </w:tc>
        <w:tc>
          <w:tcPr>
            <w:tcW w:w="1080" w:type="dxa"/>
            <w:vAlign w:val="center"/>
          </w:tcPr>
          <w:p w14:paraId="08C6A92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原煤万吨</w:t>
            </w:r>
          </w:p>
        </w:tc>
        <w:tc>
          <w:tcPr>
            <w:tcW w:w="990" w:type="dxa"/>
            <w:vAlign w:val="center"/>
          </w:tcPr>
          <w:p w14:paraId="5800B23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120/400</w:t>
            </w:r>
          </w:p>
        </w:tc>
        <w:tc>
          <w:tcPr>
            <w:tcW w:w="840" w:type="dxa"/>
            <w:vAlign w:val="center"/>
          </w:tcPr>
          <w:p w14:paraId="42936FB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45/100</w:t>
            </w:r>
          </w:p>
        </w:tc>
        <w:tc>
          <w:tcPr>
            <w:tcW w:w="660" w:type="dxa"/>
            <w:vAlign w:val="center"/>
          </w:tcPr>
          <w:p w14:paraId="06BE582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30/--</w:t>
            </w:r>
          </w:p>
        </w:tc>
        <w:tc>
          <w:tcPr>
            <w:tcW w:w="945" w:type="dxa"/>
            <w:vAlign w:val="center"/>
          </w:tcPr>
          <w:p w14:paraId="06686C6A">
            <w:pPr>
              <w:spacing w:line="300" w:lineRule="exact"/>
              <w:jc w:val="center"/>
              <w:rPr>
                <w:rFonts w:hint="default" w:ascii="Times New Roman" w:hAnsi="Times New Roman" w:eastAsia="华文中宋" w:cs="Times New Roman"/>
                <w:szCs w:val="21"/>
                <w:lang w:val="en-US" w:eastAsia="zh-CN"/>
              </w:rPr>
            </w:pPr>
          </w:p>
        </w:tc>
        <w:tc>
          <w:tcPr>
            <w:tcW w:w="2322" w:type="dxa"/>
            <w:vAlign w:val="center"/>
          </w:tcPr>
          <w:p w14:paraId="4458274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禁止新建120万吨/年以下煤矿（喀什、克州、和田、阿勒泰及个别边远缺煤县市除外）</w:t>
            </w:r>
          </w:p>
        </w:tc>
      </w:tr>
      <w:tr w14:paraId="22900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center"/>
          </w:tcPr>
          <w:p w14:paraId="788503D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w:t>
            </w:r>
          </w:p>
        </w:tc>
        <w:tc>
          <w:tcPr>
            <w:tcW w:w="1110" w:type="dxa"/>
            <w:vAlign w:val="center"/>
          </w:tcPr>
          <w:p w14:paraId="2CA3D8E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煤（地下开采/露天开采）</w:t>
            </w:r>
          </w:p>
        </w:tc>
        <w:tc>
          <w:tcPr>
            <w:tcW w:w="1080" w:type="dxa"/>
            <w:vAlign w:val="center"/>
          </w:tcPr>
          <w:p w14:paraId="604444A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原煤万吨</w:t>
            </w:r>
          </w:p>
        </w:tc>
        <w:tc>
          <w:tcPr>
            <w:tcW w:w="990" w:type="dxa"/>
            <w:vAlign w:val="center"/>
          </w:tcPr>
          <w:p w14:paraId="4FB127F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120/400</w:t>
            </w:r>
          </w:p>
        </w:tc>
        <w:tc>
          <w:tcPr>
            <w:tcW w:w="840" w:type="dxa"/>
            <w:vAlign w:val="center"/>
          </w:tcPr>
          <w:p w14:paraId="01718DD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w:t>
            </w:r>
          </w:p>
        </w:tc>
        <w:tc>
          <w:tcPr>
            <w:tcW w:w="660" w:type="dxa"/>
            <w:vAlign w:val="center"/>
          </w:tcPr>
          <w:p w14:paraId="5CCD12E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w:t>
            </w:r>
          </w:p>
        </w:tc>
        <w:tc>
          <w:tcPr>
            <w:tcW w:w="945" w:type="dxa"/>
            <w:vAlign w:val="center"/>
          </w:tcPr>
          <w:p w14:paraId="4E19679B">
            <w:pPr>
              <w:spacing w:line="300" w:lineRule="exact"/>
              <w:jc w:val="center"/>
              <w:rPr>
                <w:rFonts w:hint="default" w:ascii="Times New Roman" w:hAnsi="Times New Roman" w:eastAsia="华文中宋" w:cs="Times New Roman"/>
                <w:szCs w:val="21"/>
                <w:lang w:val="en-US" w:eastAsia="zh-CN"/>
              </w:rPr>
            </w:pPr>
          </w:p>
        </w:tc>
        <w:tc>
          <w:tcPr>
            <w:tcW w:w="2322" w:type="dxa"/>
            <w:vAlign w:val="center"/>
          </w:tcPr>
          <w:p w14:paraId="1AAF766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吐哈、准东、</w:t>
            </w:r>
            <w:r>
              <w:rPr>
                <w:rFonts w:hint="eastAsia" w:ascii="Times New Roman" w:hAnsi="Times New Roman" w:eastAsia="华文中宋" w:cs="Times New Roman"/>
                <w:szCs w:val="21"/>
                <w:lang w:val="en-US" w:eastAsia="zh-CN"/>
              </w:rPr>
              <w:t>伊犁</w:t>
            </w:r>
          </w:p>
        </w:tc>
      </w:tr>
      <w:tr w14:paraId="05C42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center"/>
          </w:tcPr>
          <w:p w14:paraId="5AEDA33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w:t>
            </w:r>
          </w:p>
        </w:tc>
        <w:tc>
          <w:tcPr>
            <w:tcW w:w="1110" w:type="dxa"/>
            <w:vAlign w:val="center"/>
          </w:tcPr>
          <w:p w14:paraId="1F4BB93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铁（地下开采/露天开采）</w:t>
            </w:r>
          </w:p>
        </w:tc>
        <w:tc>
          <w:tcPr>
            <w:tcW w:w="1080" w:type="dxa"/>
            <w:vAlign w:val="center"/>
          </w:tcPr>
          <w:p w14:paraId="6C6B909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矿石万吨</w:t>
            </w:r>
          </w:p>
        </w:tc>
        <w:tc>
          <w:tcPr>
            <w:tcW w:w="990" w:type="dxa"/>
            <w:vAlign w:val="center"/>
          </w:tcPr>
          <w:p w14:paraId="0366E6E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100/200</w:t>
            </w:r>
          </w:p>
        </w:tc>
        <w:tc>
          <w:tcPr>
            <w:tcW w:w="840" w:type="dxa"/>
            <w:vAlign w:val="center"/>
          </w:tcPr>
          <w:p w14:paraId="5DA002A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30/60</w:t>
            </w:r>
          </w:p>
        </w:tc>
        <w:tc>
          <w:tcPr>
            <w:tcW w:w="660" w:type="dxa"/>
            <w:vAlign w:val="center"/>
          </w:tcPr>
          <w:p w14:paraId="78B6568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10/30</w:t>
            </w:r>
          </w:p>
        </w:tc>
        <w:tc>
          <w:tcPr>
            <w:tcW w:w="945" w:type="dxa"/>
            <w:vAlign w:val="center"/>
          </w:tcPr>
          <w:p w14:paraId="528A74F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10年</w:t>
            </w:r>
          </w:p>
        </w:tc>
        <w:tc>
          <w:tcPr>
            <w:tcW w:w="2322" w:type="dxa"/>
            <w:vAlign w:val="center"/>
          </w:tcPr>
          <w:p w14:paraId="1559D13B">
            <w:pPr>
              <w:spacing w:line="300" w:lineRule="exact"/>
              <w:jc w:val="center"/>
              <w:rPr>
                <w:rFonts w:hint="default" w:ascii="Times New Roman" w:hAnsi="Times New Roman" w:eastAsia="华文中宋" w:cs="Times New Roman"/>
                <w:szCs w:val="21"/>
                <w:lang w:val="en-US" w:eastAsia="zh-CN"/>
              </w:rPr>
            </w:pPr>
          </w:p>
        </w:tc>
      </w:tr>
      <w:tr w14:paraId="2106A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center"/>
          </w:tcPr>
          <w:p w14:paraId="041F86B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w:t>
            </w:r>
          </w:p>
        </w:tc>
        <w:tc>
          <w:tcPr>
            <w:tcW w:w="1110" w:type="dxa"/>
            <w:vAlign w:val="center"/>
          </w:tcPr>
          <w:p w14:paraId="14909C9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锰</w:t>
            </w:r>
          </w:p>
        </w:tc>
        <w:tc>
          <w:tcPr>
            <w:tcW w:w="1080" w:type="dxa"/>
            <w:vAlign w:val="center"/>
          </w:tcPr>
          <w:p w14:paraId="029C507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矿石万吨</w:t>
            </w:r>
          </w:p>
        </w:tc>
        <w:tc>
          <w:tcPr>
            <w:tcW w:w="990" w:type="dxa"/>
            <w:vAlign w:val="center"/>
          </w:tcPr>
          <w:p w14:paraId="64842A1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w:t>
            </w:r>
          </w:p>
        </w:tc>
        <w:tc>
          <w:tcPr>
            <w:tcW w:w="840" w:type="dxa"/>
            <w:vAlign w:val="center"/>
          </w:tcPr>
          <w:p w14:paraId="3140E81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w:t>
            </w:r>
          </w:p>
        </w:tc>
        <w:tc>
          <w:tcPr>
            <w:tcW w:w="660" w:type="dxa"/>
            <w:vAlign w:val="center"/>
          </w:tcPr>
          <w:p w14:paraId="7A13557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w:t>
            </w:r>
          </w:p>
        </w:tc>
        <w:tc>
          <w:tcPr>
            <w:tcW w:w="945" w:type="dxa"/>
            <w:vAlign w:val="center"/>
          </w:tcPr>
          <w:p w14:paraId="6D615B1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10年</w:t>
            </w:r>
          </w:p>
        </w:tc>
        <w:tc>
          <w:tcPr>
            <w:tcW w:w="2322" w:type="dxa"/>
            <w:vAlign w:val="center"/>
          </w:tcPr>
          <w:p w14:paraId="029C8931">
            <w:pPr>
              <w:spacing w:line="300" w:lineRule="exact"/>
              <w:jc w:val="center"/>
              <w:rPr>
                <w:rFonts w:hint="default" w:ascii="Times New Roman" w:hAnsi="Times New Roman" w:eastAsia="华文中宋" w:cs="Times New Roman"/>
                <w:szCs w:val="21"/>
                <w:lang w:val="en-US" w:eastAsia="zh-CN"/>
              </w:rPr>
            </w:pPr>
          </w:p>
        </w:tc>
      </w:tr>
      <w:tr w14:paraId="32CBA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center"/>
          </w:tcPr>
          <w:p w14:paraId="4072208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w:t>
            </w:r>
          </w:p>
        </w:tc>
        <w:tc>
          <w:tcPr>
            <w:tcW w:w="1110" w:type="dxa"/>
            <w:vAlign w:val="center"/>
          </w:tcPr>
          <w:p w14:paraId="24B6999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铬</w:t>
            </w:r>
          </w:p>
        </w:tc>
        <w:tc>
          <w:tcPr>
            <w:tcW w:w="1080" w:type="dxa"/>
            <w:vAlign w:val="center"/>
          </w:tcPr>
          <w:p w14:paraId="731B550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矿石万吨</w:t>
            </w:r>
          </w:p>
        </w:tc>
        <w:tc>
          <w:tcPr>
            <w:tcW w:w="990" w:type="dxa"/>
            <w:vAlign w:val="center"/>
          </w:tcPr>
          <w:p w14:paraId="58C0C9C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w:t>
            </w:r>
          </w:p>
        </w:tc>
        <w:tc>
          <w:tcPr>
            <w:tcW w:w="840" w:type="dxa"/>
            <w:vAlign w:val="center"/>
          </w:tcPr>
          <w:p w14:paraId="08873A5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w:t>
            </w:r>
          </w:p>
        </w:tc>
        <w:tc>
          <w:tcPr>
            <w:tcW w:w="660" w:type="dxa"/>
            <w:vAlign w:val="center"/>
          </w:tcPr>
          <w:p w14:paraId="202C407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w:t>
            </w:r>
          </w:p>
        </w:tc>
        <w:tc>
          <w:tcPr>
            <w:tcW w:w="945" w:type="dxa"/>
            <w:vAlign w:val="center"/>
          </w:tcPr>
          <w:p w14:paraId="00B5D7D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10年</w:t>
            </w:r>
          </w:p>
        </w:tc>
        <w:tc>
          <w:tcPr>
            <w:tcW w:w="2322" w:type="dxa"/>
            <w:vAlign w:val="center"/>
          </w:tcPr>
          <w:p w14:paraId="16781C5A">
            <w:pPr>
              <w:spacing w:line="300" w:lineRule="exact"/>
              <w:jc w:val="center"/>
              <w:rPr>
                <w:rFonts w:hint="default" w:ascii="Times New Roman" w:hAnsi="Times New Roman" w:eastAsia="华文中宋" w:cs="Times New Roman"/>
                <w:szCs w:val="21"/>
                <w:lang w:val="en-US" w:eastAsia="zh-CN"/>
              </w:rPr>
            </w:pPr>
          </w:p>
        </w:tc>
      </w:tr>
      <w:tr w14:paraId="007A8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center"/>
          </w:tcPr>
          <w:p w14:paraId="6472090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w:t>
            </w:r>
          </w:p>
        </w:tc>
        <w:tc>
          <w:tcPr>
            <w:tcW w:w="1110" w:type="dxa"/>
            <w:vAlign w:val="center"/>
          </w:tcPr>
          <w:p w14:paraId="6AD98D3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铜</w:t>
            </w:r>
          </w:p>
        </w:tc>
        <w:tc>
          <w:tcPr>
            <w:tcW w:w="1080" w:type="dxa"/>
            <w:vAlign w:val="center"/>
          </w:tcPr>
          <w:p w14:paraId="68BC4B4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矿石万吨</w:t>
            </w:r>
          </w:p>
        </w:tc>
        <w:tc>
          <w:tcPr>
            <w:tcW w:w="990" w:type="dxa"/>
            <w:vAlign w:val="center"/>
          </w:tcPr>
          <w:p w14:paraId="33F6C0A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100</w:t>
            </w:r>
          </w:p>
        </w:tc>
        <w:tc>
          <w:tcPr>
            <w:tcW w:w="840" w:type="dxa"/>
            <w:vAlign w:val="center"/>
          </w:tcPr>
          <w:p w14:paraId="3A9C9ED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30</w:t>
            </w:r>
          </w:p>
        </w:tc>
        <w:tc>
          <w:tcPr>
            <w:tcW w:w="660" w:type="dxa"/>
            <w:vAlign w:val="center"/>
          </w:tcPr>
          <w:p w14:paraId="66D261B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w:t>
            </w:r>
          </w:p>
        </w:tc>
        <w:tc>
          <w:tcPr>
            <w:tcW w:w="945" w:type="dxa"/>
            <w:vAlign w:val="center"/>
          </w:tcPr>
          <w:p w14:paraId="4CC5644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10年</w:t>
            </w:r>
          </w:p>
        </w:tc>
        <w:tc>
          <w:tcPr>
            <w:tcW w:w="2322" w:type="dxa"/>
            <w:vAlign w:val="center"/>
          </w:tcPr>
          <w:p w14:paraId="21FB2968">
            <w:pPr>
              <w:spacing w:line="300" w:lineRule="exact"/>
              <w:jc w:val="center"/>
              <w:rPr>
                <w:rFonts w:hint="default" w:ascii="Times New Roman" w:hAnsi="Times New Roman" w:eastAsia="华文中宋" w:cs="Times New Roman"/>
                <w:szCs w:val="21"/>
                <w:lang w:val="en-US" w:eastAsia="zh-CN"/>
              </w:rPr>
            </w:pPr>
          </w:p>
        </w:tc>
      </w:tr>
      <w:tr w14:paraId="50382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center"/>
          </w:tcPr>
          <w:p w14:paraId="3838B82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7</w:t>
            </w:r>
          </w:p>
        </w:tc>
        <w:tc>
          <w:tcPr>
            <w:tcW w:w="1110" w:type="dxa"/>
            <w:vAlign w:val="center"/>
          </w:tcPr>
          <w:p w14:paraId="4E19A87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铅</w:t>
            </w:r>
          </w:p>
        </w:tc>
        <w:tc>
          <w:tcPr>
            <w:tcW w:w="1080" w:type="dxa"/>
            <w:vAlign w:val="center"/>
          </w:tcPr>
          <w:p w14:paraId="751C606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矿石万吨</w:t>
            </w:r>
          </w:p>
        </w:tc>
        <w:tc>
          <w:tcPr>
            <w:tcW w:w="990" w:type="dxa"/>
            <w:vAlign w:val="center"/>
          </w:tcPr>
          <w:p w14:paraId="2E7AAE2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100</w:t>
            </w:r>
          </w:p>
        </w:tc>
        <w:tc>
          <w:tcPr>
            <w:tcW w:w="840" w:type="dxa"/>
            <w:vAlign w:val="center"/>
          </w:tcPr>
          <w:p w14:paraId="49F3F6D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30</w:t>
            </w:r>
          </w:p>
        </w:tc>
        <w:tc>
          <w:tcPr>
            <w:tcW w:w="660" w:type="dxa"/>
            <w:vAlign w:val="center"/>
          </w:tcPr>
          <w:p w14:paraId="12D3B07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w:t>
            </w:r>
          </w:p>
        </w:tc>
        <w:tc>
          <w:tcPr>
            <w:tcW w:w="945" w:type="dxa"/>
            <w:vAlign w:val="center"/>
          </w:tcPr>
          <w:p w14:paraId="12940BF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15年</w:t>
            </w:r>
          </w:p>
        </w:tc>
        <w:tc>
          <w:tcPr>
            <w:tcW w:w="2322" w:type="dxa"/>
            <w:vAlign w:val="center"/>
          </w:tcPr>
          <w:p w14:paraId="45690AB8">
            <w:pPr>
              <w:spacing w:line="300" w:lineRule="exact"/>
              <w:jc w:val="center"/>
              <w:rPr>
                <w:rFonts w:hint="default" w:ascii="Times New Roman" w:hAnsi="Times New Roman" w:eastAsia="华文中宋" w:cs="Times New Roman"/>
                <w:szCs w:val="21"/>
                <w:lang w:val="en-US" w:eastAsia="zh-CN"/>
              </w:rPr>
            </w:pPr>
          </w:p>
        </w:tc>
      </w:tr>
      <w:tr w14:paraId="0FF33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center"/>
          </w:tcPr>
          <w:p w14:paraId="549279E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w:t>
            </w:r>
          </w:p>
        </w:tc>
        <w:tc>
          <w:tcPr>
            <w:tcW w:w="1110" w:type="dxa"/>
            <w:vAlign w:val="center"/>
          </w:tcPr>
          <w:p w14:paraId="2DC6A38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锌</w:t>
            </w:r>
          </w:p>
        </w:tc>
        <w:tc>
          <w:tcPr>
            <w:tcW w:w="1080" w:type="dxa"/>
            <w:vAlign w:val="center"/>
          </w:tcPr>
          <w:p w14:paraId="45AC87C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矿石万吨</w:t>
            </w:r>
          </w:p>
        </w:tc>
        <w:tc>
          <w:tcPr>
            <w:tcW w:w="990" w:type="dxa"/>
            <w:vAlign w:val="center"/>
          </w:tcPr>
          <w:p w14:paraId="1EC3ABA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100</w:t>
            </w:r>
          </w:p>
        </w:tc>
        <w:tc>
          <w:tcPr>
            <w:tcW w:w="840" w:type="dxa"/>
            <w:vAlign w:val="center"/>
          </w:tcPr>
          <w:p w14:paraId="4B8C058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30</w:t>
            </w:r>
          </w:p>
        </w:tc>
        <w:tc>
          <w:tcPr>
            <w:tcW w:w="660" w:type="dxa"/>
            <w:vAlign w:val="center"/>
          </w:tcPr>
          <w:p w14:paraId="2DE05F5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w:t>
            </w:r>
          </w:p>
        </w:tc>
        <w:tc>
          <w:tcPr>
            <w:tcW w:w="945" w:type="dxa"/>
            <w:vAlign w:val="center"/>
          </w:tcPr>
          <w:p w14:paraId="78EE7EA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15年</w:t>
            </w:r>
          </w:p>
        </w:tc>
        <w:tc>
          <w:tcPr>
            <w:tcW w:w="2322" w:type="dxa"/>
            <w:vAlign w:val="center"/>
          </w:tcPr>
          <w:p w14:paraId="45BE9C15">
            <w:pPr>
              <w:spacing w:line="300" w:lineRule="exact"/>
              <w:jc w:val="center"/>
              <w:rPr>
                <w:rFonts w:hint="default" w:ascii="Times New Roman" w:hAnsi="Times New Roman" w:eastAsia="华文中宋" w:cs="Times New Roman"/>
                <w:szCs w:val="21"/>
                <w:lang w:val="en-US" w:eastAsia="zh-CN"/>
              </w:rPr>
            </w:pPr>
          </w:p>
        </w:tc>
      </w:tr>
      <w:tr w14:paraId="2EF12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center"/>
          </w:tcPr>
          <w:p w14:paraId="2C535C7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9</w:t>
            </w:r>
          </w:p>
        </w:tc>
        <w:tc>
          <w:tcPr>
            <w:tcW w:w="1110" w:type="dxa"/>
            <w:vAlign w:val="center"/>
          </w:tcPr>
          <w:p w14:paraId="7D84D5B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钨</w:t>
            </w:r>
          </w:p>
        </w:tc>
        <w:tc>
          <w:tcPr>
            <w:tcW w:w="1080" w:type="dxa"/>
            <w:vAlign w:val="center"/>
          </w:tcPr>
          <w:p w14:paraId="1F607FB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矿石万吨</w:t>
            </w:r>
          </w:p>
        </w:tc>
        <w:tc>
          <w:tcPr>
            <w:tcW w:w="990" w:type="dxa"/>
            <w:vAlign w:val="center"/>
          </w:tcPr>
          <w:p w14:paraId="7B7B901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100</w:t>
            </w:r>
          </w:p>
        </w:tc>
        <w:tc>
          <w:tcPr>
            <w:tcW w:w="840" w:type="dxa"/>
            <w:vAlign w:val="center"/>
          </w:tcPr>
          <w:p w14:paraId="028ED69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30</w:t>
            </w:r>
          </w:p>
        </w:tc>
        <w:tc>
          <w:tcPr>
            <w:tcW w:w="660" w:type="dxa"/>
            <w:vAlign w:val="center"/>
          </w:tcPr>
          <w:p w14:paraId="1BC98D7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w:t>
            </w:r>
          </w:p>
        </w:tc>
        <w:tc>
          <w:tcPr>
            <w:tcW w:w="945" w:type="dxa"/>
            <w:vAlign w:val="center"/>
          </w:tcPr>
          <w:p w14:paraId="68E4FA8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10年</w:t>
            </w:r>
          </w:p>
        </w:tc>
        <w:tc>
          <w:tcPr>
            <w:tcW w:w="2322" w:type="dxa"/>
            <w:vAlign w:val="center"/>
          </w:tcPr>
          <w:p w14:paraId="498FEB5D">
            <w:pPr>
              <w:spacing w:line="300" w:lineRule="exact"/>
              <w:jc w:val="center"/>
              <w:rPr>
                <w:rFonts w:hint="default" w:ascii="Times New Roman" w:hAnsi="Times New Roman" w:eastAsia="华文中宋" w:cs="Times New Roman"/>
                <w:szCs w:val="21"/>
                <w:lang w:val="en-US" w:eastAsia="zh-CN"/>
              </w:rPr>
            </w:pPr>
          </w:p>
        </w:tc>
      </w:tr>
      <w:tr w14:paraId="43A00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center"/>
          </w:tcPr>
          <w:p w14:paraId="28089E9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w:t>
            </w:r>
          </w:p>
        </w:tc>
        <w:tc>
          <w:tcPr>
            <w:tcW w:w="1110" w:type="dxa"/>
            <w:vAlign w:val="center"/>
          </w:tcPr>
          <w:p w14:paraId="66E0DEF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锡</w:t>
            </w:r>
          </w:p>
        </w:tc>
        <w:tc>
          <w:tcPr>
            <w:tcW w:w="1080" w:type="dxa"/>
            <w:vAlign w:val="center"/>
          </w:tcPr>
          <w:p w14:paraId="155C974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矿石万吨</w:t>
            </w:r>
          </w:p>
        </w:tc>
        <w:tc>
          <w:tcPr>
            <w:tcW w:w="990" w:type="dxa"/>
            <w:vAlign w:val="center"/>
          </w:tcPr>
          <w:p w14:paraId="26DBD39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100</w:t>
            </w:r>
          </w:p>
        </w:tc>
        <w:tc>
          <w:tcPr>
            <w:tcW w:w="840" w:type="dxa"/>
            <w:vAlign w:val="center"/>
          </w:tcPr>
          <w:p w14:paraId="5C12BB9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30</w:t>
            </w:r>
          </w:p>
        </w:tc>
        <w:tc>
          <w:tcPr>
            <w:tcW w:w="660" w:type="dxa"/>
            <w:vAlign w:val="center"/>
          </w:tcPr>
          <w:p w14:paraId="665FCAD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w:t>
            </w:r>
          </w:p>
        </w:tc>
        <w:tc>
          <w:tcPr>
            <w:tcW w:w="945" w:type="dxa"/>
            <w:vAlign w:val="center"/>
          </w:tcPr>
          <w:p w14:paraId="30C48EE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10年</w:t>
            </w:r>
          </w:p>
        </w:tc>
        <w:tc>
          <w:tcPr>
            <w:tcW w:w="2322" w:type="dxa"/>
            <w:vAlign w:val="center"/>
          </w:tcPr>
          <w:p w14:paraId="03F69A07">
            <w:pPr>
              <w:spacing w:line="300" w:lineRule="exact"/>
              <w:jc w:val="center"/>
              <w:rPr>
                <w:rFonts w:hint="default" w:ascii="Times New Roman" w:hAnsi="Times New Roman" w:eastAsia="华文中宋" w:cs="Times New Roman"/>
                <w:szCs w:val="21"/>
                <w:lang w:val="en-US" w:eastAsia="zh-CN"/>
              </w:rPr>
            </w:pPr>
          </w:p>
        </w:tc>
      </w:tr>
      <w:tr w14:paraId="4E8A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center"/>
          </w:tcPr>
          <w:p w14:paraId="4872E04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11</w:t>
            </w:r>
          </w:p>
        </w:tc>
        <w:tc>
          <w:tcPr>
            <w:tcW w:w="1110" w:type="dxa"/>
            <w:vAlign w:val="center"/>
          </w:tcPr>
          <w:p w14:paraId="2C3B33C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钼</w:t>
            </w:r>
          </w:p>
        </w:tc>
        <w:tc>
          <w:tcPr>
            <w:tcW w:w="1080" w:type="dxa"/>
            <w:vAlign w:val="center"/>
          </w:tcPr>
          <w:p w14:paraId="7D9CC87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矿石万吨</w:t>
            </w:r>
          </w:p>
        </w:tc>
        <w:tc>
          <w:tcPr>
            <w:tcW w:w="990" w:type="dxa"/>
            <w:vAlign w:val="center"/>
          </w:tcPr>
          <w:p w14:paraId="79D7C36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100</w:t>
            </w:r>
          </w:p>
        </w:tc>
        <w:tc>
          <w:tcPr>
            <w:tcW w:w="840" w:type="dxa"/>
            <w:vAlign w:val="center"/>
          </w:tcPr>
          <w:p w14:paraId="0183200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50</w:t>
            </w:r>
          </w:p>
        </w:tc>
        <w:tc>
          <w:tcPr>
            <w:tcW w:w="660" w:type="dxa"/>
            <w:vAlign w:val="center"/>
          </w:tcPr>
          <w:p w14:paraId="2DA01BB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w:t>
            </w:r>
          </w:p>
        </w:tc>
        <w:tc>
          <w:tcPr>
            <w:tcW w:w="945" w:type="dxa"/>
            <w:vAlign w:val="center"/>
          </w:tcPr>
          <w:p w14:paraId="644F44C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10年</w:t>
            </w:r>
          </w:p>
        </w:tc>
        <w:tc>
          <w:tcPr>
            <w:tcW w:w="2322" w:type="dxa"/>
            <w:vAlign w:val="center"/>
          </w:tcPr>
          <w:p w14:paraId="44692D70">
            <w:pPr>
              <w:spacing w:line="300" w:lineRule="exact"/>
              <w:jc w:val="center"/>
              <w:rPr>
                <w:rFonts w:hint="default" w:ascii="Times New Roman" w:hAnsi="Times New Roman" w:eastAsia="华文中宋" w:cs="Times New Roman"/>
                <w:szCs w:val="21"/>
                <w:lang w:val="en-US" w:eastAsia="zh-CN"/>
              </w:rPr>
            </w:pPr>
          </w:p>
        </w:tc>
      </w:tr>
      <w:tr w14:paraId="33177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center"/>
          </w:tcPr>
          <w:p w14:paraId="52EA0EC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12</w:t>
            </w:r>
          </w:p>
        </w:tc>
        <w:tc>
          <w:tcPr>
            <w:tcW w:w="1110" w:type="dxa"/>
            <w:vAlign w:val="center"/>
          </w:tcPr>
          <w:p w14:paraId="6BA5559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铝</w:t>
            </w:r>
          </w:p>
        </w:tc>
        <w:tc>
          <w:tcPr>
            <w:tcW w:w="1080" w:type="dxa"/>
            <w:vAlign w:val="center"/>
          </w:tcPr>
          <w:p w14:paraId="0274F13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矿石万吨</w:t>
            </w:r>
          </w:p>
        </w:tc>
        <w:tc>
          <w:tcPr>
            <w:tcW w:w="990" w:type="dxa"/>
            <w:vAlign w:val="center"/>
          </w:tcPr>
          <w:p w14:paraId="43A68A6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100</w:t>
            </w:r>
          </w:p>
        </w:tc>
        <w:tc>
          <w:tcPr>
            <w:tcW w:w="840" w:type="dxa"/>
            <w:vAlign w:val="center"/>
          </w:tcPr>
          <w:p w14:paraId="011717C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30</w:t>
            </w:r>
          </w:p>
        </w:tc>
        <w:tc>
          <w:tcPr>
            <w:tcW w:w="660" w:type="dxa"/>
            <w:vAlign w:val="center"/>
          </w:tcPr>
          <w:p w14:paraId="24F5902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w:t>
            </w:r>
          </w:p>
        </w:tc>
        <w:tc>
          <w:tcPr>
            <w:tcW w:w="945" w:type="dxa"/>
            <w:vAlign w:val="center"/>
          </w:tcPr>
          <w:p w14:paraId="63244DA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10年</w:t>
            </w:r>
          </w:p>
        </w:tc>
        <w:tc>
          <w:tcPr>
            <w:tcW w:w="2322" w:type="dxa"/>
            <w:vAlign w:val="center"/>
          </w:tcPr>
          <w:p w14:paraId="20BB4909">
            <w:pPr>
              <w:spacing w:line="300" w:lineRule="exact"/>
              <w:jc w:val="center"/>
              <w:rPr>
                <w:rFonts w:hint="default" w:ascii="Times New Roman" w:hAnsi="Times New Roman" w:eastAsia="华文中宋" w:cs="Times New Roman"/>
                <w:szCs w:val="21"/>
                <w:lang w:val="en-US" w:eastAsia="zh-CN"/>
              </w:rPr>
            </w:pPr>
          </w:p>
        </w:tc>
      </w:tr>
      <w:tr w14:paraId="2E92B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center"/>
          </w:tcPr>
          <w:p w14:paraId="61FC966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13</w:t>
            </w:r>
          </w:p>
        </w:tc>
        <w:tc>
          <w:tcPr>
            <w:tcW w:w="1110" w:type="dxa"/>
            <w:vAlign w:val="center"/>
          </w:tcPr>
          <w:p w14:paraId="22572B5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镍</w:t>
            </w:r>
          </w:p>
        </w:tc>
        <w:tc>
          <w:tcPr>
            <w:tcW w:w="1080" w:type="dxa"/>
            <w:vAlign w:val="center"/>
          </w:tcPr>
          <w:p w14:paraId="0505A1B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矿石万吨</w:t>
            </w:r>
          </w:p>
        </w:tc>
        <w:tc>
          <w:tcPr>
            <w:tcW w:w="990" w:type="dxa"/>
            <w:vAlign w:val="center"/>
          </w:tcPr>
          <w:p w14:paraId="447AEF4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100</w:t>
            </w:r>
          </w:p>
        </w:tc>
        <w:tc>
          <w:tcPr>
            <w:tcW w:w="840" w:type="dxa"/>
            <w:vAlign w:val="center"/>
          </w:tcPr>
          <w:p w14:paraId="40C964E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30</w:t>
            </w:r>
          </w:p>
        </w:tc>
        <w:tc>
          <w:tcPr>
            <w:tcW w:w="660" w:type="dxa"/>
            <w:vAlign w:val="center"/>
          </w:tcPr>
          <w:p w14:paraId="5E5F60C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w:t>
            </w:r>
          </w:p>
        </w:tc>
        <w:tc>
          <w:tcPr>
            <w:tcW w:w="945" w:type="dxa"/>
            <w:vAlign w:val="center"/>
          </w:tcPr>
          <w:p w14:paraId="0EC76D0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10年</w:t>
            </w:r>
          </w:p>
        </w:tc>
        <w:tc>
          <w:tcPr>
            <w:tcW w:w="2322" w:type="dxa"/>
            <w:vAlign w:val="center"/>
          </w:tcPr>
          <w:p w14:paraId="6AA3CD45">
            <w:pPr>
              <w:spacing w:line="300" w:lineRule="exact"/>
              <w:jc w:val="center"/>
              <w:rPr>
                <w:rFonts w:hint="default" w:ascii="Times New Roman" w:hAnsi="Times New Roman" w:eastAsia="华文中宋" w:cs="Times New Roman"/>
                <w:szCs w:val="21"/>
                <w:lang w:val="en-US" w:eastAsia="zh-CN"/>
              </w:rPr>
            </w:pPr>
          </w:p>
        </w:tc>
      </w:tr>
      <w:tr w14:paraId="71A90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center"/>
          </w:tcPr>
          <w:p w14:paraId="31C24DC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14</w:t>
            </w:r>
          </w:p>
        </w:tc>
        <w:tc>
          <w:tcPr>
            <w:tcW w:w="1110" w:type="dxa"/>
            <w:vAlign w:val="center"/>
          </w:tcPr>
          <w:p w14:paraId="2194EC4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锑</w:t>
            </w:r>
          </w:p>
        </w:tc>
        <w:tc>
          <w:tcPr>
            <w:tcW w:w="1080" w:type="dxa"/>
            <w:vAlign w:val="center"/>
          </w:tcPr>
          <w:p w14:paraId="0F9DCAE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矿石万吨</w:t>
            </w:r>
          </w:p>
        </w:tc>
        <w:tc>
          <w:tcPr>
            <w:tcW w:w="990" w:type="dxa"/>
            <w:vAlign w:val="center"/>
          </w:tcPr>
          <w:p w14:paraId="18C2741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100</w:t>
            </w:r>
          </w:p>
        </w:tc>
        <w:tc>
          <w:tcPr>
            <w:tcW w:w="840" w:type="dxa"/>
            <w:vAlign w:val="center"/>
          </w:tcPr>
          <w:p w14:paraId="4F4FC53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30</w:t>
            </w:r>
          </w:p>
        </w:tc>
        <w:tc>
          <w:tcPr>
            <w:tcW w:w="660" w:type="dxa"/>
            <w:vAlign w:val="center"/>
          </w:tcPr>
          <w:p w14:paraId="4CDA7E0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w:t>
            </w:r>
          </w:p>
        </w:tc>
        <w:tc>
          <w:tcPr>
            <w:tcW w:w="945" w:type="dxa"/>
            <w:vAlign w:val="center"/>
          </w:tcPr>
          <w:p w14:paraId="52A236A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10年</w:t>
            </w:r>
          </w:p>
        </w:tc>
        <w:tc>
          <w:tcPr>
            <w:tcW w:w="2322" w:type="dxa"/>
            <w:vAlign w:val="center"/>
          </w:tcPr>
          <w:p w14:paraId="64A201DC">
            <w:pPr>
              <w:spacing w:line="300" w:lineRule="exact"/>
              <w:jc w:val="center"/>
              <w:rPr>
                <w:rFonts w:hint="default" w:ascii="Times New Roman" w:hAnsi="Times New Roman" w:eastAsia="华文中宋" w:cs="Times New Roman"/>
                <w:szCs w:val="21"/>
                <w:lang w:val="en-US" w:eastAsia="zh-CN"/>
              </w:rPr>
            </w:pPr>
          </w:p>
        </w:tc>
      </w:tr>
      <w:tr w14:paraId="72F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center"/>
          </w:tcPr>
          <w:p w14:paraId="0503DA3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15</w:t>
            </w:r>
          </w:p>
        </w:tc>
        <w:tc>
          <w:tcPr>
            <w:tcW w:w="1110" w:type="dxa"/>
            <w:vAlign w:val="center"/>
          </w:tcPr>
          <w:p w14:paraId="3CC6EC5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金（岩金）（地下开采/露天开采）</w:t>
            </w:r>
          </w:p>
        </w:tc>
        <w:tc>
          <w:tcPr>
            <w:tcW w:w="1080" w:type="dxa"/>
            <w:vAlign w:val="center"/>
          </w:tcPr>
          <w:p w14:paraId="527DC4A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矿石万吨</w:t>
            </w:r>
          </w:p>
        </w:tc>
        <w:tc>
          <w:tcPr>
            <w:tcW w:w="990" w:type="dxa"/>
            <w:vAlign w:val="center"/>
          </w:tcPr>
          <w:p w14:paraId="6383B6A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15/15</w:t>
            </w:r>
          </w:p>
        </w:tc>
        <w:tc>
          <w:tcPr>
            <w:tcW w:w="840" w:type="dxa"/>
            <w:vAlign w:val="center"/>
          </w:tcPr>
          <w:p w14:paraId="6DFDEA1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6/9</w:t>
            </w:r>
          </w:p>
        </w:tc>
        <w:tc>
          <w:tcPr>
            <w:tcW w:w="660" w:type="dxa"/>
            <w:vAlign w:val="center"/>
          </w:tcPr>
          <w:p w14:paraId="2A56745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w:t>
            </w:r>
          </w:p>
        </w:tc>
        <w:tc>
          <w:tcPr>
            <w:tcW w:w="945" w:type="dxa"/>
            <w:vAlign w:val="center"/>
          </w:tcPr>
          <w:p w14:paraId="65F75A4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10年</w:t>
            </w:r>
          </w:p>
        </w:tc>
        <w:tc>
          <w:tcPr>
            <w:tcW w:w="2322" w:type="dxa"/>
            <w:vAlign w:val="center"/>
          </w:tcPr>
          <w:p w14:paraId="3486454E">
            <w:pPr>
              <w:spacing w:line="300" w:lineRule="exact"/>
              <w:jc w:val="center"/>
              <w:rPr>
                <w:rFonts w:hint="default" w:ascii="Times New Roman" w:hAnsi="Times New Roman" w:eastAsia="华文中宋" w:cs="Times New Roman"/>
                <w:szCs w:val="21"/>
                <w:lang w:val="en-US" w:eastAsia="zh-CN"/>
              </w:rPr>
            </w:pPr>
          </w:p>
        </w:tc>
      </w:tr>
      <w:tr w14:paraId="3B31E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center"/>
          </w:tcPr>
          <w:p w14:paraId="68E83E2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16</w:t>
            </w:r>
          </w:p>
        </w:tc>
        <w:tc>
          <w:tcPr>
            <w:tcW w:w="1110" w:type="dxa"/>
            <w:vAlign w:val="center"/>
          </w:tcPr>
          <w:p w14:paraId="0045E75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磷（地下开采/露天开采）</w:t>
            </w:r>
          </w:p>
        </w:tc>
        <w:tc>
          <w:tcPr>
            <w:tcW w:w="1080" w:type="dxa"/>
            <w:vAlign w:val="center"/>
          </w:tcPr>
          <w:p w14:paraId="0BDBB4F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矿石万吨</w:t>
            </w:r>
          </w:p>
        </w:tc>
        <w:tc>
          <w:tcPr>
            <w:tcW w:w="990" w:type="dxa"/>
            <w:vAlign w:val="center"/>
          </w:tcPr>
          <w:p w14:paraId="7C19C7E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100/100</w:t>
            </w:r>
          </w:p>
        </w:tc>
        <w:tc>
          <w:tcPr>
            <w:tcW w:w="840" w:type="dxa"/>
            <w:vAlign w:val="center"/>
          </w:tcPr>
          <w:p w14:paraId="666F2D0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50/50</w:t>
            </w:r>
          </w:p>
        </w:tc>
        <w:tc>
          <w:tcPr>
            <w:tcW w:w="660" w:type="dxa"/>
            <w:vAlign w:val="center"/>
          </w:tcPr>
          <w:p w14:paraId="4DD150C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10/15</w:t>
            </w:r>
          </w:p>
        </w:tc>
        <w:tc>
          <w:tcPr>
            <w:tcW w:w="945" w:type="dxa"/>
            <w:vAlign w:val="center"/>
          </w:tcPr>
          <w:p w14:paraId="469EAC8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10年</w:t>
            </w:r>
          </w:p>
        </w:tc>
        <w:tc>
          <w:tcPr>
            <w:tcW w:w="2322" w:type="dxa"/>
            <w:vAlign w:val="center"/>
          </w:tcPr>
          <w:p w14:paraId="76FCA6CC">
            <w:pPr>
              <w:spacing w:line="300" w:lineRule="exact"/>
              <w:jc w:val="center"/>
              <w:rPr>
                <w:rFonts w:hint="default" w:ascii="Times New Roman" w:hAnsi="Times New Roman" w:eastAsia="华文中宋" w:cs="Times New Roman"/>
                <w:szCs w:val="21"/>
                <w:lang w:val="en-US" w:eastAsia="zh-CN"/>
              </w:rPr>
            </w:pPr>
          </w:p>
        </w:tc>
      </w:tr>
      <w:tr w14:paraId="20C92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center"/>
          </w:tcPr>
          <w:p w14:paraId="6A6EC1C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17</w:t>
            </w:r>
          </w:p>
        </w:tc>
        <w:tc>
          <w:tcPr>
            <w:tcW w:w="1110" w:type="dxa"/>
            <w:vAlign w:val="center"/>
          </w:tcPr>
          <w:p w14:paraId="5C98178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锂、铍</w:t>
            </w:r>
          </w:p>
        </w:tc>
        <w:tc>
          <w:tcPr>
            <w:tcW w:w="1080" w:type="dxa"/>
            <w:vAlign w:val="center"/>
          </w:tcPr>
          <w:p w14:paraId="6DCD4A1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矿石万吨</w:t>
            </w:r>
          </w:p>
        </w:tc>
        <w:tc>
          <w:tcPr>
            <w:tcW w:w="990" w:type="dxa"/>
            <w:vAlign w:val="center"/>
          </w:tcPr>
          <w:p w14:paraId="792B1C9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100</w:t>
            </w:r>
          </w:p>
        </w:tc>
        <w:tc>
          <w:tcPr>
            <w:tcW w:w="840" w:type="dxa"/>
            <w:vAlign w:val="center"/>
          </w:tcPr>
          <w:p w14:paraId="30D3CBD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30</w:t>
            </w:r>
          </w:p>
        </w:tc>
        <w:tc>
          <w:tcPr>
            <w:tcW w:w="660" w:type="dxa"/>
            <w:vAlign w:val="center"/>
          </w:tcPr>
          <w:p w14:paraId="06181CA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w:t>
            </w:r>
          </w:p>
        </w:tc>
        <w:tc>
          <w:tcPr>
            <w:tcW w:w="945" w:type="dxa"/>
            <w:vAlign w:val="center"/>
          </w:tcPr>
          <w:p w14:paraId="1C91A4E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10年</w:t>
            </w:r>
          </w:p>
        </w:tc>
        <w:tc>
          <w:tcPr>
            <w:tcW w:w="2322" w:type="dxa"/>
            <w:vAlign w:val="center"/>
          </w:tcPr>
          <w:p w14:paraId="54490732">
            <w:pPr>
              <w:spacing w:line="300" w:lineRule="exact"/>
              <w:jc w:val="center"/>
              <w:rPr>
                <w:rFonts w:hint="default" w:ascii="Times New Roman" w:hAnsi="Times New Roman" w:eastAsia="华文中宋" w:cs="Times New Roman"/>
                <w:szCs w:val="21"/>
                <w:lang w:val="en-US" w:eastAsia="zh-CN"/>
              </w:rPr>
            </w:pPr>
          </w:p>
        </w:tc>
      </w:tr>
      <w:tr w14:paraId="5AB5A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center"/>
          </w:tcPr>
          <w:p w14:paraId="5C7FF34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18</w:t>
            </w:r>
          </w:p>
        </w:tc>
        <w:tc>
          <w:tcPr>
            <w:tcW w:w="1110" w:type="dxa"/>
            <w:vAlign w:val="center"/>
          </w:tcPr>
          <w:p w14:paraId="6DE6121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钾盐（固态/液态）</w:t>
            </w:r>
          </w:p>
        </w:tc>
        <w:tc>
          <w:tcPr>
            <w:tcW w:w="1080" w:type="dxa"/>
            <w:vAlign w:val="center"/>
          </w:tcPr>
          <w:p w14:paraId="0B6BF11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矿石万吨</w:t>
            </w:r>
          </w:p>
        </w:tc>
        <w:tc>
          <w:tcPr>
            <w:tcW w:w="990" w:type="dxa"/>
            <w:vAlign w:val="center"/>
          </w:tcPr>
          <w:p w14:paraId="2F38AE0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30/100</w:t>
            </w:r>
          </w:p>
        </w:tc>
        <w:tc>
          <w:tcPr>
            <w:tcW w:w="840" w:type="dxa"/>
            <w:vAlign w:val="center"/>
          </w:tcPr>
          <w:p w14:paraId="45F82FD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5/50</w:t>
            </w:r>
          </w:p>
        </w:tc>
        <w:tc>
          <w:tcPr>
            <w:tcW w:w="660" w:type="dxa"/>
            <w:vAlign w:val="center"/>
          </w:tcPr>
          <w:p w14:paraId="77659E2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3/10</w:t>
            </w:r>
          </w:p>
        </w:tc>
        <w:tc>
          <w:tcPr>
            <w:tcW w:w="945" w:type="dxa"/>
            <w:vAlign w:val="center"/>
          </w:tcPr>
          <w:p w14:paraId="3E507AF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10年</w:t>
            </w:r>
          </w:p>
        </w:tc>
        <w:tc>
          <w:tcPr>
            <w:tcW w:w="2322" w:type="dxa"/>
            <w:vAlign w:val="center"/>
          </w:tcPr>
          <w:p w14:paraId="5EE907F1">
            <w:pPr>
              <w:spacing w:line="300" w:lineRule="exact"/>
              <w:jc w:val="center"/>
              <w:rPr>
                <w:rFonts w:hint="default" w:ascii="Times New Roman" w:hAnsi="Times New Roman" w:eastAsia="华文中宋" w:cs="Times New Roman"/>
                <w:szCs w:val="21"/>
                <w:lang w:val="en-US" w:eastAsia="zh-CN"/>
              </w:rPr>
            </w:pPr>
          </w:p>
        </w:tc>
      </w:tr>
      <w:tr w14:paraId="29DEF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center"/>
          </w:tcPr>
          <w:p w14:paraId="0EC17A4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19</w:t>
            </w:r>
          </w:p>
        </w:tc>
        <w:tc>
          <w:tcPr>
            <w:tcW w:w="1110" w:type="dxa"/>
            <w:vAlign w:val="center"/>
          </w:tcPr>
          <w:p w14:paraId="443D9E0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硫铁矿</w:t>
            </w:r>
          </w:p>
        </w:tc>
        <w:tc>
          <w:tcPr>
            <w:tcW w:w="1080" w:type="dxa"/>
            <w:vAlign w:val="center"/>
          </w:tcPr>
          <w:p w14:paraId="05128B4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矿石万吨</w:t>
            </w:r>
          </w:p>
        </w:tc>
        <w:tc>
          <w:tcPr>
            <w:tcW w:w="990" w:type="dxa"/>
            <w:vAlign w:val="center"/>
          </w:tcPr>
          <w:p w14:paraId="62FCBBE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50</w:t>
            </w:r>
          </w:p>
        </w:tc>
        <w:tc>
          <w:tcPr>
            <w:tcW w:w="840" w:type="dxa"/>
            <w:vAlign w:val="center"/>
          </w:tcPr>
          <w:p w14:paraId="2484121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w:t>
            </w:r>
          </w:p>
        </w:tc>
        <w:tc>
          <w:tcPr>
            <w:tcW w:w="660" w:type="dxa"/>
            <w:vAlign w:val="center"/>
          </w:tcPr>
          <w:p w14:paraId="205EB81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w:t>
            </w:r>
          </w:p>
        </w:tc>
        <w:tc>
          <w:tcPr>
            <w:tcW w:w="945" w:type="dxa"/>
            <w:vAlign w:val="center"/>
          </w:tcPr>
          <w:p w14:paraId="550E40C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10年</w:t>
            </w:r>
          </w:p>
        </w:tc>
        <w:tc>
          <w:tcPr>
            <w:tcW w:w="2322" w:type="dxa"/>
            <w:vAlign w:val="center"/>
          </w:tcPr>
          <w:p w14:paraId="19021411">
            <w:pPr>
              <w:spacing w:line="300" w:lineRule="exact"/>
              <w:jc w:val="center"/>
              <w:rPr>
                <w:rFonts w:hint="default" w:ascii="Times New Roman" w:hAnsi="Times New Roman" w:eastAsia="华文中宋" w:cs="Times New Roman"/>
                <w:szCs w:val="21"/>
                <w:lang w:val="en-US" w:eastAsia="zh-CN"/>
              </w:rPr>
            </w:pPr>
          </w:p>
        </w:tc>
      </w:tr>
      <w:tr w14:paraId="32699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center"/>
          </w:tcPr>
          <w:p w14:paraId="0865260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w:t>
            </w:r>
          </w:p>
        </w:tc>
        <w:tc>
          <w:tcPr>
            <w:tcW w:w="1110" w:type="dxa"/>
            <w:vAlign w:val="center"/>
          </w:tcPr>
          <w:p w14:paraId="362E345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重晶石</w:t>
            </w:r>
          </w:p>
        </w:tc>
        <w:tc>
          <w:tcPr>
            <w:tcW w:w="1080" w:type="dxa"/>
            <w:vAlign w:val="center"/>
          </w:tcPr>
          <w:p w14:paraId="63C6616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矿石万吨</w:t>
            </w:r>
          </w:p>
        </w:tc>
        <w:tc>
          <w:tcPr>
            <w:tcW w:w="990" w:type="dxa"/>
            <w:vAlign w:val="center"/>
          </w:tcPr>
          <w:p w14:paraId="568A993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w:t>
            </w:r>
          </w:p>
        </w:tc>
        <w:tc>
          <w:tcPr>
            <w:tcW w:w="840" w:type="dxa"/>
            <w:vAlign w:val="center"/>
          </w:tcPr>
          <w:p w14:paraId="14C1215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w:t>
            </w:r>
          </w:p>
        </w:tc>
        <w:tc>
          <w:tcPr>
            <w:tcW w:w="660" w:type="dxa"/>
            <w:vAlign w:val="center"/>
          </w:tcPr>
          <w:p w14:paraId="5A16D35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w:t>
            </w:r>
          </w:p>
        </w:tc>
        <w:tc>
          <w:tcPr>
            <w:tcW w:w="945" w:type="dxa"/>
            <w:vAlign w:val="center"/>
          </w:tcPr>
          <w:p w14:paraId="7C553C8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10年</w:t>
            </w:r>
          </w:p>
        </w:tc>
        <w:tc>
          <w:tcPr>
            <w:tcW w:w="2322" w:type="dxa"/>
            <w:vAlign w:val="center"/>
          </w:tcPr>
          <w:p w14:paraId="12D602FB">
            <w:pPr>
              <w:spacing w:line="300" w:lineRule="exact"/>
              <w:jc w:val="center"/>
              <w:rPr>
                <w:rFonts w:hint="default" w:ascii="Times New Roman" w:hAnsi="Times New Roman" w:eastAsia="华文中宋" w:cs="Times New Roman"/>
                <w:szCs w:val="21"/>
                <w:lang w:val="en-US" w:eastAsia="zh-CN"/>
              </w:rPr>
            </w:pPr>
          </w:p>
        </w:tc>
      </w:tr>
      <w:tr w14:paraId="37BBC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center"/>
          </w:tcPr>
          <w:p w14:paraId="46A6E90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21</w:t>
            </w:r>
          </w:p>
        </w:tc>
        <w:tc>
          <w:tcPr>
            <w:tcW w:w="1110" w:type="dxa"/>
            <w:vAlign w:val="center"/>
          </w:tcPr>
          <w:p w14:paraId="1F04232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萤石（CaF</w:t>
            </w:r>
            <w:r>
              <w:rPr>
                <w:rFonts w:hint="default" w:ascii="Times New Roman" w:hAnsi="Times New Roman" w:eastAsia="华文中宋" w:cs="Times New Roman"/>
                <w:szCs w:val="21"/>
                <w:vertAlign w:val="subscript"/>
                <w:lang w:val="en-US" w:eastAsia="zh-CN"/>
              </w:rPr>
              <w:t>2</w:t>
            </w:r>
            <w:r>
              <w:rPr>
                <w:rFonts w:hint="default" w:ascii="Times New Roman" w:hAnsi="Times New Roman" w:eastAsia="华文中宋" w:cs="Times New Roman"/>
                <w:szCs w:val="21"/>
                <w:lang w:val="en-US" w:eastAsia="zh-CN"/>
              </w:rPr>
              <w:t>）</w:t>
            </w:r>
          </w:p>
        </w:tc>
        <w:tc>
          <w:tcPr>
            <w:tcW w:w="1080" w:type="dxa"/>
            <w:vAlign w:val="center"/>
          </w:tcPr>
          <w:p w14:paraId="4590259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矿石万吨</w:t>
            </w:r>
          </w:p>
        </w:tc>
        <w:tc>
          <w:tcPr>
            <w:tcW w:w="990" w:type="dxa"/>
            <w:vAlign w:val="center"/>
          </w:tcPr>
          <w:p w14:paraId="53C24E8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w:t>
            </w:r>
          </w:p>
        </w:tc>
        <w:tc>
          <w:tcPr>
            <w:tcW w:w="840" w:type="dxa"/>
            <w:vAlign w:val="center"/>
          </w:tcPr>
          <w:p w14:paraId="7B3C728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w:t>
            </w:r>
          </w:p>
        </w:tc>
        <w:tc>
          <w:tcPr>
            <w:tcW w:w="660" w:type="dxa"/>
            <w:vAlign w:val="center"/>
          </w:tcPr>
          <w:p w14:paraId="53BB225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w:t>
            </w:r>
          </w:p>
        </w:tc>
        <w:tc>
          <w:tcPr>
            <w:tcW w:w="945" w:type="dxa"/>
            <w:vAlign w:val="center"/>
          </w:tcPr>
          <w:p w14:paraId="4743620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10年</w:t>
            </w:r>
          </w:p>
        </w:tc>
        <w:tc>
          <w:tcPr>
            <w:tcW w:w="2322" w:type="dxa"/>
            <w:vAlign w:val="center"/>
          </w:tcPr>
          <w:p w14:paraId="22D92F1E">
            <w:pPr>
              <w:spacing w:line="300" w:lineRule="exact"/>
              <w:jc w:val="center"/>
              <w:rPr>
                <w:rFonts w:hint="default" w:ascii="Times New Roman" w:hAnsi="Times New Roman" w:eastAsia="华文中宋" w:cs="Times New Roman"/>
                <w:szCs w:val="21"/>
                <w:lang w:val="en-US" w:eastAsia="zh-CN"/>
              </w:rPr>
            </w:pPr>
          </w:p>
        </w:tc>
      </w:tr>
      <w:tr w14:paraId="651D8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center"/>
          </w:tcPr>
          <w:p w14:paraId="37F7499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22</w:t>
            </w:r>
          </w:p>
        </w:tc>
        <w:tc>
          <w:tcPr>
            <w:tcW w:w="1110" w:type="dxa"/>
            <w:vAlign w:val="center"/>
          </w:tcPr>
          <w:p w14:paraId="0D0DD5C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石灰岩（水泥用/其他）</w:t>
            </w:r>
          </w:p>
        </w:tc>
        <w:tc>
          <w:tcPr>
            <w:tcW w:w="1080" w:type="dxa"/>
            <w:vAlign w:val="center"/>
          </w:tcPr>
          <w:p w14:paraId="5372698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矿石万吨</w:t>
            </w:r>
          </w:p>
        </w:tc>
        <w:tc>
          <w:tcPr>
            <w:tcW w:w="990" w:type="dxa"/>
            <w:vAlign w:val="center"/>
          </w:tcPr>
          <w:p w14:paraId="37C8AC0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100/100</w:t>
            </w:r>
          </w:p>
        </w:tc>
        <w:tc>
          <w:tcPr>
            <w:tcW w:w="840" w:type="dxa"/>
            <w:vAlign w:val="center"/>
          </w:tcPr>
          <w:p w14:paraId="49CF6E4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50/50</w:t>
            </w:r>
          </w:p>
        </w:tc>
        <w:tc>
          <w:tcPr>
            <w:tcW w:w="660" w:type="dxa"/>
            <w:vAlign w:val="center"/>
          </w:tcPr>
          <w:p w14:paraId="033D901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30/20</w:t>
            </w:r>
          </w:p>
        </w:tc>
        <w:tc>
          <w:tcPr>
            <w:tcW w:w="945" w:type="dxa"/>
            <w:vAlign w:val="center"/>
          </w:tcPr>
          <w:p w14:paraId="79C30BD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10年</w:t>
            </w:r>
          </w:p>
        </w:tc>
        <w:tc>
          <w:tcPr>
            <w:tcW w:w="2322" w:type="dxa"/>
            <w:vAlign w:val="center"/>
          </w:tcPr>
          <w:p w14:paraId="6456658C">
            <w:pPr>
              <w:spacing w:line="300" w:lineRule="exact"/>
              <w:jc w:val="center"/>
              <w:rPr>
                <w:rFonts w:hint="default" w:ascii="Times New Roman" w:hAnsi="Times New Roman" w:eastAsia="华文中宋" w:cs="Times New Roman"/>
                <w:szCs w:val="21"/>
                <w:lang w:val="en-US" w:eastAsia="zh-CN"/>
              </w:rPr>
            </w:pPr>
          </w:p>
        </w:tc>
      </w:tr>
      <w:tr w14:paraId="582EC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center"/>
          </w:tcPr>
          <w:p w14:paraId="68F034D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23</w:t>
            </w:r>
          </w:p>
        </w:tc>
        <w:tc>
          <w:tcPr>
            <w:tcW w:w="1110" w:type="dxa"/>
            <w:vAlign w:val="center"/>
          </w:tcPr>
          <w:p w14:paraId="6D6CFC2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冶金、水泥用天然石英砂</w:t>
            </w:r>
          </w:p>
        </w:tc>
        <w:tc>
          <w:tcPr>
            <w:tcW w:w="1080" w:type="dxa"/>
            <w:vAlign w:val="center"/>
          </w:tcPr>
          <w:p w14:paraId="3F25202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矿石万吨</w:t>
            </w:r>
          </w:p>
        </w:tc>
        <w:tc>
          <w:tcPr>
            <w:tcW w:w="990" w:type="dxa"/>
            <w:vAlign w:val="center"/>
          </w:tcPr>
          <w:p w14:paraId="3E1C283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60</w:t>
            </w:r>
          </w:p>
        </w:tc>
        <w:tc>
          <w:tcPr>
            <w:tcW w:w="840" w:type="dxa"/>
            <w:vAlign w:val="center"/>
          </w:tcPr>
          <w:p w14:paraId="4FB511E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w:t>
            </w:r>
          </w:p>
        </w:tc>
        <w:tc>
          <w:tcPr>
            <w:tcW w:w="660" w:type="dxa"/>
            <w:vAlign w:val="center"/>
          </w:tcPr>
          <w:p w14:paraId="175EB5B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w:t>
            </w:r>
          </w:p>
        </w:tc>
        <w:tc>
          <w:tcPr>
            <w:tcW w:w="945" w:type="dxa"/>
            <w:vAlign w:val="center"/>
          </w:tcPr>
          <w:p w14:paraId="62336B7C">
            <w:pPr>
              <w:spacing w:line="300" w:lineRule="exact"/>
              <w:jc w:val="center"/>
              <w:rPr>
                <w:rFonts w:hint="default" w:ascii="Times New Roman" w:hAnsi="Times New Roman" w:eastAsia="华文中宋" w:cs="Times New Roman"/>
                <w:szCs w:val="21"/>
                <w:lang w:val="en-US" w:eastAsia="zh-CN"/>
              </w:rPr>
            </w:pPr>
          </w:p>
        </w:tc>
        <w:tc>
          <w:tcPr>
            <w:tcW w:w="2322" w:type="dxa"/>
            <w:vAlign w:val="center"/>
          </w:tcPr>
          <w:p w14:paraId="0E1A0386">
            <w:pPr>
              <w:spacing w:line="300" w:lineRule="exact"/>
              <w:jc w:val="center"/>
              <w:rPr>
                <w:rFonts w:hint="default" w:ascii="Times New Roman" w:hAnsi="Times New Roman" w:eastAsia="华文中宋" w:cs="Times New Roman"/>
                <w:szCs w:val="21"/>
                <w:lang w:val="en-US" w:eastAsia="zh-CN"/>
              </w:rPr>
            </w:pPr>
          </w:p>
        </w:tc>
      </w:tr>
      <w:tr w14:paraId="3EB3A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center"/>
          </w:tcPr>
          <w:p w14:paraId="3D5C348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24</w:t>
            </w:r>
          </w:p>
        </w:tc>
        <w:tc>
          <w:tcPr>
            <w:tcW w:w="1110" w:type="dxa"/>
            <w:vAlign w:val="center"/>
          </w:tcPr>
          <w:p w14:paraId="2C49A50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玻璃、陶瓷等石英岩、石英砂</w:t>
            </w:r>
          </w:p>
        </w:tc>
        <w:tc>
          <w:tcPr>
            <w:tcW w:w="1080" w:type="dxa"/>
            <w:vAlign w:val="center"/>
          </w:tcPr>
          <w:p w14:paraId="3962FBD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矿石万吨</w:t>
            </w:r>
          </w:p>
        </w:tc>
        <w:tc>
          <w:tcPr>
            <w:tcW w:w="990" w:type="dxa"/>
            <w:vAlign w:val="center"/>
          </w:tcPr>
          <w:p w14:paraId="674F478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30</w:t>
            </w:r>
          </w:p>
        </w:tc>
        <w:tc>
          <w:tcPr>
            <w:tcW w:w="840" w:type="dxa"/>
            <w:vAlign w:val="center"/>
          </w:tcPr>
          <w:p w14:paraId="020A40D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w:t>
            </w:r>
          </w:p>
        </w:tc>
        <w:tc>
          <w:tcPr>
            <w:tcW w:w="660" w:type="dxa"/>
            <w:vAlign w:val="center"/>
          </w:tcPr>
          <w:p w14:paraId="5541B3C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w:t>
            </w:r>
          </w:p>
        </w:tc>
        <w:tc>
          <w:tcPr>
            <w:tcW w:w="945" w:type="dxa"/>
            <w:vAlign w:val="center"/>
          </w:tcPr>
          <w:p w14:paraId="099F653C">
            <w:pPr>
              <w:spacing w:line="300" w:lineRule="exact"/>
              <w:jc w:val="center"/>
              <w:rPr>
                <w:rFonts w:hint="default" w:ascii="Times New Roman" w:hAnsi="Times New Roman" w:eastAsia="华文中宋" w:cs="Times New Roman"/>
                <w:szCs w:val="21"/>
                <w:lang w:val="en-US" w:eastAsia="zh-CN"/>
              </w:rPr>
            </w:pPr>
          </w:p>
        </w:tc>
        <w:tc>
          <w:tcPr>
            <w:tcW w:w="2322" w:type="dxa"/>
            <w:vAlign w:val="center"/>
          </w:tcPr>
          <w:p w14:paraId="64C936CB">
            <w:pPr>
              <w:spacing w:line="300" w:lineRule="exact"/>
              <w:jc w:val="center"/>
              <w:rPr>
                <w:rFonts w:hint="default" w:ascii="Times New Roman" w:hAnsi="Times New Roman" w:eastAsia="华文中宋" w:cs="Times New Roman"/>
                <w:szCs w:val="21"/>
                <w:lang w:val="en-US" w:eastAsia="zh-CN"/>
              </w:rPr>
            </w:pPr>
          </w:p>
        </w:tc>
      </w:tr>
      <w:tr w14:paraId="38A8E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center"/>
          </w:tcPr>
          <w:p w14:paraId="34F50D9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25</w:t>
            </w:r>
          </w:p>
        </w:tc>
        <w:tc>
          <w:tcPr>
            <w:tcW w:w="1110" w:type="dxa"/>
            <w:vAlign w:val="center"/>
          </w:tcPr>
          <w:p w14:paraId="7899CFD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高岭土</w:t>
            </w:r>
          </w:p>
        </w:tc>
        <w:tc>
          <w:tcPr>
            <w:tcW w:w="1080" w:type="dxa"/>
            <w:vAlign w:val="center"/>
          </w:tcPr>
          <w:p w14:paraId="7934CA9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矿石万吨</w:t>
            </w:r>
          </w:p>
        </w:tc>
        <w:tc>
          <w:tcPr>
            <w:tcW w:w="990" w:type="dxa"/>
            <w:vAlign w:val="center"/>
          </w:tcPr>
          <w:p w14:paraId="4CCF9EC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w:t>
            </w:r>
          </w:p>
        </w:tc>
        <w:tc>
          <w:tcPr>
            <w:tcW w:w="840" w:type="dxa"/>
            <w:vAlign w:val="center"/>
          </w:tcPr>
          <w:p w14:paraId="3F89107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w:t>
            </w:r>
          </w:p>
        </w:tc>
        <w:tc>
          <w:tcPr>
            <w:tcW w:w="660" w:type="dxa"/>
            <w:vAlign w:val="center"/>
          </w:tcPr>
          <w:p w14:paraId="2038734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w:t>
            </w:r>
          </w:p>
        </w:tc>
        <w:tc>
          <w:tcPr>
            <w:tcW w:w="945" w:type="dxa"/>
            <w:vAlign w:val="center"/>
          </w:tcPr>
          <w:p w14:paraId="0F6E801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10年</w:t>
            </w:r>
          </w:p>
        </w:tc>
        <w:tc>
          <w:tcPr>
            <w:tcW w:w="2322" w:type="dxa"/>
            <w:vAlign w:val="center"/>
          </w:tcPr>
          <w:p w14:paraId="07D5FC73">
            <w:pPr>
              <w:spacing w:line="300" w:lineRule="exact"/>
              <w:jc w:val="center"/>
              <w:rPr>
                <w:rFonts w:hint="default" w:ascii="Times New Roman" w:hAnsi="Times New Roman" w:eastAsia="华文中宋" w:cs="Times New Roman"/>
                <w:szCs w:val="21"/>
                <w:lang w:val="en-US" w:eastAsia="zh-CN"/>
              </w:rPr>
            </w:pPr>
          </w:p>
        </w:tc>
      </w:tr>
      <w:tr w14:paraId="50C84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center"/>
          </w:tcPr>
          <w:p w14:paraId="723624C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26</w:t>
            </w:r>
          </w:p>
        </w:tc>
        <w:tc>
          <w:tcPr>
            <w:tcW w:w="1110" w:type="dxa"/>
            <w:vAlign w:val="center"/>
          </w:tcPr>
          <w:p w14:paraId="758D3EC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云母（工业原料云母）</w:t>
            </w:r>
          </w:p>
        </w:tc>
        <w:tc>
          <w:tcPr>
            <w:tcW w:w="1080" w:type="dxa"/>
            <w:vAlign w:val="center"/>
          </w:tcPr>
          <w:p w14:paraId="7BBBD99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矿石万吨</w:t>
            </w:r>
          </w:p>
        </w:tc>
        <w:tc>
          <w:tcPr>
            <w:tcW w:w="990" w:type="dxa"/>
            <w:vAlign w:val="center"/>
          </w:tcPr>
          <w:p w14:paraId="1B8DDC3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w:t>
            </w:r>
          </w:p>
        </w:tc>
        <w:tc>
          <w:tcPr>
            <w:tcW w:w="840" w:type="dxa"/>
            <w:vAlign w:val="center"/>
          </w:tcPr>
          <w:p w14:paraId="3A23A72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w:t>
            </w:r>
          </w:p>
        </w:tc>
        <w:tc>
          <w:tcPr>
            <w:tcW w:w="660" w:type="dxa"/>
            <w:vAlign w:val="center"/>
          </w:tcPr>
          <w:p w14:paraId="72AE2FE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w:t>
            </w:r>
          </w:p>
        </w:tc>
        <w:tc>
          <w:tcPr>
            <w:tcW w:w="945" w:type="dxa"/>
            <w:vAlign w:val="center"/>
          </w:tcPr>
          <w:p w14:paraId="0004C649">
            <w:pPr>
              <w:spacing w:line="300" w:lineRule="exact"/>
              <w:jc w:val="center"/>
              <w:rPr>
                <w:rFonts w:hint="default" w:ascii="Times New Roman" w:hAnsi="Times New Roman" w:eastAsia="华文中宋" w:cs="Times New Roman"/>
                <w:szCs w:val="21"/>
                <w:lang w:val="en-US" w:eastAsia="zh-CN"/>
              </w:rPr>
            </w:pPr>
          </w:p>
        </w:tc>
        <w:tc>
          <w:tcPr>
            <w:tcW w:w="2322" w:type="dxa"/>
            <w:vAlign w:val="center"/>
          </w:tcPr>
          <w:p w14:paraId="56E701D8">
            <w:pPr>
              <w:spacing w:line="300" w:lineRule="exact"/>
              <w:jc w:val="center"/>
              <w:rPr>
                <w:rFonts w:hint="default" w:ascii="Times New Roman" w:hAnsi="Times New Roman" w:eastAsia="华文中宋" w:cs="Times New Roman"/>
                <w:szCs w:val="21"/>
                <w:lang w:val="en-US" w:eastAsia="zh-CN"/>
              </w:rPr>
            </w:pPr>
          </w:p>
        </w:tc>
      </w:tr>
      <w:tr w14:paraId="4E2E0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center"/>
          </w:tcPr>
          <w:p w14:paraId="1972435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27</w:t>
            </w:r>
          </w:p>
        </w:tc>
        <w:tc>
          <w:tcPr>
            <w:tcW w:w="1110" w:type="dxa"/>
            <w:vAlign w:val="center"/>
          </w:tcPr>
          <w:p w14:paraId="5B19DDB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石棉</w:t>
            </w:r>
          </w:p>
        </w:tc>
        <w:tc>
          <w:tcPr>
            <w:tcW w:w="1080" w:type="dxa"/>
            <w:vAlign w:val="center"/>
          </w:tcPr>
          <w:p w14:paraId="2F30471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石棉万吨</w:t>
            </w:r>
          </w:p>
        </w:tc>
        <w:tc>
          <w:tcPr>
            <w:tcW w:w="990" w:type="dxa"/>
            <w:vAlign w:val="center"/>
          </w:tcPr>
          <w:p w14:paraId="2923A28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w:t>
            </w:r>
          </w:p>
        </w:tc>
        <w:tc>
          <w:tcPr>
            <w:tcW w:w="840" w:type="dxa"/>
            <w:vAlign w:val="center"/>
          </w:tcPr>
          <w:p w14:paraId="2BADF81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w:t>
            </w:r>
          </w:p>
        </w:tc>
        <w:tc>
          <w:tcPr>
            <w:tcW w:w="660" w:type="dxa"/>
            <w:vAlign w:val="center"/>
          </w:tcPr>
          <w:p w14:paraId="68E5EC8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0.5</w:t>
            </w:r>
          </w:p>
        </w:tc>
        <w:tc>
          <w:tcPr>
            <w:tcW w:w="945" w:type="dxa"/>
            <w:vAlign w:val="center"/>
          </w:tcPr>
          <w:p w14:paraId="1C74DB0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10年</w:t>
            </w:r>
          </w:p>
        </w:tc>
        <w:tc>
          <w:tcPr>
            <w:tcW w:w="2322" w:type="dxa"/>
            <w:vAlign w:val="center"/>
          </w:tcPr>
          <w:p w14:paraId="08866A18">
            <w:pPr>
              <w:spacing w:line="300" w:lineRule="exact"/>
              <w:jc w:val="center"/>
              <w:rPr>
                <w:rFonts w:hint="default" w:ascii="Times New Roman" w:hAnsi="Times New Roman" w:eastAsia="华文中宋" w:cs="Times New Roman"/>
                <w:szCs w:val="21"/>
                <w:lang w:val="en-US" w:eastAsia="zh-CN"/>
              </w:rPr>
            </w:pPr>
          </w:p>
        </w:tc>
      </w:tr>
      <w:tr w14:paraId="61648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center"/>
          </w:tcPr>
          <w:p w14:paraId="062EB88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28</w:t>
            </w:r>
          </w:p>
        </w:tc>
        <w:tc>
          <w:tcPr>
            <w:tcW w:w="1110" w:type="dxa"/>
            <w:vAlign w:val="center"/>
          </w:tcPr>
          <w:p w14:paraId="0AC9A69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膨润土</w:t>
            </w:r>
          </w:p>
        </w:tc>
        <w:tc>
          <w:tcPr>
            <w:tcW w:w="1080" w:type="dxa"/>
            <w:vAlign w:val="center"/>
          </w:tcPr>
          <w:p w14:paraId="1DBC43F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矿石万吨</w:t>
            </w:r>
          </w:p>
        </w:tc>
        <w:tc>
          <w:tcPr>
            <w:tcW w:w="990" w:type="dxa"/>
            <w:vAlign w:val="center"/>
          </w:tcPr>
          <w:p w14:paraId="3B968FF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w:t>
            </w:r>
          </w:p>
        </w:tc>
        <w:tc>
          <w:tcPr>
            <w:tcW w:w="840" w:type="dxa"/>
            <w:vAlign w:val="center"/>
          </w:tcPr>
          <w:p w14:paraId="7CD45CB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w:t>
            </w:r>
          </w:p>
        </w:tc>
        <w:tc>
          <w:tcPr>
            <w:tcW w:w="660" w:type="dxa"/>
            <w:vAlign w:val="center"/>
          </w:tcPr>
          <w:p w14:paraId="3658938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w:t>
            </w:r>
          </w:p>
        </w:tc>
        <w:tc>
          <w:tcPr>
            <w:tcW w:w="945" w:type="dxa"/>
            <w:vAlign w:val="center"/>
          </w:tcPr>
          <w:p w14:paraId="4B47ACF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10年</w:t>
            </w:r>
          </w:p>
        </w:tc>
        <w:tc>
          <w:tcPr>
            <w:tcW w:w="2322" w:type="dxa"/>
            <w:vAlign w:val="center"/>
          </w:tcPr>
          <w:p w14:paraId="4CE15804">
            <w:pPr>
              <w:spacing w:line="300" w:lineRule="exact"/>
              <w:jc w:val="center"/>
              <w:rPr>
                <w:rFonts w:hint="default" w:ascii="Times New Roman" w:hAnsi="Times New Roman" w:eastAsia="华文中宋" w:cs="Times New Roman"/>
                <w:szCs w:val="21"/>
                <w:lang w:val="en-US" w:eastAsia="zh-CN"/>
              </w:rPr>
            </w:pPr>
          </w:p>
        </w:tc>
      </w:tr>
      <w:tr w14:paraId="4C54F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center"/>
          </w:tcPr>
          <w:p w14:paraId="4DA7D0D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29</w:t>
            </w:r>
          </w:p>
        </w:tc>
        <w:tc>
          <w:tcPr>
            <w:tcW w:w="1110" w:type="dxa"/>
            <w:vAlign w:val="center"/>
          </w:tcPr>
          <w:p w14:paraId="0EA9A3F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建筑用沙</w:t>
            </w:r>
          </w:p>
        </w:tc>
        <w:tc>
          <w:tcPr>
            <w:tcW w:w="1080" w:type="dxa"/>
            <w:vAlign w:val="center"/>
          </w:tcPr>
          <w:p w14:paraId="798BBC4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万立方米</w:t>
            </w:r>
          </w:p>
        </w:tc>
        <w:tc>
          <w:tcPr>
            <w:tcW w:w="990" w:type="dxa"/>
            <w:vAlign w:val="center"/>
          </w:tcPr>
          <w:p w14:paraId="29308CC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30</w:t>
            </w:r>
          </w:p>
        </w:tc>
        <w:tc>
          <w:tcPr>
            <w:tcW w:w="840" w:type="dxa"/>
            <w:vAlign w:val="center"/>
          </w:tcPr>
          <w:p w14:paraId="78C6E4F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13</w:t>
            </w:r>
          </w:p>
        </w:tc>
        <w:tc>
          <w:tcPr>
            <w:tcW w:w="660" w:type="dxa"/>
            <w:vAlign w:val="center"/>
          </w:tcPr>
          <w:p w14:paraId="2DC2FD7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w:t>
            </w:r>
          </w:p>
        </w:tc>
        <w:tc>
          <w:tcPr>
            <w:tcW w:w="945" w:type="dxa"/>
            <w:vAlign w:val="center"/>
          </w:tcPr>
          <w:p w14:paraId="2FFF4AD7">
            <w:pPr>
              <w:spacing w:line="300" w:lineRule="exact"/>
              <w:jc w:val="center"/>
              <w:rPr>
                <w:rFonts w:hint="default" w:ascii="Times New Roman" w:hAnsi="Times New Roman" w:eastAsia="华文中宋" w:cs="Times New Roman"/>
                <w:szCs w:val="21"/>
                <w:lang w:val="en-US" w:eastAsia="zh-CN"/>
              </w:rPr>
            </w:pPr>
          </w:p>
        </w:tc>
        <w:tc>
          <w:tcPr>
            <w:tcW w:w="2322" w:type="dxa"/>
            <w:vAlign w:val="center"/>
          </w:tcPr>
          <w:p w14:paraId="14AA58AA">
            <w:pPr>
              <w:spacing w:line="300" w:lineRule="exact"/>
              <w:jc w:val="center"/>
              <w:rPr>
                <w:rFonts w:hint="default" w:ascii="Times New Roman" w:hAnsi="Times New Roman" w:eastAsia="华文中宋" w:cs="Times New Roman"/>
                <w:szCs w:val="21"/>
                <w:lang w:val="en-US" w:eastAsia="zh-CN"/>
              </w:rPr>
            </w:pPr>
          </w:p>
        </w:tc>
      </w:tr>
      <w:tr w14:paraId="73EA5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center"/>
          </w:tcPr>
          <w:p w14:paraId="3E2AFE5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30</w:t>
            </w:r>
          </w:p>
        </w:tc>
        <w:tc>
          <w:tcPr>
            <w:tcW w:w="1110" w:type="dxa"/>
            <w:vAlign w:val="center"/>
          </w:tcPr>
          <w:p w14:paraId="4ADF1A5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砖瓦用黏土</w:t>
            </w:r>
          </w:p>
        </w:tc>
        <w:tc>
          <w:tcPr>
            <w:tcW w:w="1080" w:type="dxa"/>
            <w:vAlign w:val="center"/>
          </w:tcPr>
          <w:p w14:paraId="4561E5D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矿石万吨</w:t>
            </w:r>
          </w:p>
        </w:tc>
        <w:tc>
          <w:tcPr>
            <w:tcW w:w="990" w:type="dxa"/>
            <w:vAlign w:val="center"/>
          </w:tcPr>
          <w:p w14:paraId="44C793B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30</w:t>
            </w:r>
          </w:p>
        </w:tc>
        <w:tc>
          <w:tcPr>
            <w:tcW w:w="840" w:type="dxa"/>
            <w:vAlign w:val="center"/>
          </w:tcPr>
          <w:p w14:paraId="7D74A0C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13</w:t>
            </w:r>
          </w:p>
        </w:tc>
        <w:tc>
          <w:tcPr>
            <w:tcW w:w="660" w:type="dxa"/>
            <w:vAlign w:val="center"/>
          </w:tcPr>
          <w:p w14:paraId="4583325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w:t>
            </w:r>
          </w:p>
        </w:tc>
        <w:tc>
          <w:tcPr>
            <w:tcW w:w="945" w:type="dxa"/>
            <w:vAlign w:val="center"/>
          </w:tcPr>
          <w:p w14:paraId="77F1C8FD">
            <w:pPr>
              <w:spacing w:line="300" w:lineRule="exact"/>
              <w:jc w:val="center"/>
              <w:rPr>
                <w:rFonts w:hint="default" w:ascii="Times New Roman" w:hAnsi="Times New Roman" w:eastAsia="华文中宋" w:cs="Times New Roman"/>
                <w:szCs w:val="21"/>
                <w:lang w:val="en-US" w:eastAsia="zh-CN"/>
              </w:rPr>
            </w:pPr>
          </w:p>
        </w:tc>
        <w:tc>
          <w:tcPr>
            <w:tcW w:w="2322" w:type="dxa"/>
            <w:vAlign w:val="center"/>
          </w:tcPr>
          <w:p w14:paraId="62CD41A6">
            <w:pPr>
              <w:spacing w:line="300" w:lineRule="exact"/>
              <w:jc w:val="center"/>
              <w:rPr>
                <w:rFonts w:hint="default" w:ascii="Times New Roman" w:hAnsi="Times New Roman" w:eastAsia="华文中宋" w:cs="Times New Roman"/>
                <w:szCs w:val="21"/>
                <w:lang w:val="en-US" w:eastAsia="zh-CN"/>
              </w:rPr>
            </w:pPr>
          </w:p>
        </w:tc>
      </w:tr>
      <w:tr w14:paraId="39CDA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center"/>
          </w:tcPr>
          <w:p w14:paraId="768A45E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31</w:t>
            </w:r>
          </w:p>
        </w:tc>
        <w:tc>
          <w:tcPr>
            <w:tcW w:w="1110" w:type="dxa"/>
            <w:vAlign w:val="center"/>
          </w:tcPr>
          <w:p w14:paraId="00613B6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建筑用石材</w:t>
            </w:r>
          </w:p>
        </w:tc>
        <w:tc>
          <w:tcPr>
            <w:tcW w:w="1080" w:type="dxa"/>
            <w:vAlign w:val="center"/>
          </w:tcPr>
          <w:p w14:paraId="33DFF45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万立方米</w:t>
            </w:r>
          </w:p>
        </w:tc>
        <w:tc>
          <w:tcPr>
            <w:tcW w:w="990" w:type="dxa"/>
            <w:vAlign w:val="center"/>
          </w:tcPr>
          <w:p w14:paraId="71DC785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w:t>
            </w:r>
          </w:p>
        </w:tc>
        <w:tc>
          <w:tcPr>
            <w:tcW w:w="840" w:type="dxa"/>
            <w:vAlign w:val="center"/>
          </w:tcPr>
          <w:p w14:paraId="708B21E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w:t>
            </w:r>
          </w:p>
        </w:tc>
        <w:tc>
          <w:tcPr>
            <w:tcW w:w="660" w:type="dxa"/>
            <w:vAlign w:val="center"/>
          </w:tcPr>
          <w:p w14:paraId="3EBC11D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1.5</w:t>
            </w:r>
          </w:p>
        </w:tc>
        <w:tc>
          <w:tcPr>
            <w:tcW w:w="945" w:type="dxa"/>
            <w:vAlign w:val="center"/>
          </w:tcPr>
          <w:p w14:paraId="5355B479">
            <w:pPr>
              <w:spacing w:line="300" w:lineRule="exact"/>
              <w:jc w:val="center"/>
              <w:rPr>
                <w:rFonts w:hint="default" w:ascii="Times New Roman" w:hAnsi="Times New Roman" w:eastAsia="华文中宋" w:cs="Times New Roman"/>
                <w:szCs w:val="21"/>
                <w:lang w:val="en-US" w:eastAsia="zh-CN"/>
              </w:rPr>
            </w:pPr>
          </w:p>
        </w:tc>
        <w:tc>
          <w:tcPr>
            <w:tcW w:w="2322" w:type="dxa"/>
            <w:vAlign w:val="center"/>
          </w:tcPr>
          <w:p w14:paraId="12B90CF6">
            <w:pPr>
              <w:spacing w:line="300" w:lineRule="exact"/>
              <w:jc w:val="center"/>
              <w:rPr>
                <w:rFonts w:hint="default" w:ascii="Times New Roman" w:hAnsi="Times New Roman" w:eastAsia="华文中宋" w:cs="Times New Roman"/>
                <w:szCs w:val="21"/>
                <w:lang w:val="en-US" w:eastAsia="zh-CN"/>
              </w:rPr>
            </w:pPr>
          </w:p>
        </w:tc>
      </w:tr>
      <w:tr w14:paraId="24873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center"/>
          </w:tcPr>
          <w:p w14:paraId="51C7CB7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32</w:t>
            </w:r>
          </w:p>
        </w:tc>
        <w:tc>
          <w:tcPr>
            <w:tcW w:w="1110" w:type="dxa"/>
            <w:vAlign w:val="center"/>
          </w:tcPr>
          <w:p w14:paraId="5E5CE5D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饰面用石材</w:t>
            </w:r>
          </w:p>
        </w:tc>
        <w:tc>
          <w:tcPr>
            <w:tcW w:w="1080" w:type="dxa"/>
            <w:vAlign w:val="center"/>
          </w:tcPr>
          <w:p w14:paraId="53B9727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万立方米</w:t>
            </w:r>
          </w:p>
        </w:tc>
        <w:tc>
          <w:tcPr>
            <w:tcW w:w="990" w:type="dxa"/>
            <w:vAlign w:val="center"/>
          </w:tcPr>
          <w:p w14:paraId="5ADB4B3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w:t>
            </w:r>
          </w:p>
        </w:tc>
        <w:tc>
          <w:tcPr>
            <w:tcW w:w="840" w:type="dxa"/>
            <w:vAlign w:val="center"/>
          </w:tcPr>
          <w:p w14:paraId="211D3BF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0.5</w:t>
            </w:r>
          </w:p>
        </w:tc>
        <w:tc>
          <w:tcPr>
            <w:tcW w:w="660" w:type="dxa"/>
            <w:vAlign w:val="center"/>
          </w:tcPr>
          <w:p w14:paraId="6B5CB9C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0.3</w:t>
            </w:r>
          </w:p>
        </w:tc>
        <w:tc>
          <w:tcPr>
            <w:tcW w:w="945" w:type="dxa"/>
            <w:vAlign w:val="center"/>
          </w:tcPr>
          <w:p w14:paraId="40B6844D">
            <w:pPr>
              <w:spacing w:line="300" w:lineRule="exact"/>
              <w:jc w:val="center"/>
              <w:rPr>
                <w:rFonts w:hint="default" w:ascii="Times New Roman" w:hAnsi="Times New Roman" w:eastAsia="华文中宋" w:cs="Times New Roman"/>
                <w:szCs w:val="21"/>
                <w:lang w:val="en-US" w:eastAsia="zh-CN"/>
              </w:rPr>
            </w:pPr>
          </w:p>
        </w:tc>
        <w:tc>
          <w:tcPr>
            <w:tcW w:w="2322" w:type="dxa"/>
            <w:vAlign w:val="center"/>
          </w:tcPr>
          <w:p w14:paraId="7EC923B6">
            <w:pPr>
              <w:spacing w:line="300" w:lineRule="exact"/>
              <w:jc w:val="center"/>
              <w:rPr>
                <w:rFonts w:hint="default" w:ascii="Times New Roman" w:hAnsi="Times New Roman" w:eastAsia="华文中宋" w:cs="Times New Roman"/>
                <w:szCs w:val="21"/>
                <w:lang w:val="en-US" w:eastAsia="zh-CN"/>
              </w:rPr>
            </w:pPr>
          </w:p>
        </w:tc>
      </w:tr>
    </w:tbl>
    <w:p w14:paraId="69819C3B">
      <w:pPr>
        <w:pStyle w:val="24"/>
        <w:snapToGrid w:val="0"/>
        <w:ind w:left="0" w:leftChars="0" w:firstLine="480" w:firstLineChars="20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本项目为锑铅矿开</w:t>
      </w:r>
      <w:r>
        <w:rPr>
          <w:rFonts w:hint="default" w:ascii="Times New Roman" w:hAnsi="Times New Roman" w:cs="Times New Roman"/>
          <w:color w:val="000000" w:themeColor="text1"/>
          <w:lang w:val="en-US" w:eastAsia="zh-CN"/>
          <w14:textFill>
            <w14:solidFill>
              <w14:schemeClr w14:val="tx1"/>
            </w14:solidFill>
          </w14:textFill>
        </w:rPr>
        <w:t>采，矿山矿石总储量为64.33万吨，</w:t>
      </w:r>
      <w:r>
        <w:rPr>
          <w:rFonts w:hint="eastAsia" w:ascii="Times New Roman" w:hAnsi="Times New Roman" w:cs="Times New Roman"/>
          <w:color w:val="000000" w:themeColor="text1"/>
          <w:lang w:val="en-US" w:eastAsia="zh-CN"/>
          <w14:textFill>
            <w14:solidFill>
              <w14:schemeClr w14:val="tx1"/>
            </w14:solidFill>
          </w14:textFill>
        </w:rPr>
        <w:t>根据</w:t>
      </w:r>
      <w:r>
        <w:rPr>
          <w:rFonts w:hint="default" w:ascii="Times New Roman" w:hAnsi="Times New Roman" w:eastAsia="华文中宋" w:cs="Times New Roman"/>
          <w:color w:val="000000" w:themeColor="text1"/>
          <w:sz w:val="24"/>
          <w:lang w:val="en-US" w:eastAsia="zh-CN"/>
          <w14:textFill>
            <w14:solidFill>
              <w14:schemeClr w14:val="tx1"/>
            </w14:solidFill>
          </w14:textFill>
        </w:rPr>
        <w:t>《新疆维吾尔自治区矿产资源总体规划（2021—2025年）》</w:t>
      </w:r>
      <w:r>
        <w:rPr>
          <w:rFonts w:hint="eastAsia" w:ascii="Times New Roman" w:hAnsi="Times New Roman" w:cs="Times New Roman"/>
          <w:color w:val="000000" w:themeColor="text1"/>
          <w:sz w:val="24"/>
          <w:lang w:val="en-US" w:eastAsia="zh-CN"/>
          <w14:textFill>
            <w14:solidFill>
              <w14:schemeClr w14:val="tx1"/>
            </w14:solidFill>
          </w14:textFill>
        </w:rPr>
        <w:t>要求：“</w:t>
      </w:r>
      <w:r>
        <w:rPr>
          <w:rFonts w:hint="default" w:ascii="Times New Roman" w:hAnsi="Times New Roman" w:cs="Times New Roman"/>
          <w:color w:val="000000" w:themeColor="text1"/>
          <w:lang w:val="en-US" w:eastAsia="zh-CN"/>
          <w14:textFill>
            <w14:solidFill>
              <w14:schemeClr w14:val="tx1"/>
            </w14:solidFill>
          </w14:textFill>
        </w:rPr>
        <w:t>铅矿最低开采规模为10万吨/年；锑矿最低开采规模为3万吨/年</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。因</w:t>
      </w:r>
      <w:r>
        <w:rPr>
          <w:rFonts w:hint="default" w:ascii="Times New Roman" w:hAnsi="Times New Roman" w:cs="Times New Roman"/>
          <w:color w:val="auto"/>
          <w:lang w:val="en-US" w:eastAsia="zh-CN"/>
        </w:rPr>
        <w:t>为</w:t>
      </w:r>
      <w:r>
        <w:rPr>
          <w:rFonts w:hint="eastAsia" w:ascii="Times New Roman" w:hAnsi="Times New Roman" w:cs="Times New Roman"/>
          <w:color w:val="auto"/>
          <w:lang w:val="en-US" w:eastAsia="zh-CN"/>
        </w:rPr>
        <w:t>本项目</w:t>
      </w:r>
      <w:r>
        <w:rPr>
          <w:rFonts w:hint="default" w:ascii="Times New Roman" w:hAnsi="Times New Roman" w:cs="Times New Roman"/>
          <w:color w:val="auto"/>
          <w:lang w:val="en-US" w:eastAsia="zh-CN"/>
        </w:rPr>
        <w:t>矿山总储量较小</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设计开采规模为12万吨/年，</w:t>
      </w:r>
      <w:r>
        <w:rPr>
          <w:rFonts w:hint="eastAsia" w:ascii="Times New Roman" w:hAnsi="Times New Roman" w:cs="Times New Roman"/>
          <w:color w:val="auto"/>
          <w:lang w:val="en-US" w:eastAsia="zh-CN"/>
        </w:rPr>
        <w:t>服务年限为5.09年。根据《自治区发展改革委关于民丰县盼水河铅锑矿工程项目核准的批复》（新发改批复〔2025〕44号）及自治区自然资源厅出具的《关于民丰县盼水河铅锑矿工程项目意见建议的复函》内容：“该采矿权2013年通过探矿权转采矿权方式取得，符合矿产资源总体规划要求，2024年2月办理采矿证延续手续，不受《新疆维吾尔自治区非煤矿种（</w:t>
      </w:r>
      <w:r>
        <w:rPr>
          <w:rFonts w:hint="default" w:ascii="Times New Roman" w:hAnsi="Times New Roman" w:cs="Times New Roman"/>
          <w:color w:val="auto"/>
          <w:lang w:val="en-US" w:eastAsia="zh-CN"/>
        </w:rPr>
        <w:t xml:space="preserve">12 </w:t>
      </w:r>
      <w:r>
        <w:rPr>
          <w:rFonts w:hint="eastAsia" w:ascii="Times New Roman" w:hAnsi="Times New Roman" w:cs="Times New Roman"/>
          <w:color w:val="auto"/>
          <w:lang w:val="en-US" w:eastAsia="zh-CN"/>
        </w:rPr>
        <w:t>种）矿山最小生产规模和最低服务年限（暂行）的通知》（新自然资发〔2019〕25号）中矿山最低服务年限限制”。本项目</w:t>
      </w:r>
      <w:r>
        <w:rPr>
          <w:rFonts w:hint="default" w:ascii="Times New Roman" w:hAnsi="Times New Roman" w:cs="Times New Roman"/>
          <w:color w:val="auto"/>
          <w:lang w:val="en-US" w:eastAsia="zh-CN"/>
        </w:rPr>
        <w:t>符合</w:t>
      </w:r>
      <w:r>
        <w:rPr>
          <w:rFonts w:hint="eastAsia" w:ascii="Times New Roman" w:hAnsi="Times New Roman" w:cs="Times New Roman"/>
          <w:color w:val="auto"/>
          <w:lang w:val="en-US" w:eastAsia="zh-CN"/>
        </w:rPr>
        <w:t>矿产资源总体规划</w:t>
      </w:r>
      <w:r>
        <w:rPr>
          <w:rFonts w:hint="default" w:ascii="Times New Roman" w:hAnsi="Times New Roman" w:cs="Times New Roman"/>
          <w:color w:val="auto"/>
          <w:lang w:val="en-US" w:eastAsia="zh-CN"/>
        </w:rPr>
        <w:t>要求。</w:t>
      </w:r>
    </w:p>
    <w:p w14:paraId="4F3ED74D">
      <w:pPr>
        <w:pStyle w:val="24"/>
        <w:snapToGrid w:val="0"/>
        <w:ind w:left="0" w:leftChars="0" w:firstLine="0" w:firstLineChars="0"/>
        <w:jc w:val="left"/>
        <w:rPr>
          <w:rFonts w:hint="default" w:ascii="Times New Roman" w:hAnsi="Times New Roman" w:cs="Times New Roman"/>
          <w:color w:val="auto"/>
          <w:lang w:val="en-US" w:eastAsia="zh-CN"/>
        </w:rPr>
      </w:pPr>
      <w:r>
        <w:rPr>
          <w:rFonts w:hint="eastAsia" w:ascii="Times New Roman" w:hAnsi="Times New Roman" w:cs="Times New Roman"/>
          <w:b/>
          <w:bCs/>
          <w:color w:val="auto"/>
          <w:lang w:val="en-US" w:eastAsia="zh-CN"/>
        </w:rPr>
        <w:t>1.3.2.2</w:t>
      </w:r>
      <w:r>
        <w:rPr>
          <w:rFonts w:hint="default" w:ascii="Times New Roman" w:hAnsi="Times New Roman" w:cs="Times New Roman"/>
          <w:b/>
          <w:bCs/>
          <w:color w:val="auto"/>
          <w:lang w:val="en-US" w:eastAsia="zh-CN"/>
        </w:rPr>
        <w:t>《和田地区矿产资源规划（2021—2025年）》符合性分析</w:t>
      </w:r>
    </w:p>
    <w:p w14:paraId="5CEBDC62">
      <w:pPr>
        <w:pStyle w:val="24"/>
        <w:snapToGrid w:val="0"/>
        <w:jc w:val="left"/>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目前，和田地区矿产资源除石灰岩、石膏、建筑用砂石料、砖瓦用粘土等非金属矿产能满足本地并有所输出外，其他金属矿产品、能源矿产品对外来资源依赖程度极大。加大区内煤炭、铅锌、石灰岩、石膏等已开发矿产资源的勘查开发力度进而拉动矿产品的开发力度，将有助于拉动本地经济的发展，满足人民生产生活和经济发展的需求。为了满足经济发展的需要，在未来5年内，应加强已知和可开发利用矿床的勘查和开发，特别是和田地区储量巨大但未开发利用或开发利用程度低的矿产（铅锌矿、锑矿、锂铍矿等稀有金属、盐矿等矿产）的地质勘查和开发利用力度，使其尽快建厂投入生产，来保证</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十四五</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规划的实施。</w:t>
      </w:r>
      <w:r>
        <w:rPr>
          <w:rFonts w:hint="eastAsia" w:ascii="Times New Roman" w:hAnsi="Times New Roman" w:cs="Times New Roman"/>
          <w:color w:val="auto"/>
          <w:lang w:val="en-US" w:eastAsia="zh-CN"/>
        </w:rPr>
        <w:t>”</w:t>
      </w:r>
    </w:p>
    <w:p w14:paraId="514C0B4F">
      <w:pPr>
        <w:snapToGrid w:val="0"/>
        <w:spacing w:before="241" w:beforeLines="50"/>
        <w:ind w:firstLine="949" w:firstLineChars="450"/>
        <w:jc w:val="center"/>
        <w:rPr>
          <w:rFonts w:hint="eastAsia" w:ascii="Times New Roman" w:hAnsi="Times New Roman" w:cs="Times New Roman"/>
          <w:color w:val="auto"/>
          <w:lang w:val="en-US" w:eastAsia="zh-CN"/>
        </w:rPr>
      </w:pPr>
      <w:r>
        <w:rPr>
          <w:rFonts w:hint="default" w:ascii="Times New Roman" w:hAnsi="Times New Roman" w:eastAsia="华文中宋" w:cs="Times New Roman"/>
          <w:b/>
          <w:szCs w:val="21"/>
          <w:lang w:val="en-US" w:eastAsia="zh-CN"/>
        </w:rPr>
        <w:t>表1.3-</w:t>
      </w:r>
      <w:r>
        <w:rPr>
          <w:rFonts w:hint="eastAsia" w:ascii="Times New Roman" w:hAnsi="Times New Roman" w:eastAsia="华文中宋" w:cs="Times New Roman"/>
          <w:b/>
          <w:szCs w:val="21"/>
          <w:lang w:val="en-US" w:eastAsia="zh-CN"/>
        </w:rPr>
        <w:t>2</w:t>
      </w:r>
      <w:r>
        <w:rPr>
          <w:rFonts w:hint="default" w:ascii="Times New Roman" w:hAnsi="Times New Roman" w:eastAsia="华文中宋" w:cs="Times New Roman"/>
          <w:b/>
          <w:szCs w:val="21"/>
          <w:lang w:val="en-US" w:eastAsia="zh-CN"/>
        </w:rPr>
        <w:t xml:space="preserve">  </w:t>
      </w:r>
      <w:r>
        <w:rPr>
          <w:rFonts w:hint="eastAsia" w:ascii="Times New Roman" w:hAnsi="Times New Roman" w:eastAsia="华文中宋" w:cs="Times New Roman"/>
          <w:b/>
          <w:szCs w:val="21"/>
          <w:lang w:val="en-US" w:eastAsia="zh-CN"/>
        </w:rPr>
        <w:t>重点</w:t>
      </w:r>
      <w:r>
        <w:rPr>
          <w:rFonts w:hint="default" w:ascii="Times New Roman" w:hAnsi="Times New Roman" w:eastAsia="华文中宋" w:cs="Times New Roman"/>
          <w:b/>
          <w:szCs w:val="21"/>
          <w:lang w:val="en-US" w:eastAsia="zh-CN"/>
        </w:rPr>
        <w:t>矿种最低开采规模设计标准</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1931"/>
        <w:gridCol w:w="1249"/>
        <w:gridCol w:w="1450"/>
        <w:gridCol w:w="1050"/>
        <w:gridCol w:w="850"/>
        <w:gridCol w:w="968"/>
        <w:gridCol w:w="413"/>
      </w:tblGrid>
      <w:tr w14:paraId="1696A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trPr>
        <w:tc>
          <w:tcPr>
            <w:tcW w:w="358"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76E14B2D">
            <w:pPr>
              <w:spacing w:line="300" w:lineRule="exact"/>
              <w:jc w:val="center"/>
              <w:rPr>
                <w:rFonts w:hint="eastAsia" w:ascii="Times New Roman" w:hAnsi="Times New Roman" w:eastAsia="华文中宋" w:cs="Times New Roman"/>
                <w:b/>
                <w:bCs/>
                <w:szCs w:val="21"/>
                <w:lang w:val="en-US" w:eastAsia="zh-CN"/>
              </w:rPr>
            </w:pPr>
            <w:r>
              <w:rPr>
                <w:rFonts w:hint="eastAsia" w:ascii="Times New Roman" w:hAnsi="Times New Roman" w:eastAsia="华文中宋" w:cs="Times New Roman"/>
                <w:b/>
                <w:bCs/>
                <w:szCs w:val="21"/>
                <w:lang w:val="en-US" w:eastAsia="zh-CN"/>
              </w:rPr>
              <w:t>序号</w:t>
            </w:r>
          </w:p>
        </w:tc>
        <w:tc>
          <w:tcPr>
            <w:tcW w:w="11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5458B0A3">
            <w:pPr>
              <w:spacing w:line="300" w:lineRule="exact"/>
              <w:jc w:val="center"/>
              <w:rPr>
                <w:rFonts w:hint="eastAsia" w:ascii="Times New Roman" w:hAnsi="Times New Roman" w:eastAsia="华文中宋" w:cs="Times New Roman"/>
                <w:b/>
                <w:bCs/>
                <w:szCs w:val="21"/>
                <w:lang w:val="en-US" w:eastAsia="zh-CN"/>
              </w:rPr>
            </w:pPr>
            <w:r>
              <w:rPr>
                <w:rFonts w:hint="eastAsia" w:ascii="Times New Roman" w:hAnsi="Times New Roman" w:eastAsia="华文中宋" w:cs="Times New Roman"/>
                <w:b/>
                <w:bCs/>
                <w:szCs w:val="21"/>
                <w:lang w:val="en-US" w:eastAsia="zh-CN"/>
              </w:rPr>
              <w:t>矿产名称</w:t>
            </w:r>
          </w:p>
        </w:tc>
        <w:tc>
          <w:tcPr>
            <w:tcW w:w="7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69796E2F">
            <w:pPr>
              <w:spacing w:line="300" w:lineRule="exact"/>
              <w:jc w:val="center"/>
              <w:rPr>
                <w:rFonts w:hint="eastAsia" w:ascii="Times New Roman" w:hAnsi="Times New Roman" w:eastAsia="华文中宋" w:cs="Times New Roman"/>
                <w:b/>
                <w:bCs/>
                <w:szCs w:val="21"/>
                <w:lang w:val="en-US" w:eastAsia="zh-CN"/>
              </w:rPr>
            </w:pPr>
            <w:r>
              <w:rPr>
                <w:rFonts w:hint="eastAsia" w:ascii="Times New Roman" w:hAnsi="Times New Roman" w:eastAsia="华文中宋" w:cs="Times New Roman"/>
                <w:b/>
                <w:bCs/>
                <w:szCs w:val="21"/>
                <w:lang w:val="en-US" w:eastAsia="zh-CN"/>
              </w:rPr>
              <w:t>单位/年</w:t>
            </w:r>
          </w:p>
        </w:tc>
        <w:tc>
          <w:tcPr>
            <w:tcW w:w="850"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14CBBB2F">
            <w:pPr>
              <w:spacing w:line="300" w:lineRule="exact"/>
              <w:jc w:val="center"/>
              <w:rPr>
                <w:rFonts w:hint="eastAsia" w:ascii="Times New Roman" w:hAnsi="Times New Roman" w:eastAsia="华文中宋" w:cs="Times New Roman"/>
                <w:b/>
                <w:bCs/>
                <w:szCs w:val="21"/>
                <w:lang w:val="en-US" w:eastAsia="zh-CN"/>
              </w:rPr>
            </w:pPr>
            <w:r>
              <w:rPr>
                <w:rFonts w:hint="eastAsia" w:ascii="Times New Roman" w:hAnsi="Times New Roman" w:eastAsia="华文中宋" w:cs="Times New Roman"/>
                <w:b/>
                <w:bCs/>
                <w:szCs w:val="21"/>
                <w:lang w:val="en-US" w:eastAsia="zh-CN"/>
              </w:rPr>
              <w:t>大型</w:t>
            </w:r>
          </w:p>
        </w:tc>
        <w:tc>
          <w:tcPr>
            <w:tcW w:w="61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B4CE20D">
            <w:pPr>
              <w:spacing w:line="300" w:lineRule="exact"/>
              <w:jc w:val="center"/>
              <w:rPr>
                <w:rFonts w:hint="eastAsia" w:ascii="Times New Roman" w:hAnsi="Times New Roman" w:eastAsia="华文中宋" w:cs="Times New Roman"/>
                <w:b/>
                <w:bCs/>
                <w:szCs w:val="21"/>
                <w:lang w:val="en-US" w:eastAsia="zh-CN"/>
              </w:rPr>
            </w:pPr>
            <w:r>
              <w:rPr>
                <w:rFonts w:hint="eastAsia" w:ascii="Times New Roman" w:hAnsi="Times New Roman" w:eastAsia="华文中宋" w:cs="Times New Roman"/>
                <w:b/>
                <w:bCs/>
                <w:szCs w:val="21"/>
                <w:lang w:val="en-US" w:eastAsia="zh-CN"/>
              </w:rPr>
              <w:t>中型</w:t>
            </w:r>
          </w:p>
        </w:tc>
        <w:tc>
          <w:tcPr>
            <w:tcW w:w="4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CD28671">
            <w:pPr>
              <w:spacing w:line="300" w:lineRule="exact"/>
              <w:jc w:val="center"/>
              <w:rPr>
                <w:rFonts w:hint="eastAsia" w:ascii="Times New Roman" w:hAnsi="Times New Roman" w:eastAsia="华文中宋" w:cs="Times New Roman"/>
                <w:b/>
                <w:bCs/>
                <w:szCs w:val="21"/>
                <w:lang w:val="en-US" w:eastAsia="zh-CN"/>
              </w:rPr>
            </w:pPr>
            <w:r>
              <w:rPr>
                <w:rFonts w:hint="eastAsia" w:ascii="Times New Roman" w:hAnsi="Times New Roman" w:eastAsia="华文中宋" w:cs="Times New Roman"/>
                <w:b/>
                <w:bCs/>
                <w:szCs w:val="21"/>
                <w:lang w:val="en-US" w:eastAsia="zh-CN"/>
              </w:rPr>
              <w:t>小型</w:t>
            </w:r>
          </w:p>
        </w:tc>
        <w:tc>
          <w:tcPr>
            <w:tcW w:w="56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E30E651">
            <w:pPr>
              <w:spacing w:line="300" w:lineRule="exact"/>
              <w:jc w:val="center"/>
              <w:rPr>
                <w:rFonts w:hint="eastAsia" w:ascii="Times New Roman" w:hAnsi="Times New Roman" w:eastAsia="华文中宋" w:cs="Times New Roman"/>
                <w:b/>
                <w:bCs/>
                <w:szCs w:val="21"/>
                <w:lang w:val="en-US" w:eastAsia="zh-CN"/>
              </w:rPr>
            </w:pPr>
            <w:r>
              <w:rPr>
                <w:rFonts w:hint="eastAsia" w:ascii="Times New Roman" w:hAnsi="Times New Roman" w:eastAsia="华文中宋" w:cs="Times New Roman"/>
                <w:b/>
                <w:bCs/>
                <w:szCs w:val="21"/>
                <w:lang w:val="en-US" w:eastAsia="zh-CN"/>
              </w:rPr>
              <w:t>最低服务年限</w:t>
            </w:r>
          </w:p>
        </w:tc>
        <w:tc>
          <w:tcPr>
            <w:tcW w:w="242"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1B888E6">
            <w:pPr>
              <w:spacing w:line="300" w:lineRule="exact"/>
              <w:jc w:val="center"/>
              <w:rPr>
                <w:rFonts w:hint="eastAsia" w:ascii="Times New Roman" w:hAnsi="Times New Roman" w:eastAsia="华文中宋" w:cs="Times New Roman"/>
                <w:b/>
                <w:bCs/>
                <w:szCs w:val="21"/>
                <w:lang w:val="en-US" w:eastAsia="zh-CN"/>
              </w:rPr>
            </w:pPr>
            <w:r>
              <w:rPr>
                <w:rFonts w:hint="eastAsia" w:ascii="Times New Roman" w:hAnsi="Times New Roman" w:eastAsia="华文中宋" w:cs="Times New Roman"/>
                <w:b/>
                <w:bCs/>
                <w:szCs w:val="21"/>
                <w:lang w:val="en-US" w:eastAsia="zh-CN"/>
              </w:rPr>
              <w:t>备注</w:t>
            </w:r>
          </w:p>
        </w:tc>
      </w:tr>
      <w:tr w14:paraId="65D54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8"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5B6C498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w:t>
            </w:r>
          </w:p>
        </w:tc>
        <w:tc>
          <w:tcPr>
            <w:tcW w:w="11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333F8ABC">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煤（地下开采）</w:t>
            </w:r>
          </w:p>
        </w:tc>
        <w:tc>
          <w:tcPr>
            <w:tcW w:w="7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547ACBB8">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原煤万吨</w:t>
            </w:r>
          </w:p>
        </w:tc>
        <w:tc>
          <w:tcPr>
            <w:tcW w:w="850"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38DA4A2C">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120</w:t>
            </w:r>
          </w:p>
        </w:tc>
        <w:tc>
          <w:tcPr>
            <w:tcW w:w="616"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75D862DC">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45</w:t>
            </w:r>
          </w:p>
        </w:tc>
        <w:tc>
          <w:tcPr>
            <w:tcW w:w="498"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4093C4D8">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30</w:t>
            </w:r>
          </w:p>
        </w:tc>
        <w:tc>
          <w:tcPr>
            <w:tcW w:w="567"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7185F55F">
            <w:pPr>
              <w:spacing w:line="300" w:lineRule="exact"/>
              <w:jc w:val="center"/>
              <w:rPr>
                <w:rFonts w:hint="eastAsia" w:ascii="Times New Roman" w:hAnsi="Times New Roman" w:eastAsia="华文中宋" w:cs="Times New Roman"/>
                <w:szCs w:val="21"/>
                <w:lang w:val="en-US" w:eastAsia="zh-CN"/>
              </w:rPr>
            </w:pPr>
          </w:p>
        </w:tc>
        <w:tc>
          <w:tcPr>
            <w:tcW w:w="24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3713ADF1">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仿宋" w:hAnsi="仿宋" w:eastAsia="仿宋" w:cs="仿宋"/>
                <w:color w:val="000000"/>
                <w:sz w:val="24"/>
                <w:szCs w:val="24"/>
              </w:rPr>
            </w:pPr>
          </w:p>
        </w:tc>
      </w:tr>
      <w:tr w14:paraId="5A3B6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358"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2A15457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w:t>
            </w:r>
          </w:p>
        </w:tc>
        <w:tc>
          <w:tcPr>
            <w:tcW w:w="11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7BC67A9E">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铁（地下开采/露天开采）</w:t>
            </w:r>
          </w:p>
        </w:tc>
        <w:tc>
          <w:tcPr>
            <w:tcW w:w="7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6E2D45CB">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矿石万吨</w:t>
            </w:r>
          </w:p>
        </w:tc>
        <w:tc>
          <w:tcPr>
            <w:tcW w:w="850"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2C82044F">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100/200</w:t>
            </w:r>
          </w:p>
        </w:tc>
        <w:tc>
          <w:tcPr>
            <w:tcW w:w="616"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367A069A">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30/60</w:t>
            </w:r>
          </w:p>
        </w:tc>
        <w:tc>
          <w:tcPr>
            <w:tcW w:w="498"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286CAB0B">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10/30</w:t>
            </w:r>
          </w:p>
        </w:tc>
        <w:tc>
          <w:tcPr>
            <w:tcW w:w="567"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749CB285">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c>
          <w:tcPr>
            <w:tcW w:w="24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0CF32BC9">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仿宋" w:hAnsi="仿宋" w:eastAsia="仿宋" w:cs="仿宋"/>
                <w:color w:val="000000"/>
                <w:sz w:val="24"/>
                <w:szCs w:val="24"/>
              </w:rPr>
            </w:pPr>
          </w:p>
        </w:tc>
      </w:tr>
      <w:tr w14:paraId="510EF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358"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33556D3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w:t>
            </w:r>
          </w:p>
        </w:tc>
        <w:tc>
          <w:tcPr>
            <w:tcW w:w="11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6C680D51">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锰</w:t>
            </w:r>
          </w:p>
        </w:tc>
        <w:tc>
          <w:tcPr>
            <w:tcW w:w="7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09C16EF9">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矿石万吨</w:t>
            </w:r>
          </w:p>
        </w:tc>
        <w:tc>
          <w:tcPr>
            <w:tcW w:w="850"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07E31F25">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c>
          <w:tcPr>
            <w:tcW w:w="616"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2A48DE1D">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w:t>
            </w:r>
          </w:p>
        </w:tc>
        <w:tc>
          <w:tcPr>
            <w:tcW w:w="498"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6DA42F57">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w:t>
            </w:r>
          </w:p>
        </w:tc>
        <w:tc>
          <w:tcPr>
            <w:tcW w:w="567"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0460BF67">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c>
          <w:tcPr>
            <w:tcW w:w="24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6FA4A91B">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仿宋" w:hAnsi="仿宋" w:eastAsia="仿宋" w:cs="仿宋"/>
                <w:color w:val="000000"/>
                <w:sz w:val="24"/>
                <w:szCs w:val="24"/>
              </w:rPr>
            </w:pPr>
          </w:p>
        </w:tc>
      </w:tr>
      <w:tr w14:paraId="7FBC5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358"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30DEB94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4</w:t>
            </w:r>
          </w:p>
        </w:tc>
        <w:tc>
          <w:tcPr>
            <w:tcW w:w="11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1025DB37">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铜</w:t>
            </w:r>
          </w:p>
        </w:tc>
        <w:tc>
          <w:tcPr>
            <w:tcW w:w="7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7AC1BB1C">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矿石万吨</w:t>
            </w:r>
          </w:p>
        </w:tc>
        <w:tc>
          <w:tcPr>
            <w:tcW w:w="850"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4EAA0716">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100</w:t>
            </w:r>
          </w:p>
        </w:tc>
        <w:tc>
          <w:tcPr>
            <w:tcW w:w="616"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3A78A7C6">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30</w:t>
            </w:r>
          </w:p>
        </w:tc>
        <w:tc>
          <w:tcPr>
            <w:tcW w:w="498"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65E79A56">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c>
          <w:tcPr>
            <w:tcW w:w="567"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2F0F9C5C">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c>
          <w:tcPr>
            <w:tcW w:w="24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0968B879">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仿宋" w:hAnsi="仿宋" w:eastAsia="仿宋" w:cs="仿宋"/>
                <w:color w:val="000000"/>
                <w:sz w:val="24"/>
                <w:szCs w:val="24"/>
              </w:rPr>
            </w:pPr>
          </w:p>
        </w:tc>
      </w:tr>
      <w:tr w14:paraId="14BF0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358"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19E69A3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w:t>
            </w:r>
          </w:p>
        </w:tc>
        <w:tc>
          <w:tcPr>
            <w:tcW w:w="11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7C74CFA0">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铅</w:t>
            </w:r>
          </w:p>
        </w:tc>
        <w:tc>
          <w:tcPr>
            <w:tcW w:w="7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19213111">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矿石万吨</w:t>
            </w:r>
          </w:p>
        </w:tc>
        <w:tc>
          <w:tcPr>
            <w:tcW w:w="850"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75CCE9E6">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100</w:t>
            </w:r>
          </w:p>
        </w:tc>
        <w:tc>
          <w:tcPr>
            <w:tcW w:w="616"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75B7D578">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30</w:t>
            </w:r>
          </w:p>
        </w:tc>
        <w:tc>
          <w:tcPr>
            <w:tcW w:w="498"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00630F1A">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c>
          <w:tcPr>
            <w:tcW w:w="567"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19481CD4">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15</w:t>
            </w:r>
          </w:p>
        </w:tc>
        <w:tc>
          <w:tcPr>
            <w:tcW w:w="24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4684BBA6">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仿宋" w:hAnsi="仿宋" w:eastAsia="仿宋" w:cs="仿宋"/>
                <w:color w:val="000000"/>
                <w:sz w:val="24"/>
                <w:szCs w:val="24"/>
              </w:rPr>
            </w:pPr>
          </w:p>
        </w:tc>
      </w:tr>
      <w:tr w14:paraId="5E25D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358"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19C6645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6</w:t>
            </w:r>
          </w:p>
        </w:tc>
        <w:tc>
          <w:tcPr>
            <w:tcW w:w="11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3140D4A9">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锌</w:t>
            </w:r>
          </w:p>
        </w:tc>
        <w:tc>
          <w:tcPr>
            <w:tcW w:w="7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2F9BCA5F">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矿石万吨</w:t>
            </w:r>
          </w:p>
        </w:tc>
        <w:tc>
          <w:tcPr>
            <w:tcW w:w="850"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473F302F">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100</w:t>
            </w:r>
          </w:p>
        </w:tc>
        <w:tc>
          <w:tcPr>
            <w:tcW w:w="616"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71B1C568">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30</w:t>
            </w:r>
          </w:p>
        </w:tc>
        <w:tc>
          <w:tcPr>
            <w:tcW w:w="498"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729B2CE1">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c>
          <w:tcPr>
            <w:tcW w:w="567"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6AD058AA">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15</w:t>
            </w:r>
          </w:p>
        </w:tc>
        <w:tc>
          <w:tcPr>
            <w:tcW w:w="24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5C7587C2">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仿宋" w:hAnsi="仿宋" w:eastAsia="仿宋" w:cs="仿宋"/>
                <w:color w:val="000000"/>
                <w:sz w:val="24"/>
                <w:szCs w:val="24"/>
              </w:rPr>
            </w:pPr>
          </w:p>
        </w:tc>
      </w:tr>
      <w:tr w14:paraId="1A06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358"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2FFA080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7</w:t>
            </w:r>
          </w:p>
        </w:tc>
        <w:tc>
          <w:tcPr>
            <w:tcW w:w="11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416E89BE">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钼</w:t>
            </w:r>
          </w:p>
        </w:tc>
        <w:tc>
          <w:tcPr>
            <w:tcW w:w="7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139B7933">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矿石万吨</w:t>
            </w:r>
          </w:p>
        </w:tc>
        <w:tc>
          <w:tcPr>
            <w:tcW w:w="850"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557A28D2">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100</w:t>
            </w:r>
          </w:p>
        </w:tc>
        <w:tc>
          <w:tcPr>
            <w:tcW w:w="616"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7693BCE3">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50</w:t>
            </w:r>
          </w:p>
        </w:tc>
        <w:tc>
          <w:tcPr>
            <w:tcW w:w="498"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7111F038">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c>
          <w:tcPr>
            <w:tcW w:w="567"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104AD223">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c>
          <w:tcPr>
            <w:tcW w:w="24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6C15E66C">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仿宋" w:hAnsi="仿宋" w:eastAsia="仿宋" w:cs="仿宋"/>
                <w:color w:val="000000"/>
                <w:sz w:val="24"/>
                <w:szCs w:val="24"/>
              </w:rPr>
            </w:pPr>
          </w:p>
        </w:tc>
      </w:tr>
      <w:tr w14:paraId="30C0D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358"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712C88E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8</w:t>
            </w:r>
          </w:p>
        </w:tc>
        <w:tc>
          <w:tcPr>
            <w:tcW w:w="11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0847C2A6">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镍</w:t>
            </w:r>
          </w:p>
        </w:tc>
        <w:tc>
          <w:tcPr>
            <w:tcW w:w="7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78A0E3CF">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矿石万吨</w:t>
            </w:r>
          </w:p>
        </w:tc>
        <w:tc>
          <w:tcPr>
            <w:tcW w:w="850"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028A4531">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100</w:t>
            </w:r>
          </w:p>
        </w:tc>
        <w:tc>
          <w:tcPr>
            <w:tcW w:w="616"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0621DDD3">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30</w:t>
            </w:r>
          </w:p>
        </w:tc>
        <w:tc>
          <w:tcPr>
            <w:tcW w:w="498"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0D7590D3">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w:t>
            </w:r>
          </w:p>
        </w:tc>
        <w:tc>
          <w:tcPr>
            <w:tcW w:w="567"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08D92E1B">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c>
          <w:tcPr>
            <w:tcW w:w="24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2AE1A647">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仿宋" w:hAnsi="仿宋" w:eastAsia="仿宋" w:cs="仿宋"/>
                <w:color w:val="000000"/>
                <w:sz w:val="24"/>
                <w:szCs w:val="24"/>
              </w:rPr>
            </w:pPr>
          </w:p>
        </w:tc>
      </w:tr>
      <w:tr w14:paraId="76FF9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358"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29D0217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9</w:t>
            </w:r>
          </w:p>
        </w:tc>
        <w:tc>
          <w:tcPr>
            <w:tcW w:w="11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2A4D47E8">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锑</w:t>
            </w:r>
          </w:p>
        </w:tc>
        <w:tc>
          <w:tcPr>
            <w:tcW w:w="7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3A85A4AE">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矿石万吨</w:t>
            </w:r>
          </w:p>
        </w:tc>
        <w:tc>
          <w:tcPr>
            <w:tcW w:w="850"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3DF23256">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100</w:t>
            </w:r>
          </w:p>
        </w:tc>
        <w:tc>
          <w:tcPr>
            <w:tcW w:w="616"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096219E0">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30</w:t>
            </w:r>
          </w:p>
        </w:tc>
        <w:tc>
          <w:tcPr>
            <w:tcW w:w="498"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08813BB2">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w:t>
            </w:r>
          </w:p>
        </w:tc>
        <w:tc>
          <w:tcPr>
            <w:tcW w:w="567"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56D92F7E">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c>
          <w:tcPr>
            <w:tcW w:w="24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508FACBB">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仿宋" w:hAnsi="仿宋" w:eastAsia="仿宋" w:cs="仿宋"/>
                <w:color w:val="000000"/>
                <w:sz w:val="24"/>
                <w:szCs w:val="24"/>
              </w:rPr>
            </w:pPr>
          </w:p>
        </w:tc>
      </w:tr>
      <w:tr w14:paraId="6F74A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358"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55B51DD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c>
          <w:tcPr>
            <w:tcW w:w="11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4827868C">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金（岩金）（地下开采/露天开采）</w:t>
            </w:r>
          </w:p>
        </w:tc>
        <w:tc>
          <w:tcPr>
            <w:tcW w:w="7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22C7F2B7">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矿石万吨</w:t>
            </w:r>
          </w:p>
        </w:tc>
        <w:tc>
          <w:tcPr>
            <w:tcW w:w="850"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1DBA66E1">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15/15</w:t>
            </w:r>
          </w:p>
        </w:tc>
        <w:tc>
          <w:tcPr>
            <w:tcW w:w="616"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7AF4C4D7">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6/9</w:t>
            </w:r>
          </w:p>
        </w:tc>
        <w:tc>
          <w:tcPr>
            <w:tcW w:w="498"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2058E746">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w:t>
            </w:r>
          </w:p>
        </w:tc>
        <w:tc>
          <w:tcPr>
            <w:tcW w:w="567"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7AC51C29">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c>
          <w:tcPr>
            <w:tcW w:w="24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61F85E61">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仿宋" w:hAnsi="仿宋" w:eastAsia="仿宋" w:cs="仿宋"/>
                <w:color w:val="000000"/>
                <w:sz w:val="24"/>
                <w:szCs w:val="24"/>
              </w:rPr>
            </w:pPr>
          </w:p>
        </w:tc>
      </w:tr>
      <w:tr w14:paraId="1A3CD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358"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63D7D7D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11</w:t>
            </w:r>
          </w:p>
        </w:tc>
        <w:tc>
          <w:tcPr>
            <w:tcW w:w="11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0A6B00DC">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锂</w:t>
            </w:r>
          </w:p>
        </w:tc>
        <w:tc>
          <w:tcPr>
            <w:tcW w:w="7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74074AC1">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矿石万吨</w:t>
            </w:r>
          </w:p>
        </w:tc>
        <w:tc>
          <w:tcPr>
            <w:tcW w:w="850"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6509D167">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100</w:t>
            </w:r>
          </w:p>
        </w:tc>
        <w:tc>
          <w:tcPr>
            <w:tcW w:w="616"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541FC4C4">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30</w:t>
            </w:r>
          </w:p>
        </w:tc>
        <w:tc>
          <w:tcPr>
            <w:tcW w:w="498"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45E9F22A">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6</w:t>
            </w:r>
          </w:p>
        </w:tc>
        <w:tc>
          <w:tcPr>
            <w:tcW w:w="567"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514120C7">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c>
          <w:tcPr>
            <w:tcW w:w="24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16E399E0">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仿宋" w:hAnsi="仿宋" w:eastAsia="仿宋" w:cs="仿宋"/>
                <w:color w:val="000000"/>
                <w:sz w:val="24"/>
                <w:szCs w:val="24"/>
              </w:rPr>
            </w:pPr>
          </w:p>
        </w:tc>
      </w:tr>
      <w:tr w14:paraId="5A251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58"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53203F4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12</w:t>
            </w:r>
          </w:p>
        </w:tc>
        <w:tc>
          <w:tcPr>
            <w:tcW w:w="11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0494AC7B">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铍</w:t>
            </w:r>
          </w:p>
        </w:tc>
        <w:tc>
          <w:tcPr>
            <w:tcW w:w="7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20A0B4C2">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矿石万吨</w:t>
            </w:r>
          </w:p>
        </w:tc>
        <w:tc>
          <w:tcPr>
            <w:tcW w:w="850"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1CF329E6">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100</w:t>
            </w:r>
          </w:p>
        </w:tc>
        <w:tc>
          <w:tcPr>
            <w:tcW w:w="616"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05234FF9">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30</w:t>
            </w:r>
          </w:p>
        </w:tc>
        <w:tc>
          <w:tcPr>
            <w:tcW w:w="498"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4546BA05">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6</w:t>
            </w:r>
          </w:p>
        </w:tc>
        <w:tc>
          <w:tcPr>
            <w:tcW w:w="567"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04DFA2B1">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c>
          <w:tcPr>
            <w:tcW w:w="24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32D757A8">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仿宋" w:hAnsi="仿宋" w:eastAsia="仿宋" w:cs="仿宋"/>
                <w:color w:val="000000"/>
                <w:sz w:val="24"/>
                <w:szCs w:val="24"/>
              </w:rPr>
            </w:pPr>
          </w:p>
        </w:tc>
      </w:tr>
      <w:tr w14:paraId="4D96C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358"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4B23DFF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13</w:t>
            </w:r>
          </w:p>
        </w:tc>
        <w:tc>
          <w:tcPr>
            <w:tcW w:w="11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623611E3">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硼（B</w:t>
            </w:r>
            <w:r>
              <w:rPr>
                <w:rFonts w:hint="eastAsia" w:ascii="Times New Roman" w:hAnsi="Times New Roman" w:eastAsia="华文中宋" w:cs="Times New Roman"/>
                <w:szCs w:val="21"/>
                <w:vertAlign w:val="subscript"/>
                <w:lang w:val="en-US" w:eastAsia="zh-CN"/>
              </w:rPr>
              <w:t>2</w:t>
            </w:r>
            <w:r>
              <w:rPr>
                <w:rFonts w:hint="eastAsia" w:ascii="Times New Roman" w:hAnsi="Times New Roman" w:eastAsia="华文中宋" w:cs="Times New Roman"/>
                <w:szCs w:val="21"/>
                <w:lang w:val="en-US" w:eastAsia="zh-CN"/>
              </w:rPr>
              <w:t>O</w:t>
            </w:r>
            <w:r>
              <w:rPr>
                <w:rFonts w:hint="eastAsia" w:ascii="Times New Roman" w:hAnsi="Times New Roman" w:eastAsia="华文中宋" w:cs="Times New Roman"/>
                <w:szCs w:val="21"/>
                <w:vertAlign w:val="subscript"/>
                <w:lang w:val="en-US" w:eastAsia="zh-CN"/>
              </w:rPr>
              <w:t>3</w:t>
            </w:r>
            <w:r>
              <w:rPr>
                <w:rFonts w:hint="eastAsia" w:ascii="Times New Roman" w:hAnsi="Times New Roman" w:eastAsia="华文中宋" w:cs="Times New Roman"/>
                <w:szCs w:val="21"/>
                <w:lang w:val="en-US" w:eastAsia="zh-CN"/>
              </w:rPr>
              <w:t>）</w:t>
            </w:r>
          </w:p>
        </w:tc>
        <w:tc>
          <w:tcPr>
            <w:tcW w:w="7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2746274B">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矿石万吨</w:t>
            </w:r>
          </w:p>
        </w:tc>
        <w:tc>
          <w:tcPr>
            <w:tcW w:w="850"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2E0132A8">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c>
          <w:tcPr>
            <w:tcW w:w="616"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06AC988D">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c>
          <w:tcPr>
            <w:tcW w:w="498"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42D9DF01">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w:t>
            </w:r>
          </w:p>
        </w:tc>
        <w:tc>
          <w:tcPr>
            <w:tcW w:w="567"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56BAB11B">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c>
          <w:tcPr>
            <w:tcW w:w="24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4014C4C4">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仿宋" w:hAnsi="仿宋" w:eastAsia="仿宋" w:cs="仿宋"/>
                <w:color w:val="000000"/>
                <w:sz w:val="24"/>
                <w:szCs w:val="24"/>
              </w:rPr>
            </w:pPr>
          </w:p>
        </w:tc>
      </w:tr>
      <w:tr w14:paraId="0B2A3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358"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03692DE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14</w:t>
            </w:r>
          </w:p>
        </w:tc>
        <w:tc>
          <w:tcPr>
            <w:tcW w:w="11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07D2143A">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高岭土</w:t>
            </w:r>
          </w:p>
        </w:tc>
        <w:tc>
          <w:tcPr>
            <w:tcW w:w="7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0CB6404A">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矿石万吨</w:t>
            </w:r>
          </w:p>
        </w:tc>
        <w:tc>
          <w:tcPr>
            <w:tcW w:w="850"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5669986A">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c>
          <w:tcPr>
            <w:tcW w:w="616"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3F92E8C2">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w:t>
            </w:r>
          </w:p>
        </w:tc>
        <w:tc>
          <w:tcPr>
            <w:tcW w:w="498"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3CBF0E5E">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w:t>
            </w:r>
          </w:p>
        </w:tc>
        <w:tc>
          <w:tcPr>
            <w:tcW w:w="567"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681842BC">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c>
          <w:tcPr>
            <w:tcW w:w="24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5367BEC8">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仿宋" w:hAnsi="仿宋" w:eastAsia="仿宋" w:cs="仿宋"/>
                <w:color w:val="000000"/>
                <w:sz w:val="24"/>
                <w:szCs w:val="24"/>
              </w:rPr>
            </w:pPr>
          </w:p>
        </w:tc>
      </w:tr>
      <w:tr w14:paraId="786B0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358"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0ACFE2B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15</w:t>
            </w:r>
          </w:p>
        </w:tc>
        <w:tc>
          <w:tcPr>
            <w:tcW w:w="11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3E9034D9">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石灰岩（水泥用/其他）</w:t>
            </w:r>
          </w:p>
        </w:tc>
        <w:tc>
          <w:tcPr>
            <w:tcW w:w="7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443EC2F2">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矿石万吨</w:t>
            </w:r>
          </w:p>
        </w:tc>
        <w:tc>
          <w:tcPr>
            <w:tcW w:w="850"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56DC9CF3">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100/100</w:t>
            </w:r>
          </w:p>
        </w:tc>
        <w:tc>
          <w:tcPr>
            <w:tcW w:w="616"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3AF655BA">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50/50</w:t>
            </w:r>
          </w:p>
        </w:tc>
        <w:tc>
          <w:tcPr>
            <w:tcW w:w="498"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4F93D9AC">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c>
          <w:tcPr>
            <w:tcW w:w="567"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02C7CE03">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c>
          <w:tcPr>
            <w:tcW w:w="24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2A91C793">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仿宋" w:hAnsi="仿宋" w:eastAsia="仿宋" w:cs="仿宋"/>
                <w:color w:val="000000"/>
                <w:sz w:val="24"/>
                <w:szCs w:val="24"/>
              </w:rPr>
            </w:pPr>
          </w:p>
        </w:tc>
      </w:tr>
      <w:tr w14:paraId="3BB0E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358"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2A04B4D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16</w:t>
            </w:r>
          </w:p>
        </w:tc>
        <w:tc>
          <w:tcPr>
            <w:tcW w:w="11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685FF65B">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冶金、水泥用石英砂</w:t>
            </w:r>
          </w:p>
        </w:tc>
        <w:tc>
          <w:tcPr>
            <w:tcW w:w="7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7C94DBAA">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矿石万吨</w:t>
            </w:r>
          </w:p>
        </w:tc>
        <w:tc>
          <w:tcPr>
            <w:tcW w:w="85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B5399F1">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60</w:t>
            </w:r>
          </w:p>
        </w:tc>
        <w:tc>
          <w:tcPr>
            <w:tcW w:w="61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6BEA5B8">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20</w:t>
            </w:r>
          </w:p>
        </w:tc>
        <w:tc>
          <w:tcPr>
            <w:tcW w:w="4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158DF4D">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c>
          <w:tcPr>
            <w:tcW w:w="56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66173EA">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c>
          <w:tcPr>
            <w:tcW w:w="242"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E87EB70">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仿宋" w:hAnsi="仿宋" w:eastAsia="仿宋" w:cs="仿宋"/>
                <w:color w:val="000000"/>
                <w:sz w:val="24"/>
                <w:szCs w:val="24"/>
              </w:rPr>
            </w:pPr>
          </w:p>
        </w:tc>
      </w:tr>
      <w:tr w14:paraId="5FF91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358"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1B8C700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17</w:t>
            </w:r>
          </w:p>
        </w:tc>
        <w:tc>
          <w:tcPr>
            <w:tcW w:w="11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76344FDB">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石膏</w:t>
            </w:r>
          </w:p>
        </w:tc>
        <w:tc>
          <w:tcPr>
            <w:tcW w:w="7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50F9FCEB">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矿石万吨</w:t>
            </w:r>
          </w:p>
        </w:tc>
        <w:tc>
          <w:tcPr>
            <w:tcW w:w="85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9D24C86">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30</w:t>
            </w:r>
          </w:p>
        </w:tc>
        <w:tc>
          <w:tcPr>
            <w:tcW w:w="61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7724C37">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20</w:t>
            </w:r>
          </w:p>
        </w:tc>
        <w:tc>
          <w:tcPr>
            <w:tcW w:w="4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CD0BC39">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w:t>
            </w:r>
          </w:p>
        </w:tc>
        <w:tc>
          <w:tcPr>
            <w:tcW w:w="56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8D314D6">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c>
          <w:tcPr>
            <w:tcW w:w="242"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0FD4C99">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仿宋" w:hAnsi="仿宋" w:eastAsia="仿宋" w:cs="仿宋"/>
                <w:color w:val="000000"/>
                <w:sz w:val="24"/>
                <w:szCs w:val="24"/>
              </w:rPr>
            </w:pPr>
          </w:p>
        </w:tc>
      </w:tr>
      <w:tr w14:paraId="01920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358"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376E01D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18</w:t>
            </w:r>
          </w:p>
        </w:tc>
        <w:tc>
          <w:tcPr>
            <w:tcW w:w="11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4508812B">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石墨（晶质/隐晶质）</w:t>
            </w:r>
          </w:p>
        </w:tc>
        <w:tc>
          <w:tcPr>
            <w:tcW w:w="7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3A890DDF">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矿物/矿石万吨</w:t>
            </w:r>
          </w:p>
        </w:tc>
        <w:tc>
          <w:tcPr>
            <w:tcW w:w="85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AB3FC5D">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1/10</w:t>
            </w:r>
          </w:p>
        </w:tc>
        <w:tc>
          <w:tcPr>
            <w:tcW w:w="61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0C401A0">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0.6/8</w:t>
            </w:r>
          </w:p>
        </w:tc>
        <w:tc>
          <w:tcPr>
            <w:tcW w:w="4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1585C2C">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0.3/5</w:t>
            </w:r>
          </w:p>
        </w:tc>
        <w:tc>
          <w:tcPr>
            <w:tcW w:w="56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127B979">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c>
          <w:tcPr>
            <w:tcW w:w="242"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712A53D">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仿宋" w:hAnsi="仿宋" w:eastAsia="仿宋" w:cs="仿宋"/>
                <w:color w:val="000000"/>
                <w:sz w:val="24"/>
                <w:szCs w:val="24"/>
              </w:rPr>
            </w:pPr>
          </w:p>
        </w:tc>
      </w:tr>
      <w:tr w14:paraId="633B4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358"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4560DC6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19</w:t>
            </w:r>
          </w:p>
        </w:tc>
        <w:tc>
          <w:tcPr>
            <w:tcW w:w="11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57764007">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建筑用砂</w:t>
            </w:r>
          </w:p>
        </w:tc>
        <w:tc>
          <w:tcPr>
            <w:tcW w:w="7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269FF7BD">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万立方米</w:t>
            </w:r>
          </w:p>
        </w:tc>
        <w:tc>
          <w:tcPr>
            <w:tcW w:w="85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D8EFD82">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30</w:t>
            </w:r>
          </w:p>
        </w:tc>
        <w:tc>
          <w:tcPr>
            <w:tcW w:w="61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E240CC3">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13</w:t>
            </w:r>
          </w:p>
        </w:tc>
        <w:tc>
          <w:tcPr>
            <w:tcW w:w="4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FAEA33F">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c>
          <w:tcPr>
            <w:tcW w:w="56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3F0EA13">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c>
          <w:tcPr>
            <w:tcW w:w="242"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A3F694D">
            <w:pPr>
              <w:keepNext w:val="0"/>
              <w:keepLines w:val="0"/>
              <w:pageBreakBefore w:val="0"/>
              <w:kinsoku/>
              <w:wordWrap/>
              <w:overflowPunct/>
              <w:topLinePunct w:val="0"/>
              <w:autoSpaceDE/>
              <w:autoSpaceDN/>
              <w:bidi w:val="0"/>
              <w:adjustRightInd w:val="0"/>
              <w:snapToGrid w:val="0"/>
              <w:spacing w:line="280" w:lineRule="exact"/>
              <w:ind w:firstLine="0" w:firstLineChars="0"/>
              <w:jc w:val="center"/>
              <w:outlineLvl w:val="9"/>
              <w:rPr>
                <w:rFonts w:hint="eastAsia" w:ascii="仿宋" w:hAnsi="仿宋" w:eastAsia="仿宋" w:cs="仿宋"/>
                <w:color w:val="000000"/>
                <w:sz w:val="24"/>
                <w:szCs w:val="24"/>
              </w:rPr>
            </w:pPr>
          </w:p>
        </w:tc>
      </w:tr>
      <w:tr w14:paraId="125FD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358"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7ABE2CB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20</w:t>
            </w:r>
          </w:p>
        </w:tc>
        <w:tc>
          <w:tcPr>
            <w:tcW w:w="11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35E1E553">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砖瓦用粘土</w:t>
            </w:r>
          </w:p>
        </w:tc>
        <w:tc>
          <w:tcPr>
            <w:tcW w:w="7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311B9FEF">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矿石万吨</w:t>
            </w:r>
          </w:p>
        </w:tc>
        <w:tc>
          <w:tcPr>
            <w:tcW w:w="85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75EE5AB">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30</w:t>
            </w:r>
          </w:p>
        </w:tc>
        <w:tc>
          <w:tcPr>
            <w:tcW w:w="61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D3BF53D">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13</w:t>
            </w:r>
          </w:p>
        </w:tc>
        <w:tc>
          <w:tcPr>
            <w:tcW w:w="4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B195274">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c>
          <w:tcPr>
            <w:tcW w:w="56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4043BDB">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c>
          <w:tcPr>
            <w:tcW w:w="242"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4B89C14">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仿宋" w:hAnsi="仿宋" w:eastAsia="仿宋" w:cs="仿宋"/>
                <w:color w:val="000000"/>
                <w:sz w:val="24"/>
                <w:szCs w:val="24"/>
              </w:rPr>
            </w:pPr>
          </w:p>
        </w:tc>
      </w:tr>
      <w:tr w14:paraId="0D912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358"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0BCE568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21</w:t>
            </w:r>
          </w:p>
        </w:tc>
        <w:tc>
          <w:tcPr>
            <w:tcW w:w="11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259067AC">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建筑用石材</w:t>
            </w:r>
          </w:p>
        </w:tc>
        <w:tc>
          <w:tcPr>
            <w:tcW w:w="7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3044B3B7">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万立方米</w:t>
            </w:r>
          </w:p>
        </w:tc>
        <w:tc>
          <w:tcPr>
            <w:tcW w:w="85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11F4A68">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c>
          <w:tcPr>
            <w:tcW w:w="61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7800381">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w:t>
            </w:r>
          </w:p>
        </w:tc>
        <w:tc>
          <w:tcPr>
            <w:tcW w:w="4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B57F09F">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1.5</w:t>
            </w:r>
          </w:p>
        </w:tc>
        <w:tc>
          <w:tcPr>
            <w:tcW w:w="56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0B03679">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c>
          <w:tcPr>
            <w:tcW w:w="242"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E332883">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仿宋" w:hAnsi="仿宋" w:eastAsia="仿宋" w:cs="仿宋"/>
                <w:color w:val="000000"/>
                <w:sz w:val="24"/>
                <w:szCs w:val="24"/>
              </w:rPr>
            </w:pPr>
          </w:p>
        </w:tc>
      </w:tr>
      <w:tr w14:paraId="65FFF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358"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00A0F03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22</w:t>
            </w:r>
          </w:p>
        </w:tc>
        <w:tc>
          <w:tcPr>
            <w:tcW w:w="11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768D366D">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饰面用石材</w:t>
            </w:r>
          </w:p>
        </w:tc>
        <w:tc>
          <w:tcPr>
            <w:tcW w:w="73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238A5982">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万立方米</w:t>
            </w:r>
          </w:p>
        </w:tc>
        <w:tc>
          <w:tcPr>
            <w:tcW w:w="85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3311BED">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w:t>
            </w:r>
          </w:p>
        </w:tc>
        <w:tc>
          <w:tcPr>
            <w:tcW w:w="61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F55F7F1">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0.5</w:t>
            </w:r>
          </w:p>
        </w:tc>
        <w:tc>
          <w:tcPr>
            <w:tcW w:w="4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C197043">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0.3</w:t>
            </w:r>
          </w:p>
        </w:tc>
        <w:tc>
          <w:tcPr>
            <w:tcW w:w="56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0A4A831">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c>
          <w:tcPr>
            <w:tcW w:w="242"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4E64B72">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eastAsia" w:ascii="仿宋" w:hAnsi="仿宋" w:eastAsia="仿宋" w:cs="仿宋"/>
                <w:color w:val="000000"/>
                <w:sz w:val="24"/>
                <w:szCs w:val="24"/>
              </w:rPr>
            </w:pPr>
          </w:p>
        </w:tc>
      </w:tr>
    </w:tbl>
    <w:p w14:paraId="1081F51E">
      <w:pPr>
        <w:keepNext w:val="0"/>
        <w:keepLines w:val="0"/>
        <w:pageBreakBefore w:val="0"/>
        <w:widowControl w:val="0"/>
        <w:kinsoku/>
        <w:wordWrap/>
        <w:overflowPunct/>
        <w:topLinePunct w:val="0"/>
        <w:autoSpaceDE/>
        <w:autoSpaceDN/>
        <w:bidi w:val="0"/>
        <w:adjustRightInd w:val="0"/>
        <w:snapToGrid w:val="0"/>
        <w:spacing w:line="560" w:lineRule="exact"/>
        <w:ind w:firstLine="562"/>
        <w:textAlignment w:val="auto"/>
        <w:rPr>
          <w:rFonts w:hint="default" w:ascii="Times New Roman" w:hAnsi="Times New Roman" w:cs="Times New Roman"/>
          <w:color w:val="auto"/>
          <w:lang w:val="en-US" w:eastAsia="zh-CN"/>
        </w:rPr>
      </w:pPr>
      <w:r>
        <w:rPr>
          <w:rFonts w:hint="eastAsia" w:ascii="Times New Roman" w:hAnsi="Times New Roman" w:eastAsia="华文中宋" w:cs="Times New Roman"/>
          <w:snapToGrid w:val="0"/>
          <w:color w:val="auto"/>
          <w:kern w:val="0"/>
          <w:sz w:val="24"/>
          <w:szCs w:val="20"/>
          <w:lang w:val="en-US" w:eastAsia="zh-CN" w:bidi="ar-SA"/>
        </w:rPr>
        <w:t>强化铅锌、锂、锑等重要、战略矿产综合勘查开发利用。围绕和田地区铅锌、锂、锑等重要、战略矿产，依托和田地区17 个重点勘查区和8个重点开采区，强化资源勘查开发力度，尽快将和田地区矿产资源优势转换为经济优势。鼓励利用多渠道社会资金，积极开展以市场需求为导向、以经济效益为目的的商业矿产资源勘查活动。积极推动公益性地质工作与商业性勘查工作的有机衔接，实现公益性地质工作对商业性矿产勘查的有效服务和拉动。建立财政资金与企业资金的有机衔接的机制，加大公益性及各类地勘基金对地质勘查工作的前期投入，降低商业性地勘工作的风险。充分发挥自治区、和田自然资源交易中心的作用，根据和田地区招商引资建设项目需要，及时提出出让计划，摸清所需矿种资源储量，编制出让方案，按照审批权限，应由自治区自然资源厅出让的，和田地区自然局积极协调自治区自然资源厅，尽快组织出让；由和田地区自然资源局出让的，和田地区自然资源局积极组织技术人员完成资源储量调查，及早予以招拍挂出让。对有意向在和田地区勘查开发或开采矿产资源的企业，积极引导其参与自治区、地区自然资源交易中心组织的探矿权、采矿权招标、拍卖、挂牌出让，依法取得探矿权、采矿权。</w:t>
      </w:r>
    </w:p>
    <w:p w14:paraId="03D85E83">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本项目为锑铅矿开采，矿山矿石总储量为64.33万吨，铅矿最低开采规模为10万吨/年；锑矿最低开采规模为3万吨/年。因为</w:t>
      </w:r>
      <w:r>
        <w:rPr>
          <w:rFonts w:hint="eastAsia" w:ascii="Times New Roman" w:hAnsi="Times New Roman" w:cs="Times New Roman"/>
          <w:color w:val="auto"/>
          <w:lang w:val="en-US" w:eastAsia="zh-CN"/>
        </w:rPr>
        <w:t>本项目</w:t>
      </w:r>
      <w:r>
        <w:rPr>
          <w:rFonts w:hint="default" w:ascii="Times New Roman" w:hAnsi="Times New Roman" w:cs="Times New Roman"/>
          <w:color w:val="auto"/>
          <w:lang w:val="en-US" w:eastAsia="zh-CN"/>
        </w:rPr>
        <w:t>矿山总储量较小</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设计开采规模为12万吨/年，</w:t>
      </w:r>
      <w:r>
        <w:rPr>
          <w:rFonts w:hint="eastAsia" w:ascii="Times New Roman" w:hAnsi="Times New Roman" w:cs="Times New Roman"/>
          <w:color w:val="auto"/>
          <w:lang w:val="en-US" w:eastAsia="zh-CN"/>
        </w:rPr>
        <w:t>服务年限为5.09年。根据《自治区发展改革委关于民丰县盼水河铅锑矿工程项目核准的批复》（新发改批复〔2025〕44号）及自治区自然资源厅出具的《关于民丰县盼水河铅锑矿工程项目意见建议的复函》内容：“该采矿权2013年通过探矿权转采矿权方式取得，符合矿产资源总体规划要求，2024年2月办理采矿证延续手续，不受《新疆维吾尔自治区非煤矿种（</w:t>
      </w:r>
      <w:r>
        <w:rPr>
          <w:rFonts w:hint="default" w:ascii="Times New Roman" w:hAnsi="Times New Roman" w:cs="Times New Roman"/>
          <w:color w:val="auto"/>
          <w:lang w:val="en-US" w:eastAsia="zh-CN"/>
        </w:rPr>
        <w:t>12</w:t>
      </w:r>
      <w:r>
        <w:rPr>
          <w:rFonts w:hint="eastAsia" w:ascii="Times New Roman" w:hAnsi="Times New Roman" w:cs="Times New Roman"/>
          <w:color w:val="auto"/>
          <w:lang w:val="en-US" w:eastAsia="zh-CN"/>
        </w:rPr>
        <w:t>种）矿山最小生产规模和最低服务年限（暂行）的通知》（新自然资发〔2019〕25号）中矿山最低服务年限限制”。本项目</w:t>
      </w:r>
      <w:r>
        <w:rPr>
          <w:rFonts w:hint="default" w:ascii="Times New Roman" w:hAnsi="Times New Roman" w:cs="Times New Roman"/>
          <w:color w:val="auto"/>
          <w:lang w:val="en-US" w:eastAsia="zh-CN"/>
        </w:rPr>
        <w:t>符合</w:t>
      </w:r>
      <w:r>
        <w:rPr>
          <w:rFonts w:hint="eastAsia" w:ascii="Times New Roman" w:hAnsi="Times New Roman" w:cs="Times New Roman"/>
          <w:color w:val="auto"/>
          <w:lang w:val="en-US" w:eastAsia="zh-CN"/>
        </w:rPr>
        <w:t>矿产资源总体规划</w:t>
      </w:r>
      <w:r>
        <w:rPr>
          <w:rFonts w:hint="default" w:ascii="Times New Roman" w:hAnsi="Times New Roman" w:cs="Times New Roman"/>
          <w:color w:val="auto"/>
          <w:lang w:val="en-US" w:eastAsia="zh-CN"/>
        </w:rPr>
        <w:t>要求。</w:t>
      </w:r>
    </w:p>
    <w:p w14:paraId="7A27B4B8">
      <w:pPr>
        <w:pStyle w:val="24"/>
        <w:snapToGrid w:val="0"/>
        <w:jc w:val="left"/>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本项目属于</w:t>
      </w:r>
      <w:r>
        <w:rPr>
          <w:rFonts w:hint="default" w:ascii="Times New Roman" w:hAnsi="Times New Roman" w:cs="Times New Roman"/>
          <w:color w:val="auto"/>
          <w:lang w:val="en-US" w:eastAsia="zh-CN"/>
        </w:rPr>
        <w:t>锑铅矿开采</w:t>
      </w:r>
      <w:r>
        <w:rPr>
          <w:rFonts w:hint="eastAsia" w:ascii="Times New Roman" w:hAnsi="Times New Roman" w:cs="Times New Roman"/>
          <w:color w:val="auto"/>
          <w:lang w:val="en-US" w:eastAsia="zh-CN"/>
        </w:rPr>
        <w:t>，符合和田地区</w:t>
      </w:r>
      <w:r>
        <w:rPr>
          <w:rFonts w:hint="eastAsia" w:ascii="Times New Roman" w:hAnsi="Times New Roman" w:eastAsia="华文中宋" w:cs="Times New Roman"/>
          <w:snapToGrid w:val="0"/>
          <w:color w:val="auto"/>
          <w:kern w:val="0"/>
          <w:sz w:val="24"/>
          <w:szCs w:val="20"/>
          <w:lang w:val="en-US" w:eastAsia="zh-CN" w:bidi="ar-SA"/>
        </w:rPr>
        <w:t>重要、战略矿产综合勘查开发利用</w:t>
      </w:r>
      <w:r>
        <w:rPr>
          <w:rFonts w:hint="eastAsia" w:ascii="Times New Roman" w:hAnsi="Times New Roman" w:cs="Times New Roman"/>
          <w:snapToGrid w:val="0"/>
          <w:color w:val="auto"/>
          <w:kern w:val="0"/>
          <w:sz w:val="24"/>
          <w:szCs w:val="20"/>
          <w:lang w:val="en-US" w:eastAsia="zh-CN" w:bidi="ar-SA"/>
        </w:rPr>
        <w:t>矿种要求，项目依法取得探矿权、采矿权，</w:t>
      </w:r>
      <w:r>
        <w:rPr>
          <w:rFonts w:hint="eastAsia" w:ascii="Times New Roman" w:hAnsi="Times New Roman" w:cs="Times New Roman"/>
          <w:color w:val="auto"/>
          <w:lang w:val="en-US" w:eastAsia="zh-CN"/>
        </w:rPr>
        <w:t>采矿权2013年通过探矿权转采矿权方式取得，符合矿产资源总体规划要求。</w:t>
      </w:r>
    </w:p>
    <w:p w14:paraId="706B81C0">
      <w:pPr>
        <w:pStyle w:val="24"/>
        <w:snapToGrid w:val="0"/>
        <w:ind w:left="0" w:leftChars="0" w:firstLine="0" w:firstLineChars="0"/>
        <w:jc w:val="left"/>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1.3.2.3与《新疆维吾尔自治区民丰县矿产资源总体规划（2024—2025年）》符合性分析</w:t>
      </w:r>
    </w:p>
    <w:p w14:paraId="5ECE3656">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坚持</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在开发中保护，在保护中开发</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的基本原则，开发保护并重，突出保护，坚持资源开发与环境保护协调发展，保持资源开发与环境保护、民生改善协调发展。建立和完善矿产资源保护与利用制度建设。防止</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采富弃贫</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等行为带来资源的可持续性保障降低和环境的破坏。</w:t>
      </w:r>
    </w:p>
    <w:p w14:paraId="47DA4B3B">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正确处理矿业开发与生态环境保护的关系，有序推进矿山地质环境治理工程，切实加强</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环境友好型</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矿业发展，全面落实生态文明建设的总体要求。</w:t>
      </w:r>
    </w:p>
    <w:p w14:paraId="57C9320E">
      <w:pPr>
        <w:pStyle w:val="24"/>
        <w:snapToGrid w:val="0"/>
        <w:jc w:val="left"/>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本项目要求在开采过程中贯彻“边开采、边治理、边恢复”的原则，对不再使用的地面工程等设施及时清理，恢复原地形地貌景观；本项目总储量为64.33万吨，开采规模为12万吨/年，设计服务年限5.09年，能将本项目矿石开采完全，不涉及“采富弃贫”等行为。</w:t>
      </w:r>
      <w:r>
        <w:rPr>
          <w:rFonts w:hint="default" w:ascii="Times New Roman" w:hAnsi="Times New Roman" w:cs="Times New Roman"/>
          <w:color w:val="auto"/>
          <w:lang w:val="en-US" w:eastAsia="zh-CN"/>
        </w:rPr>
        <w:t>本项目已取得</w:t>
      </w:r>
      <w:r>
        <w:rPr>
          <w:rFonts w:hint="eastAsia" w:ascii="Times New Roman" w:hAnsi="Times New Roman" w:cs="Times New Roman"/>
          <w:color w:val="auto"/>
          <w:lang w:val="en-US" w:eastAsia="zh-CN"/>
        </w:rPr>
        <w:t>新疆维吾尔自治区自然资源厅出具的</w:t>
      </w:r>
      <w:r>
        <w:rPr>
          <w:rFonts w:hint="default" w:ascii="Times New Roman" w:hAnsi="Times New Roman" w:cs="Times New Roman"/>
          <w:color w:val="auto"/>
          <w:lang w:val="en-US" w:eastAsia="zh-CN"/>
        </w:rPr>
        <w:t>《</w:t>
      </w:r>
      <w:r>
        <w:rPr>
          <w:rFonts w:hint="default" w:ascii="Times New Roman" w:hAnsi="Times New Roman" w:cs="Times New Roman"/>
          <w:color w:val="auto"/>
          <w:highlight w:val="none"/>
          <w:lang w:val="en-US" w:eastAsia="zh-CN"/>
        </w:rPr>
        <w:t>关于民丰县盼水河锑铅矿工程项目意见建议的复函》</w:t>
      </w:r>
      <w:r>
        <w:rPr>
          <w:rFonts w:hint="eastAsia" w:ascii="Times New Roman" w:hAnsi="Times New Roman" w:cs="Times New Roman"/>
          <w:color w:val="auto"/>
          <w:highlight w:val="none"/>
          <w:lang w:val="en-US" w:eastAsia="zh-CN"/>
        </w:rPr>
        <w:t>（见附件）以</w:t>
      </w:r>
      <w:r>
        <w:rPr>
          <w:rFonts w:hint="default" w:ascii="Times New Roman" w:hAnsi="Times New Roman" w:cs="Times New Roman"/>
          <w:color w:val="auto"/>
          <w:highlight w:val="none"/>
          <w:lang w:val="en-US" w:eastAsia="zh-CN"/>
        </w:rPr>
        <w:t>及</w:t>
      </w:r>
      <w:r>
        <w:rPr>
          <w:rFonts w:hint="eastAsia" w:ascii="Times New Roman" w:hAnsi="Times New Roman" w:cs="Times New Roman"/>
          <w:color w:val="auto"/>
          <w:highlight w:val="none"/>
          <w:lang w:val="en-US" w:eastAsia="zh-CN"/>
        </w:rPr>
        <w:t>项目</w:t>
      </w:r>
      <w:r>
        <w:rPr>
          <w:rFonts w:hint="default" w:ascii="Times New Roman" w:hAnsi="Times New Roman" w:cs="Times New Roman"/>
          <w:color w:val="auto"/>
          <w:highlight w:val="none"/>
          <w:lang w:val="en-US" w:eastAsia="zh-CN"/>
        </w:rPr>
        <w:t>采矿许可证</w:t>
      </w:r>
      <w:r>
        <w:rPr>
          <w:rFonts w:hint="default" w:ascii="Times New Roman" w:hAnsi="Times New Roman" w:cs="Times New Roman"/>
          <w:color w:val="auto"/>
          <w:lang w:val="en-US" w:eastAsia="zh-CN"/>
        </w:rPr>
        <w:t>（证号：C6500002013053210129869），</w:t>
      </w:r>
      <w:r>
        <w:rPr>
          <w:rFonts w:hint="eastAsia" w:ascii="Times New Roman" w:hAnsi="Times New Roman" w:cs="Times New Roman"/>
          <w:color w:val="auto"/>
          <w:lang w:val="en-US" w:eastAsia="zh-CN"/>
        </w:rPr>
        <w:t>符合《新疆维吾尔自治区民丰县矿产资源总体规划（2024—2025年）》要求。</w:t>
      </w:r>
    </w:p>
    <w:p w14:paraId="1593238D">
      <w:pPr>
        <w:pStyle w:val="24"/>
        <w:snapToGrid w:val="0"/>
        <w:ind w:left="0" w:leftChars="0" w:firstLine="0" w:firstLineChars="0"/>
        <w:jc w:val="left"/>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1.3.2.4</w:t>
      </w:r>
      <w:r>
        <w:rPr>
          <w:rFonts w:hint="default" w:ascii="Times New Roman" w:hAnsi="Times New Roman" w:cs="Times New Roman"/>
          <w:b/>
          <w:bCs/>
          <w:color w:val="auto"/>
          <w:lang w:val="en-US" w:eastAsia="zh-CN"/>
        </w:rPr>
        <w:t>与《新疆维吾尔自治区主体功能区规划》符合性分析</w:t>
      </w:r>
    </w:p>
    <w:p w14:paraId="1AE67ACB">
      <w:pPr>
        <w:pStyle w:val="24"/>
        <w:snapToGrid w:val="0"/>
        <w:jc w:val="left"/>
        <w:rPr>
          <w:rFonts w:hint="default" w:ascii="华文中宋" w:hAnsi="华文中宋" w:eastAsia="华文中宋" w:cs="华文中宋"/>
          <w:b w:val="0"/>
          <w:bCs w:val="0"/>
          <w:color w:val="000000"/>
          <w:sz w:val="24"/>
          <w:szCs w:val="24"/>
          <w:lang w:val="en-US" w:eastAsia="zh-CN"/>
        </w:rPr>
      </w:pPr>
      <w:r>
        <w:rPr>
          <w:rFonts w:hint="default" w:ascii="Times New Roman" w:hAnsi="Times New Roman" w:cs="Times New Roman"/>
          <w:color w:val="auto"/>
          <w:lang w:val="en-US" w:eastAsia="zh-CN"/>
        </w:rPr>
        <w:t>《新疆维吾尔自治区主体功能区规划》中提出：主体功能区与能源和矿产资源开发的关系。一些能源和矿产资源富集的区域往往同时是生态脆弱或生态重要的区域，被划分为限制进行大规模高强度工业化城镇化开发的重点生态功能区或农产品主产</w:t>
      </w:r>
      <w:r>
        <w:rPr>
          <w:rFonts w:hint="eastAsia" w:ascii="Times New Roman" w:hAnsi="Times New Roman" w:cs="Times New Roman"/>
          <w:color w:val="auto"/>
          <w:lang w:val="en-US" w:eastAsia="zh-CN"/>
        </w:rPr>
        <w:t>区</w:t>
      </w:r>
      <w:r>
        <w:rPr>
          <w:rFonts w:hint="default" w:ascii="Times New Roman" w:hAnsi="Times New Roman" w:cs="Times New Roman"/>
          <w:color w:val="auto"/>
          <w:lang w:val="en-US" w:eastAsia="zh-CN"/>
        </w:rPr>
        <w:t>，并不是限制能源和矿产资源的开发，这类区域中的能源和矿产资源，仍然可以依法开发，资源开采的地点仍然可以定义为能源或矿产资源的重点开发基地，但应该按照该区域的主体功能定位实行</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点上开发、面上保护</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形成资源点状开发，生态面上保护的空间结构。针对阿尔泰山、塔里木盆地、准噶尔盆地等地的矿产资源富集区域的开发，要在科学规划的基础上，以点状开发方式有序进行，其开发强度控制在规划目标之内，尽可能减少对生态环境的扰动和破坏，同</w:t>
      </w:r>
      <w:r>
        <w:rPr>
          <w:rFonts w:hint="default" w:ascii="华文中宋" w:hAnsi="华文中宋" w:eastAsia="华文中宋" w:cs="华文中宋"/>
          <w:b w:val="0"/>
          <w:bCs w:val="0"/>
          <w:color w:val="000000"/>
          <w:sz w:val="24"/>
          <w:szCs w:val="24"/>
          <w:lang w:val="en-US" w:eastAsia="zh-CN"/>
        </w:rPr>
        <w:t>时加强对矿产开发区迹地的生态修复。</w:t>
      </w:r>
    </w:p>
    <w:p w14:paraId="041CF0A7">
      <w:pPr>
        <w:pStyle w:val="24"/>
        <w:snapToGrid w:val="0"/>
        <w:jc w:val="left"/>
        <w:rPr>
          <w:rFonts w:ascii="华文中宋" w:hAnsi="华文中宋" w:eastAsia="华文中宋" w:cs="华文中宋"/>
          <w:b w:val="0"/>
          <w:bCs w:val="0"/>
          <w:color w:val="000000"/>
          <w:sz w:val="24"/>
          <w:szCs w:val="24"/>
        </w:rPr>
      </w:pPr>
      <w:r>
        <w:rPr>
          <w:rFonts w:hint="eastAsia" w:ascii="华文中宋" w:hAnsi="华文中宋" w:eastAsia="华文中宋" w:cs="华文中宋"/>
          <w:b w:val="0"/>
          <w:bCs w:val="0"/>
          <w:color w:val="000000"/>
          <w:sz w:val="24"/>
          <w:szCs w:val="24"/>
          <w:lang w:val="en-US" w:eastAsia="zh-CN"/>
        </w:rPr>
        <w:t>本项目行政区划隶属于和田地区民丰县管辖，项目位于</w:t>
      </w:r>
      <w:r>
        <w:rPr>
          <w:rFonts w:hint="default" w:ascii="华文中宋" w:hAnsi="华文中宋" w:eastAsia="华文中宋" w:cs="华文中宋"/>
          <w:b w:val="0"/>
          <w:bCs w:val="0"/>
          <w:color w:val="000000"/>
          <w:sz w:val="24"/>
          <w:szCs w:val="24"/>
          <w:lang w:val="en-US" w:eastAsia="zh-CN"/>
        </w:rPr>
        <w:t>民丰县城170°方向、直距约140千米处，</w:t>
      </w:r>
      <w:r>
        <w:rPr>
          <w:rFonts w:hint="eastAsia" w:ascii="华文中宋" w:hAnsi="华文中宋" w:eastAsia="华文中宋" w:cs="华文中宋"/>
          <w:b w:val="0"/>
          <w:bCs w:val="0"/>
          <w:color w:val="000000"/>
          <w:sz w:val="24"/>
          <w:szCs w:val="24"/>
          <w:lang w:val="en-US" w:eastAsia="zh-CN"/>
        </w:rPr>
        <w:t>不属于</w:t>
      </w:r>
      <w:r>
        <w:rPr>
          <w:rFonts w:ascii="华文中宋" w:hAnsi="华文中宋" w:eastAsia="华文中宋" w:cs="华文中宋"/>
          <w:b w:val="0"/>
          <w:bCs w:val="0"/>
          <w:color w:val="000000"/>
          <w:sz w:val="24"/>
          <w:szCs w:val="24"/>
        </w:rPr>
        <w:t>《新疆维吾尔自治区主体功能区规划》</w:t>
      </w:r>
      <w:r>
        <w:rPr>
          <w:rFonts w:hint="eastAsia" w:ascii="华文中宋" w:hAnsi="华文中宋" w:eastAsia="华文中宋" w:cs="华文中宋"/>
          <w:b w:val="0"/>
          <w:bCs w:val="0"/>
          <w:color w:val="000000"/>
          <w:sz w:val="24"/>
          <w:szCs w:val="24"/>
          <w:lang w:val="en-US" w:eastAsia="zh-CN"/>
        </w:rPr>
        <w:t>中重点开发区、限制开发区与禁止开发区，视为一般开发区</w:t>
      </w:r>
    </w:p>
    <w:p w14:paraId="7C864E47">
      <w:pPr>
        <w:pStyle w:val="24"/>
        <w:snapToGrid w:val="0"/>
        <w:jc w:val="left"/>
        <w:rPr>
          <w:rFonts w:ascii="华文中宋" w:hAnsi="华文中宋" w:eastAsia="华文中宋" w:cs="华文中宋"/>
          <w:b w:val="0"/>
          <w:bCs w:val="0"/>
          <w:color w:val="000000"/>
          <w:sz w:val="24"/>
          <w:szCs w:val="24"/>
        </w:rPr>
      </w:pPr>
      <w:r>
        <w:rPr>
          <w:rFonts w:ascii="华文中宋" w:hAnsi="华文中宋" w:eastAsia="华文中宋" w:cs="华文中宋"/>
          <w:b w:val="0"/>
          <w:bCs w:val="0"/>
          <w:color w:val="000000"/>
          <w:sz w:val="24"/>
          <w:szCs w:val="24"/>
        </w:rPr>
        <w:t>本项目矿产资源为依法开发，按照该区域的主体功能定位实行</w:t>
      </w:r>
      <w:r>
        <w:rPr>
          <w:rFonts w:hint="eastAsia" w:ascii="TimesNewRomanPSMT" w:hAnsi="TimesNewRomanPSMT" w:eastAsia="宋体" w:cs="TimesNewRomanPSMT"/>
          <w:b w:val="0"/>
          <w:bCs w:val="0"/>
          <w:color w:val="000000"/>
          <w:sz w:val="24"/>
          <w:szCs w:val="24"/>
          <w:lang w:eastAsia="zh-CN"/>
        </w:rPr>
        <w:t>“</w:t>
      </w:r>
      <w:r>
        <w:rPr>
          <w:rFonts w:ascii="华文中宋" w:hAnsi="华文中宋" w:eastAsia="华文中宋" w:cs="华文中宋"/>
          <w:b w:val="0"/>
          <w:bCs w:val="0"/>
          <w:color w:val="000000"/>
          <w:sz w:val="24"/>
          <w:szCs w:val="24"/>
        </w:rPr>
        <w:t>点上开发、面上保护</w:t>
      </w:r>
      <w:r>
        <w:rPr>
          <w:rFonts w:hint="eastAsia" w:ascii="TimesNewRomanPSMT" w:hAnsi="TimesNewRomanPSMT" w:eastAsia="宋体" w:cs="TimesNewRomanPSMT"/>
          <w:b w:val="0"/>
          <w:bCs w:val="0"/>
          <w:color w:val="000000"/>
          <w:sz w:val="24"/>
          <w:szCs w:val="24"/>
          <w:lang w:eastAsia="zh-CN"/>
        </w:rPr>
        <w:t>”</w:t>
      </w:r>
      <w:r>
        <w:rPr>
          <w:rFonts w:ascii="华文中宋" w:hAnsi="华文中宋" w:eastAsia="华文中宋" w:cs="华文中宋"/>
          <w:b w:val="0"/>
          <w:bCs w:val="0"/>
          <w:color w:val="000000"/>
          <w:sz w:val="24"/>
          <w:szCs w:val="24"/>
        </w:rPr>
        <w:t>，项目开发强度控制在规划目标之内，尽可能减少对生态环境的扰动和破坏，同时加强对矿产开发区迹地的生态修复，故本项目的建设符合《新疆维吾尔自治区主体功能区规划》中的相关要求。</w:t>
      </w:r>
    </w:p>
    <w:p w14:paraId="0DF8ACB1">
      <w:pPr>
        <w:pStyle w:val="24"/>
        <w:snapToGrid w:val="0"/>
        <w:ind w:left="0" w:leftChars="0" w:firstLine="0" w:firstLineChars="0"/>
        <w:jc w:val="left"/>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1.3.2.5</w:t>
      </w:r>
      <w:r>
        <w:rPr>
          <w:rFonts w:hint="default" w:ascii="Times New Roman" w:hAnsi="Times New Roman" w:cs="Times New Roman"/>
          <w:b/>
          <w:bCs/>
          <w:color w:val="auto"/>
          <w:lang w:val="en-US" w:eastAsia="zh-CN"/>
        </w:rPr>
        <w:t>与《新疆生态环境保护</w:t>
      </w:r>
      <w:r>
        <w:rPr>
          <w:rFonts w:hint="eastAsia" w:ascii="Times New Roman" w:hAnsi="Times New Roman" w:cs="Times New Roman"/>
          <w:b/>
          <w:bCs/>
          <w:color w:val="auto"/>
          <w:lang w:val="en-US" w:eastAsia="zh-CN"/>
        </w:rPr>
        <w:t>“</w:t>
      </w:r>
      <w:r>
        <w:rPr>
          <w:rFonts w:hint="default" w:ascii="Times New Roman" w:hAnsi="Times New Roman" w:cs="Times New Roman"/>
          <w:b/>
          <w:bCs/>
          <w:color w:val="auto"/>
          <w:lang w:val="en-US" w:eastAsia="zh-CN"/>
        </w:rPr>
        <w:t>十四五</w:t>
      </w:r>
      <w:r>
        <w:rPr>
          <w:rFonts w:hint="eastAsia" w:ascii="Times New Roman" w:hAnsi="Times New Roman" w:cs="Times New Roman"/>
          <w:b/>
          <w:bCs/>
          <w:color w:val="auto"/>
          <w:lang w:val="en-US" w:eastAsia="zh-CN"/>
        </w:rPr>
        <w:t>”</w:t>
      </w:r>
      <w:r>
        <w:rPr>
          <w:rFonts w:hint="default" w:ascii="Times New Roman" w:hAnsi="Times New Roman" w:cs="Times New Roman"/>
          <w:b/>
          <w:bCs/>
          <w:color w:val="auto"/>
          <w:lang w:val="en-US" w:eastAsia="zh-CN"/>
        </w:rPr>
        <w:t>规划》符合性分析</w:t>
      </w:r>
    </w:p>
    <w:p w14:paraId="20FD4325">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巩固提升污染防治攻坚战成果，有序推进全局性、普遍性生态环境问题解决，集中力量解决重点区域、流域和行业突出环境问题，带动生态环境保护工作整体推进。</w:t>
      </w:r>
    </w:p>
    <w:p w14:paraId="78360562">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深化生态环境体制改革，监管能力日益提升。深化生态环境保护管理体制改革，落实国家和自治区机构改革安排部署，整合相关部门生态环境保护职责，统筹推进省以下生态环境机构监测监察执法垂直管理制度改革和自治区生态环境保护综合行政执法改革。</w:t>
      </w:r>
    </w:p>
    <w:p w14:paraId="5A529F72">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主要目标：</w:t>
      </w:r>
    </w:p>
    <w:p w14:paraId="450055E8">
      <w:pPr>
        <w:pStyle w:val="24"/>
        <w:snapToGrid w:val="0"/>
        <w:jc w:val="left"/>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r>
        <w:rPr>
          <w:rFonts w:hint="default" w:ascii="Times New Roman" w:hAnsi="Times New Roman" w:cs="Times New Roman"/>
          <w:color w:val="auto"/>
          <w:lang w:val="en-US" w:eastAsia="zh-CN"/>
        </w:rPr>
        <w:t>生产生活方式绿色转型成效显著。国土空间开发保护格局得到优化，能源开发利用效率大幅提升，能耗和水资源消耗、建设用地、碳排放强度得到有效控制，简约适度、绿色低碳的生活方式加快形成。</w:t>
      </w:r>
    </w:p>
    <w:p w14:paraId="3F0CF33D">
      <w:pPr>
        <w:pStyle w:val="24"/>
        <w:snapToGrid w:val="0"/>
        <w:jc w:val="left"/>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w:t>
      </w:r>
      <w:r>
        <w:rPr>
          <w:rFonts w:hint="default" w:ascii="Times New Roman" w:hAnsi="Times New Roman" w:cs="Times New Roman"/>
          <w:color w:val="auto"/>
          <w:lang w:val="en-US" w:eastAsia="zh-CN"/>
        </w:rPr>
        <w:t>生态环境质量持续改善。主要污染物排放总量持续减少，空气质量稳步改善，重污染天气明显减少，水环境质量保持总体优良，水资源合理开发利用，巩固城市黑臭水体治理成效，城乡人居环境明显改善。</w:t>
      </w:r>
    </w:p>
    <w:p w14:paraId="4C86D503">
      <w:pPr>
        <w:pStyle w:val="24"/>
        <w:snapToGrid w:val="0"/>
        <w:jc w:val="left"/>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生态系统质量稳步提升。生态安全屏障更加牢固，生物多样性得到有效保护，生物安全管理水平显著提高，生态系统服务功能不断增强。</w:t>
      </w:r>
    </w:p>
    <w:p w14:paraId="56023090">
      <w:pPr>
        <w:pStyle w:val="24"/>
        <w:snapToGrid w:val="0"/>
        <w:jc w:val="left"/>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4.</w:t>
      </w:r>
      <w:r>
        <w:rPr>
          <w:rFonts w:hint="default" w:ascii="Times New Roman" w:hAnsi="Times New Roman" w:cs="Times New Roman"/>
          <w:color w:val="auto"/>
          <w:lang w:val="en-US" w:eastAsia="zh-CN"/>
        </w:rPr>
        <w:t>环境安全得到有效保障。土壤污染风险管控和安全利用水平巩固提升，固体废物与化学物质环境风险防控能力明显增强，核安全监管持续加强，环境风险得到有效管控。</w:t>
      </w:r>
    </w:p>
    <w:p w14:paraId="2505F338">
      <w:pPr>
        <w:pStyle w:val="24"/>
        <w:snapToGrid w:val="0"/>
        <w:jc w:val="left"/>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w:t>
      </w:r>
      <w:r>
        <w:rPr>
          <w:rFonts w:hint="default" w:ascii="Times New Roman" w:hAnsi="Times New Roman" w:cs="Times New Roman"/>
          <w:color w:val="auto"/>
          <w:lang w:val="en-US" w:eastAsia="zh-CN"/>
        </w:rPr>
        <w:t>现代环境治理体系进一步健全。生态文明制度改革深入推进，生态环境治理能力突出短板加快补齐，生态环境治理效能得到新提升。</w:t>
      </w:r>
    </w:p>
    <w:p w14:paraId="6F73964A">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w:t>
      </w:r>
      <w:r>
        <w:rPr>
          <w:rFonts w:hint="eastAsia" w:ascii="Times New Roman" w:hAnsi="Times New Roman" w:cs="Times New Roman"/>
          <w:color w:val="auto"/>
          <w:lang w:val="en-US" w:eastAsia="zh-CN"/>
        </w:rPr>
        <w:t>项目</w:t>
      </w:r>
      <w:r>
        <w:rPr>
          <w:rFonts w:hint="default" w:ascii="Times New Roman" w:hAnsi="Times New Roman" w:cs="Times New Roman"/>
          <w:color w:val="auto"/>
          <w:lang w:val="en-US" w:eastAsia="zh-CN"/>
        </w:rPr>
        <w:t>生活垃圾全部集中统一处置，生活污水及生产废水全部处理回用，剥离表土存放于表土堆放场，开采废石存放于废石堆放场。已制定了《矿产资源开发利用与生态保护修复方案》，提出了生态建设、土地复垦及水土保持等措施，采用电暖器采暖，所有指标均可满足《新疆维吾尔自治区环境保护</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十四五</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规划》的污染控制指标要求。</w:t>
      </w:r>
    </w:p>
    <w:p w14:paraId="2BAF86D1">
      <w:pPr>
        <w:pStyle w:val="24"/>
        <w:snapToGrid w:val="0"/>
        <w:ind w:left="0" w:leftChars="0" w:firstLine="0" w:firstLineChars="0"/>
        <w:jc w:val="left"/>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1.3.2.6 与《新疆维吾尔自治区矿产资源总体规划环境影响报告书（</w:t>
      </w:r>
      <w:r>
        <w:rPr>
          <w:rFonts w:hint="default" w:ascii="Times New Roman" w:hAnsi="Times New Roman" w:cs="Times New Roman"/>
          <w:b/>
          <w:bCs/>
          <w:color w:val="auto"/>
          <w:lang w:val="en-US" w:eastAsia="zh-CN"/>
        </w:rPr>
        <w:t>2021</w:t>
      </w:r>
      <w:r>
        <w:rPr>
          <w:rFonts w:hint="eastAsia" w:ascii="Times New Roman" w:hAnsi="Times New Roman" w:cs="Times New Roman"/>
          <w:b/>
          <w:bCs/>
          <w:color w:val="auto"/>
          <w:lang w:val="en-US" w:eastAsia="zh-CN"/>
        </w:rPr>
        <w:t>—</w:t>
      </w:r>
      <w:r>
        <w:rPr>
          <w:rFonts w:hint="default" w:ascii="Times New Roman" w:hAnsi="Times New Roman" w:cs="Times New Roman"/>
          <w:b/>
          <w:bCs/>
          <w:color w:val="auto"/>
          <w:lang w:val="en-US" w:eastAsia="zh-CN"/>
        </w:rPr>
        <w:t>2025</w:t>
      </w:r>
      <w:r>
        <w:rPr>
          <w:rFonts w:hint="eastAsia" w:ascii="Times New Roman" w:hAnsi="Times New Roman" w:cs="Times New Roman"/>
          <w:b/>
          <w:bCs/>
          <w:color w:val="auto"/>
          <w:lang w:val="en-US" w:eastAsia="zh-CN"/>
        </w:rPr>
        <w:t>年）》相符性分析</w:t>
      </w:r>
    </w:p>
    <w:p w14:paraId="3BF66E8B">
      <w:pPr>
        <w:pStyle w:val="24"/>
        <w:snapToGrid w:val="0"/>
        <w:jc w:val="left"/>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《新疆维吾尔自治区矿产资源总体规划环境影响报告书</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2021</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2025年</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》中提出</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新疆已经开采的矿区里存在与自然保护区、风景名胜区、国家地质公园、世界自然遗产地、森林公园、冰川、雪山和水源涵养区、饮用水水源保护区、重要湿地及划定的重要河流、湖泊保护范围，铁路、高速公路、国道、省道等重要交通干线两侧200m范围以内，重要工业区、大型水利工程设施、城镇市政工程设施所在区域，军事管理区、机场、国防工程设施圈定的区域相重叠的范围</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根据《全国矿产资源规划</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2021-2025</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》，全面清理各类保护地内已有矿产资源勘查开发项目，由各地区别情况，分类处理，研究制定退出补偿方案，在维护矿业权人合法权益的前提下，依法有序退出，及时治理恢复矿区环境，复垦损毁土地</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确需保留的极少数国家战略性矿产开发项目，按程序批准后，实行清单式管理，明确资源环境保护要求和措施，严格监管</w:t>
      </w:r>
      <w:r>
        <w:rPr>
          <w:rFonts w:hint="eastAsia" w:ascii="Times New Roman" w:hAnsi="Times New Roman" w:cs="Times New Roman"/>
          <w:color w:val="auto"/>
          <w:lang w:val="en-US" w:eastAsia="zh-CN"/>
        </w:rPr>
        <w:t>”。</w:t>
      </w:r>
    </w:p>
    <w:p w14:paraId="13764296">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本工程建设区域不涉及自然保护区、风景名胜区、森林公园、饮用水水源保护区、文物古迹所在地、地质遗迹保护区、基本农田保护区等敏感区域，本工程的建设符合《新疆矿产资源总体规划环境影响报告书</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2021</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2025年</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》相关规定。</w:t>
      </w:r>
    </w:p>
    <w:p w14:paraId="5BF4A1AD">
      <w:pPr>
        <w:pStyle w:val="24"/>
        <w:snapToGrid w:val="0"/>
        <w:ind w:left="0" w:leftChars="0" w:firstLine="0" w:firstLineChars="0"/>
        <w:jc w:val="left"/>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1.3.2.7与《关于印发&lt;新疆维吾尔自治区非煤矿种（12 种）矿山最小生产规模和最低服务年限（暂行）〉的通知》（新自然资发〔2019〕25 号）符合性分析</w:t>
      </w:r>
    </w:p>
    <w:p w14:paraId="1925E242">
      <w:pPr>
        <w:pStyle w:val="24"/>
        <w:snapToGrid w:val="0"/>
        <w:ind w:left="0" w:leftChars="0" w:firstLine="480" w:firstLineChars="200"/>
        <w:jc w:val="left"/>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根据《关于印发〈新疆维吾尔自治区非煤矿种（</w:t>
      </w:r>
      <w:r>
        <w:rPr>
          <w:rFonts w:hint="default" w:ascii="Times New Roman" w:hAnsi="Times New Roman" w:cs="Times New Roman"/>
          <w:color w:val="auto"/>
          <w:lang w:val="en-US" w:eastAsia="zh-CN"/>
        </w:rPr>
        <w:t xml:space="preserve">12 </w:t>
      </w:r>
      <w:r>
        <w:rPr>
          <w:rFonts w:hint="eastAsia" w:ascii="Times New Roman" w:hAnsi="Times New Roman" w:cs="Times New Roman"/>
          <w:color w:val="auto"/>
          <w:lang w:val="en-US" w:eastAsia="zh-CN"/>
        </w:rPr>
        <w:t>种）矿山最小生产规模和最低服务年限（暂行）〉的通知》（新自然资发〔</w:t>
      </w:r>
      <w:r>
        <w:rPr>
          <w:rFonts w:hint="default" w:ascii="Times New Roman" w:hAnsi="Times New Roman" w:cs="Times New Roman"/>
          <w:color w:val="auto"/>
          <w:lang w:val="en-US" w:eastAsia="zh-CN"/>
        </w:rPr>
        <w:t>2019</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 xml:space="preserve">25 </w:t>
      </w:r>
      <w:r>
        <w:rPr>
          <w:rFonts w:hint="eastAsia" w:ascii="Times New Roman" w:hAnsi="Times New Roman" w:cs="Times New Roman"/>
          <w:color w:val="auto"/>
          <w:lang w:val="en-US" w:eastAsia="zh-CN"/>
        </w:rPr>
        <w:t xml:space="preserve">号），矿山生产建设规模分类见表 </w:t>
      </w: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.3-3。</w:t>
      </w:r>
    </w:p>
    <w:p w14:paraId="1AA7E5A4">
      <w:pPr>
        <w:snapToGrid w:val="0"/>
        <w:spacing w:before="241" w:beforeLines="50"/>
        <w:ind w:firstLine="949" w:firstLineChars="450"/>
        <w:jc w:val="center"/>
        <w:rPr>
          <w:rFonts w:hint="eastAsia" w:ascii="Times New Roman" w:hAnsi="Times New Roman" w:eastAsia="华文中宋" w:cs="Times New Roman"/>
          <w:b/>
          <w:szCs w:val="21"/>
          <w:lang w:val="en-US" w:eastAsia="zh-CN"/>
        </w:rPr>
      </w:pPr>
      <w:r>
        <w:rPr>
          <w:rFonts w:hint="eastAsia" w:ascii="Times New Roman" w:hAnsi="Times New Roman" w:eastAsia="华文中宋" w:cs="Times New Roman"/>
          <w:b/>
          <w:szCs w:val="21"/>
          <w:lang w:val="en-US" w:eastAsia="zh-CN"/>
        </w:rPr>
        <w:t>表1.3-3  新疆维吾尔自治区非煤矿种（12种）矿山</w:t>
      </w:r>
    </w:p>
    <w:p w14:paraId="10074A48">
      <w:pPr>
        <w:snapToGrid w:val="0"/>
        <w:spacing w:before="241" w:beforeLines="50"/>
        <w:ind w:firstLine="949" w:firstLineChars="450"/>
        <w:jc w:val="center"/>
        <w:rPr>
          <w:rFonts w:hint="default" w:ascii="Times New Roman" w:hAnsi="Times New Roman" w:eastAsia="华文中宋" w:cs="Times New Roman"/>
          <w:b/>
          <w:szCs w:val="21"/>
          <w:lang w:val="en-US" w:eastAsia="zh-CN"/>
        </w:rPr>
      </w:pPr>
      <w:r>
        <w:rPr>
          <w:rFonts w:hint="eastAsia" w:ascii="Times New Roman" w:hAnsi="Times New Roman" w:eastAsia="华文中宋" w:cs="Times New Roman"/>
          <w:b/>
          <w:szCs w:val="21"/>
          <w:lang w:val="en-US" w:eastAsia="zh-CN"/>
        </w:rPr>
        <w:t>最小生产规模和最低服务年限（暂行）</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2300"/>
        <w:gridCol w:w="3200"/>
        <w:gridCol w:w="1778"/>
      </w:tblGrid>
      <w:tr w14:paraId="25637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Align w:val="center"/>
          </w:tcPr>
          <w:p w14:paraId="5457E92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序号</w:t>
            </w:r>
          </w:p>
        </w:tc>
        <w:tc>
          <w:tcPr>
            <w:tcW w:w="5500" w:type="dxa"/>
            <w:gridSpan w:val="2"/>
            <w:vAlign w:val="center"/>
          </w:tcPr>
          <w:p w14:paraId="5507ACC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矿种名称</w:t>
            </w:r>
          </w:p>
        </w:tc>
        <w:tc>
          <w:tcPr>
            <w:tcW w:w="1778" w:type="dxa"/>
            <w:vAlign w:val="center"/>
          </w:tcPr>
          <w:p w14:paraId="2F72F2A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最低要求</w:t>
            </w:r>
          </w:p>
        </w:tc>
      </w:tr>
      <w:tr w14:paraId="4226A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Merge w:val="restart"/>
            <w:vAlign w:val="center"/>
          </w:tcPr>
          <w:p w14:paraId="531FD08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w:t>
            </w:r>
          </w:p>
        </w:tc>
        <w:tc>
          <w:tcPr>
            <w:tcW w:w="2300" w:type="dxa"/>
            <w:vMerge w:val="restart"/>
            <w:vAlign w:val="center"/>
          </w:tcPr>
          <w:p w14:paraId="3E656DA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铁矿（露天开采）</w:t>
            </w:r>
          </w:p>
        </w:tc>
        <w:tc>
          <w:tcPr>
            <w:tcW w:w="3200" w:type="dxa"/>
            <w:vAlign w:val="center"/>
          </w:tcPr>
          <w:p w14:paraId="7F5EA73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生产建设规模</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万吨/年</w:t>
            </w:r>
            <w:r>
              <w:rPr>
                <w:rFonts w:hint="eastAsia" w:ascii="Times New Roman" w:hAnsi="Times New Roman" w:eastAsia="华文中宋" w:cs="Times New Roman"/>
                <w:szCs w:val="21"/>
                <w:lang w:val="en-US" w:eastAsia="zh-CN"/>
              </w:rPr>
              <w:t>）</w:t>
            </w:r>
          </w:p>
        </w:tc>
        <w:tc>
          <w:tcPr>
            <w:tcW w:w="1778" w:type="dxa"/>
            <w:vAlign w:val="center"/>
          </w:tcPr>
          <w:p w14:paraId="4899122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r>
      <w:tr w14:paraId="46609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Merge w:val="continue"/>
            <w:vAlign w:val="center"/>
          </w:tcPr>
          <w:p w14:paraId="3BAD2BD4">
            <w:pPr>
              <w:spacing w:line="300" w:lineRule="exact"/>
              <w:jc w:val="center"/>
              <w:rPr>
                <w:rFonts w:hint="eastAsia" w:ascii="Times New Roman" w:hAnsi="Times New Roman" w:eastAsia="华文中宋" w:cs="Times New Roman"/>
                <w:szCs w:val="21"/>
                <w:lang w:val="en-US" w:eastAsia="zh-CN"/>
              </w:rPr>
            </w:pPr>
          </w:p>
        </w:tc>
        <w:tc>
          <w:tcPr>
            <w:tcW w:w="2300" w:type="dxa"/>
            <w:vMerge w:val="continue"/>
            <w:vAlign w:val="center"/>
          </w:tcPr>
          <w:p w14:paraId="7AE34292">
            <w:pPr>
              <w:spacing w:line="300" w:lineRule="exact"/>
              <w:jc w:val="center"/>
              <w:rPr>
                <w:rFonts w:hint="default" w:ascii="Times New Roman" w:hAnsi="Times New Roman" w:eastAsia="华文中宋" w:cs="Times New Roman"/>
                <w:szCs w:val="21"/>
                <w:lang w:val="en-US" w:eastAsia="zh-CN"/>
              </w:rPr>
            </w:pPr>
          </w:p>
        </w:tc>
        <w:tc>
          <w:tcPr>
            <w:tcW w:w="3200" w:type="dxa"/>
            <w:vAlign w:val="center"/>
          </w:tcPr>
          <w:p w14:paraId="13EBCB5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最低服务年限</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年</w:t>
            </w:r>
            <w:r>
              <w:rPr>
                <w:rFonts w:hint="eastAsia" w:ascii="Times New Roman" w:hAnsi="Times New Roman" w:eastAsia="华文中宋" w:cs="Times New Roman"/>
                <w:szCs w:val="21"/>
                <w:lang w:val="en-US" w:eastAsia="zh-CN"/>
              </w:rPr>
              <w:t>）</w:t>
            </w:r>
          </w:p>
        </w:tc>
        <w:tc>
          <w:tcPr>
            <w:tcW w:w="1778" w:type="dxa"/>
            <w:vAlign w:val="center"/>
          </w:tcPr>
          <w:p w14:paraId="764CC4F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6</w:t>
            </w:r>
          </w:p>
        </w:tc>
      </w:tr>
      <w:tr w14:paraId="4409D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Merge w:val="continue"/>
            <w:vAlign w:val="center"/>
          </w:tcPr>
          <w:p w14:paraId="50517C9C">
            <w:pPr>
              <w:spacing w:line="300" w:lineRule="exact"/>
              <w:jc w:val="center"/>
              <w:rPr>
                <w:rFonts w:hint="default" w:ascii="Times New Roman" w:hAnsi="Times New Roman" w:eastAsia="华文中宋" w:cs="Times New Roman"/>
                <w:szCs w:val="21"/>
                <w:lang w:val="en-US" w:eastAsia="zh-CN"/>
              </w:rPr>
            </w:pPr>
          </w:p>
        </w:tc>
        <w:tc>
          <w:tcPr>
            <w:tcW w:w="2300" w:type="dxa"/>
            <w:vMerge w:val="restart"/>
            <w:vAlign w:val="center"/>
          </w:tcPr>
          <w:p w14:paraId="1F6B812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铁矿（露天开采）</w:t>
            </w:r>
          </w:p>
        </w:tc>
        <w:tc>
          <w:tcPr>
            <w:tcW w:w="3200" w:type="dxa"/>
            <w:shd w:val="clear" w:color="auto" w:fill="auto"/>
            <w:vAlign w:val="center"/>
          </w:tcPr>
          <w:p w14:paraId="2748525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生产建设规模</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万吨/年</w:t>
            </w:r>
            <w:r>
              <w:rPr>
                <w:rFonts w:hint="eastAsia" w:ascii="Times New Roman" w:hAnsi="Times New Roman" w:eastAsia="华文中宋" w:cs="Times New Roman"/>
                <w:szCs w:val="21"/>
                <w:lang w:val="en-US" w:eastAsia="zh-CN"/>
              </w:rPr>
              <w:t>）</w:t>
            </w:r>
          </w:p>
        </w:tc>
        <w:tc>
          <w:tcPr>
            <w:tcW w:w="1778" w:type="dxa"/>
            <w:vAlign w:val="center"/>
          </w:tcPr>
          <w:p w14:paraId="5B0AEE8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w:t>
            </w:r>
          </w:p>
        </w:tc>
      </w:tr>
      <w:tr w14:paraId="128A4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Merge w:val="continue"/>
            <w:vAlign w:val="center"/>
          </w:tcPr>
          <w:p w14:paraId="7A20415D">
            <w:pPr>
              <w:spacing w:line="300" w:lineRule="exact"/>
              <w:jc w:val="center"/>
              <w:rPr>
                <w:rFonts w:hint="default" w:ascii="Times New Roman" w:hAnsi="Times New Roman" w:eastAsia="华文中宋" w:cs="Times New Roman"/>
                <w:szCs w:val="21"/>
                <w:lang w:val="en-US" w:eastAsia="zh-CN"/>
              </w:rPr>
            </w:pPr>
          </w:p>
        </w:tc>
        <w:tc>
          <w:tcPr>
            <w:tcW w:w="2300" w:type="dxa"/>
            <w:vMerge w:val="continue"/>
            <w:vAlign w:val="center"/>
          </w:tcPr>
          <w:p w14:paraId="6781AE92">
            <w:pPr>
              <w:spacing w:line="300" w:lineRule="exact"/>
              <w:jc w:val="center"/>
              <w:rPr>
                <w:rFonts w:hint="default" w:ascii="Times New Roman" w:hAnsi="Times New Roman" w:eastAsia="华文中宋" w:cs="Times New Roman"/>
                <w:szCs w:val="21"/>
                <w:lang w:val="en-US" w:eastAsia="zh-CN"/>
              </w:rPr>
            </w:pPr>
          </w:p>
        </w:tc>
        <w:tc>
          <w:tcPr>
            <w:tcW w:w="3200" w:type="dxa"/>
            <w:shd w:val="clear" w:color="auto" w:fill="auto"/>
            <w:vAlign w:val="center"/>
          </w:tcPr>
          <w:p w14:paraId="07F7F4F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最低服务年限</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年</w:t>
            </w:r>
            <w:r>
              <w:rPr>
                <w:rFonts w:hint="eastAsia" w:ascii="Times New Roman" w:hAnsi="Times New Roman" w:eastAsia="华文中宋" w:cs="Times New Roman"/>
                <w:szCs w:val="21"/>
                <w:lang w:val="en-US" w:eastAsia="zh-CN"/>
              </w:rPr>
              <w:t>）</w:t>
            </w:r>
          </w:p>
        </w:tc>
        <w:tc>
          <w:tcPr>
            <w:tcW w:w="1778" w:type="dxa"/>
            <w:vAlign w:val="center"/>
          </w:tcPr>
          <w:p w14:paraId="340E56E0">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9</w:t>
            </w:r>
          </w:p>
        </w:tc>
      </w:tr>
      <w:tr w14:paraId="77850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Merge w:val="restart"/>
            <w:vAlign w:val="center"/>
          </w:tcPr>
          <w:p w14:paraId="4755550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w:t>
            </w:r>
          </w:p>
        </w:tc>
        <w:tc>
          <w:tcPr>
            <w:tcW w:w="2300" w:type="dxa"/>
            <w:vMerge w:val="restart"/>
            <w:vAlign w:val="center"/>
          </w:tcPr>
          <w:p w14:paraId="12FF706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锰矿</w:t>
            </w:r>
          </w:p>
        </w:tc>
        <w:tc>
          <w:tcPr>
            <w:tcW w:w="3200" w:type="dxa"/>
            <w:shd w:val="clear" w:color="auto" w:fill="auto"/>
            <w:vAlign w:val="center"/>
          </w:tcPr>
          <w:p w14:paraId="0765543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生产建设规模</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万吨/年</w:t>
            </w:r>
            <w:r>
              <w:rPr>
                <w:rFonts w:hint="eastAsia" w:ascii="Times New Roman" w:hAnsi="Times New Roman" w:eastAsia="华文中宋" w:cs="Times New Roman"/>
                <w:szCs w:val="21"/>
                <w:lang w:val="en-US" w:eastAsia="zh-CN"/>
              </w:rPr>
              <w:t>）</w:t>
            </w:r>
          </w:p>
        </w:tc>
        <w:tc>
          <w:tcPr>
            <w:tcW w:w="1778" w:type="dxa"/>
            <w:vAlign w:val="center"/>
          </w:tcPr>
          <w:p w14:paraId="61BEFC9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w:t>
            </w:r>
          </w:p>
        </w:tc>
      </w:tr>
      <w:tr w14:paraId="65858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Merge w:val="continue"/>
            <w:vAlign w:val="center"/>
          </w:tcPr>
          <w:p w14:paraId="4018FD75">
            <w:pPr>
              <w:spacing w:line="300" w:lineRule="exact"/>
              <w:jc w:val="center"/>
              <w:rPr>
                <w:rFonts w:hint="eastAsia" w:ascii="Times New Roman" w:hAnsi="Times New Roman" w:eastAsia="华文中宋" w:cs="Times New Roman"/>
                <w:szCs w:val="21"/>
                <w:lang w:val="en-US" w:eastAsia="zh-CN"/>
              </w:rPr>
            </w:pPr>
          </w:p>
        </w:tc>
        <w:tc>
          <w:tcPr>
            <w:tcW w:w="2300" w:type="dxa"/>
            <w:vMerge w:val="continue"/>
            <w:vAlign w:val="center"/>
          </w:tcPr>
          <w:p w14:paraId="05F8C14A">
            <w:pPr>
              <w:spacing w:line="300" w:lineRule="exact"/>
              <w:jc w:val="center"/>
              <w:rPr>
                <w:rFonts w:hint="default" w:ascii="Times New Roman" w:hAnsi="Times New Roman" w:eastAsia="华文中宋" w:cs="Times New Roman"/>
                <w:szCs w:val="21"/>
                <w:lang w:val="en-US" w:eastAsia="zh-CN"/>
              </w:rPr>
            </w:pPr>
          </w:p>
        </w:tc>
        <w:tc>
          <w:tcPr>
            <w:tcW w:w="3200" w:type="dxa"/>
            <w:shd w:val="clear" w:color="auto" w:fill="auto"/>
            <w:vAlign w:val="center"/>
          </w:tcPr>
          <w:p w14:paraId="5ADC320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最低服务年限</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年</w:t>
            </w:r>
            <w:r>
              <w:rPr>
                <w:rFonts w:hint="eastAsia" w:ascii="Times New Roman" w:hAnsi="Times New Roman" w:eastAsia="华文中宋" w:cs="Times New Roman"/>
                <w:szCs w:val="21"/>
                <w:lang w:val="en-US" w:eastAsia="zh-CN"/>
              </w:rPr>
              <w:t>）</w:t>
            </w:r>
          </w:p>
        </w:tc>
        <w:tc>
          <w:tcPr>
            <w:tcW w:w="1778" w:type="dxa"/>
            <w:vAlign w:val="center"/>
          </w:tcPr>
          <w:p w14:paraId="4638757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r>
      <w:tr w14:paraId="4683B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Merge w:val="restart"/>
            <w:vAlign w:val="center"/>
          </w:tcPr>
          <w:p w14:paraId="562A29D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w:t>
            </w:r>
          </w:p>
        </w:tc>
        <w:tc>
          <w:tcPr>
            <w:tcW w:w="2300" w:type="dxa"/>
            <w:vMerge w:val="restart"/>
            <w:vAlign w:val="center"/>
          </w:tcPr>
          <w:p w14:paraId="5151C24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铜矿</w:t>
            </w:r>
          </w:p>
        </w:tc>
        <w:tc>
          <w:tcPr>
            <w:tcW w:w="3200" w:type="dxa"/>
            <w:shd w:val="clear" w:color="auto" w:fill="auto"/>
            <w:vAlign w:val="center"/>
          </w:tcPr>
          <w:p w14:paraId="520F85D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生产建设规模</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万吨/年</w:t>
            </w:r>
            <w:r>
              <w:rPr>
                <w:rFonts w:hint="eastAsia" w:ascii="Times New Roman" w:hAnsi="Times New Roman" w:eastAsia="华文中宋" w:cs="Times New Roman"/>
                <w:szCs w:val="21"/>
                <w:lang w:val="en-US" w:eastAsia="zh-CN"/>
              </w:rPr>
              <w:t>）</w:t>
            </w:r>
          </w:p>
        </w:tc>
        <w:tc>
          <w:tcPr>
            <w:tcW w:w="1778" w:type="dxa"/>
            <w:vAlign w:val="center"/>
          </w:tcPr>
          <w:p w14:paraId="5A7927B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6</w:t>
            </w:r>
          </w:p>
        </w:tc>
      </w:tr>
      <w:tr w14:paraId="2C6D3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Merge w:val="continue"/>
            <w:vAlign w:val="center"/>
          </w:tcPr>
          <w:p w14:paraId="68CF8139">
            <w:pPr>
              <w:spacing w:line="300" w:lineRule="exact"/>
              <w:jc w:val="center"/>
              <w:rPr>
                <w:rFonts w:hint="eastAsia" w:ascii="Times New Roman" w:hAnsi="Times New Roman" w:eastAsia="华文中宋" w:cs="Times New Roman"/>
                <w:szCs w:val="21"/>
                <w:lang w:val="en-US" w:eastAsia="zh-CN"/>
              </w:rPr>
            </w:pPr>
          </w:p>
        </w:tc>
        <w:tc>
          <w:tcPr>
            <w:tcW w:w="2300" w:type="dxa"/>
            <w:vMerge w:val="continue"/>
            <w:vAlign w:val="center"/>
          </w:tcPr>
          <w:p w14:paraId="12308E9F">
            <w:pPr>
              <w:spacing w:line="300" w:lineRule="exact"/>
              <w:jc w:val="center"/>
              <w:rPr>
                <w:rFonts w:hint="default" w:ascii="Times New Roman" w:hAnsi="Times New Roman" w:eastAsia="华文中宋" w:cs="Times New Roman"/>
                <w:szCs w:val="21"/>
                <w:lang w:val="en-US" w:eastAsia="zh-CN"/>
              </w:rPr>
            </w:pPr>
          </w:p>
        </w:tc>
        <w:tc>
          <w:tcPr>
            <w:tcW w:w="3200" w:type="dxa"/>
            <w:shd w:val="clear" w:color="auto" w:fill="auto"/>
            <w:vAlign w:val="center"/>
          </w:tcPr>
          <w:p w14:paraId="0CC5EFA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最低服务年限</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年</w:t>
            </w:r>
            <w:r>
              <w:rPr>
                <w:rFonts w:hint="eastAsia" w:ascii="Times New Roman" w:hAnsi="Times New Roman" w:eastAsia="华文中宋" w:cs="Times New Roman"/>
                <w:szCs w:val="21"/>
                <w:lang w:val="en-US" w:eastAsia="zh-CN"/>
              </w:rPr>
              <w:t>）</w:t>
            </w:r>
          </w:p>
        </w:tc>
        <w:tc>
          <w:tcPr>
            <w:tcW w:w="1778" w:type="dxa"/>
            <w:vAlign w:val="center"/>
          </w:tcPr>
          <w:p w14:paraId="443069E0">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9</w:t>
            </w:r>
          </w:p>
        </w:tc>
      </w:tr>
      <w:tr w14:paraId="1B91A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Merge w:val="restart"/>
            <w:vAlign w:val="center"/>
          </w:tcPr>
          <w:p w14:paraId="2782DC2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4</w:t>
            </w:r>
          </w:p>
        </w:tc>
        <w:tc>
          <w:tcPr>
            <w:tcW w:w="2300" w:type="dxa"/>
            <w:vMerge w:val="restart"/>
            <w:vAlign w:val="center"/>
          </w:tcPr>
          <w:p w14:paraId="5604733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铅矿（铅锌伴生时，按主矿种计）</w:t>
            </w:r>
          </w:p>
        </w:tc>
        <w:tc>
          <w:tcPr>
            <w:tcW w:w="3200" w:type="dxa"/>
            <w:shd w:val="clear" w:color="auto" w:fill="auto"/>
            <w:vAlign w:val="center"/>
          </w:tcPr>
          <w:p w14:paraId="053630B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生产建设规模</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万吨/年</w:t>
            </w:r>
            <w:r>
              <w:rPr>
                <w:rFonts w:hint="eastAsia" w:ascii="Times New Roman" w:hAnsi="Times New Roman" w:eastAsia="华文中宋" w:cs="Times New Roman"/>
                <w:szCs w:val="21"/>
                <w:lang w:val="en-US" w:eastAsia="zh-CN"/>
              </w:rPr>
              <w:t>）</w:t>
            </w:r>
          </w:p>
        </w:tc>
        <w:tc>
          <w:tcPr>
            <w:tcW w:w="1778" w:type="dxa"/>
            <w:vAlign w:val="center"/>
          </w:tcPr>
          <w:p w14:paraId="4175B77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12</w:t>
            </w:r>
          </w:p>
        </w:tc>
      </w:tr>
      <w:tr w14:paraId="3FD4A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Merge w:val="continue"/>
            <w:vAlign w:val="center"/>
          </w:tcPr>
          <w:p w14:paraId="0559592F">
            <w:pPr>
              <w:spacing w:line="300" w:lineRule="exact"/>
              <w:jc w:val="center"/>
              <w:rPr>
                <w:rFonts w:hint="eastAsia" w:ascii="Times New Roman" w:hAnsi="Times New Roman" w:eastAsia="华文中宋" w:cs="Times New Roman"/>
                <w:szCs w:val="21"/>
                <w:lang w:val="en-US" w:eastAsia="zh-CN"/>
              </w:rPr>
            </w:pPr>
          </w:p>
        </w:tc>
        <w:tc>
          <w:tcPr>
            <w:tcW w:w="2300" w:type="dxa"/>
            <w:vMerge w:val="continue"/>
            <w:vAlign w:val="center"/>
          </w:tcPr>
          <w:p w14:paraId="085D06A1">
            <w:pPr>
              <w:spacing w:line="300" w:lineRule="exact"/>
              <w:jc w:val="center"/>
              <w:rPr>
                <w:rFonts w:hint="default" w:ascii="Times New Roman" w:hAnsi="Times New Roman" w:eastAsia="华文中宋" w:cs="Times New Roman"/>
                <w:szCs w:val="21"/>
                <w:lang w:val="en-US" w:eastAsia="zh-CN"/>
              </w:rPr>
            </w:pPr>
          </w:p>
        </w:tc>
        <w:tc>
          <w:tcPr>
            <w:tcW w:w="3200" w:type="dxa"/>
            <w:shd w:val="clear" w:color="auto" w:fill="auto"/>
            <w:vAlign w:val="center"/>
          </w:tcPr>
          <w:p w14:paraId="30B8A68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最低服务年限</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年</w:t>
            </w:r>
            <w:r>
              <w:rPr>
                <w:rFonts w:hint="eastAsia" w:ascii="Times New Roman" w:hAnsi="Times New Roman" w:eastAsia="华文中宋" w:cs="Times New Roman"/>
                <w:szCs w:val="21"/>
                <w:lang w:val="en-US" w:eastAsia="zh-CN"/>
              </w:rPr>
              <w:t>）</w:t>
            </w:r>
          </w:p>
        </w:tc>
        <w:tc>
          <w:tcPr>
            <w:tcW w:w="1778" w:type="dxa"/>
            <w:vAlign w:val="center"/>
          </w:tcPr>
          <w:p w14:paraId="31AB6A00">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r>
      <w:tr w14:paraId="3326F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Merge w:val="restart"/>
            <w:vAlign w:val="center"/>
          </w:tcPr>
          <w:p w14:paraId="38BB781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w:t>
            </w:r>
          </w:p>
        </w:tc>
        <w:tc>
          <w:tcPr>
            <w:tcW w:w="2300" w:type="dxa"/>
            <w:vMerge w:val="restart"/>
            <w:vAlign w:val="center"/>
          </w:tcPr>
          <w:p w14:paraId="3CA912A7">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锌矿（铅锌伴生时，按主矿种计）</w:t>
            </w:r>
          </w:p>
        </w:tc>
        <w:tc>
          <w:tcPr>
            <w:tcW w:w="3200" w:type="dxa"/>
            <w:shd w:val="clear" w:color="auto" w:fill="auto"/>
            <w:vAlign w:val="center"/>
          </w:tcPr>
          <w:p w14:paraId="0C56CB9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生产建设规模</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万吨/年</w:t>
            </w:r>
            <w:r>
              <w:rPr>
                <w:rFonts w:hint="eastAsia" w:ascii="Times New Roman" w:hAnsi="Times New Roman" w:eastAsia="华文中宋" w:cs="Times New Roman"/>
                <w:szCs w:val="21"/>
                <w:lang w:val="en-US" w:eastAsia="zh-CN"/>
              </w:rPr>
              <w:t>）</w:t>
            </w:r>
          </w:p>
        </w:tc>
        <w:tc>
          <w:tcPr>
            <w:tcW w:w="1778" w:type="dxa"/>
            <w:vAlign w:val="center"/>
          </w:tcPr>
          <w:p w14:paraId="3AFE7250">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r>
      <w:tr w14:paraId="57055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Merge w:val="continue"/>
            <w:vAlign w:val="center"/>
          </w:tcPr>
          <w:p w14:paraId="2DDF3C0A">
            <w:pPr>
              <w:spacing w:line="300" w:lineRule="exact"/>
              <w:jc w:val="center"/>
              <w:rPr>
                <w:rFonts w:hint="eastAsia" w:ascii="Times New Roman" w:hAnsi="Times New Roman" w:eastAsia="华文中宋" w:cs="Times New Roman"/>
                <w:szCs w:val="21"/>
                <w:lang w:val="en-US" w:eastAsia="zh-CN"/>
              </w:rPr>
            </w:pPr>
          </w:p>
        </w:tc>
        <w:tc>
          <w:tcPr>
            <w:tcW w:w="2300" w:type="dxa"/>
            <w:vMerge w:val="continue"/>
            <w:vAlign w:val="center"/>
          </w:tcPr>
          <w:p w14:paraId="60AA23B4">
            <w:pPr>
              <w:spacing w:line="300" w:lineRule="exact"/>
              <w:jc w:val="center"/>
              <w:rPr>
                <w:rFonts w:hint="default" w:ascii="Times New Roman" w:hAnsi="Times New Roman" w:eastAsia="华文中宋" w:cs="Times New Roman"/>
                <w:szCs w:val="21"/>
                <w:lang w:val="en-US" w:eastAsia="zh-CN"/>
              </w:rPr>
            </w:pPr>
          </w:p>
        </w:tc>
        <w:tc>
          <w:tcPr>
            <w:tcW w:w="3200" w:type="dxa"/>
            <w:shd w:val="clear" w:color="auto" w:fill="auto"/>
            <w:vAlign w:val="center"/>
          </w:tcPr>
          <w:p w14:paraId="1E642AA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最低服务年限</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年</w:t>
            </w:r>
            <w:r>
              <w:rPr>
                <w:rFonts w:hint="eastAsia" w:ascii="Times New Roman" w:hAnsi="Times New Roman" w:eastAsia="华文中宋" w:cs="Times New Roman"/>
                <w:szCs w:val="21"/>
                <w:lang w:val="en-US" w:eastAsia="zh-CN"/>
              </w:rPr>
              <w:t>）</w:t>
            </w:r>
          </w:p>
        </w:tc>
        <w:tc>
          <w:tcPr>
            <w:tcW w:w="1778" w:type="dxa"/>
            <w:vAlign w:val="center"/>
          </w:tcPr>
          <w:p w14:paraId="2566861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r>
      <w:tr w14:paraId="0A12D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Merge w:val="restart"/>
            <w:vAlign w:val="center"/>
          </w:tcPr>
          <w:p w14:paraId="7F5F919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6</w:t>
            </w:r>
          </w:p>
        </w:tc>
        <w:tc>
          <w:tcPr>
            <w:tcW w:w="2300" w:type="dxa"/>
            <w:vMerge w:val="restart"/>
            <w:vAlign w:val="center"/>
          </w:tcPr>
          <w:p w14:paraId="01029C6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镍矿</w:t>
            </w:r>
          </w:p>
        </w:tc>
        <w:tc>
          <w:tcPr>
            <w:tcW w:w="3200" w:type="dxa"/>
            <w:shd w:val="clear" w:color="auto" w:fill="auto"/>
            <w:vAlign w:val="center"/>
          </w:tcPr>
          <w:p w14:paraId="2385333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生产建设规模</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万吨/年</w:t>
            </w:r>
            <w:r>
              <w:rPr>
                <w:rFonts w:hint="eastAsia" w:ascii="Times New Roman" w:hAnsi="Times New Roman" w:eastAsia="华文中宋" w:cs="Times New Roman"/>
                <w:szCs w:val="21"/>
                <w:lang w:val="en-US" w:eastAsia="zh-CN"/>
              </w:rPr>
              <w:t>）</w:t>
            </w:r>
          </w:p>
        </w:tc>
        <w:tc>
          <w:tcPr>
            <w:tcW w:w="1778" w:type="dxa"/>
            <w:vAlign w:val="center"/>
          </w:tcPr>
          <w:p w14:paraId="0A90E78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w:t>
            </w:r>
          </w:p>
        </w:tc>
      </w:tr>
      <w:tr w14:paraId="67684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Merge w:val="continue"/>
            <w:vAlign w:val="center"/>
          </w:tcPr>
          <w:p w14:paraId="6A520602">
            <w:pPr>
              <w:spacing w:line="300" w:lineRule="exact"/>
              <w:jc w:val="center"/>
              <w:rPr>
                <w:rFonts w:hint="eastAsia" w:ascii="Times New Roman" w:hAnsi="Times New Roman" w:eastAsia="华文中宋" w:cs="Times New Roman"/>
                <w:szCs w:val="21"/>
                <w:lang w:val="en-US" w:eastAsia="zh-CN"/>
              </w:rPr>
            </w:pPr>
          </w:p>
        </w:tc>
        <w:tc>
          <w:tcPr>
            <w:tcW w:w="2300" w:type="dxa"/>
            <w:vMerge w:val="continue"/>
            <w:vAlign w:val="center"/>
          </w:tcPr>
          <w:p w14:paraId="62B1CFA5">
            <w:pPr>
              <w:spacing w:line="300" w:lineRule="exact"/>
              <w:jc w:val="center"/>
              <w:rPr>
                <w:rFonts w:hint="default" w:ascii="Times New Roman" w:hAnsi="Times New Roman" w:eastAsia="华文中宋" w:cs="Times New Roman"/>
                <w:szCs w:val="21"/>
                <w:lang w:val="en-US" w:eastAsia="zh-CN"/>
              </w:rPr>
            </w:pPr>
          </w:p>
        </w:tc>
        <w:tc>
          <w:tcPr>
            <w:tcW w:w="3200" w:type="dxa"/>
            <w:shd w:val="clear" w:color="auto" w:fill="auto"/>
            <w:vAlign w:val="center"/>
          </w:tcPr>
          <w:p w14:paraId="14539B2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最低服务年限</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年</w:t>
            </w:r>
            <w:r>
              <w:rPr>
                <w:rFonts w:hint="eastAsia" w:ascii="Times New Roman" w:hAnsi="Times New Roman" w:eastAsia="华文中宋" w:cs="Times New Roman"/>
                <w:szCs w:val="21"/>
                <w:lang w:val="en-US" w:eastAsia="zh-CN"/>
              </w:rPr>
              <w:t>）</w:t>
            </w:r>
          </w:p>
        </w:tc>
        <w:tc>
          <w:tcPr>
            <w:tcW w:w="1778" w:type="dxa"/>
            <w:vAlign w:val="center"/>
          </w:tcPr>
          <w:p w14:paraId="48F84FB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r>
      <w:tr w14:paraId="5F95F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Merge w:val="restart"/>
            <w:vAlign w:val="center"/>
          </w:tcPr>
          <w:p w14:paraId="1BABD56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7</w:t>
            </w:r>
          </w:p>
        </w:tc>
        <w:tc>
          <w:tcPr>
            <w:tcW w:w="2300" w:type="dxa"/>
            <w:vMerge w:val="restart"/>
            <w:vAlign w:val="center"/>
          </w:tcPr>
          <w:p w14:paraId="09684E5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金矿（岩金）</w:t>
            </w:r>
          </w:p>
        </w:tc>
        <w:tc>
          <w:tcPr>
            <w:tcW w:w="3200" w:type="dxa"/>
            <w:shd w:val="clear" w:color="auto" w:fill="auto"/>
            <w:vAlign w:val="center"/>
          </w:tcPr>
          <w:p w14:paraId="378481D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生产建设规模</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万吨/年</w:t>
            </w:r>
            <w:r>
              <w:rPr>
                <w:rFonts w:hint="eastAsia" w:ascii="Times New Roman" w:hAnsi="Times New Roman" w:eastAsia="华文中宋" w:cs="Times New Roman"/>
                <w:szCs w:val="21"/>
                <w:lang w:val="en-US" w:eastAsia="zh-CN"/>
              </w:rPr>
              <w:t>）</w:t>
            </w:r>
          </w:p>
        </w:tc>
        <w:tc>
          <w:tcPr>
            <w:tcW w:w="1778" w:type="dxa"/>
            <w:vAlign w:val="center"/>
          </w:tcPr>
          <w:p w14:paraId="3B91075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w:t>
            </w:r>
          </w:p>
        </w:tc>
      </w:tr>
      <w:tr w14:paraId="2CE3C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Merge w:val="continue"/>
            <w:vAlign w:val="center"/>
          </w:tcPr>
          <w:p w14:paraId="60FECF60">
            <w:pPr>
              <w:spacing w:line="300" w:lineRule="exact"/>
              <w:jc w:val="center"/>
              <w:rPr>
                <w:rFonts w:hint="eastAsia" w:ascii="Times New Roman" w:hAnsi="Times New Roman" w:eastAsia="华文中宋" w:cs="Times New Roman"/>
                <w:szCs w:val="21"/>
                <w:lang w:val="en-US" w:eastAsia="zh-CN"/>
              </w:rPr>
            </w:pPr>
          </w:p>
        </w:tc>
        <w:tc>
          <w:tcPr>
            <w:tcW w:w="2300" w:type="dxa"/>
            <w:vMerge w:val="continue"/>
            <w:vAlign w:val="center"/>
          </w:tcPr>
          <w:p w14:paraId="4573E748">
            <w:pPr>
              <w:spacing w:line="300" w:lineRule="exact"/>
              <w:jc w:val="center"/>
              <w:rPr>
                <w:rFonts w:hint="default" w:ascii="Times New Roman" w:hAnsi="Times New Roman" w:eastAsia="华文中宋" w:cs="Times New Roman"/>
                <w:szCs w:val="21"/>
                <w:lang w:val="en-US" w:eastAsia="zh-CN"/>
              </w:rPr>
            </w:pPr>
          </w:p>
        </w:tc>
        <w:tc>
          <w:tcPr>
            <w:tcW w:w="3200" w:type="dxa"/>
            <w:shd w:val="clear" w:color="auto" w:fill="auto"/>
            <w:vAlign w:val="center"/>
          </w:tcPr>
          <w:p w14:paraId="28208C7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最低服务年限</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年</w:t>
            </w:r>
            <w:r>
              <w:rPr>
                <w:rFonts w:hint="eastAsia" w:ascii="Times New Roman" w:hAnsi="Times New Roman" w:eastAsia="华文中宋" w:cs="Times New Roman"/>
                <w:szCs w:val="21"/>
                <w:lang w:val="en-US" w:eastAsia="zh-CN"/>
              </w:rPr>
              <w:t>）</w:t>
            </w:r>
          </w:p>
        </w:tc>
        <w:tc>
          <w:tcPr>
            <w:tcW w:w="1778" w:type="dxa"/>
            <w:vAlign w:val="center"/>
          </w:tcPr>
          <w:p w14:paraId="72AB96F7">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8</w:t>
            </w:r>
          </w:p>
        </w:tc>
      </w:tr>
      <w:tr w14:paraId="4D894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Merge w:val="restart"/>
            <w:vAlign w:val="center"/>
          </w:tcPr>
          <w:p w14:paraId="15FAF25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8</w:t>
            </w:r>
          </w:p>
        </w:tc>
        <w:tc>
          <w:tcPr>
            <w:tcW w:w="2300" w:type="dxa"/>
            <w:vMerge w:val="restart"/>
            <w:vAlign w:val="center"/>
          </w:tcPr>
          <w:p w14:paraId="1F148BA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磷矿（露天开采）</w:t>
            </w:r>
          </w:p>
        </w:tc>
        <w:tc>
          <w:tcPr>
            <w:tcW w:w="3200" w:type="dxa"/>
            <w:shd w:val="clear" w:color="auto" w:fill="auto"/>
            <w:vAlign w:val="center"/>
          </w:tcPr>
          <w:p w14:paraId="2E0A0BC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生产建设规模</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万吨/年</w:t>
            </w:r>
            <w:r>
              <w:rPr>
                <w:rFonts w:hint="eastAsia" w:ascii="Times New Roman" w:hAnsi="Times New Roman" w:eastAsia="华文中宋" w:cs="Times New Roman"/>
                <w:szCs w:val="21"/>
                <w:lang w:val="en-US" w:eastAsia="zh-CN"/>
              </w:rPr>
              <w:t>）</w:t>
            </w:r>
          </w:p>
        </w:tc>
        <w:tc>
          <w:tcPr>
            <w:tcW w:w="1778" w:type="dxa"/>
            <w:vAlign w:val="center"/>
          </w:tcPr>
          <w:p w14:paraId="33DB252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15</w:t>
            </w:r>
          </w:p>
        </w:tc>
      </w:tr>
      <w:tr w14:paraId="0516C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Merge w:val="continue"/>
            <w:vAlign w:val="center"/>
          </w:tcPr>
          <w:p w14:paraId="6CFCFE10">
            <w:pPr>
              <w:spacing w:line="300" w:lineRule="exact"/>
              <w:jc w:val="center"/>
              <w:rPr>
                <w:rFonts w:hint="eastAsia" w:ascii="Times New Roman" w:hAnsi="Times New Roman" w:eastAsia="华文中宋" w:cs="Times New Roman"/>
                <w:szCs w:val="21"/>
                <w:lang w:val="en-US" w:eastAsia="zh-CN"/>
              </w:rPr>
            </w:pPr>
          </w:p>
        </w:tc>
        <w:tc>
          <w:tcPr>
            <w:tcW w:w="2300" w:type="dxa"/>
            <w:vMerge w:val="continue"/>
            <w:vAlign w:val="center"/>
          </w:tcPr>
          <w:p w14:paraId="311B2F9E">
            <w:pPr>
              <w:spacing w:line="300" w:lineRule="exact"/>
              <w:jc w:val="center"/>
              <w:rPr>
                <w:rFonts w:hint="default" w:ascii="Times New Roman" w:hAnsi="Times New Roman" w:eastAsia="华文中宋" w:cs="Times New Roman"/>
                <w:szCs w:val="21"/>
                <w:lang w:val="en-US" w:eastAsia="zh-CN"/>
              </w:rPr>
            </w:pPr>
          </w:p>
        </w:tc>
        <w:tc>
          <w:tcPr>
            <w:tcW w:w="3200" w:type="dxa"/>
            <w:shd w:val="clear" w:color="auto" w:fill="auto"/>
            <w:vAlign w:val="center"/>
          </w:tcPr>
          <w:p w14:paraId="6543C15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最低服务年限</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年</w:t>
            </w:r>
            <w:r>
              <w:rPr>
                <w:rFonts w:hint="eastAsia" w:ascii="Times New Roman" w:hAnsi="Times New Roman" w:eastAsia="华文中宋" w:cs="Times New Roman"/>
                <w:szCs w:val="21"/>
                <w:lang w:val="en-US" w:eastAsia="zh-CN"/>
              </w:rPr>
              <w:t>）</w:t>
            </w:r>
          </w:p>
        </w:tc>
        <w:tc>
          <w:tcPr>
            <w:tcW w:w="1778" w:type="dxa"/>
            <w:vAlign w:val="center"/>
          </w:tcPr>
          <w:p w14:paraId="53C64C4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r>
      <w:tr w14:paraId="49564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Merge w:val="continue"/>
            <w:vAlign w:val="center"/>
          </w:tcPr>
          <w:p w14:paraId="070563C7">
            <w:pPr>
              <w:spacing w:line="300" w:lineRule="exact"/>
              <w:jc w:val="center"/>
              <w:rPr>
                <w:rFonts w:hint="eastAsia" w:ascii="Times New Roman" w:hAnsi="Times New Roman" w:eastAsia="华文中宋" w:cs="Times New Roman"/>
                <w:szCs w:val="21"/>
                <w:lang w:val="en-US" w:eastAsia="zh-CN"/>
              </w:rPr>
            </w:pPr>
          </w:p>
        </w:tc>
        <w:tc>
          <w:tcPr>
            <w:tcW w:w="2300" w:type="dxa"/>
            <w:vMerge w:val="restart"/>
            <w:vAlign w:val="center"/>
          </w:tcPr>
          <w:p w14:paraId="54A425D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磷矿（露天开采）</w:t>
            </w:r>
          </w:p>
        </w:tc>
        <w:tc>
          <w:tcPr>
            <w:tcW w:w="3200" w:type="dxa"/>
            <w:shd w:val="clear" w:color="auto" w:fill="auto"/>
            <w:vAlign w:val="center"/>
          </w:tcPr>
          <w:p w14:paraId="6963B28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生产建设规模</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万吨/年</w:t>
            </w:r>
            <w:r>
              <w:rPr>
                <w:rFonts w:hint="eastAsia" w:ascii="Times New Roman" w:hAnsi="Times New Roman" w:eastAsia="华文中宋" w:cs="Times New Roman"/>
                <w:szCs w:val="21"/>
                <w:lang w:val="en-US" w:eastAsia="zh-CN"/>
              </w:rPr>
              <w:t>）</w:t>
            </w:r>
          </w:p>
        </w:tc>
        <w:tc>
          <w:tcPr>
            <w:tcW w:w="1778" w:type="dxa"/>
            <w:vAlign w:val="center"/>
          </w:tcPr>
          <w:p w14:paraId="3280C2F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r>
      <w:tr w14:paraId="5DF4D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Merge w:val="continue"/>
            <w:vAlign w:val="center"/>
          </w:tcPr>
          <w:p w14:paraId="389D2FEA">
            <w:pPr>
              <w:spacing w:line="300" w:lineRule="exact"/>
              <w:jc w:val="center"/>
              <w:rPr>
                <w:rFonts w:hint="eastAsia" w:ascii="Times New Roman" w:hAnsi="Times New Roman" w:eastAsia="华文中宋" w:cs="Times New Roman"/>
                <w:szCs w:val="21"/>
                <w:lang w:val="en-US" w:eastAsia="zh-CN"/>
              </w:rPr>
            </w:pPr>
          </w:p>
        </w:tc>
        <w:tc>
          <w:tcPr>
            <w:tcW w:w="2300" w:type="dxa"/>
            <w:vMerge w:val="continue"/>
            <w:vAlign w:val="center"/>
          </w:tcPr>
          <w:p w14:paraId="43402C98">
            <w:pPr>
              <w:spacing w:line="300" w:lineRule="exact"/>
              <w:jc w:val="center"/>
              <w:rPr>
                <w:rFonts w:hint="default" w:ascii="Times New Roman" w:hAnsi="Times New Roman" w:eastAsia="华文中宋" w:cs="Times New Roman"/>
                <w:szCs w:val="21"/>
                <w:lang w:val="en-US" w:eastAsia="zh-CN"/>
              </w:rPr>
            </w:pPr>
          </w:p>
        </w:tc>
        <w:tc>
          <w:tcPr>
            <w:tcW w:w="3200" w:type="dxa"/>
            <w:shd w:val="clear" w:color="auto" w:fill="auto"/>
            <w:vAlign w:val="center"/>
          </w:tcPr>
          <w:p w14:paraId="3814604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最低服务年限</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年</w:t>
            </w:r>
            <w:r>
              <w:rPr>
                <w:rFonts w:hint="eastAsia" w:ascii="Times New Roman" w:hAnsi="Times New Roman" w:eastAsia="华文中宋" w:cs="Times New Roman"/>
                <w:szCs w:val="21"/>
                <w:lang w:val="en-US" w:eastAsia="zh-CN"/>
              </w:rPr>
              <w:t>）</w:t>
            </w:r>
          </w:p>
        </w:tc>
        <w:tc>
          <w:tcPr>
            <w:tcW w:w="1778" w:type="dxa"/>
            <w:vAlign w:val="center"/>
          </w:tcPr>
          <w:p w14:paraId="57AB2CE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r>
      <w:tr w14:paraId="33A2B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Merge w:val="restart"/>
            <w:vAlign w:val="center"/>
          </w:tcPr>
          <w:p w14:paraId="2B7EC11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9</w:t>
            </w:r>
          </w:p>
        </w:tc>
        <w:tc>
          <w:tcPr>
            <w:tcW w:w="2300" w:type="dxa"/>
            <w:vMerge w:val="restart"/>
            <w:vAlign w:val="center"/>
          </w:tcPr>
          <w:p w14:paraId="6AD4031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钾矿</w:t>
            </w:r>
          </w:p>
        </w:tc>
        <w:tc>
          <w:tcPr>
            <w:tcW w:w="3200" w:type="dxa"/>
            <w:shd w:val="clear" w:color="auto" w:fill="auto"/>
            <w:vAlign w:val="center"/>
          </w:tcPr>
          <w:p w14:paraId="7EDC111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生产建设规模</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万吨/年</w:t>
            </w:r>
            <w:r>
              <w:rPr>
                <w:rFonts w:hint="eastAsia" w:ascii="Times New Roman" w:hAnsi="Times New Roman" w:eastAsia="华文中宋" w:cs="Times New Roman"/>
                <w:szCs w:val="21"/>
                <w:lang w:val="en-US" w:eastAsia="zh-CN"/>
              </w:rPr>
              <w:t>）</w:t>
            </w:r>
          </w:p>
        </w:tc>
        <w:tc>
          <w:tcPr>
            <w:tcW w:w="1778" w:type="dxa"/>
            <w:vAlign w:val="center"/>
          </w:tcPr>
          <w:p w14:paraId="7E1728B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w:t>
            </w:r>
          </w:p>
        </w:tc>
      </w:tr>
      <w:tr w14:paraId="1346C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Merge w:val="continue"/>
            <w:vAlign w:val="center"/>
          </w:tcPr>
          <w:p w14:paraId="04446EE0">
            <w:pPr>
              <w:spacing w:line="300" w:lineRule="exact"/>
              <w:jc w:val="center"/>
              <w:rPr>
                <w:rFonts w:hint="eastAsia" w:ascii="Times New Roman" w:hAnsi="Times New Roman" w:eastAsia="华文中宋" w:cs="Times New Roman"/>
                <w:szCs w:val="21"/>
                <w:lang w:val="en-US" w:eastAsia="zh-CN"/>
              </w:rPr>
            </w:pPr>
          </w:p>
        </w:tc>
        <w:tc>
          <w:tcPr>
            <w:tcW w:w="2300" w:type="dxa"/>
            <w:vMerge w:val="continue"/>
            <w:vAlign w:val="center"/>
          </w:tcPr>
          <w:p w14:paraId="2670D534">
            <w:pPr>
              <w:spacing w:line="300" w:lineRule="exact"/>
              <w:jc w:val="center"/>
              <w:rPr>
                <w:rFonts w:hint="default" w:ascii="Times New Roman" w:hAnsi="Times New Roman" w:eastAsia="华文中宋" w:cs="Times New Roman"/>
                <w:szCs w:val="21"/>
                <w:lang w:val="en-US" w:eastAsia="zh-CN"/>
              </w:rPr>
            </w:pPr>
          </w:p>
        </w:tc>
        <w:tc>
          <w:tcPr>
            <w:tcW w:w="3200" w:type="dxa"/>
            <w:shd w:val="clear" w:color="auto" w:fill="auto"/>
            <w:vAlign w:val="center"/>
          </w:tcPr>
          <w:p w14:paraId="46FCBDD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最低服务年限</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年</w:t>
            </w:r>
            <w:r>
              <w:rPr>
                <w:rFonts w:hint="eastAsia" w:ascii="Times New Roman" w:hAnsi="Times New Roman" w:eastAsia="华文中宋" w:cs="Times New Roman"/>
                <w:szCs w:val="21"/>
                <w:lang w:val="en-US" w:eastAsia="zh-CN"/>
              </w:rPr>
              <w:t>）</w:t>
            </w:r>
          </w:p>
        </w:tc>
        <w:tc>
          <w:tcPr>
            <w:tcW w:w="1778" w:type="dxa"/>
            <w:vAlign w:val="center"/>
          </w:tcPr>
          <w:p w14:paraId="31BDA407">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r>
      <w:tr w14:paraId="45F46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Merge w:val="restart"/>
            <w:vAlign w:val="center"/>
          </w:tcPr>
          <w:p w14:paraId="3EC70E6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c>
          <w:tcPr>
            <w:tcW w:w="2300" w:type="dxa"/>
            <w:vMerge w:val="restart"/>
            <w:vAlign w:val="center"/>
          </w:tcPr>
          <w:p w14:paraId="2EE1F30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萤石矿</w:t>
            </w:r>
          </w:p>
        </w:tc>
        <w:tc>
          <w:tcPr>
            <w:tcW w:w="3200" w:type="dxa"/>
            <w:shd w:val="clear" w:color="auto" w:fill="auto"/>
            <w:vAlign w:val="center"/>
          </w:tcPr>
          <w:p w14:paraId="3F41804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生产建设规模</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万吨/年</w:t>
            </w:r>
            <w:r>
              <w:rPr>
                <w:rFonts w:hint="eastAsia" w:ascii="Times New Roman" w:hAnsi="Times New Roman" w:eastAsia="华文中宋" w:cs="Times New Roman"/>
                <w:szCs w:val="21"/>
                <w:lang w:val="en-US" w:eastAsia="zh-CN"/>
              </w:rPr>
              <w:t>）</w:t>
            </w:r>
          </w:p>
        </w:tc>
        <w:tc>
          <w:tcPr>
            <w:tcW w:w="1778" w:type="dxa"/>
            <w:vAlign w:val="center"/>
          </w:tcPr>
          <w:p w14:paraId="17E3711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w:t>
            </w:r>
          </w:p>
        </w:tc>
      </w:tr>
      <w:tr w14:paraId="117D1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Merge w:val="continue"/>
            <w:vAlign w:val="center"/>
          </w:tcPr>
          <w:p w14:paraId="688D44FC">
            <w:pPr>
              <w:spacing w:line="300" w:lineRule="exact"/>
              <w:jc w:val="center"/>
              <w:rPr>
                <w:rFonts w:hint="eastAsia" w:ascii="Times New Roman" w:hAnsi="Times New Roman" w:eastAsia="华文中宋" w:cs="Times New Roman"/>
                <w:szCs w:val="21"/>
                <w:lang w:val="en-US" w:eastAsia="zh-CN"/>
              </w:rPr>
            </w:pPr>
          </w:p>
        </w:tc>
        <w:tc>
          <w:tcPr>
            <w:tcW w:w="2300" w:type="dxa"/>
            <w:vMerge w:val="continue"/>
            <w:vAlign w:val="center"/>
          </w:tcPr>
          <w:p w14:paraId="2C3138B0">
            <w:pPr>
              <w:spacing w:line="300" w:lineRule="exact"/>
              <w:jc w:val="center"/>
              <w:rPr>
                <w:rFonts w:hint="default" w:ascii="Times New Roman" w:hAnsi="Times New Roman" w:eastAsia="华文中宋" w:cs="Times New Roman"/>
                <w:szCs w:val="21"/>
                <w:lang w:val="en-US" w:eastAsia="zh-CN"/>
              </w:rPr>
            </w:pPr>
          </w:p>
        </w:tc>
        <w:tc>
          <w:tcPr>
            <w:tcW w:w="3200" w:type="dxa"/>
            <w:shd w:val="clear" w:color="auto" w:fill="auto"/>
            <w:vAlign w:val="center"/>
          </w:tcPr>
          <w:p w14:paraId="0DDCC2F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最低服务年限</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年</w:t>
            </w:r>
            <w:r>
              <w:rPr>
                <w:rFonts w:hint="eastAsia" w:ascii="Times New Roman" w:hAnsi="Times New Roman" w:eastAsia="华文中宋" w:cs="Times New Roman"/>
                <w:szCs w:val="21"/>
                <w:lang w:val="en-US" w:eastAsia="zh-CN"/>
              </w:rPr>
              <w:t>）</w:t>
            </w:r>
          </w:p>
        </w:tc>
        <w:tc>
          <w:tcPr>
            <w:tcW w:w="1778" w:type="dxa"/>
            <w:vAlign w:val="center"/>
          </w:tcPr>
          <w:p w14:paraId="1CBDE357">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8</w:t>
            </w:r>
          </w:p>
        </w:tc>
      </w:tr>
      <w:tr w14:paraId="3CC2B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Merge w:val="restart"/>
            <w:vAlign w:val="center"/>
          </w:tcPr>
          <w:p w14:paraId="15411DA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11</w:t>
            </w:r>
          </w:p>
        </w:tc>
        <w:tc>
          <w:tcPr>
            <w:tcW w:w="2300" w:type="dxa"/>
            <w:vMerge w:val="restart"/>
            <w:vAlign w:val="center"/>
          </w:tcPr>
          <w:p w14:paraId="1F9F4EE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云母</w:t>
            </w:r>
          </w:p>
        </w:tc>
        <w:tc>
          <w:tcPr>
            <w:tcW w:w="3200" w:type="dxa"/>
            <w:shd w:val="clear" w:color="auto" w:fill="auto"/>
            <w:vAlign w:val="center"/>
          </w:tcPr>
          <w:p w14:paraId="559C4A9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生产建设规模</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万吨/年</w:t>
            </w:r>
            <w:r>
              <w:rPr>
                <w:rFonts w:hint="eastAsia" w:ascii="Times New Roman" w:hAnsi="Times New Roman" w:eastAsia="华文中宋" w:cs="Times New Roman"/>
                <w:szCs w:val="21"/>
                <w:lang w:val="en-US" w:eastAsia="zh-CN"/>
              </w:rPr>
              <w:t>）</w:t>
            </w:r>
          </w:p>
        </w:tc>
        <w:tc>
          <w:tcPr>
            <w:tcW w:w="1778" w:type="dxa"/>
            <w:vAlign w:val="center"/>
          </w:tcPr>
          <w:p w14:paraId="3CDC361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20</w:t>
            </w:r>
          </w:p>
        </w:tc>
      </w:tr>
      <w:tr w14:paraId="69857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Merge w:val="continue"/>
            <w:vAlign w:val="center"/>
          </w:tcPr>
          <w:p w14:paraId="716297AF">
            <w:pPr>
              <w:spacing w:line="300" w:lineRule="exact"/>
              <w:jc w:val="center"/>
              <w:rPr>
                <w:rFonts w:hint="eastAsia" w:ascii="Times New Roman" w:hAnsi="Times New Roman" w:eastAsia="华文中宋" w:cs="Times New Roman"/>
                <w:szCs w:val="21"/>
                <w:lang w:val="en-US" w:eastAsia="zh-CN"/>
              </w:rPr>
            </w:pPr>
          </w:p>
        </w:tc>
        <w:tc>
          <w:tcPr>
            <w:tcW w:w="2300" w:type="dxa"/>
            <w:vMerge w:val="continue"/>
            <w:vAlign w:val="center"/>
          </w:tcPr>
          <w:p w14:paraId="168735C7">
            <w:pPr>
              <w:spacing w:line="300" w:lineRule="exact"/>
              <w:jc w:val="center"/>
              <w:rPr>
                <w:rFonts w:hint="default" w:ascii="Times New Roman" w:hAnsi="Times New Roman" w:eastAsia="华文中宋" w:cs="Times New Roman"/>
                <w:szCs w:val="21"/>
                <w:lang w:val="en-US" w:eastAsia="zh-CN"/>
              </w:rPr>
            </w:pPr>
          </w:p>
        </w:tc>
        <w:tc>
          <w:tcPr>
            <w:tcW w:w="3200" w:type="dxa"/>
            <w:shd w:val="clear" w:color="auto" w:fill="auto"/>
            <w:vAlign w:val="center"/>
          </w:tcPr>
          <w:p w14:paraId="02369B2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最低服务年限</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年</w:t>
            </w:r>
            <w:r>
              <w:rPr>
                <w:rFonts w:hint="eastAsia" w:ascii="Times New Roman" w:hAnsi="Times New Roman" w:eastAsia="华文中宋" w:cs="Times New Roman"/>
                <w:szCs w:val="21"/>
                <w:lang w:val="en-US" w:eastAsia="zh-CN"/>
              </w:rPr>
              <w:t>）</w:t>
            </w:r>
          </w:p>
        </w:tc>
        <w:tc>
          <w:tcPr>
            <w:tcW w:w="1778" w:type="dxa"/>
            <w:vAlign w:val="center"/>
          </w:tcPr>
          <w:p w14:paraId="55F5C28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w:t>
            </w:r>
          </w:p>
        </w:tc>
      </w:tr>
      <w:tr w14:paraId="5B9E5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Merge w:val="restart"/>
            <w:vAlign w:val="center"/>
          </w:tcPr>
          <w:p w14:paraId="07B0856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12</w:t>
            </w:r>
          </w:p>
        </w:tc>
        <w:tc>
          <w:tcPr>
            <w:tcW w:w="2300" w:type="dxa"/>
            <w:vMerge w:val="restart"/>
            <w:vAlign w:val="center"/>
          </w:tcPr>
          <w:p w14:paraId="390CC5C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膨润土</w:t>
            </w:r>
          </w:p>
        </w:tc>
        <w:tc>
          <w:tcPr>
            <w:tcW w:w="3200" w:type="dxa"/>
            <w:shd w:val="clear" w:color="auto" w:fill="auto"/>
            <w:vAlign w:val="center"/>
          </w:tcPr>
          <w:p w14:paraId="11692D4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生产建设规模</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万吨/年</w:t>
            </w:r>
            <w:r>
              <w:rPr>
                <w:rFonts w:hint="eastAsia" w:ascii="Times New Roman" w:hAnsi="Times New Roman" w:eastAsia="华文中宋" w:cs="Times New Roman"/>
                <w:szCs w:val="21"/>
                <w:lang w:val="en-US" w:eastAsia="zh-CN"/>
              </w:rPr>
              <w:t>）</w:t>
            </w:r>
          </w:p>
        </w:tc>
        <w:tc>
          <w:tcPr>
            <w:tcW w:w="1778" w:type="dxa"/>
            <w:vAlign w:val="center"/>
          </w:tcPr>
          <w:p w14:paraId="1A4A111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w:t>
            </w:r>
          </w:p>
        </w:tc>
      </w:tr>
      <w:tr w14:paraId="48FD0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Merge w:val="continue"/>
            <w:vAlign w:val="center"/>
          </w:tcPr>
          <w:p w14:paraId="13916192">
            <w:pPr>
              <w:spacing w:line="300" w:lineRule="exact"/>
              <w:jc w:val="center"/>
              <w:rPr>
                <w:rFonts w:hint="eastAsia" w:ascii="Times New Roman" w:hAnsi="Times New Roman" w:eastAsia="华文中宋" w:cs="Times New Roman"/>
                <w:szCs w:val="21"/>
                <w:lang w:val="en-US" w:eastAsia="zh-CN"/>
              </w:rPr>
            </w:pPr>
          </w:p>
        </w:tc>
        <w:tc>
          <w:tcPr>
            <w:tcW w:w="2300" w:type="dxa"/>
            <w:vMerge w:val="continue"/>
            <w:vAlign w:val="center"/>
          </w:tcPr>
          <w:p w14:paraId="4AA3A36C">
            <w:pPr>
              <w:spacing w:line="300" w:lineRule="exact"/>
              <w:jc w:val="center"/>
              <w:rPr>
                <w:rFonts w:hint="eastAsia" w:ascii="Times New Roman" w:hAnsi="Times New Roman" w:eastAsia="华文中宋" w:cs="Times New Roman"/>
                <w:szCs w:val="21"/>
                <w:lang w:val="en-US" w:eastAsia="zh-CN"/>
              </w:rPr>
            </w:pPr>
          </w:p>
        </w:tc>
        <w:tc>
          <w:tcPr>
            <w:tcW w:w="3200" w:type="dxa"/>
            <w:shd w:val="clear" w:color="auto" w:fill="auto"/>
            <w:vAlign w:val="center"/>
          </w:tcPr>
          <w:p w14:paraId="14B5C8C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最低服务年限</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年</w:t>
            </w:r>
            <w:r>
              <w:rPr>
                <w:rFonts w:hint="eastAsia" w:ascii="Times New Roman" w:hAnsi="Times New Roman" w:eastAsia="华文中宋" w:cs="Times New Roman"/>
                <w:szCs w:val="21"/>
                <w:lang w:val="en-US" w:eastAsia="zh-CN"/>
              </w:rPr>
              <w:t>）</w:t>
            </w:r>
          </w:p>
        </w:tc>
        <w:tc>
          <w:tcPr>
            <w:tcW w:w="1778" w:type="dxa"/>
            <w:vAlign w:val="center"/>
          </w:tcPr>
          <w:p w14:paraId="35BDF1A0">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8</w:t>
            </w:r>
          </w:p>
        </w:tc>
      </w:tr>
    </w:tbl>
    <w:p w14:paraId="4FB2991C">
      <w:pPr>
        <w:pStyle w:val="24"/>
        <w:snapToGrid w:val="0"/>
        <w:jc w:val="left"/>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本项目为铅锑矿开采，矿山生产建设规模为12万</w:t>
      </w:r>
      <w:r>
        <w:rPr>
          <w:rFonts w:hint="default" w:ascii="Times New Roman" w:hAnsi="Times New Roman" w:cs="Times New Roman"/>
          <w:color w:val="auto"/>
          <w:lang w:val="en-US" w:eastAsia="zh-CN"/>
        </w:rPr>
        <w:t>t/a</w:t>
      </w:r>
      <w:r>
        <w:rPr>
          <w:rFonts w:hint="eastAsia" w:ascii="Times New Roman" w:hAnsi="Times New Roman" w:cs="Times New Roman"/>
          <w:color w:val="auto"/>
          <w:lang w:val="en-US" w:eastAsia="zh-CN"/>
        </w:rPr>
        <w:t>，服务年限为5.09年，开采规模达到上述文件对应的规模，符合《关于印发〈新疆维吾尔自治区非煤矿种（</w:t>
      </w:r>
      <w:r>
        <w:rPr>
          <w:rFonts w:hint="default" w:ascii="Times New Roman" w:hAnsi="Times New Roman" w:cs="Times New Roman"/>
          <w:color w:val="auto"/>
          <w:lang w:val="en-US" w:eastAsia="zh-CN"/>
        </w:rPr>
        <w:t xml:space="preserve">12 </w:t>
      </w:r>
      <w:r>
        <w:rPr>
          <w:rFonts w:hint="eastAsia" w:ascii="Times New Roman" w:hAnsi="Times New Roman" w:cs="Times New Roman"/>
          <w:color w:val="auto"/>
          <w:lang w:val="en-US" w:eastAsia="zh-CN"/>
        </w:rPr>
        <w:t>种）矿山最小生产规模和最低服务年限（暂行）〉的通知》（新自然资发〔</w:t>
      </w:r>
      <w:r>
        <w:rPr>
          <w:rFonts w:hint="default" w:ascii="Times New Roman" w:hAnsi="Times New Roman" w:cs="Times New Roman"/>
          <w:color w:val="auto"/>
          <w:lang w:val="en-US" w:eastAsia="zh-CN"/>
        </w:rPr>
        <w:t>2019</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 xml:space="preserve">25 </w:t>
      </w:r>
      <w:r>
        <w:rPr>
          <w:rFonts w:hint="eastAsia" w:ascii="Times New Roman" w:hAnsi="Times New Roman" w:cs="Times New Roman"/>
          <w:color w:val="auto"/>
          <w:lang w:val="en-US" w:eastAsia="zh-CN"/>
        </w:rPr>
        <w:t>号）中的规定。本项目最低服务年限低于《关于印发〈新疆维吾尔自治区非煤矿种（</w:t>
      </w:r>
      <w:r>
        <w:rPr>
          <w:rFonts w:hint="default" w:ascii="Times New Roman" w:hAnsi="Times New Roman" w:cs="Times New Roman"/>
          <w:color w:val="auto"/>
          <w:lang w:val="en-US" w:eastAsia="zh-CN"/>
        </w:rPr>
        <w:t xml:space="preserve">12 </w:t>
      </w:r>
      <w:r>
        <w:rPr>
          <w:rFonts w:hint="eastAsia" w:ascii="Times New Roman" w:hAnsi="Times New Roman" w:cs="Times New Roman"/>
          <w:color w:val="auto"/>
          <w:lang w:val="en-US" w:eastAsia="zh-CN"/>
        </w:rPr>
        <w:t>种）矿山最小生产规模和最低服务年限（暂行）〉的通知》（新自然资发〔</w:t>
      </w:r>
      <w:r>
        <w:rPr>
          <w:rFonts w:hint="default" w:ascii="Times New Roman" w:hAnsi="Times New Roman" w:cs="Times New Roman"/>
          <w:color w:val="auto"/>
          <w:lang w:val="en-US" w:eastAsia="zh-CN"/>
        </w:rPr>
        <w:t>2019</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 xml:space="preserve">25 </w:t>
      </w:r>
      <w:r>
        <w:rPr>
          <w:rFonts w:hint="eastAsia" w:ascii="Times New Roman" w:hAnsi="Times New Roman" w:cs="Times New Roman"/>
          <w:color w:val="auto"/>
          <w:lang w:val="en-US" w:eastAsia="zh-CN"/>
        </w:rPr>
        <w:t>号）中的规定，根据《自治区发展改革委关于民丰县盼水河铅锑矿工程项目核准的批复》（新发改批复〔2025〕44号）及自治区自然资源厅出具的《关于民丰县盼水河铅锑矿工程项目意见建议的复函》内容：“该采矿权2013年通过探矿权转采矿权方式取得，符合矿产资源总体规划要求，2024年2月办理采矿证延续手续，不受《新疆维吾尔自治区非煤矿种（</w:t>
      </w:r>
      <w:r>
        <w:rPr>
          <w:rFonts w:hint="default" w:ascii="Times New Roman" w:hAnsi="Times New Roman" w:cs="Times New Roman"/>
          <w:color w:val="auto"/>
          <w:lang w:val="en-US" w:eastAsia="zh-CN"/>
        </w:rPr>
        <w:t>12</w:t>
      </w:r>
      <w:r>
        <w:rPr>
          <w:rFonts w:hint="eastAsia" w:ascii="Times New Roman" w:hAnsi="Times New Roman" w:cs="Times New Roman"/>
          <w:color w:val="auto"/>
          <w:lang w:val="en-US" w:eastAsia="zh-CN"/>
        </w:rPr>
        <w:t>种）矿山最小生产规模和最低服务年限（暂行）的通知》（新自然资发〔2019〕25号）中矿山最低服务年限限制”。</w:t>
      </w:r>
    </w:p>
    <w:p w14:paraId="25C83618">
      <w:pPr>
        <w:pStyle w:val="24"/>
        <w:snapToGrid w:val="0"/>
        <w:ind w:left="0" w:leftChars="0" w:firstLine="482" w:firstLineChars="200"/>
        <w:jc w:val="left"/>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1.3.2.8与《关于加快推进露天矿山综合整治工作实施意见的函》（自然资办函〔2019〕819号）符合性分析</w:t>
      </w:r>
    </w:p>
    <w:p w14:paraId="5A06794E">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加强露天矿山生态修复。按照“谁开采、谁治理，边开采、边治理”原则，引导矿山按照绿色矿山建设行业标准，以环境影响报告书及批复、矿山地质环境保护与土地复垦方案等要求，开展生态修复。对责任主体灭失的露天矿山，按照“谁治理、谁受益”的原则，充分发挥财政资金的引导带动作用，大力探索构建“政府主导、政策扶持、社会参与、开发式治理、市场化运作”的矿山地质环境恢复和综合治理新模式，加快生态修复进度。</w:t>
      </w:r>
    </w:p>
    <w:p w14:paraId="7E410D68">
      <w:pPr>
        <w:pStyle w:val="24"/>
        <w:snapToGrid w:val="0"/>
        <w:jc w:val="left"/>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本项目在开采过程中遵循“边开采、边治理”的原则，对不再使用的地面工程等设施及时清理，恢复原地形地貌景观；</w:t>
      </w:r>
      <w:r>
        <w:rPr>
          <w:rFonts w:hint="default" w:ascii="Times New Roman" w:hAnsi="Times New Roman" w:eastAsia="华文中宋" w:cs="Times New Roman"/>
          <w:color w:val="auto"/>
          <w:lang w:val="en-US" w:eastAsia="zh-CN"/>
        </w:rPr>
        <w:t>及时治理恢复矿山地质环境，复垦矿</w:t>
      </w:r>
      <w:r>
        <w:rPr>
          <w:rFonts w:hint="default" w:ascii="Times New Roman" w:hAnsi="Times New Roman" w:cs="Times New Roman"/>
          <w:color w:val="auto"/>
          <w:lang w:val="en-US" w:eastAsia="zh-CN"/>
        </w:rPr>
        <w:t>山压占和损毁土地。矿山占用土地和损毁土地治理率和复垦率应达到矿山地质环境保护与土地复垦方案的要求</w:t>
      </w:r>
      <w:r>
        <w:rPr>
          <w:rFonts w:hint="eastAsia" w:ascii="Times New Roman" w:hAnsi="Times New Roman" w:cs="Times New Roman"/>
          <w:color w:val="auto"/>
          <w:lang w:val="en-US" w:eastAsia="zh-CN"/>
        </w:rPr>
        <w:t>，项目将按照环评及土地复垦方案开展生态修复工作，符合《关于加快推进露天矿山综合整治工作实施意见的函》相关要求。</w:t>
      </w:r>
    </w:p>
    <w:p w14:paraId="73F9F0B9">
      <w:pPr>
        <w:pStyle w:val="4"/>
        <w:spacing w:before="120" w:after="120" w:line="500" w:lineRule="exact"/>
        <w:rPr>
          <w:rFonts w:hint="default" w:ascii="Times New Roman" w:hAnsi="Times New Roman" w:eastAsia="华文中宋" w:cs="Times New Roman"/>
          <w:kern w:val="0"/>
          <w:sz w:val="24"/>
          <w:szCs w:val="24"/>
          <w:lang w:val="en-US" w:eastAsia="zh-CN"/>
        </w:rPr>
      </w:pPr>
      <w:bookmarkStart w:id="11" w:name="_Toc26639"/>
      <w:r>
        <w:rPr>
          <w:rFonts w:hint="default" w:ascii="Times New Roman" w:hAnsi="Times New Roman" w:eastAsia="华文中宋" w:cs="Times New Roman"/>
          <w:kern w:val="0"/>
          <w:sz w:val="24"/>
          <w:szCs w:val="24"/>
          <w:lang w:val="en-US" w:eastAsia="zh-CN"/>
        </w:rPr>
        <w:t>1.3.3“三线一单”符合性分析</w:t>
      </w:r>
      <w:bookmarkEnd w:id="11"/>
    </w:p>
    <w:p w14:paraId="168AA15C">
      <w:pPr>
        <w:pStyle w:val="24"/>
        <w:snapToGrid w:val="0"/>
        <w:ind w:left="0" w:leftChars="0" w:firstLine="0" w:firstLineChars="0"/>
        <w:jc w:val="left"/>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1.3.3.1</w:t>
      </w:r>
      <w:r>
        <w:rPr>
          <w:rFonts w:hint="default" w:ascii="Times New Roman" w:hAnsi="Times New Roman" w:cs="Times New Roman"/>
          <w:b/>
          <w:bCs/>
          <w:color w:val="auto"/>
          <w:lang w:val="en-US" w:eastAsia="zh-CN"/>
        </w:rPr>
        <w:t>与《新疆维吾尔自治区七大片区</w:t>
      </w:r>
      <w:r>
        <w:rPr>
          <w:rFonts w:hint="eastAsia" w:ascii="Times New Roman" w:hAnsi="Times New Roman" w:cs="Times New Roman"/>
          <w:b/>
          <w:bCs/>
          <w:color w:val="auto"/>
          <w:lang w:val="en-US" w:eastAsia="zh-CN"/>
        </w:rPr>
        <w:t>“</w:t>
      </w:r>
      <w:r>
        <w:rPr>
          <w:rFonts w:hint="default" w:ascii="Times New Roman" w:hAnsi="Times New Roman" w:cs="Times New Roman"/>
          <w:b/>
          <w:bCs/>
          <w:color w:val="auto"/>
          <w:lang w:val="en-US" w:eastAsia="zh-CN"/>
        </w:rPr>
        <w:t>三线一单</w:t>
      </w:r>
      <w:r>
        <w:rPr>
          <w:rFonts w:hint="eastAsia" w:ascii="Times New Roman" w:hAnsi="Times New Roman" w:cs="Times New Roman"/>
          <w:b/>
          <w:bCs/>
          <w:color w:val="auto"/>
          <w:lang w:val="en-US" w:eastAsia="zh-CN"/>
        </w:rPr>
        <w:t>”</w:t>
      </w:r>
      <w:r>
        <w:rPr>
          <w:rFonts w:hint="default" w:ascii="Times New Roman" w:hAnsi="Times New Roman" w:cs="Times New Roman"/>
          <w:b/>
          <w:bCs/>
          <w:color w:val="auto"/>
          <w:lang w:val="en-US" w:eastAsia="zh-CN"/>
        </w:rPr>
        <w:t>生态环境分区管控要求》的符合性分析</w:t>
      </w:r>
    </w:p>
    <w:p w14:paraId="431B2B03">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根据新疆维吾尔自治区生态环境厅2021年7月发布的《关于印发（新疆维吾尔自治区七大片区</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三线一单</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生态环境分区管控要求）的通知》（新环环评发〔2021〕162号），全区划分为七大片区，包括北疆北部（塔城地区、阿勒泰地区）、伊犁河谷、克奎乌—博州、乌昌石、吐哈、天山南坡（巴州、阿克苏地区）和南疆三地州片区，本项目所在区域属于南疆三地州片区。片区管控要求如下：</w:t>
      </w:r>
    </w:p>
    <w:p w14:paraId="30091CDB">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空间布局约束。严格执行国家、自治区产业政策和环境准入要求，严禁“三高”项目进新疆，坚决遏制“两高”项目盲目发展。不得在水源涵养区、饮用水水源保护区内和河流、湖泊、水库周围建设重化工、涉重金属等工业污染项目。推动项目集聚发展，新建、改建、扩建工业项目原则上应布置于由县级及以上人民政府批准建立、环境保护基础设施完善的产业园区、工业聚集区或规划矿区，并且符合相关规划和规划环评要求。</w:t>
      </w:r>
    </w:p>
    <w:p w14:paraId="41D9AFE3">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加强绿洲边缘生态保护与修复，统筹推进山水林田湖草沙治理，禁止樵采喀什三角洲荒漠、绿洲区荒漠植被，禁止砍伐玉龙喀什河、喀拉喀什河、叶尔羌河、和田河等河流沿岸天然林，保护绿洲和绿色走廊。</w:t>
      </w:r>
    </w:p>
    <w:p w14:paraId="40E53AEF">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控制东昆仑山－阿尔金山山前绿洲、叶尔羌河流域绿洲、和田河流域绿洲、喀什－阿图什绿洲的农业用水量，提高水土资源利用效率，大力推行节水改造，维护叶尔羌河、和田河等河流下游基本生态用水。</w:t>
      </w:r>
    </w:p>
    <w:p w14:paraId="57F577F4">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本项目位于民丰县城170°方向、直距约140千米处，</w:t>
      </w:r>
      <w:r>
        <w:rPr>
          <w:rFonts w:hint="eastAsia" w:ascii="Times New Roman" w:hAnsi="Times New Roman" w:cs="Times New Roman"/>
          <w:color w:val="auto"/>
          <w:lang w:val="en-US" w:eastAsia="zh-CN"/>
        </w:rPr>
        <w:t>不属于“三高”及“两高”项目，本项目建设地点不在</w:t>
      </w:r>
      <w:r>
        <w:rPr>
          <w:rFonts w:hint="default" w:ascii="Times New Roman" w:hAnsi="Times New Roman" w:cs="Times New Roman"/>
          <w:color w:val="auto"/>
          <w:lang w:val="en-US" w:eastAsia="zh-CN"/>
        </w:rPr>
        <w:t>水源涵养区、饮用水水源保护区内和河流、湖泊、水库</w:t>
      </w:r>
      <w:r>
        <w:rPr>
          <w:rFonts w:hint="eastAsia" w:ascii="Times New Roman" w:hAnsi="Times New Roman" w:cs="Times New Roman"/>
          <w:color w:val="auto"/>
          <w:lang w:val="en-US" w:eastAsia="zh-CN"/>
        </w:rPr>
        <w:t>等区域。本项目评价范围内</w:t>
      </w:r>
      <w:r>
        <w:rPr>
          <w:rFonts w:hint="default" w:ascii="Times New Roman" w:hAnsi="Times New Roman" w:cs="Times New Roman"/>
          <w:color w:val="auto"/>
          <w:lang w:val="en-US" w:eastAsia="zh-CN"/>
        </w:rPr>
        <w:t>不涉及自然保护区、风景名胜区、饮用水源保护区、冰川、森林、基本农田、基本草原等环境敏感区。本项目生活污水经达标处理后回用于矿区和道路抑尘，不外排，不与地表水体发生联系。</w:t>
      </w:r>
    </w:p>
    <w:p w14:paraId="5330D2BE">
      <w:pPr>
        <w:pStyle w:val="24"/>
        <w:snapToGrid w:val="0"/>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综上所述，本工程符合《新疆维吾尔自治区七大片区</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三线一单</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生态环境分区管控要求》中相应片区的管控要求。</w:t>
      </w:r>
    </w:p>
    <w:p w14:paraId="12E59786">
      <w:pPr>
        <w:pStyle w:val="24"/>
        <w:snapToGrid w:val="0"/>
        <w:ind w:left="0" w:leftChars="0" w:firstLine="0" w:firstLineChars="0"/>
        <w:jc w:val="left"/>
        <w:rPr>
          <w:rFonts w:hint="default" w:ascii="Times New Roman" w:hAnsi="Times New Roman" w:cs="Times New Roman"/>
          <w:color w:val="auto"/>
          <w:highlight w:val="none"/>
          <w:lang w:val="en-US" w:eastAsia="zh-CN"/>
        </w:rPr>
      </w:pPr>
      <w:r>
        <w:rPr>
          <w:rFonts w:hint="eastAsia" w:ascii="Times New Roman" w:hAnsi="Times New Roman" w:cs="Times New Roman"/>
          <w:b/>
          <w:bCs/>
          <w:color w:val="auto"/>
          <w:highlight w:val="none"/>
          <w:lang w:val="en-US" w:eastAsia="zh-CN"/>
        </w:rPr>
        <w:t>1.3.3.2</w:t>
      </w:r>
      <w:r>
        <w:rPr>
          <w:rFonts w:hint="default" w:ascii="Times New Roman" w:hAnsi="Times New Roman" w:cs="Times New Roman"/>
          <w:b/>
          <w:bCs/>
          <w:color w:val="auto"/>
          <w:highlight w:val="none"/>
          <w:lang w:val="en-US" w:eastAsia="zh-CN"/>
        </w:rPr>
        <w:t>与《新疆维吾尔自治区</w:t>
      </w:r>
      <w:r>
        <w:rPr>
          <w:rFonts w:hint="eastAsia" w:ascii="Times New Roman" w:hAnsi="Times New Roman" w:cs="Times New Roman"/>
          <w:b/>
          <w:bCs/>
          <w:color w:val="auto"/>
          <w:highlight w:val="none"/>
          <w:lang w:val="en-US" w:eastAsia="zh-CN"/>
        </w:rPr>
        <w:t>“</w:t>
      </w:r>
      <w:r>
        <w:rPr>
          <w:rFonts w:hint="default" w:ascii="Times New Roman" w:hAnsi="Times New Roman" w:cs="Times New Roman"/>
          <w:b/>
          <w:bCs/>
          <w:color w:val="auto"/>
          <w:highlight w:val="none"/>
          <w:lang w:val="en-US" w:eastAsia="zh-CN"/>
        </w:rPr>
        <w:t>三线一单</w:t>
      </w:r>
      <w:r>
        <w:rPr>
          <w:rFonts w:hint="eastAsia" w:ascii="Times New Roman" w:hAnsi="Times New Roman" w:cs="Times New Roman"/>
          <w:b/>
          <w:bCs/>
          <w:color w:val="auto"/>
          <w:highlight w:val="none"/>
          <w:lang w:val="en-US" w:eastAsia="zh-CN"/>
        </w:rPr>
        <w:t>”</w:t>
      </w:r>
      <w:r>
        <w:rPr>
          <w:rFonts w:hint="default" w:ascii="Times New Roman" w:hAnsi="Times New Roman" w:cs="Times New Roman"/>
          <w:b/>
          <w:bCs/>
          <w:color w:val="auto"/>
          <w:highlight w:val="none"/>
          <w:lang w:val="en-US" w:eastAsia="zh-CN"/>
        </w:rPr>
        <w:t>生态环境分区管控方案》符合性分析</w:t>
      </w:r>
    </w:p>
    <w:p w14:paraId="71B85597">
      <w:pPr>
        <w:pStyle w:val="24"/>
        <w:snapToGrid w:val="0"/>
        <w:jc w:val="left"/>
        <w:rPr>
          <w:rFonts w:hint="default" w:ascii="Times New Roman" w:hAnsi="Times New Roman" w:cs="Times New Roman"/>
          <w:color w:val="auto"/>
          <w:highlight w:val="none"/>
          <w:lang w:val="en-US" w:eastAsia="zh-CN"/>
        </w:rPr>
        <w:sectPr>
          <w:headerReference r:id="rId7" w:type="default"/>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rtlGutter w:val="0"/>
          <w:docGrid w:linePitch="312" w:charSpace="0"/>
        </w:sectPr>
      </w:pPr>
      <w:r>
        <w:rPr>
          <w:rFonts w:hint="default" w:ascii="Times New Roman" w:hAnsi="Times New Roman" w:cs="Times New Roman"/>
          <w:color w:val="auto"/>
          <w:highlight w:val="none"/>
          <w:lang w:val="en-US" w:eastAsia="zh-CN"/>
        </w:rPr>
        <w:t>根据《新疆维吾尔自治区</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三线一单生态环境分区管控方案》（新政发〔2021〕18号）要求，以及《关于印发</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新疆维吾尔自治区生态环境分区管控动态更新成果</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的通知》</w:t>
      </w:r>
      <w:r>
        <w:rPr>
          <w:rFonts w:hint="eastAsia" w:ascii="Times New Roman" w:hAnsi="Times New Roman" w:cs="Times New Roman"/>
          <w:color w:val="auto"/>
          <w:highlight w:val="none"/>
          <w:lang w:val="en-US" w:eastAsia="zh-CN"/>
        </w:rPr>
        <w:t>（新环环评发﹝2024﹞157号）</w:t>
      </w:r>
      <w:r>
        <w:rPr>
          <w:rFonts w:hint="default" w:ascii="Times New Roman" w:hAnsi="Times New Roman" w:cs="Times New Roman"/>
          <w:color w:val="auto"/>
          <w:highlight w:val="none"/>
          <w:lang w:val="en-US" w:eastAsia="zh-CN"/>
        </w:rPr>
        <w:t>。见表1.3-</w:t>
      </w:r>
      <w:r>
        <w:rPr>
          <w:rFonts w:hint="eastAsia" w:ascii="Times New Roman" w:hAnsi="Times New Roman" w:cs="Times New Roman"/>
          <w:color w:val="auto"/>
          <w:highlight w:val="none"/>
          <w:lang w:val="en-US" w:eastAsia="zh-CN"/>
        </w:rPr>
        <w:t>4、1.3-5</w:t>
      </w:r>
      <w:r>
        <w:rPr>
          <w:rFonts w:hint="default" w:ascii="Times New Roman" w:hAnsi="Times New Roman" w:cs="Times New Roman"/>
          <w:color w:val="auto"/>
          <w:highlight w:val="none"/>
          <w:lang w:val="en-US" w:eastAsia="zh-CN"/>
        </w:rPr>
        <w:t>。</w:t>
      </w:r>
    </w:p>
    <w:p w14:paraId="1438D949">
      <w:pPr>
        <w:snapToGrid w:val="0"/>
        <w:spacing w:before="241" w:beforeLines="5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表1.3-</w:t>
      </w:r>
      <w:r>
        <w:rPr>
          <w:rFonts w:hint="eastAsia" w:ascii="Times New Roman" w:hAnsi="Times New Roman" w:eastAsia="华文中宋" w:cs="Times New Roman"/>
          <w:b/>
          <w:szCs w:val="21"/>
          <w:lang w:val="en-US" w:eastAsia="zh-CN"/>
        </w:rPr>
        <w:t>4</w:t>
      </w:r>
      <w:r>
        <w:rPr>
          <w:rFonts w:hint="default" w:ascii="Times New Roman" w:hAnsi="Times New Roman" w:eastAsia="华文中宋" w:cs="Times New Roman"/>
          <w:b/>
          <w:szCs w:val="21"/>
          <w:lang w:val="en-US" w:eastAsia="zh-CN"/>
        </w:rPr>
        <w:t xml:space="preserve">  《新疆维吾尔自治区“三线一单”生态环境分区管控方案》符合分析</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71"/>
        <w:gridCol w:w="3349"/>
        <w:gridCol w:w="3692"/>
        <w:gridCol w:w="810"/>
      </w:tblGrid>
      <w:tr w14:paraId="0096F4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9" w:type="dxa"/>
            <w:tcBorders>
              <w:tl2br w:val="nil"/>
              <w:tr2bl w:val="nil"/>
            </w:tcBorders>
            <w:vAlign w:val="center"/>
          </w:tcPr>
          <w:p w14:paraId="64FD429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管控要求</w:t>
            </w:r>
          </w:p>
        </w:tc>
        <w:tc>
          <w:tcPr>
            <w:tcW w:w="3651" w:type="dxa"/>
            <w:tcBorders>
              <w:right w:val="single" w:color="auto" w:sz="4" w:space="0"/>
              <w:tl2br w:val="nil"/>
              <w:tr2bl w:val="nil"/>
            </w:tcBorders>
            <w:vAlign w:val="center"/>
          </w:tcPr>
          <w:p w14:paraId="5E1FF01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“三线一单”要求</w:t>
            </w:r>
          </w:p>
        </w:tc>
        <w:tc>
          <w:tcPr>
            <w:tcW w:w="3875" w:type="dxa"/>
            <w:tcBorders>
              <w:left w:val="single" w:color="auto" w:sz="4" w:space="0"/>
              <w:tl2br w:val="nil"/>
              <w:tr2bl w:val="nil"/>
            </w:tcBorders>
            <w:vAlign w:val="center"/>
          </w:tcPr>
          <w:p w14:paraId="3A00C96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相符性分析</w:t>
            </w:r>
          </w:p>
        </w:tc>
        <w:tc>
          <w:tcPr>
            <w:tcW w:w="853" w:type="dxa"/>
            <w:tcBorders>
              <w:tl2br w:val="nil"/>
              <w:tr2bl w:val="nil"/>
            </w:tcBorders>
            <w:vAlign w:val="center"/>
          </w:tcPr>
          <w:p w14:paraId="3E7A21C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相符性</w:t>
            </w:r>
          </w:p>
        </w:tc>
      </w:tr>
      <w:tr w14:paraId="5302DCB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9" w:type="dxa"/>
            <w:tcBorders>
              <w:tl2br w:val="nil"/>
              <w:tr2bl w:val="nil"/>
            </w:tcBorders>
            <w:vAlign w:val="center"/>
          </w:tcPr>
          <w:p w14:paraId="6EFF0ED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生态保护红线</w:t>
            </w:r>
          </w:p>
        </w:tc>
        <w:tc>
          <w:tcPr>
            <w:tcW w:w="3651" w:type="dxa"/>
            <w:tcBorders>
              <w:right w:val="single" w:color="auto" w:sz="4" w:space="0"/>
              <w:tl2br w:val="nil"/>
              <w:tr2bl w:val="nil"/>
            </w:tcBorders>
            <w:vAlign w:val="center"/>
          </w:tcPr>
          <w:p w14:paraId="65B5E49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按照</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生态功能不降低、面积不减少、性质不改变</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的基本要求，对划定的生态保护红线实施严格管控，保障和维护国家生态安全的底线和生命线。</w:t>
            </w:r>
          </w:p>
        </w:tc>
        <w:tc>
          <w:tcPr>
            <w:tcW w:w="3875" w:type="dxa"/>
            <w:tcBorders>
              <w:left w:val="single" w:color="auto" w:sz="4" w:space="0"/>
              <w:tl2br w:val="nil"/>
              <w:tr2bl w:val="nil"/>
            </w:tcBorders>
            <w:vAlign w:val="center"/>
          </w:tcPr>
          <w:p w14:paraId="0ED7D9F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本项目不涉及生态保护红线，项目区属于一般管控单元，符合生态红线保护要求。</w:t>
            </w:r>
          </w:p>
        </w:tc>
        <w:tc>
          <w:tcPr>
            <w:tcW w:w="853" w:type="dxa"/>
            <w:tcBorders>
              <w:tl2br w:val="nil"/>
              <w:tr2bl w:val="nil"/>
            </w:tcBorders>
            <w:vAlign w:val="center"/>
          </w:tcPr>
          <w:p w14:paraId="72028FA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符合</w:t>
            </w:r>
          </w:p>
        </w:tc>
      </w:tr>
      <w:tr w14:paraId="61A352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9" w:type="dxa"/>
            <w:tcBorders>
              <w:tl2br w:val="nil"/>
              <w:tr2bl w:val="nil"/>
            </w:tcBorders>
            <w:vAlign w:val="center"/>
          </w:tcPr>
          <w:p w14:paraId="1E154BD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环境质量底线</w:t>
            </w:r>
          </w:p>
        </w:tc>
        <w:tc>
          <w:tcPr>
            <w:tcW w:w="3651" w:type="dxa"/>
            <w:tcBorders>
              <w:right w:val="single" w:color="auto" w:sz="4" w:space="0"/>
              <w:tl2br w:val="nil"/>
              <w:tr2bl w:val="nil"/>
            </w:tcBorders>
            <w:vAlign w:val="center"/>
          </w:tcPr>
          <w:p w14:paraId="38C5EA9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全区水环境质量持续改善，受污染地表水体得到优先治理，饮用水安全保障水平持续提升，地下水超采得到严格控制，地下水水质保持稳定；全区环境空气质量有所提升，重污染天数持续减少，已达标城市环境空气质量保持稳定，未达标城市环境空气质量持续改善，沙尘影响严重地区做好防风固沙、生态环境保护修复等工作；全区土壤环境质量保持稳定，污染地块安全利用水平稳中有升，土壤环境风险得到进一步管控。</w:t>
            </w:r>
          </w:p>
        </w:tc>
        <w:tc>
          <w:tcPr>
            <w:tcW w:w="3875" w:type="dxa"/>
            <w:tcBorders>
              <w:left w:val="single" w:color="auto" w:sz="4" w:space="0"/>
              <w:tl2br w:val="nil"/>
              <w:tr2bl w:val="nil"/>
            </w:tcBorders>
            <w:vAlign w:val="center"/>
          </w:tcPr>
          <w:p w14:paraId="5A62CD4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本项目位于空气质量不达标区，本项目产生的大气污染物主要为TSP</w:t>
            </w:r>
            <w:r>
              <w:rPr>
                <w:rFonts w:hint="eastAsia" w:ascii="Times New Roman" w:hAnsi="Times New Roman" w:eastAsia="华文中宋" w:cs="Times New Roman"/>
                <w:szCs w:val="21"/>
                <w:lang w:val="en-US" w:eastAsia="zh-CN"/>
              </w:rPr>
              <w:t>、铅及其化合物</w:t>
            </w:r>
            <w:r>
              <w:rPr>
                <w:rFonts w:hint="default" w:ascii="Times New Roman" w:hAnsi="Times New Roman" w:eastAsia="华文中宋" w:cs="Times New Roman"/>
                <w:szCs w:val="21"/>
                <w:lang w:val="en-US" w:eastAsia="zh-CN"/>
              </w:rPr>
              <w:t>，通过采取相应的环保措施后，</w:t>
            </w:r>
            <w:r>
              <w:rPr>
                <w:rFonts w:hint="eastAsia" w:ascii="Times New Roman" w:hAnsi="Times New Roman" w:eastAsia="华文中宋" w:cs="Times New Roman"/>
                <w:szCs w:val="21"/>
                <w:lang w:val="en-US" w:eastAsia="zh-CN"/>
              </w:rPr>
              <w:t>大气污染物的排放对周边大气环境的影响较小</w:t>
            </w:r>
            <w:r>
              <w:rPr>
                <w:rFonts w:hint="default" w:ascii="Times New Roman" w:hAnsi="Times New Roman" w:eastAsia="华文中宋" w:cs="Times New Roman"/>
                <w:szCs w:val="21"/>
                <w:lang w:val="en-US" w:eastAsia="zh-CN"/>
              </w:rPr>
              <w:t>；项目运营期产生的生活污水经处理达标后回用于矿区和道路抑尘，不外排，</w:t>
            </w:r>
            <w:r>
              <w:rPr>
                <w:rFonts w:hint="eastAsia" w:ascii="Times New Roman" w:hAnsi="Times New Roman" w:eastAsia="华文中宋" w:cs="Times New Roman"/>
                <w:szCs w:val="21"/>
                <w:lang w:val="en-US" w:eastAsia="zh-CN"/>
              </w:rPr>
              <w:t>矿坑涌水经收集后全部自然蒸干，</w:t>
            </w:r>
            <w:r>
              <w:rPr>
                <w:rFonts w:hint="default" w:ascii="Times New Roman" w:hAnsi="Times New Roman" w:eastAsia="华文中宋" w:cs="Times New Roman"/>
                <w:szCs w:val="21"/>
                <w:lang w:val="en-US" w:eastAsia="zh-CN"/>
              </w:rPr>
              <w:t>不会影响区域水环境质量；固体废物</w:t>
            </w:r>
            <w:r>
              <w:rPr>
                <w:rFonts w:hint="eastAsia" w:ascii="Times New Roman" w:hAnsi="Times New Roman" w:eastAsia="华文中宋" w:cs="Times New Roman"/>
                <w:szCs w:val="21"/>
                <w:lang w:val="en-US" w:eastAsia="zh-CN"/>
              </w:rPr>
              <w:t>主要为开采过程中产生的废石、人员产生的生活垃圾以及设备运行产生的废润滑油等，项目废石用于回填开采矿坑；生活垃圾定期清运至民丰县生活垃圾填埋场；废润滑油储存于矿区危废暂存间，定期交由有资质单位处置。</w:t>
            </w:r>
            <w:r>
              <w:rPr>
                <w:rFonts w:hint="default" w:ascii="Times New Roman" w:hAnsi="Times New Roman" w:eastAsia="华文中宋" w:cs="Times New Roman"/>
                <w:szCs w:val="21"/>
                <w:lang w:val="en-US" w:eastAsia="zh-CN"/>
              </w:rPr>
              <w:t>因此，本项目开发对项目区环境质量影响不大，不会降低区域环境质量，符合环境质量底线要求。</w:t>
            </w:r>
          </w:p>
        </w:tc>
        <w:tc>
          <w:tcPr>
            <w:tcW w:w="853" w:type="dxa"/>
            <w:tcBorders>
              <w:tl2br w:val="nil"/>
              <w:tr2bl w:val="nil"/>
            </w:tcBorders>
            <w:vAlign w:val="center"/>
          </w:tcPr>
          <w:p w14:paraId="65A4E33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符合</w:t>
            </w:r>
          </w:p>
        </w:tc>
      </w:tr>
      <w:tr w14:paraId="46E5D5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9" w:type="dxa"/>
            <w:tcBorders>
              <w:tl2br w:val="nil"/>
              <w:tr2bl w:val="nil"/>
            </w:tcBorders>
            <w:vAlign w:val="center"/>
          </w:tcPr>
          <w:p w14:paraId="7393453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资源利用上线</w:t>
            </w:r>
          </w:p>
        </w:tc>
        <w:tc>
          <w:tcPr>
            <w:tcW w:w="3651" w:type="dxa"/>
            <w:tcBorders>
              <w:right w:val="single" w:color="auto" w:sz="4" w:space="0"/>
              <w:tl2br w:val="nil"/>
              <w:tr2bl w:val="nil"/>
            </w:tcBorders>
            <w:vAlign w:val="center"/>
          </w:tcPr>
          <w:p w14:paraId="5A47C17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强化节约集约利用，持续提升资源能源利用效率，水资源、土地资源、能源消耗等达到国家、自治区下达的总量和强度控制目标。加快区域低碳发展，积极推动乌鲁木齐市、昌吉市、伊宁市、和田市等4个国家级低碳试点城市发挥低碳试点示范和引领作用。</w:t>
            </w:r>
          </w:p>
        </w:tc>
        <w:tc>
          <w:tcPr>
            <w:tcW w:w="3875" w:type="dxa"/>
            <w:tcBorders>
              <w:left w:val="single" w:color="auto" w:sz="4" w:space="0"/>
              <w:tl2br w:val="nil"/>
              <w:tr2bl w:val="nil"/>
            </w:tcBorders>
            <w:vAlign w:val="center"/>
          </w:tcPr>
          <w:p w14:paraId="4673783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本项目为新建项目，采用较为先进的开采工艺与资源综合利用措施，开采过程中电耗、水耗等满足清洁生产要求，采暖使用电锅炉采暖。项目占地符合行业标准与地方土地规划。本项目开采活动占用各项资源量在区域的可承受范围内，不逾越资源利用上线。</w:t>
            </w:r>
          </w:p>
        </w:tc>
        <w:tc>
          <w:tcPr>
            <w:tcW w:w="853" w:type="dxa"/>
            <w:tcBorders>
              <w:tl2br w:val="nil"/>
              <w:tr2bl w:val="nil"/>
            </w:tcBorders>
            <w:vAlign w:val="center"/>
          </w:tcPr>
          <w:p w14:paraId="46B947F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符合</w:t>
            </w:r>
          </w:p>
        </w:tc>
      </w:tr>
      <w:tr w14:paraId="77D21DA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9" w:type="dxa"/>
            <w:tcBorders>
              <w:tl2br w:val="nil"/>
              <w:tr2bl w:val="nil"/>
            </w:tcBorders>
            <w:vAlign w:val="center"/>
          </w:tcPr>
          <w:p w14:paraId="5686425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生态准入清单</w:t>
            </w:r>
          </w:p>
        </w:tc>
        <w:tc>
          <w:tcPr>
            <w:tcW w:w="3651" w:type="dxa"/>
            <w:tcBorders>
              <w:right w:val="single" w:color="auto" w:sz="4" w:space="0"/>
              <w:tl2br w:val="nil"/>
              <w:tr2bl w:val="nil"/>
            </w:tcBorders>
            <w:vAlign w:val="center"/>
          </w:tcPr>
          <w:p w14:paraId="2D0D807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自治区共划定1</w:t>
            </w:r>
            <w:r>
              <w:rPr>
                <w:rFonts w:hint="eastAsia" w:ascii="Times New Roman" w:hAnsi="Times New Roman" w:eastAsia="华文中宋" w:cs="Times New Roman"/>
                <w:szCs w:val="21"/>
                <w:lang w:val="en-US" w:eastAsia="zh-CN"/>
              </w:rPr>
              <w:t>777</w:t>
            </w:r>
            <w:r>
              <w:rPr>
                <w:rFonts w:hint="default" w:ascii="Times New Roman" w:hAnsi="Times New Roman" w:eastAsia="华文中宋" w:cs="Times New Roman"/>
                <w:szCs w:val="21"/>
                <w:lang w:val="en-US" w:eastAsia="zh-CN"/>
              </w:rPr>
              <w:t>个环境管控单元，分为优先保护单元、重点管控单元和一般管控单元三类，实施分类管控。一般管控单元</w:t>
            </w:r>
            <w:r>
              <w:rPr>
                <w:rFonts w:hint="eastAsia" w:ascii="Times New Roman" w:hAnsi="Times New Roman" w:eastAsia="华文中宋" w:cs="Times New Roman"/>
                <w:szCs w:val="21"/>
                <w:lang w:val="en-US" w:eastAsia="zh-CN"/>
              </w:rPr>
              <w:t>139</w:t>
            </w:r>
            <w:r>
              <w:rPr>
                <w:rFonts w:hint="default" w:ascii="Times New Roman" w:hAnsi="Times New Roman" w:eastAsia="华文中宋" w:cs="Times New Roman"/>
                <w:szCs w:val="21"/>
                <w:lang w:val="en-US" w:eastAsia="zh-CN"/>
              </w:rPr>
              <w:t>个，主要包括优先保护单元和重点管控单元之外的</w:t>
            </w:r>
            <w:r>
              <w:rPr>
                <w:rFonts w:hint="eastAsia" w:ascii="Times New Roman" w:hAnsi="Times New Roman" w:eastAsia="华文中宋" w:cs="Times New Roman"/>
                <w:szCs w:val="21"/>
                <w:lang w:val="en-US" w:eastAsia="zh-CN"/>
              </w:rPr>
              <w:t>其他</w:t>
            </w:r>
            <w:r>
              <w:rPr>
                <w:rFonts w:hint="default" w:ascii="Times New Roman" w:hAnsi="Times New Roman" w:eastAsia="华文中宋" w:cs="Times New Roman"/>
                <w:szCs w:val="21"/>
                <w:lang w:val="en-US" w:eastAsia="zh-CN"/>
              </w:rPr>
              <w:t>区域。一般管控单元主要落实生态环境保护基本要求，推动区域环境质量持续改善。</w:t>
            </w:r>
          </w:p>
        </w:tc>
        <w:tc>
          <w:tcPr>
            <w:tcW w:w="3875" w:type="dxa"/>
            <w:tcBorders>
              <w:left w:val="single" w:color="auto" w:sz="4" w:space="0"/>
              <w:tl2br w:val="nil"/>
              <w:tr2bl w:val="nil"/>
            </w:tcBorders>
            <w:vAlign w:val="center"/>
          </w:tcPr>
          <w:p w14:paraId="670AB08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本项目位于民丰县城170°方向、直距约140千米处，属于一般管控单元。环境质量能够满足相应标准要求；本项目采用湿式凿岩作业，矿石转运粉尘和废石堆场在采取洒水抑尘等措施；采用电锅炉采暖；生活污水经处理达标后回用于矿区和道路抑尘，不外排，</w:t>
            </w:r>
            <w:r>
              <w:rPr>
                <w:rFonts w:hint="eastAsia" w:ascii="Times New Roman" w:hAnsi="Times New Roman" w:eastAsia="华文中宋" w:cs="Times New Roman"/>
                <w:szCs w:val="21"/>
                <w:lang w:val="en-US" w:eastAsia="zh-CN"/>
              </w:rPr>
              <w:t>矿坑涌水经收集后全部自然蒸干</w:t>
            </w:r>
            <w:r>
              <w:rPr>
                <w:rFonts w:hint="default" w:ascii="Times New Roman" w:hAnsi="Times New Roman" w:eastAsia="华文中宋" w:cs="Times New Roman"/>
                <w:szCs w:val="21"/>
                <w:lang w:val="en-US" w:eastAsia="zh-CN"/>
              </w:rPr>
              <w:t>。采用性能</w:t>
            </w:r>
            <w:r>
              <w:rPr>
                <w:rFonts w:hint="eastAsia" w:ascii="Times New Roman" w:hAnsi="Times New Roman" w:eastAsia="华文中宋" w:cs="Times New Roman"/>
                <w:szCs w:val="21"/>
                <w:lang w:val="en-US" w:eastAsia="zh-CN"/>
              </w:rPr>
              <w:t>较好的</w:t>
            </w:r>
            <w:r>
              <w:rPr>
                <w:rFonts w:hint="default" w:ascii="Times New Roman" w:hAnsi="Times New Roman" w:eastAsia="华文中宋" w:cs="Times New Roman"/>
                <w:szCs w:val="21"/>
                <w:lang w:val="en-US" w:eastAsia="zh-CN"/>
              </w:rPr>
              <w:t>机械设备，定期进行维护保养；土岩剥离物属于一般工业固体废物Ⅰ类固体废物，统一运往表土堆放场、废石堆放场</w:t>
            </w:r>
            <w:r>
              <w:rPr>
                <w:rFonts w:hint="eastAsia" w:ascii="Times New Roman" w:hAnsi="Times New Roman" w:eastAsia="华文中宋" w:cs="Times New Roman"/>
                <w:szCs w:val="21"/>
                <w:lang w:val="en-US" w:eastAsia="zh-CN"/>
              </w:rPr>
              <w:t>放置</w:t>
            </w:r>
            <w:r>
              <w:rPr>
                <w:rFonts w:hint="default" w:ascii="Times New Roman" w:hAnsi="Times New Roman" w:eastAsia="华文中宋" w:cs="Times New Roman"/>
                <w:szCs w:val="21"/>
                <w:lang w:val="en-US" w:eastAsia="zh-CN"/>
              </w:rPr>
              <w:t>，废石可用于铺路和矿坑回填等；矿区生活垃圾在垃圾桶内临时存放，每月定期将生活垃圾运至民丰县垃圾填埋场统一处理。项目在生活区修建10m</w:t>
            </w:r>
            <w:r>
              <w:rPr>
                <w:rFonts w:hint="default" w:ascii="Times New Roman" w:hAnsi="Times New Roman" w:eastAsia="华文中宋" w:cs="Times New Roman"/>
                <w:szCs w:val="21"/>
                <w:vertAlign w:val="superscript"/>
                <w:lang w:val="en-US" w:eastAsia="zh-CN"/>
              </w:rPr>
              <w:t>3</w:t>
            </w:r>
            <w:r>
              <w:rPr>
                <w:rFonts w:hint="default" w:ascii="Times New Roman" w:hAnsi="Times New Roman" w:eastAsia="华文中宋" w:cs="Times New Roman"/>
                <w:szCs w:val="21"/>
                <w:lang w:val="en-US" w:eastAsia="zh-CN"/>
              </w:rPr>
              <w:t>地埋式一体</w:t>
            </w:r>
            <w:r>
              <w:rPr>
                <w:rFonts w:hint="eastAsia" w:ascii="Times New Roman" w:hAnsi="Times New Roman" w:eastAsia="华文中宋" w:cs="Times New Roman"/>
                <w:szCs w:val="21"/>
                <w:lang w:val="en-US" w:eastAsia="zh-CN"/>
              </w:rPr>
              <w:t>化</w:t>
            </w:r>
            <w:r>
              <w:rPr>
                <w:rFonts w:hint="default" w:ascii="Times New Roman" w:hAnsi="Times New Roman" w:eastAsia="华文中宋" w:cs="Times New Roman"/>
                <w:szCs w:val="21"/>
                <w:lang w:val="en-US" w:eastAsia="zh-CN"/>
              </w:rPr>
              <w:t>污水处理设</w:t>
            </w:r>
            <w:r>
              <w:rPr>
                <w:rFonts w:hint="eastAsia" w:ascii="Times New Roman" w:hAnsi="Times New Roman" w:eastAsia="华文中宋" w:cs="Times New Roman"/>
                <w:szCs w:val="21"/>
                <w:lang w:val="en-US" w:eastAsia="zh-CN"/>
              </w:rPr>
              <w:t>施</w:t>
            </w:r>
            <w:r>
              <w:rPr>
                <w:rFonts w:hint="default" w:ascii="Times New Roman" w:hAnsi="Times New Roman" w:eastAsia="华文中宋" w:cs="Times New Roman"/>
                <w:szCs w:val="21"/>
                <w:lang w:val="en-US" w:eastAsia="zh-CN"/>
              </w:rPr>
              <w:t>一座，达到《农村生活污水处理排放标准》（DB654275-2019）表2中</w:t>
            </w:r>
            <w:r>
              <w:rPr>
                <w:rFonts w:hint="eastAsia" w:ascii="Times New Roman" w:hAnsi="Times New Roman" w:eastAsia="华文中宋" w:cs="Times New Roman"/>
                <w:szCs w:val="21"/>
                <w:lang w:val="en-US" w:eastAsia="zh-CN"/>
              </w:rPr>
              <w:t>A</w:t>
            </w:r>
            <w:r>
              <w:rPr>
                <w:rFonts w:hint="default" w:ascii="Times New Roman" w:hAnsi="Times New Roman" w:eastAsia="华文中宋" w:cs="Times New Roman"/>
                <w:szCs w:val="21"/>
                <w:lang w:val="en-US" w:eastAsia="zh-CN"/>
              </w:rPr>
              <w:t>级排放标准，用于矿山道路洒水降尘；项目区设置一处1</w:t>
            </w:r>
            <w:r>
              <w:rPr>
                <w:rFonts w:hint="eastAsia" w:ascii="Times New Roman" w:hAnsi="Times New Roman" w:eastAsia="华文中宋" w:cs="Times New Roman"/>
                <w:szCs w:val="21"/>
                <w:lang w:val="en-US" w:eastAsia="zh-CN"/>
              </w:rPr>
              <w:t>0</w:t>
            </w:r>
            <w:r>
              <w:rPr>
                <w:rFonts w:hint="default" w:ascii="Times New Roman" w:hAnsi="Times New Roman" w:eastAsia="华文中宋" w:cs="Times New Roman"/>
                <w:szCs w:val="21"/>
                <w:lang w:val="en-US" w:eastAsia="zh-CN"/>
              </w:rPr>
              <w:t>m</w:t>
            </w:r>
            <w:r>
              <w:rPr>
                <w:rFonts w:hint="default" w:ascii="Times New Roman" w:hAnsi="Times New Roman" w:eastAsia="华文中宋" w:cs="Times New Roman"/>
                <w:szCs w:val="21"/>
                <w:vertAlign w:val="superscript"/>
                <w:lang w:val="en-US" w:eastAsia="zh-CN"/>
              </w:rPr>
              <w:t>2</w:t>
            </w:r>
            <w:r>
              <w:rPr>
                <w:rFonts w:hint="default" w:ascii="Times New Roman" w:hAnsi="Times New Roman" w:eastAsia="华文中宋" w:cs="Times New Roman"/>
                <w:szCs w:val="21"/>
                <w:lang w:val="en-US" w:eastAsia="zh-CN"/>
              </w:rPr>
              <w:t>危废暂存间，危险废物委托有危险废物处置资质的单位处置，满足一般管控单元要求。</w:t>
            </w:r>
          </w:p>
        </w:tc>
        <w:tc>
          <w:tcPr>
            <w:tcW w:w="853" w:type="dxa"/>
            <w:tcBorders>
              <w:tl2br w:val="nil"/>
              <w:tr2bl w:val="nil"/>
            </w:tcBorders>
            <w:vAlign w:val="center"/>
          </w:tcPr>
          <w:p w14:paraId="0A64CD6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符合</w:t>
            </w:r>
          </w:p>
        </w:tc>
      </w:tr>
    </w:tbl>
    <w:p w14:paraId="3FE2E3DA">
      <w:pPr>
        <w:snapToGrid w:val="0"/>
        <w:spacing w:before="241" w:beforeLines="50"/>
        <w:ind w:firstLine="949" w:firstLineChars="450"/>
        <w:jc w:val="center"/>
        <w:rPr>
          <w:rFonts w:hint="default" w:ascii="Times New Roman" w:hAnsi="Times New Roman" w:eastAsia="华文中宋" w:cs="Times New Roman"/>
          <w:b/>
          <w:szCs w:val="21"/>
          <w:lang w:val="en-US" w:eastAsia="zh-CN"/>
        </w:rPr>
      </w:pPr>
      <w:r>
        <w:rPr>
          <w:rFonts w:hint="eastAsia" w:ascii="Times New Roman" w:hAnsi="Times New Roman" w:eastAsia="华文中宋" w:cs="Times New Roman"/>
          <w:b/>
          <w:szCs w:val="21"/>
          <w:lang w:val="en-US" w:eastAsia="zh-CN"/>
        </w:rPr>
        <w:t>表1.3-5  与</w:t>
      </w:r>
      <w:r>
        <w:rPr>
          <w:rFonts w:hint="default" w:ascii="Times New Roman" w:hAnsi="Times New Roman" w:eastAsia="华文中宋" w:cs="Times New Roman"/>
          <w:b/>
          <w:szCs w:val="21"/>
          <w:lang w:val="en-US" w:eastAsia="zh-CN"/>
        </w:rPr>
        <w:t>《关于印发</w:t>
      </w:r>
      <w:r>
        <w:rPr>
          <w:rFonts w:hint="eastAsia" w:ascii="Times New Roman" w:hAnsi="Times New Roman" w:eastAsia="华文中宋" w:cs="Times New Roman"/>
          <w:b/>
          <w:szCs w:val="21"/>
          <w:lang w:val="en-US" w:eastAsia="zh-CN"/>
        </w:rPr>
        <w:t>〈</w:t>
      </w:r>
      <w:r>
        <w:rPr>
          <w:rFonts w:hint="default" w:ascii="Times New Roman" w:hAnsi="Times New Roman" w:eastAsia="华文中宋" w:cs="Times New Roman"/>
          <w:b/>
          <w:szCs w:val="21"/>
          <w:lang w:val="en-US" w:eastAsia="zh-CN"/>
        </w:rPr>
        <w:t>新疆维吾尔自治区生态环境分区管控动态更新成果</w:t>
      </w:r>
      <w:r>
        <w:rPr>
          <w:rFonts w:hint="eastAsia" w:ascii="Times New Roman" w:hAnsi="Times New Roman" w:eastAsia="华文中宋" w:cs="Times New Roman"/>
          <w:b/>
          <w:szCs w:val="21"/>
          <w:lang w:val="en-US" w:eastAsia="zh-CN"/>
        </w:rPr>
        <w:t>〉</w:t>
      </w:r>
      <w:r>
        <w:rPr>
          <w:rFonts w:hint="default" w:ascii="Times New Roman" w:hAnsi="Times New Roman" w:eastAsia="华文中宋" w:cs="Times New Roman"/>
          <w:b/>
          <w:szCs w:val="21"/>
          <w:lang w:val="en-US" w:eastAsia="zh-CN"/>
        </w:rPr>
        <w:t>的通知》</w:t>
      </w:r>
      <w:r>
        <w:rPr>
          <w:rFonts w:hint="eastAsia" w:ascii="Times New Roman" w:hAnsi="Times New Roman" w:eastAsia="华文中宋" w:cs="Times New Roman"/>
          <w:b/>
          <w:szCs w:val="21"/>
          <w:lang w:val="en-US" w:eastAsia="zh-CN"/>
        </w:rPr>
        <w:t>符合性分析</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1"/>
        <w:gridCol w:w="765"/>
        <w:gridCol w:w="3563"/>
        <w:gridCol w:w="2617"/>
        <w:gridCol w:w="842"/>
      </w:tblGrid>
      <w:tr w14:paraId="3A1F4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6" w:type="dxa"/>
            <w:gridSpan w:val="2"/>
            <w:vAlign w:val="center"/>
          </w:tcPr>
          <w:p w14:paraId="7278EC3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管控维度</w:t>
            </w:r>
          </w:p>
        </w:tc>
        <w:tc>
          <w:tcPr>
            <w:tcW w:w="3563" w:type="dxa"/>
            <w:vAlign w:val="center"/>
          </w:tcPr>
          <w:p w14:paraId="76BB3DB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管控要求</w:t>
            </w:r>
          </w:p>
        </w:tc>
        <w:tc>
          <w:tcPr>
            <w:tcW w:w="2617" w:type="dxa"/>
            <w:vAlign w:val="center"/>
          </w:tcPr>
          <w:p w14:paraId="4A9B7EA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项目情况</w:t>
            </w:r>
          </w:p>
        </w:tc>
        <w:tc>
          <w:tcPr>
            <w:tcW w:w="842" w:type="dxa"/>
            <w:vAlign w:val="center"/>
          </w:tcPr>
          <w:p w14:paraId="41957BF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相符性</w:t>
            </w:r>
          </w:p>
        </w:tc>
      </w:tr>
      <w:tr w14:paraId="295F9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dxa"/>
            <w:vAlign w:val="center"/>
          </w:tcPr>
          <w:p w14:paraId="0DA5019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A1空间布局约束</w:t>
            </w:r>
          </w:p>
        </w:tc>
        <w:tc>
          <w:tcPr>
            <w:tcW w:w="765" w:type="dxa"/>
            <w:vAlign w:val="center"/>
          </w:tcPr>
          <w:p w14:paraId="0BACA8F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A1.1禁止开发建设的活动</w:t>
            </w:r>
          </w:p>
        </w:tc>
        <w:tc>
          <w:tcPr>
            <w:tcW w:w="3563" w:type="dxa"/>
            <w:vAlign w:val="center"/>
          </w:tcPr>
          <w:p w14:paraId="5F9DBD0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〔A</w:t>
            </w:r>
            <w:r>
              <w:rPr>
                <w:rFonts w:hint="eastAsia" w:ascii="Times New Roman" w:hAnsi="Times New Roman" w:eastAsia="华文中宋" w:cs="Times New Roman"/>
                <w:szCs w:val="21"/>
                <w:lang w:val="en-US" w:eastAsia="zh-CN"/>
              </w:rPr>
              <w:t>1.1</w:t>
            </w:r>
            <w:r>
              <w:rPr>
                <w:rFonts w:hint="default" w:ascii="Times New Roman" w:hAnsi="Times New Roman" w:eastAsia="华文中宋" w:cs="Times New Roman"/>
                <w:szCs w:val="21"/>
                <w:lang w:val="en-US" w:eastAsia="zh-CN"/>
              </w:rPr>
              <w:t>-1〕禁止新建、扩建《产业结构调整指导目录（2024年本）》中淘汰类项目。禁止引入《市场准入负面清单（2022年版）》禁止准入类事项。</w:t>
            </w:r>
          </w:p>
        </w:tc>
        <w:tc>
          <w:tcPr>
            <w:tcW w:w="2617" w:type="dxa"/>
            <w:vAlign w:val="center"/>
          </w:tcPr>
          <w:p w14:paraId="21DAAF0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本项目设计开采规模为12万t/a，属于小型有色金属矿山，根据《产业结构调整指导目录（2024年）》，不属于指导目录中鼓励类、限制类和淘汰类，视为允许类项目，</w:t>
            </w:r>
            <w:r>
              <w:rPr>
                <w:rFonts w:hint="eastAsia" w:ascii="Times New Roman" w:hAnsi="Times New Roman" w:eastAsia="华文中宋" w:cs="Times New Roman"/>
                <w:szCs w:val="21"/>
                <w:lang w:val="en-US" w:eastAsia="zh-CN"/>
              </w:rPr>
              <w:t>本项目不</w:t>
            </w:r>
            <w:r>
              <w:rPr>
                <w:rFonts w:hint="eastAsia" w:ascii="Times New Roman" w:hAnsi="Times New Roman" w:eastAsia="华文中宋" w:cs="Times New Roman"/>
                <w:szCs w:val="21"/>
                <w:highlight w:val="none"/>
                <w:lang w:val="en-US" w:eastAsia="zh-CN"/>
              </w:rPr>
              <w:t>属于《市场准入负面清单（2022年版）》禁止准入类事项，</w:t>
            </w:r>
            <w:r>
              <w:rPr>
                <w:rFonts w:hint="default" w:ascii="Times New Roman" w:hAnsi="Times New Roman" w:eastAsia="华文中宋" w:cs="Times New Roman"/>
                <w:szCs w:val="21"/>
                <w:highlight w:val="none"/>
                <w:lang w:val="en-US" w:eastAsia="zh-CN"/>
              </w:rPr>
              <w:t>符合国家</w:t>
            </w:r>
            <w:r>
              <w:rPr>
                <w:rFonts w:hint="default" w:ascii="Times New Roman" w:hAnsi="Times New Roman" w:eastAsia="华文中宋" w:cs="Times New Roman"/>
                <w:szCs w:val="21"/>
                <w:lang w:val="en-US" w:eastAsia="zh-CN"/>
              </w:rPr>
              <w:t>产业政策要求。</w:t>
            </w:r>
          </w:p>
        </w:tc>
        <w:tc>
          <w:tcPr>
            <w:tcW w:w="842" w:type="dxa"/>
            <w:vAlign w:val="center"/>
          </w:tcPr>
          <w:p w14:paraId="36F3E97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符合</w:t>
            </w:r>
          </w:p>
        </w:tc>
      </w:tr>
      <w:tr w14:paraId="39CD0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dxa"/>
            <w:vAlign w:val="center"/>
          </w:tcPr>
          <w:p w14:paraId="1DE3C9F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A2污染物排放管控</w:t>
            </w:r>
          </w:p>
        </w:tc>
        <w:tc>
          <w:tcPr>
            <w:tcW w:w="765" w:type="dxa"/>
            <w:vAlign w:val="center"/>
          </w:tcPr>
          <w:p w14:paraId="6229C8D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A2.2污染控制措施要求</w:t>
            </w:r>
          </w:p>
        </w:tc>
        <w:tc>
          <w:tcPr>
            <w:tcW w:w="3563" w:type="dxa"/>
            <w:vAlign w:val="center"/>
          </w:tcPr>
          <w:p w14:paraId="3BC8261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〔A</w:t>
            </w:r>
            <w:r>
              <w:rPr>
                <w:rFonts w:hint="eastAsia" w:ascii="Times New Roman" w:hAnsi="Times New Roman" w:eastAsia="华文中宋" w:cs="Times New Roman"/>
                <w:szCs w:val="21"/>
                <w:lang w:val="en-US" w:eastAsia="zh-CN"/>
              </w:rPr>
              <w:t>2.2-6</w:t>
            </w:r>
            <w:r>
              <w:rPr>
                <w:rFonts w:hint="default" w:ascii="Times New Roman" w:hAnsi="Times New Roman" w:eastAsia="华文中宋" w:cs="Times New Roman"/>
                <w:szCs w:val="21"/>
                <w:lang w:val="en-US" w:eastAsia="zh-CN"/>
              </w:rPr>
              <w:t>〕推进地表水与地下水协同防治。以傍河型地下水饮用水水源为重点，防范受污染河段侧渗和垂直补给对地下水污染。加强化学品生产企业、工业聚集区、矿山开采区等污染源的地表、地下</w:t>
            </w:r>
            <w:r>
              <w:rPr>
                <w:rFonts w:hint="eastAsia" w:ascii="Times New Roman" w:hAnsi="Times New Roman" w:eastAsia="华文中宋" w:cs="Times New Roman"/>
                <w:szCs w:val="21"/>
                <w:lang w:val="en-US" w:eastAsia="zh-CN"/>
              </w:rPr>
              <w:t>协同</w:t>
            </w:r>
            <w:r>
              <w:rPr>
                <w:rFonts w:hint="default" w:ascii="Times New Roman" w:hAnsi="Times New Roman" w:eastAsia="华文中宋" w:cs="Times New Roman"/>
                <w:szCs w:val="21"/>
                <w:lang w:val="en-US" w:eastAsia="zh-CN"/>
              </w:rPr>
              <w:t>防治与环境风险管控。加强工业污染防治。推动重点行业、重点企业绿色发展，严格落实水污染物排放标准和排污许可制度。加强农副食品加工、化工、印染、棉浆粕、粘胶纤维、制糖等企业综合治理和清洁化改造。支持企业积极实施节水技术改造，加强工业园区污水集中处理设施运行管理，加快再生水回用设施建设，提升园区水资源循环利用水平。</w:t>
            </w:r>
          </w:p>
        </w:tc>
        <w:tc>
          <w:tcPr>
            <w:tcW w:w="2617" w:type="dxa"/>
            <w:vAlign w:val="center"/>
          </w:tcPr>
          <w:p w14:paraId="4A9023E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项目矿区周边无饮用水源保护区、无常年地表径流，东侧约600m为盼水河，属于季节性河流。项目矿山开采废石属于Ⅰ类固废，项目建设废石堆放场满足Ⅰ类固废贮存要求，基本不会对地下水造成影响。项目在开采过程中矿坑水经收集后全部自然蒸干，生活污水经地埋式一体化污水处理设施处理完成后用于矿区及周边绿化不外排。因此本项目对矿区地下水及周边地表水影响较小。</w:t>
            </w:r>
          </w:p>
        </w:tc>
        <w:tc>
          <w:tcPr>
            <w:tcW w:w="842" w:type="dxa"/>
            <w:vAlign w:val="center"/>
          </w:tcPr>
          <w:p w14:paraId="353C0A5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符合</w:t>
            </w:r>
          </w:p>
        </w:tc>
      </w:tr>
      <w:tr w14:paraId="534C7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dxa"/>
            <w:shd w:val="clear" w:color="auto" w:fill="auto"/>
            <w:vAlign w:val="center"/>
          </w:tcPr>
          <w:p w14:paraId="6F307AB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A4资源利用要求</w:t>
            </w:r>
          </w:p>
        </w:tc>
        <w:tc>
          <w:tcPr>
            <w:tcW w:w="765" w:type="dxa"/>
            <w:shd w:val="clear" w:color="auto" w:fill="auto"/>
            <w:vAlign w:val="center"/>
          </w:tcPr>
          <w:p w14:paraId="333BA9B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A4.5资源综合利用</w:t>
            </w:r>
          </w:p>
        </w:tc>
        <w:tc>
          <w:tcPr>
            <w:tcW w:w="3563" w:type="dxa"/>
            <w:vAlign w:val="center"/>
          </w:tcPr>
          <w:p w14:paraId="4713BCD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A4.5-3〕结合工业领域减污降碳要求，加快探索钢铁、有色、化工、建材等重点行业工业固体废物减量化路径，全面推行清洁生产全面推进绿色矿山、“无废”矿区建设，推广尾矿等大宗工业固体废物环境友好型井下充填回填，减少尾矿库贮存量。推动大宗工业固体废物在提取有价组分、生产建材、筑路、生态修复、土壤治理等领域的规模化利用。</w:t>
            </w:r>
          </w:p>
        </w:tc>
        <w:tc>
          <w:tcPr>
            <w:tcW w:w="2617" w:type="dxa"/>
            <w:vAlign w:val="center"/>
          </w:tcPr>
          <w:p w14:paraId="0CCBC3F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项目在开采过程中产生的固废主要为开采废石，项目废石属于Ⅰ类固废，暂存于矿区废石堆放场内，待矿坑内矿石开采完成后，回填至矿坑中，为矿区后期恢复治理提供便利。</w:t>
            </w:r>
          </w:p>
        </w:tc>
        <w:tc>
          <w:tcPr>
            <w:tcW w:w="842" w:type="dxa"/>
            <w:vAlign w:val="center"/>
          </w:tcPr>
          <w:p w14:paraId="458D3A5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符合</w:t>
            </w:r>
          </w:p>
        </w:tc>
      </w:tr>
    </w:tbl>
    <w:p w14:paraId="1470A762">
      <w:pPr>
        <w:pStyle w:val="24"/>
        <w:snapToGrid w:val="0"/>
        <w:ind w:left="0" w:leftChars="0" w:firstLine="0" w:firstLineChars="0"/>
        <w:jc w:val="left"/>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1.3.3.3</w:t>
      </w:r>
      <w:r>
        <w:rPr>
          <w:rFonts w:hint="default" w:ascii="Times New Roman" w:hAnsi="Times New Roman" w:cs="Times New Roman"/>
          <w:b/>
          <w:bCs/>
          <w:color w:val="auto"/>
          <w:lang w:val="en-US" w:eastAsia="zh-CN"/>
        </w:rPr>
        <w:t>与《和田地区“三线一单”生态环境分区管控方案》符合性分析</w:t>
      </w:r>
    </w:p>
    <w:p w14:paraId="2D9CE90A">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根据《和田地区“三线一单”生态环境分区管控方案》要求，见表1.3-</w:t>
      </w:r>
      <w:r>
        <w:rPr>
          <w:rFonts w:hint="eastAsia" w:ascii="Times New Roman" w:hAnsi="Times New Roman" w:cs="Times New Roman"/>
          <w:color w:val="auto"/>
          <w:lang w:val="en-US" w:eastAsia="zh-CN"/>
        </w:rPr>
        <w:t>6</w:t>
      </w:r>
      <w:r>
        <w:rPr>
          <w:rFonts w:hint="default" w:ascii="Times New Roman" w:hAnsi="Times New Roman" w:cs="Times New Roman"/>
          <w:color w:val="auto"/>
          <w:lang w:val="en-US" w:eastAsia="zh-CN"/>
        </w:rPr>
        <w:t>和</w:t>
      </w:r>
      <w:r>
        <w:rPr>
          <w:rFonts w:hint="eastAsia" w:ascii="Times New Roman" w:hAnsi="Times New Roman" w:cs="Times New Roman"/>
          <w:color w:val="auto"/>
          <w:lang w:val="en-US" w:eastAsia="zh-CN"/>
        </w:rPr>
        <w:t>图1.3-1</w:t>
      </w:r>
      <w:r>
        <w:rPr>
          <w:rFonts w:hint="default" w:ascii="Times New Roman" w:hAnsi="Times New Roman" w:cs="Times New Roman"/>
          <w:color w:val="auto"/>
          <w:lang w:val="en-US" w:eastAsia="zh-CN"/>
        </w:rPr>
        <w:t>。</w:t>
      </w:r>
    </w:p>
    <w:p w14:paraId="694537B4">
      <w:pPr>
        <w:snapToGrid w:val="0"/>
        <w:spacing w:before="241" w:beforeLines="50"/>
        <w:ind w:firstLine="949" w:firstLineChars="45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表1.3-</w:t>
      </w:r>
      <w:r>
        <w:rPr>
          <w:rFonts w:hint="eastAsia" w:ascii="Times New Roman" w:hAnsi="Times New Roman" w:eastAsia="华文中宋" w:cs="Times New Roman"/>
          <w:b/>
          <w:szCs w:val="21"/>
          <w:lang w:val="en-US" w:eastAsia="zh-CN"/>
        </w:rPr>
        <w:t>6</w:t>
      </w:r>
      <w:r>
        <w:rPr>
          <w:rFonts w:hint="default" w:ascii="Times New Roman" w:hAnsi="Times New Roman" w:eastAsia="华文中宋" w:cs="Times New Roman"/>
          <w:b/>
          <w:szCs w:val="21"/>
          <w:lang w:val="en-US" w:eastAsia="zh-CN"/>
        </w:rPr>
        <w:t xml:space="preserve">  《和田地区“三线一单”生态环境分区管控方案》符合性分析</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05"/>
        <w:gridCol w:w="408"/>
        <w:gridCol w:w="3716"/>
        <w:gridCol w:w="2762"/>
        <w:gridCol w:w="706"/>
      </w:tblGrid>
      <w:tr w14:paraId="06C30B9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905" w:type="dxa"/>
            <w:tcBorders>
              <w:tl2br w:val="nil"/>
              <w:tr2bl w:val="nil"/>
            </w:tcBorders>
            <w:vAlign w:val="center"/>
          </w:tcPr>
          <w:p w14:paraId="333838C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环境管控单元名称及编码</w:t>
            </w:r>
          </w:p>
        </w:tc>
        <w:tc>
          <w:tcPr>
            <w:tcW w:w="4124" w:type="dxa"/>
            <w:gridSpan w:val="2"/>
            <w:tcBorders>
              <w:right w:val="single" w:color="auto" w:sz="4" w:space="0"/>
              <w:tl2br w:val="nil"/>
              <w:tr2bl w:val="nil"/>
            </w:tcBorders>
            <w:vAlign w:val="center"/>
          </w:tcPr>
          <w:p w14:paraId="253F5BA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三线一单</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要求</w:t>
            </w:r>
          </w:p>
        </w:tc>
        <w:tc>
          <w:tcPr>
            <w:tcW w:w="2762" w:type="dxa"/>
            <w:tcBorders>
              <w:left w:val="single" w:color="auto" w:sz="4" w:space="0"/>
              <w:tl2br w:val="nil"/>
              <w:tr2bl w:val="nil"/>
            </w:tcBorders>
            <w:vAlign w:val="center"/>
          </w:tcPr>
          <w:p w14:paraId="6E5BCA0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工程具体情况</w:t>
            </w:r>
          </w:p>
        </w:tc>
        <w:tc>
          <w:tcPr>
            <w:tcW w:w="706" w:type="dxa"/>
            <w:tcBorders>
              <w:tl2br w:val="nil"/>
              <w:tr2bl w:val="nil"/>
            </w:tcBorders>
            <w:vAlign w:val="center"/>
          </w:tcPr>
          <w:p w14:paraId="632EE7C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相符性分析</w:t>
            </w:r>
          </w:p>
        </w:tc>
      </w:tr>
      <w:tr w14:paraId="120464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905" w:type="dxa"/>
            <w:vMerge w:val="restart"/>
            <w:tcBorders>
              <w:tl2br w:val="nil"/>
              <w:tr2bl w:val="nil"/>
            </w:tcBorders>
            <w:vAlign w:val="center"/>
          </w:tcPr>
          <w:p w14:paraId="1ACED25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民丰县一般管控单元（ZH65322730001）</w:t>
            </w:r>
          </w:p>
        </w:tc>
        <w:tc>
          <w:tcPr>
            <w:tcW w:w="408" w:type="dxa"/>
            <w:vMerge w:val="restart"/>
            <w:tcBorders>
              <w:right w:val="single" w:color="auto" w:sz="4" w:space="0"/>
              <w:tl2br w:val="nil"/>
              <w:tr2bl w:val="nil"/>
            </w:tcBorders>
            <w:vAlign w:val="center"/>
          </w:tcPr>
          <w:p w14:paraId="2C1BA35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空间布局约束</w:t>
            </w:r>
          </w:p>
        </w:tc>
        <w:tc>
          <w:tcPr>
            <w:tcW w:w="3716" w:type="dxa"/>
            <w:tcBorders>
              <w:left w:val="single" w:color="auto" w:sz="4" w:space="0"/>
              <w:right w:val="single" w:color="auto" w:sz="4" w:space="0"/>
              <w:tl2br w:val="nil"/>
              <w:tr2bl w:val="nil"/>
            </w:tcBorders>
            <w:vAlign w:val="center"/>
          </w:tcPr>
          <w:p w14:paraId="48999BDF">
            <w:pPr>
              <w:spacing w:line="300" w:lineRule="exact"/>
              <w:jc w:val="center"/>
              <w:rPr>
                <w:rFonts w:hint="eastAsia" w:ascii="Times New Roman" w:hAnsi="Times New Roman" w:cs="仿宋" w:eastAsiaTheme="minorEastAsia"/>
                <w:kern w:val="0"/>
                <w:szCs w:val="21"/>
                <w:lang w:val="en-US" w:eastAsia="zh-CN"/>
              </w:rPr>
            </w:pPr>
            <w:r>
              <w:rPr>
                <w:rFonts w:hint="eastAsia" w:ascii="Times New Roman" w:hAnsi="Times New Roman" w:cs="仿宋"/>
                <w:kern w:val="0"/>
                <w:szCs w:val="21"/>
              </w:rPr>
              <w:t>1.执行总体管控要求中关于空间布局约束的准入要求。</w:t>
            </w:r>
            <w:r>
              <w:rPr>
                <w:rFonts w:hint="eastAsia" w:ascii="Times New Roman" w:hAnsi="Times New Roman" w:cs="仿宋"/>
                <w:kern w:val="0"/>
                <w:szCs w:val="21"/>
                <w:lang w:eastAsia="zh-CN"/>
              </w:rPr>
              <w:t>“禁止新建、扩建《产业结构调整指导目录》（20</w:t>
            </w:r>
            <w:r>
              <w:rPr>
                <w:rFonts w:hint="eastAsia" w:ascii="Times New Roman" w:hAnsi="Times New Roman" w:cs="仿宋"/>
                <w:kern w:val="0"/>
                <w:szCs w:val="21"/>
                <w:lang w:val="en-US" w:eastAsia="zh-CN"/>
              </w:rPr>
              <w:t>24</w:t>
            </w:r>
            <w:r>
              <w:rPr>
                <w:rFonts w:hint="eastAsia" w:ascii="Times New Roman" w:hAnsi="Times New Roman" w:cs="仿宋"/>
                <w:kern w:val="0"/>
                <w:szCs w:val="21"/>
                <w:lang w:eastAsia="zh-CN"/>
              </w:rPr>
              <w:t>年本）中淘汰项目。禁止引入《市场准入负面清单（2022年版）》禁止准入类事项。”</w:t>
            </w:r>
          </w:p>
        </w:tc>
        <w:tc>
          <w:tcPr>
            <w:tcW w:w="2762" w:type="dxa"/>
            <w:tcBorders>
              <w:left w:val="single" w:color="auto" w:sz="4" w:space="0"/>
              <w:tl2br w:val="nil"/>
              <w:tr2bl w:val="nil"/>
            </w:tcBorders>
            <w:vAlign w:val="center"/>
          </w:tcPr>
          <w:p w14:paraId="4783DB51">
            <w:pPr>
              <w:spacing w:line="300" w:lineRule="exact"/>
              <w:jc w:val="center"/>
              <w:rPr>
                <w:rFonts w:hint="default" w:ascii="Times New Roman" w:hAnsi="Times New Roman" w:cs="仿宋" w:eastAsiaTheme="minorEastAsia"/>
                <w:kern w:val="0"/>
                <w:szCs w:val="21"/>
                <w:lang w:val="en-US" w:eastAsia="zh-CN"/>
              </w:rPr>
            </w:pPr>
            <w:r>
              <w:rPr>
                <w:rFonts w:hint="eastAsia" w:ascii="Times New Roman" w:hAnsi="Times New Roman" w:cs="仿宋"/>
                <w:kern w:val="0"/>
                <w:szCs w:val="21"/>
                <w:lang w:val="en-US" w:eastAsia="zh-CN"/>
              </w:rPr>
              <w:t>根据</w:t>
            </w:r>
            <w:r>
              <w:rPr>
                <w:rFonts w:hint="eastAsia" w:ascii="Times New Roman" w:hAnsi="Times New Roman" w:cs="仿宋"/>
                <w:kern w:val="0"/>
                <w:szCs w:val="21"/>
              </w:rPr>
              <w:t>《产业结构调整指导目录（20</w:t>
            </w:r>
            <w:r>
              <w:rPr>
                <w:rFonts w:hint="eastAsia" w:ascii="Times New Roman" w:hAnsi="Times New Roman" w:cs="仿宋"/>
                <w:kern w:val="0"/>
                <w:szCs w:val="21"/>
                <w:lang w:val="en-US" w:eastAsia="zh-CN"/>
              </w:rPr>
              <w:t>24</w:t>
            </w:r>
            <w:r>
              <w:rPr>
                <w:rFonts w:hint="eastAsia" w:ascii="Times New Roman" w:hAnsi="Times New Roman" w:cs="仿宋"/>
                <w:kern w:val="0"/>
                <w:szCs w:val="21"/>
              </w:rPr>
              <w:t>年本）》</w:t>
            </w:r>
            <w:r>
              <w:rPr>
                <w:rFonts w:hint="eastAsia" w:ascii="Times New Roman" w:hAnsi="Times New Roman" w:cs="仿宋"/>
                <w:kern w:val="0"/>
                <w:szCs w:val="21"/>
                <w:lang w:eastAsia="zh-CN"/>
              </w:rPr>
              <w:t>，</w:t>
            </w:r>
            <w:r>
              <w:rPr>
                <w:rFonts w:hint="eastAsia" w:ascii="Times New Roman" w:hAnsi="Times New Roman" w:cs="仿宋"/>
                <w:kern w:val="0"/>
                <w:szCs w:val="21"/>
                <w:lang w:val="en-US" w:eastAsia="zh-CN"/>
              </w:rPr>
              <w:t>本项目不属于其中</w:t>
            </w:r>
            <w:r>
              <w:rPr>
                <w:rFonts w:hint="default" w:ascii="Times New Roman" w:hAnsi="Times New Roman" w:cs="仿宋"/>
                <w:kern w:val="0"/>
                <w:szCs w:val="21"/>
                <w:lang w:val="en-US" w:eastAsia="zh-CN"/>
              </w:rPr>
              <w:t>鼓励类、限制类和淘汰类，视为允许类项目，符合国家产业政策要求。</w:t>
            </w:r>
            <w:r>
              <w:rPr>
                <w:rFonts w:hint="eastAsia" w:ascii="Times New Roman" w:hAnsi="Times New Roman" w:cs="仿宋"/>
                <w:kern w:val="0"/>
                <w:szCs w:val="21"/>
                <w:lang w:val="en-US" w:eastAsia="zh-CN"/>
              </w:rPr>
              <w:t>本项目不属于</w:t>
            </w:r>
            <w:r>
              <w:rPr>
                <w:rFonts w:hint="eastAsia" w:ascii="Times New Roman" w:hAnsi="Times New Roman" w:cs="仿宋"/>
                <w:kern w:val="0"/>
                <w:szCs w:val="21"/>
              </w:rPr>
              <w:t>《市场准入负面清单（2022年版）》</w:t>
            </w:r>
            <w:r>
              <w:rPr>
                <w:rFonts w:hint="eastAsia" w:ascii="Times New Roman" w:hAnsi="Times New Roman" w:cs="仿宋"/>
                <w:kern w:val="0"/>
                <w:szCs w:val="21"/>
                <w:lang w:val="en-US" w:eastAsia="zh-CN"/>
              </w:rPr>
              <w:t>中禁止准入类事项。</w:t>
            </w:r>
          </w:p>
        </w:tc>
        <w:tc>
          <w:tcPr>
            <w:tcW w:w="706" w:type="dxa"/>
            <w:tcBorders>
              <w:tl2br w:val="nil"/>
              <w:tr2bl w:val="nil"/>
            </w:tcBorders>
            <w:vAlign w:val="center"/>
          </w:tcPr>
          <w:p w14:paraId="778A52D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符合</w:t>
            </w:r>
          </w:p>
        </w:tc>
      </w:tr>
      <w:tr w14:paraId="2A5C8AE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905" w:type="dxa"/>
            <w:vMerge w:val="continue"/>
            <w:tcBorders>
              <w:tl2br w:val="nil"/>
              <w:tr2bl w:val="nil"/>
            </w:tcBorders>
            <w:vAlign w:val="center"/>
          </w:tcPr>
          <w:p w14:paraId="65F3AB78">
            <w:pPr>
              <w:spacing w:line="300" w:lineRule="exact"/>
              <w:jc w:val="center"/>
              <w:rPr>
                <w:rFonts w:hint="default" w:ascii="Times New Roman" w:hAnsi="Times New Roman" w:eastAsia="华文中宋" w:cs="Times New Roman"/>
                <w:szCs w:val="21"/>
                <w:lang w:val="en-US" w:eastAsia="zh-CN"/>
              </w:rPr>
            </w:pPr>
          </w:p>
        </w:tc>
        <w:tc>
          <w:tcPr>
            <w:tcW w:w="408" w:type="dxa"/>
            <w:vMerge w:val="continue"/>
            <w:tcBorders>
              <w:right w:val="single" w:color="auto" w:sz="4" w:space="0"/>
              <w:tl2br w:val="nil"/>
              <w:tr2bl w:val="nil"/>
            </w:tcBorders>
            <w:vAlign w:val="center"/>
          </w:tcPr>
          <w:p w14:paraId="21C91ED8">
            <w:pPr>
              <w:spacing w:line="300" w:lineRule="exact"/>
              <w:jc w:val="center"/>
              <w:rPr>
                <w:rFonts w:hint="default" w:ascii="Times New Roman" w:hAnsi="Times New Roman" w:eastAsia="华文中宋" w:cs="Times New Roman"/>
                <w:szCs w:val="21"/>
                <w:lang w:val="en-US" w:eastAsia="zh-CN"/>
              </w:rPr>
            </w:pPr>
          </w:p>
        </w:tc>
        <w:tc>
          <w:tcPr>
            <w:tcW w:w="3716" w:type="dxa"/>
            <w:tcBorders>
              <w:left w:val="single" w:color="auto" w:sz="4" w:space="0"/>
              <w:right w:val="single" w:color="auto" w:sz="4" w:space="0"/>
              <w:tl2br w:val="nil"/>
              <w:tr2bl w:val="nil"/>
            </w:tcBorders>
            <w:vAlign w:val="center"/>
          </w:tcPr>
          <w:p w14:paraId="52A0A541">
            <w:pPr>
              <w:spacing w:line="300" w:lineRule="exact"/>
              <w:jc w:val="center"/>
              <w:rPr>
                <w:rFonts w:hint="eastAsia" w:ascii="Times New Roman" w:hAnsi="Times New Roman" w:cs="仿宋" w:eastAsiaTheme="minorEastAsia"/>
                <w:kern w:val="0"/>
                <w:szCs w:val="21"/>
                <w:lang w:eastAsia="zh-CN"/>
              </w:rPr>
            </w:pPr>
            <w:r>
              <w:rPr>
                <w:rFonts w:hint="eastAsia" w:ascii="Times New Roman" w:hAnsi="Times New Roman" w:cs="仿宋"/>
                <w:kern w:val="0"/>
                <w:szCs w:val="21"/>
              </w:rPr>
              <w:t>2.执行一般管控单元中关于空间布局约束的准入要求。</w:t>
            </w:r>
            <w:r>
              <w:rPr>
                <w:rFonts w:hint="eastAsia" w:ascii="Times New Roman" w:hAnsi="Times New Roman" w:cs="仿宋"/>
                <w:kern w:val="0"/>
                <w:szCs w:val="21"/>
                <w:lang w:eastAsia="zh-CN"/>
              </w:rPr>
              <w:t>“</w:t>
            </w:r>
            <w:r>
              <w:rPr>
                <w:rFonts w:hint="eastAsia" w:ascii="Times New Roman" w:hAnsi="Times New Roman" w:cs="仿宋"/>
                <w:kern w:val="0"/>
                <w:szCs w:val="21"/>
              </w:rPr>
              <w:t>禁止任何单位和个人在基本农田保护区内建窑、建房、建坟、挖砂、采石、采矿、取土、堆放固体废弃物或者进行其他破坏基本农田的活动；禁止任何单位和个人占用基本农田发展林果业和挖塘养鱼；禁止任何单位和个人破坏永久基本农田耕作层；禁止以设施农用地为名违规占用永久基本农田建设休闲旅游、仓储厂房等设施；对利用永久基本农田进行农业结构调整的不得对耕作层造成破坏。永久基本农田不得种植杨树、桉树、构树等林木，不得种植草坪、草皮等用于绿化装饰的植物，不得种植其他破坏耕作层的植物</w:t>
            </w:r>
            <w:r>
              <w:rPr>
                <w:rFonts w:hint="eastAsia" w:ascii="Times New Roman" w:hAnsi="Times New Roman" w:cs="仿宋"/>
                <w:kern w:val="0"/>
                <w:szCs w:val="21"/>
                <w:lang w:eastAsia="zh-CN"/>
              </w:rPr>
              <w:t>。”</w:t>
            </w:r>
          </w:p>
        </w:tc>
        <w:tc>
          <w:tcPr>
            <w:tcW w:w="2762" w:type="dxa"/>
            <w:tcBorders>
              <w:left w:val="single" w:color="auto" w:sz="4" w:space="0"/>
              <w:tl2br w:val="nil"/>
              <w:tr2bl w:val="nil"/>
            </w:tcBorders>
            <w:vAlign w:val="center"/>
          </w:tcPr>
          <w:p w14:paraId="74E74047">
            <w:pPr>
              <w:spacing w:line="300" w:lineRule="exact"/>
              <w:jc w:val="center"/>
              <w:rPr>
                <w:rFonts w:hint="default" w:ascii="Times New Roman" w:hAnsi="Times New Roman" w:cs="仿宋"/>
                <w:kern w:val="0"/>
                <w:szCs w:val="21"/>
                <w:lang w:val="en-US" w:eastAsia="zh-CN"/>
              </w:rPr>
            </w:pPr>
            <w:r>
              <w:rPr>
                <w:rFonts w:hint="eastAsia" w:ascii="Times New Roman" w:hAnsi="Times New Roman" w:cs="仿宋"/>
                <w:kern w:val="0"/>
                <w:szCs w:val="21"/>
                <w:lang w:val="en-US" w:eastAsia="zh-CN"/>
              </w:rPr>
              <w:t>本项目属于有色金属矿开采项目，项目区占地属于天然牧草地，不涉及占用基本农田，符合空间布局约束要求。</w:t>
            </w:r>
          </w:p>
        </w:tc>
        <w:tc>
          <w:tcPr>
            <w:tcW w:w="706" w:type="dxa"/>
            <w:tcBorders>
              <w:tl2br w:val="nil"/>
              <w:tr2bl w:val="nil"/>
            </w:tcBorders>
            <w:vAlign w:val="center"/>
          </w:tcPr>
          <w:p w14:paraId="25035ED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符合</w:t>
            </w:r>
          </w:p>
        </w:tc>
      </w:tr>
      <w:tr w14:paraId="3D315CC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905" w:type="dxa"/>
            <w:vMerge w:val="continue"/>
            <w:tcBorders>
              <w:tl2br w:val="nil"/>
              <w:tr2bl w:val="nil"/>
            </w:tcBorders>
            <w:vAlign w:val="center"/>
          </w:tcPr>
          <w:p w14:paraId="0E50814A">
            <w:pPr>
              <w:spacing w:line="300" w:lineRule="exact"/>
              <w:jc w:val="center"/>
              <w:rPr>
                <w:rFonts w:hint="default" w:ascii="Times New Roman" w:hAnsi="Times New Roman" w:eastAsia="华文中宋" w:cs="Times New Roman"/>
                <w:szCs w:val="21"/>
                <w:lang w:val="en-US" w:eastAsia="zh-CN"/>
              </w:rPr>
            </w:pPr>
          </w:p>
        </w:tc>
        <w:tc>
          <w:tcPr>
            <w:tcW w:w="408" w:type="dxa"/>
            <w:vMerge w:val="continue"/>
            <w:tcBorders>
              <w:right w:val="single" w:color="auto" w:sz="4" w:space="0"/>
              <w:tl2br w:val="nil"/>
              <w:tr2bl w:val="nil"/>
            </w:tcBorders>
            <w:vAlign w:val="center"/>
          </w:tcPr>
          <w:p w14:paraId="3A167AC5">
            <w:pPr>
              <w:spacing w:line="300" w:lineRule="exact"/>
              <w:jc w:val="center"/>
              <w:rPr>
                <w:rFonts w:hint="default" w:ascii="Times New Roman" w:hAnsi="Times New Roman" w:eastAsia="华文中宋" w:cs="Times New Roman"/>
                <w:szCs w:val="21"/>
                <w:lang w:val="en-US" w:eastAsia="zh-CN"/>
              </w:rPr>
            </w:pPr>
          </w:p>
        </w:tc>
        <w:tc>
          <w:tcPr>
            <w:tcW w:w="3716" w:type="dxa"/>
            <w:tcBorders>
              <w:left w:val="single" w:color="auto" w:sz="4" w:space="0"/>
              <w:right w:val="single" w:color="auto" w:sz="4" w:space="0"/>
              <w:tl2br w:val="nil"/>
              <w:tr2bl w:val="nil"/>
            </w:tcBorders>
            <w:vAlign w:val="center"/>
          </w:tcPr>
          <w:p w14:paraId="114BEA54">
            <w:pPr>
              <w:spacing w:line="300" w:lineRule="exact"/>
              <w:jc w:val="center"/>
              <w:rPr>
                <w:rFonts w:hint="eastAsia" w:ascii="Times New Roman" w:hAnsi="Times New Roman" w:cs="仿宋" w:eastAsiaTheme="minorEastAsia"/>
                <w:kern w:val="0"/>
                <w:szCs w:val="21"/>
                <w:lang w:val="en-US" w:eastAsia="zh-CN"/>
              </w:rPr>
            </w:pPr>
            <w:r>
              <w:rPr>
                <w:rFonts w:hint="eastAsia" w:ascii="Times New Roman" w:hAnsi="Times New Roman" w:cs="仿宋"/>
                <w:kern w:val="0"/>
                <w:szCs w:val="21"/>
              </w:rPr>
              <w:t>3.执行重点管控单元空间布局约束总体管控要求、大气环境受体敏感重点管控区的准入要求。</w:t>
            </w:r>
            <w:r>
              <w:rPr>
                <w:rFonts w:hint="eastAsia" w:ascii="Times New Roman" w:hAnsi="Times New Roman" w:cs="仿宋"/>
                <w:kern w:val="0"/>
                <w:szCs w:val="21"/>
                <w:lang w:eastAsia="zh-CN"/>
              </w:rPr>
              <w:t>“</w:t>
            </w:r>
            <w:r>
              <w:rPr>
                <w:rFonts w:hint="eastAsia" w:ascii="Times New Roman" w:hAnsi="Times New Roman" w:cs="仿宋"/>
                <w:kern w:val="0"/>
                <w:szCs w:val="21"/>
              </w:rPr>
              <w:t>严禁审批向河流、湖泊排放汞、铜、六价铬、砷、铅等重金属或持久性有机污染物的项目，从严控制向湖泊排放氮、磷污染物的项目。</w:t>
            </w:r>
            <w:r>
              <w:rPr>
                <w:rFonts w:hint="eastAsia" w:ascii="Times New Roman" w:hAnsi="Times New Roman" w:cs="仿宋"/>
                <w:kern w:val="0"/>
                <w:szCs w:val="21"/>
                <w:lang w:eastAsia="zh-CN"/>
              </w:rPr>
              <w:t>”</w:t>
            </w:r>
          </w:p>
        </w:tc>
        <w:tc>
          <w:tcPr>
            <w:tcW w:w="2762" w:type="dxa"/>
            <w:tcBorders>
              <w:left w:val="single" w:color="auto" w:sz="4" w:space="0"/>
              <w:tl2br w:val="nil"/>
              <w:tr2bl w:val="nil"/>
            </w:tcBorders>
            <w:vAlign w:val="center"/>
          </w:tcPr>
          <w:p w14:paraId="228CD58A">
            <w:pPr>
              <w:spacing w:line="300" w:lineRule="exact"/>
              <w:jc w:val="center"/>
              <w:rPr>
                <w:rFonts w:hint="default" w:ascii="Times New Roman" w:hAnsi="Times New Roman" w:cs="仿宋"/>
                <w:kern w:val="0"/>
                <w:szCs w:val="21"/>
                <w:lang w:val="en-US" w:eastAsia="zh-CN"/>
              </w:rPr>
            </w:pPr>
            <w:r>
              <w:rPr>
                <w:rFonts w:hint="eastAsia" w:ascii="Times New Roman" w:hAnsi="Times New Roman" w:cs="仿宋"/>
                <w:kern w:val="0"/>
                <w:szCs w:val="21"/>
                <w:lang w:val="en-US" w:eastAsia="zh-CN"/>
              </w:rPr>
              <w:t>本项目属于铅锑矿开采，涉及重金属铅，但本项目正常生产过程中不产生生产废水，不向周边河流、湖泊等排放污染物。项目生产用水全部用于矿水洒水降尘，不外排。</w:t>
            </w:r>
          </w:p>
        </w:tc>
        <w:tc>
          <w:tcPr>
            <w:tcW w:w="706" w:type="dxa"/>
            <w:tcBorders>
              <w:tl2br w:val="nil"/>
              <w:tr2bl w:val="nil"/>
            </w:tcBorders>
            <w:vAlign w:val="center"/>
          </w:tcPr>
          <w:p w14:paraId="4DA4B4D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符合</w:t>
            </w:r>
          </w:p>
        </w:tc>
      </w:tr>
      <w:tr w14:paraId="22DF79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905" w:type="dxa"/>
            <w:vMerge w:val="continue"/>
            <w:tcBorders>
              <w:tl2br w:val="nil"/>
              <w:tr2bl w:val="nil"/>
            </w:tcBorders>
            <w:vAlign w:val="center"/>
          </w:tcPr>
          <w:p w14:paraId="6F155C8B">
            <w:pPr>
              <w:spacing w:line="300" w:lineRule="exact"/>
              <w:jc w:val="center"/>
              <w:rPr>
                <w:rFonts w:hint="default" w:ascii="Times New Roman" w:hAnsi="Times New Roman" w:eastAsia="华文中宋" w:cs="Times New Roman"/>
                <w:szCs w:val="21"/>
                <w:lang w:val="en-US" w:eastAsia="zh-CN"/>
              </w:rPr>
            </w:pPr>
          </w:p>
        </w:tc>
        <w:tc>
          <w:tcPr>
            <w:tcW w:w="408" w:type="dxa"/>
            <w:tcBorders>
              <w:right w:val="single" w:color="auto" w:sz="4" w:space="0"/>
              <w:tl2br w:val="nil"/>
              <w:tr2bl w:val="nil"/>
            </w:tcBorders>
            <w:vAlign w:val="center"/>
          </w:tcPr>
          <w:p w14:paraId="54CE9E5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污染物排放管控</w:t>
            </w:r>
          </w:p>
        </w:tc>
        <w:tc>
          <w:tcPr>
            <w:tcW w:w="3716" w:type="dxa"/>
            <w:tcBorders>
              <w:left w:val="single" w:color="auto" w:sz="4" w:space="0"/>
              <w:right w:val="single" w:color="auto" w:sz="4" w:space="0"/>
              <w:tl2br w:val="nil"/>
              <w:tr2bl w:val="nil"/>
            </w:tcBorders>
            <w:vAlign w:val="center"/>
          </w:tcPr>
          <w:p w14:paraId="452F57F0">
            <w:pPr>
              <w:spacing w:line="300" w:lineRule="exact"/>
              <w:jc w:val="center"/>
              <w:rPr>
                <w:rFonts w:hint="default" w:ascii="Times New Roman" w:hAnsi="Times New Roman" w:cs="仿宋"/>
                <w:kern w:val="0"/>
                <w:szCs w:val="21"/>
                <w:lang w:val="en-US" w:eastAsia="zh-CN"/>
              </w:rPr>
            </w:pPr>
            <w:r>
              <w:rPr>
                <w:rFonts w:hint="eastAsia" w:ascii="Times New Roman" w:hAnsi="Times New Roman" w:cs="仿宋"/>
                <w:kern w:val="0"/>
                <w:szCs w:val="21"/>
              </w:rPr>
              <w:t>1.执行总体管控要求关于污染物排放管控的准入要求。</w:t>
            </w:r>
            <w:r>
              <w:rPr>
                <w:rFonts w:hint="eastAsia" w:ascii="Times New Roman" w:hAnsi="Times New Roman" w:cs="仿宋"/>
                <w:kern w:val="0"/>
                <w:szCs w:val="21"/>
                <w:lang w:eastAsia="zh-CN"/>
              </w:rPr>
              <w:t>“</w:t>
            </w:r>
            <w:r>
              <w:rPr>
                <w:rFonts w:hint="eastAsia" w:ascii="Times New Roman" w:hAnsi="Times New Roman" w:cs="仿宋"/>
                <w:kern w:val="0"/>
                <w:szCs w:val="21"/>
              </w:rPr>
              <w:t>新、改、扩建重点行业建设项目应符合“三线一单”、产业政策、区域环评、规划环评和行业环境准入管控要求，应遵循重点重金属污染物排放“等量替代”原则。</w:t>
            </w:r>
            <w:r>
              <w:rPr>
                <w:rFonts w:hint="eastAsia" w:ascii="Times New Roman" w:hAnsi="Times New Roman" w:cs="仿宋"/>
                <w:kern w:val="0"/>
                <w:szCs w:val="21"/>
                <w:lang w:eastAsia="zh-CN"/>
              </w:rPr>
              <w:t>”</w:t>
            </w:r>
          </w:p>
        </w:tc>
        <w:tc>
          <w:tcPr>
            <w:tcW w:w="2762" w:type="dxa"/>
            <w:tcBorders>
              <w:left w:val="single" w:color="auto" w:sz="4" w:space="0"/>
              <w:tl2br w:val="nil"/>
              <w:tr2bl w:val="nil"/>
            </w:tcBorders>
            <w:vAlign w:val="center"/>
          </w:tcPr>
          <w:p w14:paraId="0610E58C">
            <w:pPr>
              <w:spacing w:line="300" w:lineRule="exact"/>
              <w:jc w:val="center"/>
              <w:rPr>
                <w:rFonts w:hint="default" w:ascii="Times New Roman" w:hAnsi="Times New Roman" w:cs="仿宋"/>
                <w:kern w:val="0"/>
                <w:szCs w:val="21"/>
                <w:lang w:val="en-US" w:eastAsia="zh-CN"/>
              </w:rPr>
            </w:pPr>
            <w:r>
              <w:rPr>
                <w:rFonts w:hint="eastAsia" w:ascii="Times New Roman" w:hAnsi="Times New Roman" w:cs="仿宋"/>
                <w:kern w:val="0"/>
                <w:szCs w:val="21"/>
                <w:lang w:val="en-US" w:eastAsia="zh-CN"/>
              </w:rPr>
              <w:t>本项目</w:t>
            </w:r>
            <w:r>
              <w:rPr>
                <w:rFonts w:hint="eastAsia" w:cs="仿宋"/>
                <w:kern w:val="0"/>
                <w:szCs w:val="21"/>
                <w:lang w:val="en-US" w:eastAsia="zh-CN"/>
              </w:rPr>
              <w:t>为新建项目，符合“三线一单”、产业政策、区域环评、规划环评和准入管控要求，</w:t>
            </w:r>
            <w:r>
              <w:rPr>
                <w:rFonts w:hint="eastAsia" w:ascii="Times New Roman" w:hAnsi="Times New Roman" w:cs="仿宋"/>
                <w:kern w:val="0"/>
                <w:szCs w:val="21"/>
                <w:lang w:val="en-US" w:eastAsia="zh-CN"/>
              </w:rPr>
              <w:t>在开采过程中涉及排放无组织大气重金属污染物铅，本项目遵循重点重金属污染物排放“等量替代”原则。</w:t>
            </w:r>
            <w:r>
              <w:rPr>
                <w:rFonts w:hint="eastAsia" w:cs="仿宋"/>
                <w:kern w:val="0"/>
                <w:szCs w:val="21"/>
                <w:lang w:val="en-US" w:eastAsia="zh-CN"/>
              </w:rPr>
              <w:t>已在报告中说明总量控制要求</w:t>
            </w:r>
            <w:r>
              <w:rPr>
                <w:rFonts w:hint="eastAsia" w:ascii="Times New Roman" w:hAnsi="Times New Roman" w:cs="仿宋"/>
                <w:kern w:val="0"/>
                <w:szCs w:val="21"/>
                <w:lang w:val="en-US" w:eastAsia="zh-CN"/>
              </w:rPr>
              <w:t>。</w:t>
            </w:r>
          </w:p>
        </w:tc>
        <w:tc>
          <w:tcPr>
            <w:tcW w:w="706" w:type="dxa"/>
            <w:tcBorders>
              <w:tl2br w:val="nil"/>
              <w:tr2bl w:val="nil"/>
            </w:tcBorders>
            <w:vAlign w:val="center"/>
          </w:tcPr>
          <w:p w14:paraId="13380D9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符合</w:t>
            </w:r>
          </w:p>
        </w:tc>
      </w:tr>
      <w:tr w14:paraId="510B6D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905" w:type="dxa"/>
            <w:vMerge w:val="continue"/>
            <w:tcBorders>
              <w:tl2br w:val="nil"/>
              <w:tr2bl w:val="nil"/>
            </w:tcBorders>
            <w:vAlign w:val="center"/>
          </w:tcPr>
          <w:p w14:paraId="04F3808B">
            <w:pPr>
              <w:spacing w:line="300" w:lineRule="exact"/>
              <w:jc w:val="center"/>
              <w:rPr>
                <w:rFonts w:hint="default" w:ascii="Times New Roman" w:hAnsi="Times New Roman" w:eastAsia="华文中宋" w:cs="Times New Roman"/>
                <w:szCs w:val="21"/>
                <w:lang w:val="en-US" w:eastAsia="zh-CN"/>
              </w:rPr>
            </w:pPr>
          </w:p>
        </w:tc>
        <w:tc>
          <w:tcPr>
            <w:tcW w:w="408" w:type="dxa"/>
            <w:tcBorders>
              <w:right w:val="single" w:color="auto" w:sz="4" w:space="0"/>
              <w:tl2br w:val="nil"/>
              <w:tr2bl w:val="nil"/>
            </w:tcBorders>
            <w:vAlign w:val="center"/>
          </w:tcPr>
          <w:p w14:paraId="56C1350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环</w:t>
            </w:r>
            <w:r>
              <w:rPr>
                <w:rFonts w:hint="eastAsia" w:ascii="Times New Roman" w:hAnsi="Times New Roman" w:eastAsia="华文中宋" w:cs="Times New Roman"/>
                <w:szCs w:val="21"/>
                <w:lang w:val="en-US" w:eastAsia="zh-CN"/>
              </w:rPr>
              <w:t>境</w:t>
            </w:r>
            <w:r>
              <w:rPr>
                <w:rFonts w:hint="default" w:ascii="Times New Roman" w:hAnsi="Times New Roman" w:eastAsia="华文中宋" w:cs="Times New Roman"/>
                <w:szCs w:val="21"/>
                <w:lang w:val="en-US" w:eastAsia="zh-CN"/>
              </w:rPr>
              <w:t>风险防控</w:t>
            </w:r>
          </w:p>
        </w:tc>
        <w:tc>
          <w:tcPr>
            <w:tcW w:w="3716" w:type="dxa"/>
            <w:tcBorders>
              <w:left w:val="single" w:color="auto" w:sz="4" w:space="0"/>
              <w:right w:val="single" w:color="auto" w:sz="4" w:space="0"/>
              <w:tl2br w:val="nil"/>
              <w:tr2bl w:val="nil"/>
            </w:tcBorders>
            <w:vAlign w:val="center"/>
          </w:tcPr>
          <w:p w14:paraId="7E09D662">
            <w:pPr>
              <w:spacing w:line="300" w:lineRule="exact"/>
              <w:jc w:val="center"/>
              <w:rPr>
                <w:rFonts w:hint="eastAsia" w:ascii="Times New Roman" w:hAnsi="Times New Roman" w:cs="仿宋" w:eastAsiaTheme="minorEastAsia"/>
                <w:kern w:val="0"/>
                <w:szCs w:val="21"/>
                <w:lang w:val="en-US" w:eastAsia="zh-CN"/>
              </w:rPr>
            </w:pPr>
            <w:r>
              <w:rPr>
                <w:rFonts w:hint="eastAsia" w:ascii="Times New Roman" w:hAnsi="Times New Roman" w:cs="仿宋"/>
                <w:kern w:val="0"/>
                <w:szCs w:val="21"/>
              </w:rPr>
              <w:t>1.执行总体管控要求关于环境风险防控的准入要求</w:t>
            </w:r>
            <w:r>
              <w:rPr>
                <w:rFonts w:hint="eastAsia" w:ascii="Times New Roman" w:hAnsi="Times New Roman" w:cs="仿宋"/>
                <w:kern w:val="0"/>
                <w:szCs w:val="21"/>
                <w:lang w:eastAsia="zh-CN"/>
              </w:rPr>
              <w:t>“对使用和排放重金属、持久性有机污染物、危险废物和危险化学品的工业企业，实行分类管理和全过程监控”</w:t>
            </w:r>
          </w:p>
        </w:tc>
        <w:tc>
          <w:tcPr>
            <w:tcW w:w="2762" w:type="dxa"/>
            <w:tcBorders>
              <w:left w:val="single" w:color="auto" w:sz="4" w:space="0"/>
              <w:tl2br w:val="nil"/>
              <w:tr2bl w:val="nil"/>
            </w:tcBorders>
            <w:vAlign w:val="center"/>
          </w:tcPr>
          <w:p w14:paraId="56EAD0A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本项目在开采过程中会排放大气重金属污染物铅，本报告要求项目运行后自行开展地下水、大气、土壤自行监测并依法公开，增强环境风险管控。</w:t>
            </w:r>
          </w:p>
        </w:tc>
        <w:tc>
          <w:tcPr>
            <w:tcW w:w="706" w:type="dxa"/>
            <w:tcBorders>
              <w:tl2br w:val="nil"/>
              <w:tr2bl w:val="nil"/>
            </w:tcBorders>
            <w:vAlign w:val="center"/>
          </w:tcPr>
          <w:p w14:paraId="75D0B85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符合</w:t>
            </w:r>
          </w:p>
        </w:tc>
      </w:tr>
      <w:tr w14:paraId="23F911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905" w:type="dxa"/>
            <w:vMerge w:val="continue"/>
            <w:tcBorders>
              <w:tl2br w:val="nil"/>
              <w:tr2bl w:val="nil"/>
            </w:tcBorders>
            <w:vAlign w:val="center"/>
          </w:tcPr>
          <w:p w14:paraId="6566D0EE">
            <w:pPr>
              <w:spacing w:line="300" w:lineRule="exact"/>
              <w:jc w:val="center"/>
              <w:rPr>
                <w:rFonts w:hint="default" w:ascii="Times New Roman" w:hAnsi="Times New Roman" w:eastAsia="华文中宋" w:cs="Times New Roman"/>
                <w:szCs w:val="21"/>
                <w:lang w:val="en-US" w:eastAsia="zh-CN"/>
              </w:rPr>
            </w:pPr>
          </w:p>
        </w:tc>
        <w:tc>
          <w:tcPr>
            <w:tcW w:w="408" w:type="dxa"/>
            <w:vMerge w:val="restart"/>
            <w:tcBorders>
              <w:right w:val="single" w:color="auto" w:sz="4" w:space="0"/>
              <w:tl2br w:val="nil"/>
              <w:tr2bl w:val="nil"/>
            </w:tcBorders>
            <w:vAlign w:val="center"/>
          </w:tcPr>
          <w:p w14:paraId="7B2B33B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资源利用效率</w:t>
            </w:r>
          </w:p>
        </w:tc>
        <w:tc>
          <w:tcPr>
            <w:tcW w:w="3716" w:type="dxa"/>
            <w:tcBorders>
              <w:left w:val="single" w:color="auto" w:sz="4" w:space="0"/>
              <w:right w:val="single" w:color="auto" w:sz="4" w:space="0"/>
              <w:tl2br w:val="nil"/>
              <w:tr2bl w:val="nil"/>
            </w:tcBorders>
            <w:vAlign w:val="center"/>
          </w:tcPr>
          <w:p w14:paraId="4833504D">
            <w:pPr>
              <w:spacing w:line="300" w:lineRule="exact"/>
              <w:jc w:val="center"/>
              <w:rPr>
                <w:rFonts w:hint="eastAsia" w:ascii="Times New Roman" w:hAnsi="Times New Roman" w:cs="Times New Roman" w:eastAsiaTheme="minorEastAsia"/>
                <w:szCs w:val="21"/>
                <w:lang w:val="en-US" w:eastAsia="zh-CN"/>
              </w:rPr>
            </w:pPr>
            <w:r>
              <w:rPr>
                <w:rFonts w:hint="eastAsia" w:ascii="Times New Roman" w:hAnsi="Times New Roman" w:cs="仿宋"/>
                <w:kern w:val="0"/>
                <w:szCs w:val="21"/>
              </w:rPr>
              <w:t>1.执行总体管控要求中关于资源利用效率的准入要求。</w:t>
            </w:r>
            <w:r>
              <w:rPr>
                <w:rFonts w:hint="eastAsia" w:ascii="Times New Roman" w:hAnsi="Times New Roman" w:cs="仿宋"/>
                <w:kern w:val="0"/>
                <w:szCs w:val="21"/>
                <w:lang w:eastAsia="zh-CN"/>
              </w:rPr>
              <w:t>“</w:t>
            </w:r>
            <w:r>
              <w:rPr>
                <w:rFonts w:hint="eastAsia" w:ascii="Times New Roman" w:hAnsi="Times New Roman" w:cs="仿宋"/>
                <w:kern w:val="0"/>
                <w:szCs w:val="21"/>
              </w:rPr>
              <w:t>加强固体废物源头减量、资源化利用和无害化处置，最大限度减少填埋量。推进工业固体废物精细化、名录化环境管理，促进大宗工业固废综合利用、主要农业废弃物全量利用。加快构建废旧物资回收和循环利用体系，健全强制报废制度和废旧家电、消费电子等耐用消费品回收处理体系，推行生产企业“逆向回收”等模式。以尾矿和共伴生矿、煤矸石、炉渣、粉煤灰、脱硫石膏、冶炼渣、建筑垃圾等为重点，持续推进</w:t>
            </w:r>
            <w:r>
              <w:rPr>
                <w:rFonts w:hint="eastAsia" w:ascii="Times New Roman" w:hAnsi="Times New Roman" w:cs="仿宋"/>
                <w:kern w:val="0"/>
                <w:szCs w:val="21"/>
                <w:lang w:eastAsia="zh-CN"/>
              </w:rPr>
              <w:t>固体废物</w:t>
            </w:r>
            <w:r>
              <w:rPr>
                <w:rFonts w:hint="eastAsia" w:ascii="Times New Roman" w:hAnsi="Times New Roman" w:cs="仿宋"/>
                <w:kern w:val="0"/>
                <w:szCs w:val="21"/>
              </w:rPr>
              <w:t>综合利用和环境整治，不断提高大宗固体废物资源化利用水平</w:t>
            </w:r>
            <w:r>
              <w:rPr>
                <w:rFonts w:hint="eastAsia" w:ascii="Times New Roman" w:hAnsi="Times New Roman" w:cs="仿宋"/>
                <w:kern w:val="0"/>
                <w:szCs w:val="21"/>
                <w:lang w:eastAsia="zh-CN"/>
              </w:rPr>
              <w:t>”</w:t>
            </w:r>
          </w:p>
        </w:tc>
        <w:tc>
          <w:tcPr>
            <w:tcW w:w="2762" w:type="dxa"/>
            <w:tcBorders>
              <w:left w:val="single" w:color="auto" w:sz="4" w:space="0"/>
              <w:tl2br w:val="nil"/>
              <w:tr2bl w:val="nil"/>
            </w:tcBorders>
            <w:vAlign w:val="center"/>
          </w:tcPr>
          <w:p w14:paraId="752F7E4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项目开采废石前期堆存在矿区废石堆放场内，后期均用于矿坑回填，本项目不涉及选矿作业</w:t>
            </w:r>
            <w:r>
              <w:rPr>
                <w:rFonts w:hint="default" w:ascii="Times New Roman" w:hAnsi="Times New Roman" w:eastAsia="华文中宋" w:cs="Times New Roman"/>
                <w:szCs w:val="21"/>
                <w:lang w:val="en-US" w:eastAsia="zh-CN"/>
              </w:rPr>
              <w:t>不产生尾矿</w:t>
            </w:r>
            <w:r>
              <w:rPr>
                <w:rFonts w:hint="eastAsia" w:ascii="Times New Roman" w:hAnsi="Times New Roman" w:eastAsia="华文中宋" w:cs="Times New Roman"/>
                <w:szCs w:val="21"/>
                <w:lang w:val="en-US" w:eastAsia="zh-CN"/>
              </w:rPr>
              <w:t>，资源利用效率相关要求。</w:t>
            </w:r>
          </w:p>
        </w:tc>
        <w:tc>
          <w:tcPr>
            <w:tcW w:w="706" w:type="dxa"/>
            <w:tcBorders>
              <w:tl2br w:val="nil"/>
              <w:tr2bl w:val="nil"/>
            </w:tcBorders>
            <w:vAlign w:val="center"/>
          </w:tcPr>
          <w:p w14:paraId="66FAEB2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符合</w:t>
            </w:r>
          </w:p>
        </w:tc>
      </w:tr>
      <w:tr w14:paraId="39596ED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905" w:type="dxa"/>
            <w:vMerge w:val="continue"/>
            <w:tcBorders>
              <w:tl2br w:val="nil"/>
              <w:tr2bl w:val="nil"/>
            </w:tcBorders>
            <w:vAlign w:val="center"/>
          </w:tcPr>
          <w:p w14:paraId="384DB9F3">
            <w:pPr>
              <w:spacing w:line="300" w:lineRule="exact"/>
              <w:jc w:val="center"/>
              <w:rPr>
                <w:rFonts w:hint="default" w:ascii="Times New Roman" w:hAnsi="Times New Roman" w:eastAsia="华文中宋" w:cs="Times New Roman"/>
                <w:szCs w:val="21"/>
                <w:lang w:val="en-US" w:eastAsia="zh-CN"/>
              </w:rPr>
            </w:pPr>
          </w:p>
        </w:tc>
        <w:tc>
          <w:tcPr>
            <w:tcW w:w="408" w:type="dxa"/>
            <w:vMerge w:val="continue"/>
            <w:tcBorders>
              <w:right w:val="single" w:color="auto" w:sz="4" w:space="0"/>
              <w:tl2br w:val="nil"/>
              <w:tr2bl w:val="nil"/>
            </w:tcBorders>
            <w:vAlign w:val="center"/>
          </w:tcPr>
          <w:p w14:paraId="70E3C228">
            <w:pPr>
              <w:spacing w:line="300" w:lineRule="exact"/>
              <w:jc w:val="center"/>
              <w:rPr>
                <w:rFonts w:hint="default" w:ascii="Times New Roman" w:hAnsi="Times New Roman" w:eastAsia="华文中宋" w:cs="Times New Roman"/>
                <w:szCs w:val="21"/>
                <w:lang w:val="en-US" w:eastAsia="zh-CN"/>
              </w:rPr>
            </w:pPr>
          </w:p>
        </w:tc>
        <w:tc>
          <w:tcPr>
            <w:tcW w:w="3716" w:type="dxa"/>
            <w:tcBorders>
              <w:left w:val="single" w:color="auto" w:sz="4" w:space="0"/>
              <w:right w:val="single" w:color="auto" w:sz="4" w:space="0"/>
              <w:tl2br w:val="nil"/>
              <w:tr2bl w:val="nil"/>
            </w:tcBorders>
            <w:vAlign w:val="center"/>
          </w:tcPr>
          <w:p w14:paraId="7F9B3ACA">
            <w:pPr>
              <w:spacing w:line="300" w:lineRule="exact"/>
              <w:jc w:val="center"/>
              <w:rPr>
                <w:rFonts w:hint="eastAsia" w:ascii="Times New Roman" w:hAnsi="Times New Roman" w:cs="仿宋" w:eastAsiaTheme="minorEastAsia"/>
                <w:kern w:val="0"/>
                <w:szCs w:val="21"/>
                <w:lang w:eastAsia="zh-CN"/>
              </w:rPr>
            </w:pPr>
            <w:r>
              <w:rPr>
                <w:rFonts w:hint="eastAsia" w:ascii="Times New Roman" w:hAnsi="Times New Roman" w:cs="仿宋"/>
                <w:kern w:val="0"/>
                <w:szCs w:val="21"/>
              </w:rPr>
              <w:t>3.执行重点管控单元中资源利用效率总体管控要求，大气环境受体敏感重点管控区的准入要求。</w:t>
            </w:r>
            <w:r>
              <w:rPr>
                <w:rFonts w:hint="eastAsia" w:ascii="Times New Roman" w:hAnsi="Times New Roman" w:cs="仿宋"/>
                <w:kern w:val="0"/>
                <w:szCs w:val="21"/>
                <w:lang w:eastAsia="zh-CN"/>
              </w:rPr>
              <w:t>“鼓励使用清洁燃料，重点区域建设项目原则上不新建燃煤自备锅炉。鼓励重点区域高炉-转炉长流程钢铁企业转型为电炉短流程企业。”</w:t>
            </w:r>
          </w:p>
        </w:tc>
        <w:tc>
          <w:tcPr>
            <w:tcW w:w="2762" w:type="dxa"/>
            <w:tcBorders>
              <w:left w:val="single" w:color="auto" w:sz="4" w:space="0"/>
              <w:tl2br w:val="nil"/>
              <w:tr2bl w:val="nil"/>
            </w:tcBorders>
            <w:vAlign w:val="center"/>
          </w:tcPr>
          <w:p w14:paraId="6873812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本项目为有色金属开采项目，在生产过程中不涉及生产供热，生活供热由电能提供，不涉及使用燃煤锅炉等。</w:t>
            </w:r>
          </w:p>
        </w:tc>
        <w:tc>
          <w:tcPr>
            <w:tcW w:w="706" w:type="dxa"/>
            <w:tcBorders>
              <w:tl2br w:val="nil"/>
              <w:tr2bl w:val="nil"/>
            </w:tcBorders>
            <w:vAlign w:val="center"/>
          </w:tcPr>
          <w:p w14:paraId="25B0B38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符合</w:t>
            </w:r>
          </w:p>
        </w:tc>
      </w:tr>
    </w:tbl>
    <w:p w14:paraId="72CB701F">
      <w:pPr>
        <w:pStyle w:val="4"/>
        <w:spacing w:before="120" w:after="120" w:line="500" w:lineRule="exact"/>
        <w:rPr>
          <w:rFonts w:hint="default" w:ascii="Times New Roman" w:hAnsi="Times New Roman" w:eastAsia="华文中宋" w:cs="Times New Roman"/>
          <w:kern w:val="0"/>
          <w:sz w:val="24"/>
          <w:szCs w:val="24"/>
          <w:lang w:val="en-US" w:eastAsia="zh-CN"/>
        </w:rPr>
      </w:pPr>
      <w:bookmarkStart w:id="12" w:name="_Toc692"/>
      <w:r>
        <w:rPr>
          <w:rFonts w:hint="default" w:ascii="Times New Roman" w:hAnsi="Times New Roman" w:eastAsia="华文中宋" w:cs="Times New Roman"/>
          <w:kern w:val="0"/>
          <w:sz w:val="24"/>
          <w:szCs w:val="24"/>
          <w:lang w:val="en-US" w:eastAsia="zh-CN"/>
        </w:rPr>
        <w:t>1.3.4其他政策符合性分析</w:t>
      </w:r>
      <w:bookmarkEnd w:id="12"/>
    </w:p>
    <w:p w14:paraId="2A601507">
      <w:pPr>
        <w:pStyle w:val="24"/>
        <w:snapToGrid w:val="0"/>
        <w:ind w:left="0" w:leftChars="0" w:firstLine="0" w:firstLineChars="0"/>
        <w:jc w:val="left"/>
        <w:rPr>
          <w:rFonts w:hint="default" w:ascii="Times New Roman" w:hAnsi="Times New Roman" w:cs="Times New Roman"/>
          <w:b/>
          <w:bCs/>
          <w:color w:val="auto"/>
          <w:szCs w:val="24"/>
          <w:lang w:val="en-US" w:eastAsia="zh-CN"/>
        </w:rPr>
      </w:pPr>
      <w:r>
        <w:rPr>
          <w:rFonts w:hint="eastAsia" w:ascii="Times New Roman" w:hAnsi="Times New Roman" w:cs="Times New Roman"/>
          <w:b/>
          <w:bCs/>
          <w:color w:val="auto"/>
          <w:szCs w:val="24"/>
          <w:lang w:val="en-US" w:eastAsia="zh-CN"/>
        </w:rPr>
        <w:t>1.3.4.1</w:t>
      </w:r>
      <w:r>
        <w:rPr>
          <w:rFonts w:hint="default" w:ascii="Times New Roman" w:hAnsi="Times New Roman" w:cs="Times New Roman"/>
          <w:b/>
          <w:bCs/>
          <w:color w:val="auto"/>
          <w:szCs w:val="24"/>
          <w:lang w:val="en-US" w:eastAsia="zh-CN"/>
        </w:rPr>
        <w:t>与《矿山生态环境保护与污染防治技术政策》协调性分析</w:t>
      </w:r>
    </w:p>
    <w:p w14:paraId="0F0E039E">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《矿山生态环境保护与污染防治技术政策》中明确提出了矿产资源开发应遵循</w:t>
      </w:r>
      <w:r>
        <w:rPr>
          <w:rFonts w:hint="eastAsia" w:ascii="Times New Roman" w:hAnsi="Times New Roman" w:cs="Times New Roman"/>
          <w:color w:val="auto"/>
          <w:lang w:val="en-US" w:eastAsia="zh-CN"/>
        </w:rPr>
        <w:t>“污染物减量、资源再利用和循环利用”</w:t>
      </w:r>
      <w:r>
        <w:rPr>
          <w:rFonts w:hint="default" w:ascii="Times New Roman" w:hAnsi="Times New Roman" w:cs="Times New Roman"/>
          <w:color w:val="auto"/>
          <w:lang w:val="en-US" w:eastAsia="zh-CN"/>
        </w:rPr>
        <w:t>的技术原则，</w:t>
      </w:r>
      <w:r>
        <w:rPr>
          <w:rFonts w:hint="eastAsia" w:ascii="Times New Roman" w:hAnsi="Times New Roman" w:cs="Times New Roman"/>
          <w:color w:val="auto"/>
          <w:lang w:val="en-US" w:eastAsia="zh-CN"/>
        </w:rPr>
        <w:t>“禁止在国家重点保护地区，地质灾害危险区进行矿产资源开发活动”</w:t>
      </w:r>
      <w:r>
        <w:rPr>
          <w:rFonts w:hint="default" w:ascii="Times New Roman" w:hAnsi="Times New Roman" w:cs="Times New Roman"/>
          <w:color w:val="auto"/>
          <w:lang w:val="en-US" w:eastAsia="zh-CN"/>
        </w:rPr>
        <w:t>。</w:t>
      </w:r>
    </w:p>
    <w:p w14:paraId="2F034ECE">
      <w:pPr>
        <w:pStyle w:val="24"/>
        <w:snapToGrid w:val="0"/>
        <w:jc w:val="left"/>
        <w:rPr>
          <w:rFonts w:hint="default" w:ascii="Times New Roman" w:hAnsi="Times New Roman" w:cs="Times New Roman"/>
          <w:color w:val="auto"/>
          <w:szCs w:val="24"/>
          <w:lang w:eastAsia="zh-CN"/>
        </w:rPr>
      </w:pPr>
      <w:r>
        <w:rPr>
          <w:rFonts w:hint="default" w:ascii="Times New Roman" w:hAnsi="Times New Roman" w:cs="Times New Roman"/>
          <w:color w:val="auto"/>
          <w:lang w:val="en-US" w:eastAsia="zh-CN"/>
        </w:rPr>
        <w:t>本项目矿产开发严格遵循《矿山生态环境保护与污染防治技术政策》关于</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污染物减量、资源再利用和循环利用</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技术原则，</w:t>
      </w:r>
      <w:r>
        <w:rPr>
          <w:rFonts w:hint="eastAsia" w:ascii="Times New Roman" w:hAnsi="Times New Roman" w:cs="Times New Roman"/>
          <w:color w:val="auto"/>
          <w:lang w:val="en-US" w:eastAsia="zh-CN"/>
        </w:rPr>
        <w:t>项目在开采过程中产生的矿坑水经集水池收集后全部自然蒸发，</w:t>
      </w:r>
      <w:r>
        <w:rPr>
          <w:rFonts w:hint="default" w:ascii="Times New Roman" w:hAnsi="Times New Roman" w:cs="Times New Roman"/>
          <w:color w:val="auto"/>
          <w:lang w:val="en-US" w:eastAsia="zh-CN"/>
        </w:rPr>
        <w:t>生活污水回用于矿区</w:t>
      </w:r>
      <w:r>
        <w:rPr>
          <w:rFonts w:hint="eastAsia" w:ascii="Times New Roman" w:hAnsi="Times New Roman" w:cs="Times New Roman"/>
          <w:color w:val="auto"/>
          <w:lang w:val="en-US" w:eastAsia="zh-CN"/>
        </w:rPr>
        <w:t>洒水降尘</w:t>
      </w:r>
      <w:r>
        <w:rPr>
          <w:rFonts w:hint="default" w:ascii="Times New Roman" w:hAnsi="Times New Roman" w:cs="Times New Roman"/>
          <w:color w:val="auto"/>
          <w:lang w:val="en-US" w:eastAsia="zh-CN"/>
        </w:rPr>
        <w:t>。本矿所处区域植被盖度较低，经查询矿区不在各类生态保护红线区内，矿区所在区域符合当地国土空间规划及各专项规划。因此，本矿开发建设符合该政策中有关</w:t>
      </w:r>
      <w:r>
        <w:rPr>
          <w:rFonts w:hint="eastAsia" w:ascii="Times New Roman" w:hAnsi="Times New Roman" w:cs="Times New Roman"/>
          <w:color w:val="auto"/>
          <w:lang w:val="en-US" w:eastAsia="zh-CN"/>
        </w:rPr>
        <w:t>“禁止在国家重点保护地区，地质灾害危险区进行矿产资源开发活动”</w:t>
      </w:r>
      <w:r>
        <w:rPr>
          <w:rFonts w:hint="default" w:ascii="Times New Roman" w:hAnsi="Times New Roman" w:cs="Times New Roman"/>
          <w:color w:val="auto"/>
          <w:lang w:val="en-US" w:eastAsia="zh-CN"/>
        </w:rPr>
        <w:t>。</w:t>
      </w:r>
      <w:r>
        <w:rPr>
          <w:rFonts w:hint="default" w:ascii="Times New Roman" w:hAnsi="Times New Roman" w:cs="Times New Roman"/>
          <w:color w:val="auto"/>
          <w:lang w:eastAsia="zh-CN"/>
        </w:rPr>
        <w:t>根据《民丰县万水源矿业有限责任公司新疆民丰县盼水河锑铅矿矿产资源开发利用与生态保护修复方案》，本矿区</w:t>
      </w:r>
      <w:r>
        <w:rPr>
          <w:rFonts w:hint="eastAsia" w:ascii="Times New Roman" w:hAnsi="Times New Roman" w:cs="Times New Roman"/>
          <w:color w:val="auto"/>
          <w:lang w:val="en-US" w:eastAsia="zh-CN"/>
        </w:rPr>
        <w:t>地质灾害现状评估崩塌、滑坡、泥石流、地面塌陷、地裂缝、地面沉降和不稳定斜坡等地质灾害发育程度弱，危害程度小，危险性小现状评估地质灾害对矿山地质环境影响程度较轻。</w:t>
      </w:r>
      <w:r>
        <w:rPr>
          <w:rFonts w:hint="default" w:ascii="Times New Roman" w:hAnsi="Times New Roman" w:cs="Times New Roman"/>
          <w:color w:val="auto"/>
          <w:lang w:eastAsia="zh-CN"/>
        </w:rPr>
        <w:t>符合政策要求。</w:t>
      </w:r>
    </w:p>
    <w:p w14:paraId="47A24C94">
      <w:pPr>
        <w:pStyle w:val="24"/>
        <w:snapToGrid w:val="0"/>
        <w:ind w:left="0" w:leftChars="0" w:firstLine="0" w:firstLineChars="0"/>
        <w:jc w:val="left"/>
        <w:rPr>
          <w:rFonts w:hint="default" w:ascii="Times New Roman" w:hAnsi="Times New Roman" w:cs="Times New Roman"/>
          <w:b/>
          <w:bCs/>
          <w:color w:val="auto"/>
          <w:szCs w:val="24"/>
          <w:lang w:val="en-US" w:eastAsia="zh-CN"/>
        </w:rPr>
      </w:pPr>
      <w:r>
        <w:rPr>
          <w:rFonts w:hint="eastAsia" w:ascii="Times New Roman" w:hAnsi="Times New Roman" w:cs="Times New Roman"/>
          <w:b/>
          <w:bCs/>
          <w:color w:val="auto"/>
          <w:szCs w:val="24"/>
          <w:lang w:val="en-US" w:eastAsia="zh-CN"/>
        </w:rPr>
        <w:t>1.3.4.2</w:t>
      </w:r>
      <w:r>
        <w:rPr>
          <w:rFonts w:hint="default" w:ascii="Times New Roman" w:hAnsi="Times New Roman" w:cs="Times New Roman"/>
          <w:b/>
          <w:bCs/>
          <w:color w:val="auto"/>
          <w:szCs w:val="24"/>
          <w:lang w:val="en-US" w:eastAsia="zh-CN"/>
        </w:rPr>
        <w:t>与《矿山生态环境保护与恢复治理技术规范（试行）》（HJ 651—2013）符合性分析</w:t>
      </w:r>
    </w:p>
    <w:p w14:paraId="6B497336">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1.3-</w:t>
      </w:r>
      <w:r>
        <w:rPr>
          <w:rFonts w:hint="eastAsia" w:ascii="Times New Roman" w:hAnsi="Times New Roman" w:eastAsia="华文中宋" w:cs="Times New Roman"/>
          <w:b/>
          <w:szCs w:val="21"/>
          <w:lang w:val="en-US" w:eastAsia="zh-CN"/>
        </w:rPr>
        <w:t>7</w:t>
      </w:r>
      <w:r>
        <w:rPr>
          <w:rFonts w:hint="default" w:ascii="Times New Roman" w:hAnsi="Times New Roman" w:eastAsia="华文中宋" w:cs="Times New Roman"/>
          <w:b/>
          <w:szCs w:val="21"/>
          <w:lang w:val="en-US" w:eastAsia="zh-CN"/>
        </w:rPr>
        <w:t xml:space="preserve">  项目与《矿山生态环境保护与恢复治理技术规范（试行）》符合分析表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3911"/>
        <w:gridCol w:w="2905"/>
        <w:gridCol w:w="950"/>
      </w:tblGrid>
      <w:tr w14:paraId="34F7E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6B995DE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序号</w:t>
            </w:r>
          </w:p>
        </w:tc>
        <w:tc>
          <w:tcPr>
            <w:tcW w:w="3911" w:type="dxa"/>
            <w:vAlign w:val="center"/>
          </w:tcPr>
          <w:p w14:paraId="66FEEF9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规范要求</w:t>
            </w:r>
          </w:p>
        </w:tc>
        <w:tc>
          <w:tcPr>
            <w:tcW w:w="2905" w:type="dxa"/>
            <w:vAlign w:val="center"/>
          </w:tcPr>
          <w:p w14:paraId="7DC3379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本项目情况</w:t>
            </w:r>
          </w:p>
        </w:tc>
        <w:tc>
          <w:tcPr>
            <w:tcW w:w="950" w:type="dxa"/>
            <w:vAlign w:val="center"/>
          </w:tcPr>
          <w:p w14:paraId="6927F93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符合性</w:t>
            </w:r>
          </w:p>
        </w:tc>
      </w:tr>
      <w:tr w14:paraId="77E3C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0DE7138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w:t>
            </w:r>
          </w:p>
        </w:tc>
        <w:tc>
          <w:tcPr>
            <w:tcW w:w="3911" w:type="dxa"/>
            <w:vAlign w:val="center"/>
          </w:tcPr>
          <w:p w14:paraId="2ACB56F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禁止在依法划定的自然保护区、风景名胜区、森林公园、饮用水水源保护区、重要湖泊周边、文物古迹所在地、地质遗迹保护区、基本农田保护区等区域内采矿。禁止在重要道路、航道两侧及重要生态环境敏感目标可视范围内进行景观破坏明显的露天开采。</w:t>
            </w:r>
          </w:p>
        </w:tc>
        <w:tc>
          <w:tcPr>
            <w:tcW w:w="2905" w:type="dxa"/>
            <w:vAlign w:val="center"/>
          </w:tcPr>
          <w:p w14:paraId="0E8041B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本</w:t>
            </w:r>
            <w:r>
              <w:rPr>
                <w:rFonts w:hint="eastAsia" w:ascii="Times New Roman" w:hAnsi="Times New Roman" w:eastAsia="华文中宋" w:cs="Times New Roman"/>
                <w:szCs w:val="21"/>
                <w:lang w:val="en-US" w:eastAsia="zh-CN"/>
              </w:rPr>
              <w:t>项目为有色金属开采，</w:t>
            </w:r>
            <w:r>
              <w:rPr>
                <w:rFonts w:hint="default" w:ascii="Times New Roman" w:hAnsi="Times New Roman" w:eastAsia="华文中宋" w:cs="Times New Roman"/>
                <w:szCs w:val="21"/>
                <w:lang w:val="en-US" w:eastAsia="zh-CN"/>
              </w:rPr>
              <w:t>不在自然保护区、风景名胜区、森林公园、饮用水水源保护区、重要湖泊周边、文物古迹所在地、地质遗迹保护区、基本农田保护区等范围内</w:t>
            </w:r>
            <w:r>
              <w:rPr>
                <w:rFonts w:hint="eastAsia" w:ascii="Times New Roman" w:hAnsi="Times New Roman" w:eastAsia="华文中宋" w:cs="Times New Roman"/>
                <w:szCs w:val="21"/>
                <w:lang w:val="en-US" w:eastAsia="zh-CN"/>
              </w:rPr>
              <w:t>，也不在</w:t>
            </w:r>
            <w:r>
              <w:rPr>
                <w:rFonts w:hint="default" w:ascii="Times New Roman" w:hAnsi="Times New Roman" w:eastAsia="华文中宋" w:cs="Times New Roman"/>
                <w:szCs w:val="21"/>
                <w:lang w:val="en-US" w:eastAsia="zh-CN"/>
              </w:rPr>
              <w:t>重要道路、航道两侧及重要生态环境敏感目标可视范围内</w:t>
            </w:r>
            <w:r>
              <w:rPr>
                <w:rFonts w:hint="eastAsia" w:ascii="Times New Roman" w:hAnsi="Times New Roman" w:eastAsia="华文中宋" w:cs="Times New Roman"/>
                <w:szCs w:val="21"/>
                <w:lang w:val="en-US" w:eastAsia="zh-CN"/>
              </w:rPr>
              <w:t>，符合规范要求。</w:t>
            </w:r>
          </w:p>
        </w:tc>
        <w:tc>
          <w:tcPr>
            <w:tcW w:w="950" w:type="dxa"/>
            <w:vAlign w:val="center"/>
          </w:tcPr>
          <w:p w14:paraId="70761BD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符合</w:t>
            </w:r>
          </w:p>
        </w:tc>
      </w:tr>
      <w:tr w14:paraId="4D709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644BC86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w:t>
            </w:r>
          </w:p>
        </w:tc>
        <w:tc>
          <w:tcPr>
            <w:tcW w:w="3911" w:type="dxa"/>
            <w:vAlign w:val="center"/>
          </w:tcPr>
          <w:p w14:paraId="6305548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矿产资源开发活动应符合国家和区域主体功能区划、生态功能区划、生态环境保护规划的要求，采取有效预防和保护措施，避免或减轻矿产资源开发活动造成的生态破坏和环境污染。</w:t>
            </w:r>
          </w:p>
        </w:tc>
        <w:tc>
          <w:tcPr>
            <w:tcW w:w="2905" w:type="dxa"/>
            <w:vAlign w:val="center"/>
          </w:tcPr>
          <w:p w14:paraId="673F343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本项目在开采过程中采取相关生态保护措施及污染防治措施后能够减轻矿产资源开发活动造成的生态破坏和环境污染，项目的开采符合国家和区域主体功能区划、生态功能区划等要求。</w:t>
            </w:r>
          </w:p>
        </w:tc>
        <w:tc>
          <w:tcPr>
            <w:tcW w:w="950" w:type="dxa"/>
            <w:vAlign w:val="center"/>
          </w:tcPr>
          <w:p w14:paraId="5D05EDC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符合</w:t>
            </w:r>
          </w:p>
        </w:tc>
      </w:tr>
      <w:tr w14:paraId="3CAFC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3BCE7E0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w:t>
            </w:r>
          </w:p>
        </w:tc>
        <w:tc>
          <w:tcPr>
            <w:tcW w:w="3911" w:type="dxa"/>
            <w:vAlign w:val="center"/>
          </w:tcPr>
          <w:p w14:paraId="16202A2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所有矿山企业均应对照本标准各项要求，编制实施矿山生态环境保护与恢复治理方案。</w:t>
            </w:r>
          </w:p>
        </w:tc>
        <w:tc>
          <w:tcPr>
            <w:tcW w:w="2905" w:type="dxa"/>
            <w:vAlign w:val="center"/>
          </w:tcPr>
          <w:p w14:paraId="5F6F025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本项目</w:t>
            </w:r>
            <w:r>
              <w:rPr>
                <w:rFonts w:hint="eastAsia" w:ascii="Times New Roman" w:hAnsi="Times New Roman" w:eastAsia="华文中宋" w:cs="Times New Roman"/>
                <w:szCs w:val="21"/>
                <w:lang w:val="en-US" w:eastAsia="zh-CN"/>
              </w:rPr>
              <w:t>已</w:t>
            </w:r>
            <w:r>
              <w:rPr>
                <w:rFonts w:hint="default" w:ascii="Times New Roman" w:hAnsi="Times New Roman" w:eastAsia="华文中宋" w:cs="Times New Roman"/>
                <w:szCs w:val="21"/>
                <w:lang w:val="en-US" w:eastAsia="zh-CN"/>
              </w:rPr>
              <w:t>编制《矿产资源开发利用与生态保护修复方案》</w:t>
            </w:r>
            <w:r>
              <w:rPr>
                <w:rFonts w:hint="eastAsia" w:ascii="Times New Roman" w:hAnsi="Times New Roman" w:eastAsia="华文中宋" w:cs="Times New Roman"/>
                <w:szCs w:val="21"/>
                <w:lang w:val="en-US" w:eastAsia="zh-CN"/>
              </w:rPr>
              <w:t>并通过审批。</w:t>
            </w:r>
          </w:p>
        </w:tc>
        <w:tc>
          <w:tcPr>
            <w:tcW w:w="950" w:type="dxa"/>
            <w:vAlign w:val="center"/>
          </w:tcPr>
          <w:p w14:paraId="60EB9AD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符合</w:t>
            </w:r>
          </w:p>
        </w:tc>
      </w:tr>
      <w:tr w14:paraId="72105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5DEE718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w:t>
            </w:r>
          </w:p>
        </w:tc>
        <w:tc>
          <w:tcPr>
            <w:tcW w:w="3911" w:type="dxa"/>
            <w:vAlign w:val="center"/>
          </w:tcPr>
          <w:p w14:paraId="0928574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采矿产生的固体废物，应在专用场所堆放，并采取措施防止二次污染；禁止向河流、湖泊、水库等水体及行洪渠道排放岩土、含油垃圾、泥浆、煤渣、煤矸石和其他固体废物。</w:t>
            </w:r>
          </w:p>
        </w:tc>
        <w:tc>
          <w:tcPr>
            <w:tcW w:w="2905" w:type="dxa"/>
            <w:vAlign w:val="center"/>
          </w:tcPr>
          <w:p w14:paraId="3D0DE47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本项目设计有废石堆放场，</w:t>
            </w:r>
            <w:r>
              <w:rPr>
                <w:rFonts w:hint="eastAsia" w:ascii="Times New Roman" w:hAnsi="Times New Roman" w:eastAsia="华文中宋" w:cs="Times New Roman"/>
                <w:szCs w:val="21"/>
                <w:lang w:val="en-US" w:eastAsia="zh-CN"/>
              </w:rPr>
              <w:t>采矿废石在废石堆放场贮存，在矿石开采完成后，用于回填矿坑，项目</w:t>
            </w:r>
            <w:r>
              <w:rPr>
                <w:rFonts w:hint="default" w:ascii="Times New Roman" w:hAnsi="Times New Roman" w:eastAsia="华文中宋" w:cs="Times New Roman"/>
                <w:szCs w:val="21"/>
                <w:lang w:val="en-US" w:eastAsia="zh-CN"/>
              </w:rPr>
              <w:t>固废合理处置。</w:t>
            </w:r>
          </w:p>
        </w:tc>
        <w:tc>
          <w:tcPr>
            <w:tcW w:w="950" w:type="dxa"/>
            <w:vAlign w:val="center"/>
          </w:tcPr>
          <w:p w14:paraId="5E3C6D8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符合</w:t>
            </w:r>
          </w:p>
        </w:tc>
      </w:tr>
      <w:tr w14:paraId="55CCB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0" w:type="dxa"/>
            <w:vAlign w:val="center"/>
          </w:tcPr>
          <w:p w14:paraId="0F7C690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w:t>
            </w:r>
          </w:p>
        </w:tc>
        <w:tc>
          <w:tcPr>
            <w:tcW w:w="3911" w:type="dxa"/>
            <w:vAlign w:val="center"/>
          </w:tcPr>
          <w:p w14:paraId="75EA161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山大气污染防治：采矿清理地面植被时，禁止燃烧植被。运输剥离土的道路应洒水或采取其他措施减少粉尘。采矿作业中所用设备应配备粉尘收集或降尘措施。矿物和矿渣运输道路应硬化并洒水防尘，运输车辆应采取围挡、遮盖等措施。矿物堆场和临时料仓应采取防治风蚀和扬尘措施。</w:t>
            </w:r>
          </w:p>
        </w:tc>
        <w:tc>
          <w:tcPr>
            <w:tcW w:w="2905" w:type="dxa"/>
            <w:vAlign w:val="center"/>
          </w:tcPr>
          <w:p w14:paraId="466DDB7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本项目露天开采采用潜孔钻车作为矿山的凿岩设备，凿岩设备配备有集尘器，并采取湿式作业、洒水抑尘等措施；矿石运输过程中加强路面清扫，根据路面情况及时洒水。</w:t>
            </w:r>
          </w:p>
        </w:tc>
        <w:tc>
          <w:tcPr>
            <w:tcW w:w="950" w:type="dxa"/>
            <w:vAlign w:val="center"/>
          </w:tcPr>
          <w:p w14:paraId="6E5CBE1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符合</w:t>
            </w:r>
          </w:p>
        </w:tc>
      </w:tr>
    </w:tbl>
    <w:p w14:paraId="6F7377E3">
      <w:pPr>
        <w:pStyle w:val="24"/>
        <w:snapToGrid w:val="0"/>
        <w:ind w:left="0" w:leftChars="0" w:firstLine="0" w:firstLineChars="0"/>
        <w:jc w:val="left"/>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1.3.4.3</w:t>
      </w:r>
      <w:r>
        <w:rPr>
          <w:rFonts w:hint="default" w:ascii="Times New Roman" w:hAnsi="Times New Roman" w:cs="Times New Roman"/>
          <w:b/>
          <w:bCs/>
          <w:color w:val="auto"/>
          <w:lang w:val="en-US" w:eastAsia="zh-CN"/>
        </w:rPr>
        <w:t>与《新疆维吾尔自治区重点行业</w:t>
      </w:r>
      <w:r>
        <w:rPr>
          <w:rFonts w:hint="eastAsia" w:ascii="Times New Roman" w:hAnsi="Times New Roman" w:cs="Times New Roman"/>
          <w:b/>
          <w:bCs/>
          <w:color w:val="auto"/>
          <w:lang w:val="en-US" w:eastAsia="zh-CN"/>
        </w:rPr>
        <w:t>生态</w:t>
      </w:r>
      <w:r>
        <w:rPr>
          <w:rFonts w:hint="default" w:ascii="Times New Roman" w:hAnsi="Times New Roman" w:cs="Times New Roman"/>
          <w:b/>
          <w:bCs/>
          <w:color w:val="auto"/>
          <w:lang w:val="en-US" w:eastAsia="zh-CN"/>
        </w:rPr>
        <w:t>环境准入条件（</w:t>
      </w:r>
      <w:r>
        <w:rPr>
          <w:rFonts w:hint="eastAsia" w:ascii="Times New Roman" w:hAnsi="Times New Roman" w:cs="Times New Roman"/>
          <w:b/>
          <w:bCs/>
          <w:color w:val="auto"/>
          <w:lang w:val="en-US" w:eastAsia="zh-CN"/>
        </w:rPr>
        <w:t>2024年</w:t>
      </w:r>
      <w:r>
        <w:rPr>
          <w:rFonts w:hint="default" w:ascii="Times New Roman" w:hAnsi="Times New Roman" w:cs="Times New Roman"/>
          <w:b/>
          <w:bCs/>
          <w:color w:val="auto"/>
          <w:lang w:val="en-US" w:eastAsia="zh-CN"/>
        </w:rPr>
        <w:t>）》符合性分析</w:t>
      </w:r>
    </w:p>
    <w:p w14:paraId="399183DD">
      <w:pPr>
        <w:snapToGrid w:val="0"/>
        <w:spacing w:before="241" w:beforeLines="50"/>
        <w:ind w:firstLine="949" w:firstLineChars="45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表1.3-</w:t>
      </w:r>
      <w:r>
        <w:rPr>
          <w:rFonts w:hint="eastAsia" w:ascii="Times New Roman" w:hAnsi="Times New Roman" w:eastAsia="华文中宋" w:cs="Times New Roman"/>
          <w:b/>
          <w:szCs w:val="21"/>
          <w:lang w:val="en-US" w:eastAsia="zh-CN"/>
        </w:rPr>
        <w:t>8</w:t>
      </w:r>
      <w:r>
        <w:rPr>
          <w:rFonts w:hint="default" w:ascii="Times New Roman" w:hAnsi="Times New Roman" w:eastAsia="华文中宋" w:cs="Times New Roman"/>
          <w:b/>
          <w:szCs w:val="21"/>
          <w:lang w:val="en-US" w:eastAsia="zh-CN"/>
        </w:rPr>
        <w:t xml:space="preserve">  项目与《新疆维吾尔自治区重点行业生态环境准入条件（2024年）》符合性分析表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9"/>
        <w:gridCol w:w="4524"/>
        <w:gridCol w:w="2791"/>
        <w:gridCol w:w="685"/>
      </w:tblGrid>
      <w:tr w14:paraId="133BC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vAlign w:val="center"/>
          </w:tcPr>
          <w:p w14:paraId="7380C1B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序号</w:t>
            </w:r>
          </w:p>
        </w:tc>
        <w:tc>
          <w:tcPr>
            <w:tcW w:w="4524" w:type="dxa"/>
            <w:vAlign w:val="center"/>
          </w:tcPr>
          <w:p w14:paraId="3587E6A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规范要求</w:t>
            </w:r>
          </w:p>
        </w:tc>
        <w:tc>
          <w:tcPr>
            <w:tcW w:w="2791" w:type="dxa"/>
            <w:vAlign w:val="center"/>
          </w:tcPr>
          <w:p w14:paraId="5B84835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本项目情况</w:t>
            </w:r>
          </w:p>
        </w:tc>
        <w:tc>
          <w:tcPr>
            <w:tcW w:w="685" w:type="dxa"/>
            <w:vAlign w:val="center"/>
          </w:tcPr>
          <w:p w14:paraId="15706D4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符合性</w:t>
            </w:r>
          </w:p>
        </w:tc>
      </w:tr>
      <w:tr w14:paraId="6E925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vAlign w:val="center"/>
          </w:tcPr>
          <w:p w14:paraId="216C788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w:t>
            </w:r>
          </w:p>
        </w:tc>
        <w:tc>
          <w:tcPr>
            <w:tcW w:w="4524" w:type="dxa"/>
            <w:vAlign w:val="center"/>
          </w:tcPr>
          <w:p w14:paraId="50131E2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建设单位须依法、依规组织编制环境影响评价文件并报具有审批权限的</w:t>
            </w:r>
            <w:r>
              <w:rPr>
                <w:rFonts w:hint="eastAsia" w:ascii="Times New Roman" w:hAnsi="Times New Roman" w:eastAsia="华文中宋" w:cs="Times New Roman"/>
                <w:szCs w:val="21"/>
                <w:lang w:val="en-US" w:eastAsia="zh-CN"/>
              </w:rPr>
              <w:t>生态</w:t>
            </w:r>
            <w:r>
              <w:rPr>
                <w:rFonts w:hint="default" w:ascii="Times New Roman" w:hAnsi="Times New Roman" w:eastAsia="华文中宋" w:cs="Times New Roman"/>
                <w:szCs w:val="21"/>
                <w:lang w:val="en-US" w:eastAsia="zh-CN"/>
              </w:rPr>
              <w:t>环境部门审批。</w:t>
            </w:r>
          </w:p>
        </w:tc>
        <w:tc>
          <w:tcPr>
            <w:tcW w:w="2791" w:type="dxa"/>
            <w:vAlign w:val="center"/>
          </w:tcPr>
          <w:p w14:paraId="04626DE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建设单位已委托本单位编制该项目环境影响评价报告。</w:t>
            </w:r>
          </w:p>
        </w:tc>
        <w:tc>
          <w:tcPr>
            <w:tcW w:w="685" w:type="dxa"/>
            <w:vAlign w:val="center"/>
          </w:tcPr>
          <w:p w14:paraId="093C16D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符合</w:t>
            </w:r>
          </w:p>
        </w:tc>
      </w:tr>
      <w:tr w14:paraId="009F7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vAlign w:val="center"/>
          </w:tcPr>
          <w:p w14:paraId="7CF576F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w:t>
            </w:r>
          </w:p>
        </w:tc>
        <w:tc>
          <w:tcPr>
            <w:tcW w:w="4524" w:type="dxa"/>
            <w:vAlign w:val="center"/>
          </w:tcPr>
          <w:p w14:paraId="36182BD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建设项目应符合国家、自治区相关法律法规规章、产业政策要求，采用的工艺、技术和设备应符合《产业结构调整指导目录》《产业转移指导目录》《鼓励外商投资产业目录》《西部地区鼓励类产业目录》等相关要求，不得采用国家和自治区限制、淘汰或禁止使用的工艺、技术和设备。在环评审批中，严格落实国家及自治区有关行业产能替代、压减等措施。</w:t>
            </w:r>
          </w:p>
        </w:tc>
        <w:tc>
          <w:tcPr>
            <w:tcW w:w="2791" w:type="dxa"/>
            <w:vAlign w:val="center"/>
          </w:tcPr>
          <w:p w14:paraId="1186B1C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该项目矿产开发利用方案设计符合国家、自治区相关产业政策、法律法规、条例等要求，无淘汰或禁止使用的工艺、技术和设备。</w:t>
            </w:r>
          </w:p>
        </w:tc>
        <w:tc>
          <w:tcPr>
            <w:tcW w:w="685" w:type="dxa"/>
            <w:vAlign w:val="center"/>
          </w:tcPr>
          <w:p w14:paraId="2CE6092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符合</w:t>
            </w:r>
          </w:p>
        </w:tc>
      </w:tr>
      <w:tr w14:paraId="7096B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vAlign w:val="center"/>
          </w:tcPr>
          <w:p w14:paraId="492D610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w:t>
            </w:r>
          </w:p>
        </w:tc>
        <w:tc>
          <w:tcPr>
            <w:tcW w:w="4524" w:type="dxa"/>
            <w:vAlign w:val="center"/>
          </w:tcPr>
          <w:p w14:paraId="45E28D8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禁止在自然保护区、世界自然遗产地、风景名胜区、自然公园（森林公园、地质公园、湿地公园、沙漠公园等）、重要湿地、饮用水水源保护区等依法划定禁止开发建设的环境敏感区</w:t>
            </w:r>
            <w:r>
              <w:rPr>
                <w:rFonts w:hint="eastAsia" w:ascii="Times New Roman" w:hAnsi="Times New Roman" w:eastAsia="华文中宋" w:cs="Times New Roman"/>
                <w:szCs w:val="21"/>
                <w:lang w:val="en-US" w:eastAsia="zh-CN"/>
              </w:rPr>
              <w:t>及其他</w:t>
            </w:r>
            <w:r>
              <w:rPr>
                <w:rFonts w:hint="default" w:ascii="Times New Roman" w:hAnsi="Times New Roman" w:eastAsia="华文中宋" w:cs="Times New Roman"/>
                <w:szCs w:val="21"/>
                <w:lang w:val="en-US" w:eastAsia="zh-CN"/>
              </w:rPr>
              <w:t>法律法规规章禁止的区域进行污染环境的任何开发活动。</w:t>
            </w:r>
          </w:p>
        </w:tc>
        <w:tc>
          <w:tcPr>
            <w:tcW w:w="2791" w:type="dxa"/>
            <w:vAlign w:val="center"/>
          </w:tcPr>
          <w:p w14:paraId="0B9A149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项目区不在重点保护区域及其他法律法规禁止区域内。</w:t>
            </w:r>
          </w:p>
        </w:tc>
        <w:tc>
          <w:tcPr>
            <w:tcW w:w="685" w:type="dxa"/>
            <w:vAlign w:val="center"/>
          </w:tcPr>
          <w:p w14:paraId="664446C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符合</w:t>
            </w:r>
          </w:p>
        </w:tc>
      </w:tr>
      <w:tr w14:paraId="29734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vAlign w:val="center"/>
          </w:tcPr>
          <w:p w14:paraId="4A5F3BA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4</w:t>
            </w:r>
          </w:p>
        </w:tc>
        <w:tc>
          <w:tcPr>
            <w:tcW w:w="4524" w:type="dxa"/>
            <w:vAlign w:val="center"/>
          </w:tcPr>
          <w:p w14:paraId="56629AB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产资源开发按照国家及自治区绿色矿山建设规范进行建设，遵循“谁开发、谁保护，谁破坏、谁恢复，谁受益、谁补偿，谁污染、谁付费”的原则，制定矿山生态环境保护与恢复治理方案并严格组织实施。违反国家规定造成生态环境损害的，依法依规开展生态环境损害赔偿工作，依法追究生态环境损害赔偿责任。</w:t>
            </w:r>
          </w:p>
        </w:tc>
        <w:tc>
          <w:tcPr>
            <w:tcW w:w="2791" w:type="dxa"/>
            <w:vAlign w:val="center"/>
          </w:tcPr>
          <w:p w14:paraId="32E9673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本项目</w:t>
            </w:r>
            <w:r>
              <w:rPr>
                <w:rFonts w:hint="eastAsia" w:ascii="Times New Roman" w:hAnsi="Times New Roman" w:eastAsia="华文中宋" w:cs="Times New Roman"/>
                <w:szCs w:val="21"/>
                <w:lang w:val="en-US" w:eastAsia="zh-CN"/>
              </w:rPr>
              <w:t>已</w:t>
            </w:r>
            <w:r>
              <w:rPr>
                <w:rFonts w:hint="default" w:ascii="Times New Roman" w:hAnsi="Times New Roman" w:eastAsia="华文中宋" w:cs="Times New Roman"/>
                <w:szCs w:val="21"/>
                <w:lang w:val="en-US" w:eastAsia="zh-CN"/>
              </w:rPr>
              <w:t>编制《矿产资源开发利用与生态保护修复方案》</w:t>
            </w:r>
            <w:r>
              <w:rPr>
                <w:rFonts w:hint="eastAsia" w:ascii="Times New Roman" w:hAnsi="Times New Roman" w:eastAsia="华文中宋" w:cs="Times New Roman"/>
                <w:szCs w:val="21"/>
                <w:lang w:val="en-US" w:eastAsia="zh-CN"/>
              </w:rPr>
              <w:t>并通过审批。</w:t>
            </w:r>
          </w:p>
        </w:tc>
        <w:tc>
          <w:tcPr>
            <w:tcW w:w="685" w:type="dxa"/>
            <w:vAlign w:val="center"/>
          </w:tcPr>
          <w:p w14:paraId="1E2AF64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符合</w:t>
            </w:r>
          </w:p>
        </w:tc>
      </w:tr>
      <w:tr w14:paraId="61460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vAlign w:val="center"/>
          </w:tcPr>
          <w:p w14:paraId="18E3066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w:t>
            </w:r>
          </w:p>
        </w:tc>
        <w:tc>
          <w:tcPr>
            <w:tcW w:w="4524" w:type="dxa"/>
            <w:vAlign w:val="center"/>
          </w:tcPr>
          <w:p w14:paraId="5ED8988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建设项目用地原则上不得占用基本农田，确需占用的，应符合《中华人民共和国基本农田保护条例》相关要求；占用耕地、林地或草地的建设项目应符合国家、自治区有关规定。</w:t>
            </w:r>
          </w:p>
        </w:tc>
        <w:tc>
          <w:tcPr>
            <w:tcW w:w="2791" w:type="dxa"/>
            <w:vAlign w:val="center"/>
          </w:tcPr>
          <w:p w14:paraId="5DE2B81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项目位于海拔5000m以上的高原高山区，项目区</w:t>
            </w:r>
            <w:r>
              <w:rPr>
                <w:rFonts w:hint="eastAsia" w:ascii="Times New Roman" w:hAnsi="Times New Roman" w:eastAsia="华文中宋" w:cs="Times New Roman"/>
                <w:szCs w:val="21"/>
                <w:lang w:val="en-US" w:eastAsia="zh-CN"/>
              </w:rPr>
              <w:t>占地</w:t>
            </w:r>
            <w:r>
              <w:rPr>
                <w:rFonts w:hint="default" w:ascii="Times New Roman" w:hAnsi="Times New Roman" w:eastAsia="华文中宋" w:cs="Times New Roman"/>
                <w:szCs w:val="21"/>
                <w:lang w:val="en-US" w:eastAsia="zh-CN"/>
              </w:rPr>
              <w:t>范围内无基本农田、农业设施及居民点</w:t>
            </w:r>
            <w:r>
              <w:rPr>
                <w:rFonts w:hint="eastAsia" w:ascii="Times New Roman" w:hAnsi="Times New Roman" w:eastAsia="华文中宋" w:cs="Times New Roman"/>
                <w:szCs w:val="21"/>
                <w:lang w:val="en-US" w:eastAsia="zh-CN"/>
              </w:rPr>
              <w:t>，本项目涉及占用天然牧草地以及少量湿地，正在办理当地林草部门相关手续。</w:t>
            </w:r>
          </w:p>
        </w:tc>
        <w:tc>
          <w:tcPr>
            <w:tcW w:w="685" w:type="dxa"/>
            <w:vAlign w:val="center"/>
          </w:tcPr>
          <w:p w14:paraId="2794397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符合</w:t>
            </w:r>
          </w:p>
        </w:tc>
      </w:tr>
      <w:tr w14:paraId="3B38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vAlign w:val="center"/>
          </w:tcPr>
          <w:p w14:paraId="692AF1E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6</w:t>
            </w:r>
          </w:p>
        </w:tc>
        <w:tc>
          <w:tcPr>
            <w:tcW w:w="4524" w:type="dxa"/>
            <w:vAlign w:val="center"/>
          </w:tcPr>
          <w:p w14:paraId="5787220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存在环境风险的建设项目，提出有效的环境风险防范措施及环境风险应急预案编制原则和要求，纳入区域环境风险应急联动机制。各类工业园区和工业聚集区应设立环境应急管理机构，编制环境风险应急预案，并具备环境风险应急救援能力。</w:t>
            </w:r>
          </w:p>
        </w:tc>
        <w:tc>
          <w:tcPr>
            <w:tcW w:w="2791" w:type="dxa"/>
            <w:vAlign w:val="center"/>
          </w:tcPr>
          <w:p w14:paraId="0A922CD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本环评报告针对本项目存在的环境风险进行了分析并给出风险防范措施，要求建设单位编制应急预案并备案，同时建立区域应急联动机制</w:t>
            </w:r>
            <w:r>
              <w:rPr>
                <w:rFonts w:hint="eastAsia" w:ascii="Times New Roman" w:hAnsi="Times New Roman" w:eastAsia="华文中宋" w:cs="Times New Roman"/>
                <w:szCs w:val="21"/>
                <w:lang w:val="en-US" w:eastAsia="zh-CN"/>
              </w:rPr>
              <w:t>。</w:t>
            </w:r>
          </w:p>
        </w:tc>
        <w:tc>
          <w:tcPr>
            <w:tcW w:w="685" w:type="dxa"/>
            <w:vAlign w:val="center"/>
          </w:tcPr>
          <w:p w14:paraId="49935AA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符合</w:t>
            </w:r>
          </w:p>
        </w:tc>
      </w:tr>
      <w:tr w14:paraId="3AAC8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vAlign w:val="center"/>
          </w:tcPr>
          <w:p w14:paraId="4B44919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7</w:t>
            </w:r>
          </w:p>
        </w:tc>
        <w:tc>
          <w:tcPr>
            <w:tcW w:w="4524" w:type="dxa"/>
            <w:vAlign w:val="center"/>
          </w:tcPr>
          <w:p w14:paraId="3B577638">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rPr>
              <w:t>铁路、高速公路、国道、省道等重要交通干线两侧200米范围以内（其中，禁止在铁路、国道、省道两侧的直观可视范围内进行露天开采），重要工业区、大型水利工程设施、城镇市政工程设施所在区域，军事管理区、机场、国防工程设施圈定的区域</w:t>
            </w:r>
            <w:r>
              <w:rPr>
                <w:rFonts w:hint="eastAsia" w:ascii="Times New Roman" w:hAnsi="Times New Roman" w:eastAsia="华文中宋" w:cs="Times New Roman"/>
                <w:szCs w:val="21"/>
                <w:lang w:eastAsia="zh-CN"/>
              </w:rPr>
              <w:t>，</w:t>
            </w:r>
            <w:r>
              <w:rPr>
                <w:rFonts w:hint="eastAsia" w:ascii="Times New Roman" w:hAnsi="Times New Roman" w:eastAsia="华文中宋" w:cs="Times New Roman"/>
                <w:szCs w:val="21"/>
              </w:rPr>
              <w:t>居民聚集区1千米以内，伊犁河、额尔齐斯河等重点河流源头区，国家及自治区划定的重点流域Ⅰ、Ⅱ类和有饮用水取水口的Ⅲ类水体上游岸边1千米以内、</w:t>
            </w:r>
            <w:r>
              <w:rPr>
                <w:rFonts w:hint="eastAsia" w:ascii="Times New Roman" w:hAnsi="Times New Roman" w:eastAsia="华文中宋" w:cs="Times New Roman"/>
                <w:szCs w:val="21"/>
                <w:lang w:eastAsia="zh-CN"/>
              </w:rPr>
              <w:t>其他</w:t>
            </w:r>
            <w:r>
              <w:rPr>
                <w:rFonts w:hint="eastAsia" w:ascii="Times New Roman" w:hAnsi="Times New Roman" w:eastAsia="华文中宋" w:cs="Times New Roman"/>
                <w:szCs w:val="21"/>
              </w:rPr>
              <w:t>Ⅲ类水体岸边200米以内，原则上不得建设涉及汞、镉、铬、铅、砷等重有色金属矿采选的工业场地、露天矿或尾矿库。存在山体等阻隔地形或建设人工地下水阻隔设施和严格防尘措施的，可适当放宽距离要求，具体根据专业机构论证结论确定。其他水体根据矿产资源开发利用结论和环境影响评价结论管控</w:t>
            </w:r>
            <w:r>
              <w:rPr>
                <w:rFonts w:hint="eastAsia" w:ascii="Times New Roman" w:hAnsi="Times New Roman" w:eastAsia="华文中宋" w:cs="Times New Roman"/>
                <w:szCs w:val="21"/>
                <w:lang w:eastAsia="zh-CN"/>
              </w:rPr>
              <w:t>。</w:t>
            </w:r>
          </w:p>
        </w:tc>
        <w:tc>
          <w:tcPr>
            <w:tcW w:w="2791" w:type="dxa"/>
            <w:vAlign w:val="center"/>
          </w:tcPr>
          <w:p w14:paraId="21DF0BE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本项目</w:t>
            </w:r>
            <w:r>
              <w:rPr>
                <w:rFonts w:hint="eastAsia" w:ascii="Times New Roman" w:hAnsi="Times New Roman" w:eastAsia="华文中宋" w:cs="Times New Roman"/>
                <w:szCs w:val="21"/>
                <w:lang w:val="en-US" w:eastAsia="zh-CN"/>
              </w:rPr>
              <w:t>位于民丰县城170°方向、直距约140千米处，海拔5000m以上，矿区周边无铁路、高速公路、国道、省道等重要交通干线，</w:t>
            </w:r>
            <w:r>
              <w:rPr>
                <w:rFonts w:hint="default" w:ascii="Times New Roman" w:hAnsi="Times New Roman" w:eastAsia="华文中宋" w:cs="Times New Roman"/>
                <w:szCs w:val="21"/>
                <w:lang w:val="en-US" w:eastAsia="zh-CN"/>
              </w:rPr>
              <w:t>无常年地表径流，仅在气温较暖时地表浅沟内出现短暂融雪性汇水</w:t>
            </w:r>
            <w:r>
              <w:rPr>
                <w:rFonts w:hint="eastAsia" w:ascii="Times New Roman" w:hAnsi="Times New Roman" w:eastAsia="华文中宋" w:cs="Times New Roman"/>
                <w:szCs w:val="21"/>
                <w:lang w:val="en-US" w:eastAsia="zh-CN"/>
              </w:rPr>
              <w:t>，项目区周边无重点流域河流，无具有饮用水取水口水体，项目距离东侧盼水河支流距离600m</w:t>
            </w:r>
            <w:r>
              <w:rPr>
                <w:rFonts w:hint="default" w:ascii="Times New Roman" w:hAnsi="Times New Roman" w:eastAsia="华文中宋" w:cs="Times New Roman"/>
                <w:szCs w:val="21"/>
                <w:lang w:val="en-US" w:eastAsia="zh-CN"/>
              </w:rPr>
              <w:t>。项目区</w:t>
            </w:r>
            <w:r>
              <w:rPr>
                <w:rFonts w:hint="eastAsia" w:ascii="Times New Roman" w:hAnsi="Times New Roman" w:eastAsia="华文中宋" w:cs="Times New Roman"/>
                <w:szCs w:val="21"/>
                <w:lang w:val="en-US" w:eastAsia="zh-CN"/>
              </w:rPr>
              <w:t>周边</w:t>
            </w:r>
            <w:r>
              <w:rPr>
                <w:rFonts w:hint="default" w:ascii="Times New Roman" w:hAnsi="Times New Roman" w:eastAsia="华文中宋" w:cs="Times New Roman"/>
                <w:szCs w:val="21"/>
                <w:lang w:val="en-US" w:eastAsia="zh-CN"/>
              </w:rPr>
              <w:t>无重要工业区、大型水利工程设施、城镇市政工程设施所在区域，军事管理区、机场、国防工程设施圈定的区域，居民聚集区以及重要河流和具有饮用功能的河流。</w:t>
            </w:r>
          </w:p>
        </w:tc>
        <w:tc>
          <w:tcPr>
            <w:tcW w:w="685" w:type="dxa"/>
            <w:vAlign w:val="center"/>
          </w:tcPr>
          <w:p w14:paraId="0BD0B78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符合</w:t>
            </w:r>
          </w:p>
        </w:tc>
      </w:tr>
      <w:tr w14:paraId="15C50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vAlign w:val="center"/>
          </w:tcPr>
          <w:p w14:paraId="3324276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8</w:t>
            </w:r>
          </w:p>
        </w:tc>
        <w:tc>
          <w:tcPr>
            <w:tcW w:w="4524" w:type="dxa"/>
            <w:vAlign w:val="center"/>
          </w:tcPr>
          <w:p w14:paraId="6526952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应对采矿废石等固体废物采取回填、筑路、制作建筑材料等方式资源综合利用，提高综合利用率。无法利用的必须使用专用场所堆放，并采取有效措施防止二次环境污染及诱发次生地质灾害，固体废物处置率100%。废石堆场按《一般工业固体废物贮存和填埋污染控制标准》</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GB18599</w:t>
            </w:r>
            <w:r>
              <w:rPr>
                <w:rFonts w:hint="eastAsia" w:ascii="Times New Roman" w:hAnsi="Times New Roman" w:eastAsia="华文中宋" w:cs="Times New Roman"/>
                <w:szCs w:val="21"/>
                <w:lang w:val="en-US" w:eastAsia="zh-CN"/>
              </w:rPr>
              <w:t>-2020）</w:t>
            </w:r>
            <w:r>
              <w:rPr>
                <w:rFonts w:hint="default" w:ascii="Times New Roman" w:hAnsi="Times New Roman" w:eastAsia="华文中宋" w:cs="Times New Roman"/>
                <w:szCs w:val="21"/>
                <w:lang w:val="en-US" w:eastAsia="zh-CN"/>
              </w:rPr>
              <w:t>要求建设。生活垃圾实现100%无害化处置。</w:t>
            </w:r>
          </w:p>
        </w:tc>
        <w:tc>
          <w:tcPr>
            <w:tcW w:w="2791" w:type="dxa"/>
            <w:vAlign w:val="center"/>
          </w:tcPr>
          <w:p w14:paraId="51B0566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据本项目废石毒性浸出试验报告，本项目废石属于Ⅰ类一般工业固体废物。</w:t>
            </w:r>
            <w:r>
              <w:rPr>
                <w:rFonts w:hint="eastAsia" w:ascii="Times New Roman" w:hAnsi="Times New Roman" w:eastAsia="华文中宋" w:cs="Times New Roman"/>
                <w:szCs w:val="21"/>
                <w:lang w:val="en-US" w:eastAsia="zh-CN"/>
              </w:rPr>
              <w:t>开采期间贮存于矿区废石堆放场，</w:t>
            </w:r>
            <w:r>
              <w:rPr>
                <w:rFonts w:hint="default" w:ascii="Times New Roman" w:hAnsi="Times New Roman" w:eastAsia="华文中宋" w:cs="Times New Roman"/>
                <w:szCs w:val="21"/>
                <w:lang w:val="en-US" w:eastAsia="zh-CN"/>
              </w:rPr>
              <w:t>废石堆场执行《一般工业固体废物贮存和填埋污染控制标准》（GB 18599-2020）中Ⅰ类堆场规定。</w:t>
            </w:r>
            <w:r>
              <w:rPr>
                <w:rFonts w:hint="eastAsia"/>
                <w:lang w:val="en-US" w:eastAsia="zh-CN"/>
              </w:rPr>
              <w:t>项目北露天采场开采废石堆放在废石堆放场，南露天采场废石直接回填至北露天采场矿坑内，多余废石堆存在废石堆放场</w:t>
            </w:r>
            <w:r>
              <w:rPr>
                <w:rFonts w:hint="eastAsia" w:ascii="Times New Roman" w:hAnsi="Times New Roman" w:eastAsia="华文中宋" w:cs="Times New Roman"/>
                <w:szCs w:val="21"/>
                <w:lang w:val="en-US" w:eastAsia="zh-CN"/>
              </w:rPr>
              <w:t>。生活垃圾定期拉运至民丰县生活垃圾填埋场处置。固体废物处置率满足要求。</w:t>
            </w:r>
          </w:p>
        </w:tc>
        <w:tc>
          <w:tcPr>
            <w:tcW w:w="685" w:type="dxa"/>
            <w:vAlign w:val="center"/>
          </w:tcPr>
          <w:p w14:paraId="60AB52A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符合</w:t>
            </w:r>
          </w:p>
        </w:tc>
      </w:tr>
      <w:tr w14:paraId="4D31F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vAlign w:val="center"/>
          </w:tcPr>
          <w:p w14:paraId="0BB6FE7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9</w:t>
            </w:r>
          </w:p>
        </w:tc>
        <w:tc>
          <w:tcPr>
            <w:tcW w:w="4524" w:type="dxa"/>
            <w:vAlign w:val="center"/>
          </w:tcPr>
          <w:p w14:paraId="1984749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按照“减量化、资源化、无害化”原则，对固体废物进行分类收集、规范处置。铸造生产企业厂内设置专门场所定点存放各类固体废物。废砂、废渣等一般工业固体废物贮存、处置应达到《一般工业固体废物贮存和填埋污染控制标准》（GB18599</w:t>
            </w:r>
            <w:r>
              <w:rPr>
                <w:rFonts w:hint="eastAsia" w:ascii="Times New Roman" w:hAnsi="Times New Roman" w:eastAsia="华文中宋" w:cs="Times New Roman"/>
                <w:szCs w:val="21"/>
                <w:lang w:val="en-US" w:eastAsia="zh-CN"/>
              </w:rPr>
              <w:t>-2020</w:t>
            </w:r>
            <w:r>
              <w:rPr>
                <w:rFonts w:hint="default" w:ascii="Times New Roman" w:hAnsi="Times New Roman" w:eastAsia="华文中宋" w:cs="Times New Roman"/>
                <w:szCs w:val="21"/>
                <w:lang w:val="en-US" w:eastAsia="zh-CN"/>
              </w:rPr>
              <w:t>）要求，并按《一般工业固体废物管理台账制定指南（试行）》（生态环境部公告 2021年第82号）要求进行管理。危险废物应就近安全处置，危险废物贮存、转移、处置应满足《危险废物转移管理办法</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危险废物管理计划和管理台账制定技术导则》（HJ 1259</w:t>
            </w:r>
            <w:r>
              <w:rPr>
                <w:rFonts w:hint="eastAsia" w:ascii="Times New Roman" w:hAnsi="Times New Roman" w:eastAsia="华文中宋" w:cs="Times New Roman"/>
                <w:szCs w:val="21"/>
                <w:lang w:val="en-US" w:eastAsia="zh-CN"/>
              </w:rPr>
              <w:t>-2022</w:t>
            </w:r>
            <w:r>
              <w:rPr>
                <w:rFonts w:hint="default" w:ascii="Times New Roman" w:hAnsi="Times New Roman" w:eastAsia="华文中宋" w:cs="Times New Roman"/>
                <w:szCs w:val="21"/>
                <w:lang w:val="en-US" w:eastAsia="zh-CN"/>
              </w:rPr>
              <w:t>）、《危险废物贮存污染控制标准》（GB18597</w:t>
            </w:r>
            <w:r>
              <w:rPr>
                <w:rFonts w:hint="eastAsia" w:ascii="Times New Roman" w:hAnsi="Times New Roman" w:eastAsia="华文中宋" w:cs="Times New Roman"/>
                <w:szCs w:val="21"/>
                <w:lang w:val="en-US" w:eastAsia="zh-CN"/>
              </w:rPr>
              <w:t>-2023</w:t>
            </w:r>
            <w:r>
              <w:rPr>
                <w:rFonts w:hint="default" w:ascii="Times New Roman" w:hAnsi="Times New Roman" w:eastAsia="华文中宋" w:cs="Times New Roman"/>
                <w:szCs w:val="21"/>
                <w:lang w:val="en-US" w:eastAsia="zh-CN"/>
              </w:rPr>
              <w:t>）等要求，并严格落实危险废物转移管理要求，不能综合利用的危险废物应交有相应资质的危险废物处置单位无害化处置。</w:t>
            </w:r>
          </w:p>
        </w:tc>
        <w:tc>
          <w:tcPr>
            <w:tcW w:w="2791" w:type="dxa"/>
            <w:vAlign w:val="center"/>
          </w:tcPr>
          <w:p w14:paraId="6ECE007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露天阶段采剥岩土和废石逐个回填上一个采坑，利用率基本达到100%。本项目废石为Ⅰ类一般固废，其防渗性能应至少相当于渗透系数为1.0×10</w:t>
            </w:r>
            <w:r>
              <w:rPr>
                <w:rFonts w:hint="eastAsia" w:ascii="Times New Roman" w:hAnsi="Times New Roman" w:eastAsia="华文中宋" w:cs="Times New Roman"/>
                <w:szCs w:val="21"/>
                <w:vertAlign w:val="superscript"/>
                <w:lang w:val="en-US" w:eastAsia="zh-CN"/>
              </w:rPr>
              <w:t>-</w:t>
            </w:r>
            <w:r>
              <w:rPr>
                <w:rFonts w:hint="default" w:ascii="Times New Roman" w:hAnsi="Times New Roman" w:eastAsia="华文中宋" w:cs="Times New Roman"/>
                <w:szCs w:val="21"/>
                <w:vertAlign w:val="superscript"/>
                <w:lang w:val="en-US" w:eastAsia="zh-CN"/>
              </w:rPr>
              <w:t>5</w:t>
            </w:r>
            <w:r>
              <w:rPr>
                <w:rFonts w:hint="default" w:ascii="Times New Roman" w:hAnsi="Times New Roman" w:eastAsia="华文中宋" w:cs="Times New Roman"/>
                <w:szCs w:val="21"/>
                <w:lang w:val="en-US" w:eastAsia="zh-CN"/>
              </w:rPr>
              <w:t>cm/s且厚度为0.75m的天然基础层。符合《一般工业固体废物贮存和填埋污染控制标准》（GB18599-202</w:t>
            </w:r>
            <w:r>
              <w:rPr>
                <w:rFonts w:hint="eastAsia" w:ascii="Times New Roman" w:hAnsi="Times New Roman" w:eastAsia="华文中宋" w:cs="Times New Roman"/>
                <w:szCs w:val="21"/>
                <w:lang w:val="en-US" w:eastAsia="zh-CN"/>
              </w:rPr>
              <w:t>0</w:t>
            </w:r>
            <w:r>
              <w:rPr>
                <w:rFonts w:hint="default" w:ascii="Times New Roman" w:hAnsi="Times New Roman" w:eastAsia="华文中宋" w:cs="Times New Roman"/>
                <w:szCs w:val="21"/>
                <w:lang w:val="en-US" w:eastAsia="zh-CN"/>
              </w:rPr>
              <w:t>）Ⅰ类场设置要求。废机油贮存在危废暂存库内，定期由</w:t>
            </w:r>
            <w:r>
              <w:rPr>
                <w:rFonts w:hint="eastAsia" w:ascii="Times New Roman" w:hAnsi="Times New Roman" w:eastAsia="华文中宋" w:cs="Times New Roman"/>
                <w:szCs w:val="21"/>
                <w:lang w:val="en-US" w:eastAsia="zh-CN"/>
              </w:rPr>
              <w:t>有资质单位定期拉运</w:t>
            </w:r>
            <w:r>
              <w:rPr>
                <w:rFonts w:hint="default" w:ascii="Times New Roman" w:hAnsi="Times New Roman" w:eastAsia="华文中宋" w:cs="Times New Roman"/>
                <w:szCs w:val="21"/>
                <w:lang w:val="en-US" w:eastAsia="zh-CN"/>
              </w:rPr>
              <w:t>处理。生活垃圾拉运至当地环卫指定填埋场进行填埋处理。</w:t>
            </w:r>
          </w:p>
        </w:tc>
        <w:tc>
          <w:tcPr>
            <w:tcW w:w="685" w:type="dxa"/>
            <w:vAlign w:val="center"/>
          </w:tcPr>
          <w:p w14:paraId="1D6C372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符合</w:t>
            </w:r>
          </w:p>
        </w:tc>
      </w:tr>
    </w:tbl>
    <w:p w14:paraId="013265C2">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分析表1.3-</w:t>
      </w:r>
      <w:r>
        <w:rPr>
          <w:rFonts w:hint="eastAsia" w:ascii="Times New Roman" w:hAnsi="Times New Roman" w:cs="Times New Roman"/>
          <w:color w:val="auto"/>
          <w:lang w:val="en-US" w:eastAsia="zh-CN"/>
        </w:rPr>
        <w:t>8</w:t>
      </w:r>
      <w:r>
        <w:rPr>
          <w:rFonts w:hint="default" w:ascii="Times New Roman" w:hAnsi="Times New Roman" w:cs="Times New Roman"/>
          <w:color w:val="auto"/>
          <w:lang w:val="en-US" w:eastAsia="zh-CN"/>
        </w:rPr>
        <w:t>可知，该项目的开发符合《新疆维吾尔自治区重点行业</w:t>
      </w:r>
      <w:r>
        <w:rPr>
          <w:rFonts w:hint="eastAsia" w:ascii="Times New Roman" w:hAnsi="Times New Roman" w:cs="Times New Roman"/>
          <w:color w:val="auto"/>
          <w:lang w:val="en-US" w:eastAsia="zh-CN"/>
        </w:rPr>
        <w:t>生态</w:t>
      </w:r>
      <w:r>
        <w:rPr>
          <w:rFonts w:hint="default" w:ascii="Times New Roman" w:hAnsi="Times New Roman" w:cs="Times New Roman"/>
          <w:color w:val="auto"/>
          <w:lang w:val="en-US" w:eastAsia="zh-CN"/>
        </w:rPr>
        <w:t>环境准入条件（</w:t>
      </w:r>
      <w:r>
        <w:rPr>
          <w:rFonts w:hint="eastAsia" w:ascii="Times New Roman" w:hAnsi="Times New Roman" w:cs="Times New Roman"/>
          <w:color w:val="auto"/>
          <w:lang w:val="en-US" w:eastAsia="zh-CN"/>
        </w:rPr>
        <w:t>2024年</w:t>
      </w:r>
      <w:r>
        <w:rPr>
          <w:rFonts w:hint="default" w:ascii="Times New Roman" w:hAnsi="Times New Roman" w:cs="Times New Roman"/>
          <w:color w:val="auto"/>
          <w:lang w:val="en-US" w:eastAsia="zh-CN"/>
        </w:rPr>
        <w:t>）》内容要求。</w:t>
      </w:r>
    </w:p>
    <w:p w14:paraId="651F41B8">
      <w:pPr>
        <w:pStyle w:val="24"/>
        <w:snapToGrid w:val="0"/>
        <w:ind w:left="0" w:leftChars="0" w:firstLine="0" w:firstLineChars="0"/>
        <w:jc w:val="left"/>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1.3.4.4</w:t>
      </w:r>
      <w:r>
        <w:rPr>
          <w:rFonts w:hint="default" w:ascii="Times New Roman" w:hAnsi="Times New Roman" w:cs="Times New Roman"/>
          <w:b/>
          <w:bCs/>
          <w:color w:val="auto"/>
          <w:lang w:val="en-US" w:eastAsia="zh-CN"/>
        </w:rPr>
        <w:t>与《关于进一步加强重金属污染防控的意见》符合性分析</w:t>
      </w:r>
    </w:p>
    <w:p w14:paraId="0C9C9EB2">
      <w:pPr>
        <w:pStyle w:val="24"/>
        <w:snapToGrid w:val="0"/>
        <w:jc w:val="left"/>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r>
        <w:rPr>
          <w:rFonts w:hint="default" w:ascii="Times New Roman" w:hAnsi="Times New Roman" w:cs="Times New Roman"/>
          <w:color w:val="auto"/>
          <w:lang w:val="en-US" w:eastAsia="zh-CN"/>
        </w:rPr>
        <w:t>文件规定：</w:t>
      </w:r>
    </w:p>
    <w:p w14:paraId="16DC0CD3">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①防控重点</w:t>
      </w:r>
    </w:p>
    <w:p w14:paraId="5ABE62A3">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重点重金属污染物。重点防控的重金属污染物是铅、汞、镉、铬、砷、铊和锑，并对铅、汞、镉、铬和砷五种重点重金属污染物排放量实施总量控制。</w:t>
      </w:r>
    </w:p>
    <w:p w14:paraId="7CDA701C">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重点行业：包括重有色金属矿采选业（铜、铅锌、镍钴、锡、锑和汞矿采选），重有色金属冶炼业（铜、铅锌、镍钴、锡、锑和汞冶炼），铅蓄电池制造业，电镀行业，化学原料及化学制品制造业（电石法聚氯乙烯制造、铬盐制造、以工业固体废物为原料的锌无机化合物工业），皮革鞣制加工业等6个行业。</w:t>
      </w:r>
    </w:p>
    <w:p w14:paraId="2B8055B4">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重点区域：依据重金属污染物排放状况、环境质量改善和环境风险防控需求，划定重金属污染防控重点区域。</w:t>
      </w:r>
    </w:p>
    <w:p w14:paraId="5B109012">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鼓励地方根据本地生态环境质量改善目标和重金属污染状况，确定上述要求以外的重点重金属污染物、重点行业和重点区域。</w:t>
      </w:r>
    </w:p>
    <w:p w14:paraId="6763FA36">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②严格准入，优化涉重金属产业结构和布局</w:t>
      </w:r>
    </w:p>
    <w:p w14:paraId="1E8F0CDB">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严格重点行业企业准入管理。新、改、扩建重点行业建设项目应符合</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三线一单</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、产业政策、区域环评、规划环评和行业环境准入管控要求。重点区域的新、改、扩建重点行业建设项目应遵循重点重金属污染物排放</w:t>
      </w:r>
      <w:r>
        <w:rPr>
          <w:rFonts w:hint="eastAsia" w:ascii="Times New Roman" w:hAnsi="Times New Roman" w:cs="Times New Roman"/>
          <w:color w:val="auto"/>
          <w:lang w:val="en-US" w:eastAsia="zh-CN"/>
        </w:rPr>
        <w:t>“减量替代”</w:t>
      </w:r>
      <w:r>
        <w:rPr>
          <w:rFonts w:hint="default" w:ascii="Times New Roman" w:hAnsi="Times New Roman" w:cs="Times New Roman"/>
          <w:color w:val="auto"/>
          <w:lang w:val="en-US" w:eastAsia="zh-CN"/>
        </w:rPr>
        <w:t>原则，减量替代比例不低于1.2:1；其他区域遵循</w:t>
      </w:r>
      <w:r>
        <w:rPr>
          <w:rFonts w:hint="eastAsia" w:ascii="Times New Roman" w:hAnsi="Times New Roman" w:cs="Times New Roman"/>
          <w:color w:val="auto"/>
          <w:lang w:val="en-US" w:eastAsia="zh-CN"/>
        </w:rPr>
        <w:t>“等量替代”</w:t>
      </w:r>
      <w:r>
        <w:rPr>
          <w:rFonts w:hint="default" w:ascii="Times New Roman" w:hAnsi="Times New Roman" w:cs="Times New Roman"/>
          <w:color w:val="auto"/>
          <w:lang w:val="en-US" w:eastAsia="zh-CN"/>
        </w:rPr>
        <w:t>原则。建设单位在提交环境影响评价文件时应明确重点重金属污染物排放总量及来源。无明确具体总量来源的，各级生态环境部门不得批准相关环境影响评价文件。总量来源原则上应是同一重点行业内企业削减的重点重金属污染物排放量，与同一重点行业内企业。</w:t>
      </w:r>
    </w:p>
    <w:p w14:paraId="49A02D2C">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削减量无法满足时可从其他重点行业调剂。严格重点行业建设项目环境影响评价审批，审慎下放审批权限，不得以改革试点为名降低审批要求。</w:t>
      </w:r>
    </w:p>
    <w:p w14:paraId="23B405B8">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依法推动落后产能退出。根据《产业结构调整指导目录》《限期淘汰产生严重污染环境的工业固体废物的落后生产工艺设备名录》等要求，推动依法淘汰涉重金属落后产能和化解过剩产能。严格执行生态环境保护等相关法规标准，推动经整改仍达不到要求的产能依法依规关闭退出。</w:t>
      </w:r>
    </w:p>
    <w:p w14:paraId="1CB06332">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优化重点行业企业布局。推动涉重金属产业集中优化发展，禁止低端落后产能向长江、黄河中上游地区转移。禁止新建用汞的电石法（聚）氯乙烯生产工艺。新建、扩建的有色金属冶炼、电镀、制革企业优先选择布设在依法合规设立并经规划环评的产业园区。广东、江苏、辽宁、山东、河北等省份加快推进专业电镀企业入园，力争到2025年底专业电镀企业入园率达到75%。</w:t>
      </w:r>
    </w:p>
    <w:p w14:paraId="3FA4DCC2">
      <w:pPr>
        <w:pStyle w:val="24"/>
        <w:snapToGrid w:val="0"/>
        <w:jc w:val="left"/>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w:t>
      </w:r>
      <w:r>
        <w:rPr>
          <w:rFonts w:hint="default" w:ascii="Times New Roman" w:hAnsi="Times New Roman" w:cs="Times New Roman"/>
          <w:color w:val="auto"/>
          <w:lang w:val="en-US" w:eastAsia="zh-CN"/>
        </w:rPr>
        <w:t>分析：</w:t>
      </w:r>
    </w:p>
    <w:p w14:paraId="0037C196">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本项目为锑</w:t>
      </w:r>
      <w:r>
        <w:rPr>
          <w:rFonts w:hint="eastAsia" w:ascii="Times New Roman" w:hAnsi="Times New Roman" w:cs="Times New Roman"/>
          <w:color w:val="auto"/>
          <w:lang w:val="en-US" w:eastAsia="zh-CN"/>
        </w:rPr>
        <w:t>铅</w:t>
      </w:r>
      <w:r>
        <w:rPr>
          <w:rFonts w:hint="default" w:ascii="Times New Roman" w:hAnsi="Times New Roman" w:cs="Times New Roman"/>
          <w:color w:val="auto"/>
          <w:lang w:val="en-US" w:eastAsia="zh-CN"/>
        </w:rPr>
        <w:t>矿开采，属于文件规定的重点行业，属于文件中重点防控的重金属污染物，</w:t>
      </w:r>
      <w:r>
        <w:rPr>
          <w:rFonts w:hint="eastAsia" w:ascii="Times New Roman" w:hAnsi="Times New Roman" w:cs="Times New Roman"/>
          <w:color w:val="auto"/>
          <w:lang w:val="en-US" w:eastAsia="zh-CN"/>
        </w:rPr>
        <w:t>本项目不涉及选矿等建设内容，无选矿废水产生。运营期废气主要为无组织颗粒物、铅及其化合物，生产废水主要为矿坑水，经集水池收集后全部自然蒸发，不外排。项目生产过程中北露天采场开采废石堆放在废石堆放场，南露天采场废石直接回填至北露天采场矿坑内，多余废石堆存在废石堆放场。废石全部在矿区内存储利用，不向外部环境排放；项目产生铅及其化合物应</w:t>
      </w:r>
      <w:r>
        <w:rPr>
          <w:rFonts w:hint="default" w:ascii="Times New Roman" w:hAnsi="Times New Roman" w:cs="Times New Roman"/>
          <w:color w:val="auto"/>
          <w:lang w:val="en-US" w:eastAsia="zh-CN"/>
        </w:rPr>
        <w:t>遵循</w:t>
      </w:r>
      <w:r>
        <w:rPr>
          <w:rFonts w:hint="eastAsia" w:ascii="Times New Roman" w:hAnsi="Times New Roman" w:cs="Times New Roman"/>
          <w:color w:val="auto"/>
          <w:lang w:val="en-US" w:eastAsia="zh-CN"/>
        </w:rPr>
        <w:t>“等量替代”</w:t>
      </w:r>
      <w:r>
        <w:rPr>
          <w:rFonts w:hint="default" w:ascii="Times New Roman" w:hAnsi="Times New Roman" w:cs="Times New Roman"/>
          <w:color w:val="auto"/>
          <w:lang w:val="en-US" w:eastAsia="zh-CN"/>
        </w:rPr>
        <w:t>原则</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对比自治区</w:t>
      </w:r>
      <w:r>
        <w:rPr>
          <w:rFonts w:hint="eastAsia" w:ascii="Times New Roman" w:hAnsi="Times New Roman" w:cs="Times New Roman"/>
          <w:color w:val="auto"/>
          <w:lang w:val="en-US" w:eastAsia="zh-CN"/>
        </w:rPr>
        <w:t>“三线一单”</w:t>
      </w:r>
      <w:r>
        <w:rPr>
          <w:rFonts w:hint="default" w:ascii="Times New Roman" w:hAnsi="Times New Roman" w:cs="Times New Roman"/>
          <w:color w:val="auto"/>
          <w:lang w:val="en-US" w:eastAsia="zh-CN"/>
        </w:rPr>
        <w:t>和和田地区</w:t>
      </w:r>
      <w:r>
        <w:rPr>
          <w:rFonts w:hint="eastAsia" w:ascii="Times New Roman" w:hAnsi="Times New Roman" w:cs="Times New Roman"/>
          <w:color w:val="auto"/>
          <w:lang w:val="en-US" w:eastAsia="zh-CN"/>
        </w:rPr>
        <w:t>“三线一单”</w:t>
      </w:r>
      <w:r>
        <w:rPr>
          <w:rFonts w:hint="default" w:ascii="Times New Roman" w:hAnsi="Times New Roman" w:cs="Times New Roman"/>
          <w:color w:val="auto"/>
          <w:lang w:val="en-US" w:eastAsia="zh-CN"/>
        </w:rPr>
        <w:t>，本项目区不属于文件中的重点区域。故本项目建设符合《关于进一步加强重金属污染防控的意见》规定。</w:t>
      </w:r>
    </w:p>
    <w:p w14:paraId="41012F81">
      <w:pPr>
        <w:pStyle w:val="24"/>
        <w:snapToGrid w:val="0"/>
        <w:ind w:left="0" w:leftChars="0" w:firstLine="0" w:firstLineChars="0"/>
        <w:jc w:val="left"/>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1.3.4.5与《新疆维吾尔自治区重金属污染防控工作方案》的符合性分析</w:t>
      </w:r>
    </w:p>
    <w:p w14:paraId="3DC32111">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新疆维吾尔自治区根据自治区实际，结合《关于进一步加强重金属污染防控的意见》(环固体</w:t>
      </w:r>
      <w:r>
        <w:rPr>
          <w:rFonts w:hint="eastAsia" w:ascii="Times New Roman" w:hAnsi="Times New Roman" w:cs="Times New Roman"/>
          <w:color w:val="auto"/>
          <w:lang w:val="en-US" w:eastAsia="zh-CN"/>
        </w:rPr>
        <w:t>〔2022〕17号）</w:t>
      </w:r>
      <w:r>
        <w:rPr>
          <w:rFonts w:hint="default" w:ascii="Times New Roman" w:hAnsi="Times New Roman" w:cs="Times New Roman"/>
          <w:color w:val="auto"/>
          <w:lang w:val="en-US" w:eastAsia="zh-CN"/>
        </w:rPr>
        <w:t>，制定了《新疆维吾尔自治区重金属污染防控工作方案》</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新环固体发</w:t>
      </w:r>
      <w:r>
        <w:rPr>
          <w:rFonts w:hint="eastAsia" w:ascii="Times New Roman" w:hAnsi="Times New Roman" w:cs="Times New Roman"/>
          <w:color w:val="auto"/>
          <w:lang w:val="en-US" w:eastAsia="zh-CN"/>
        </w:rPr>
        <w:t>〔2022〕88号）</w:t>
      </w:r>
      <w:r>
        <w:rPr>
          <w:rFonts w:hint="default" w:ascii="Times New Roman" w:hAnsi="Times New Roman" w:cs="Times New Roman"/>
          <w:color w:val="auto"/>
          <w:lang w:val="en-US" w:eastAsia="zh-CN"/>
        </w:rPr>
        <w:t>，确定重金属污染防控重点如下</w:t>
      </w:r>
      <w:r>
        <w:rPr>
          <w:rFonts w:hint="eastAsia" w:ascii="Times New Roman" w:hAnsi="Times New Roman" w:cs="Times New Roman"/>
          <w:color w:val="auto"/>
          <w:lang w:val="en-US" w:eastAsia="zh-CN"/>
        </w:rPr>
        <w:t>：</w:t>
      </w:r>
    </w:p>
    <w:p w14:paraId="60FD7C46">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重点重金属污染物。重点防控的重金属污染物是铅、汞、镉、铬、砷、铊和锑，并对铅、汞、镉、铬和</w:t>
      </w:r>
      <w:r>
        <w:rPr>
          <w:rFonts w:hint="eastAsia" w:ascii="Times New Roman" w:hAnsi="Times New Roman" w:cs="Times New Roman"/>
          <w:color w:val="auto"/>
          <w:lang w:val="en-US" w:eastAsia="zh-CN"/>
        </w:rPr>
        <w:t>砷</w:t>
      </w:r>
      <w:r>
        <w:rPr>
          <w:rFonts w:hint="default" w:ascii="Times New Roman" w:hAnsi="Times New Roman" w:cs="Times New Roman"/>
          <w:color w:val="auto"/>
          <w:lang w:val="en-US" w:eastAsia="zh-CN"/>
        </w:rPr>
        <w:t>五种重点重金属污染物排放量实施总量控制。</w:t>
      </w:r>
    </w:p>
    <w:p w14:paraId="702199BE">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严格重点行业企业准入管理。新、改、扩建重点行业建设项目应符合“三线一</w:t>
      </w:r>
      <w:r>
        <w:rPr>
          <w:rFonts w:hint="default" w:ascii="Times New Roman" w:hAnsi="Times New Roman" w:cs="Times New Roman"/>
          <w:color w:val="auto"/>
          <w:highlight w:val="none"/>
          <w:lang w:val="en-US" w:eastAsia="zh-CN"/>
        </w:rPr>
        <w:t>单”、产业政策、区域环评、规划环评和行业环境准入管控要求，遵循重点重金属污染物排放“等量替代”原则。建设单位在提交环境影响评价文件时应明确重点</w:t>
      </w:r>
      <w:r>
        <w:rPr>
          <w:rFonts w:hint="default" w:ascii="Times New Roman" w:hAnsi="Times New Roman" w:cs="Times New Roman"/>
          <w:color w:val="auto"/>
          <w:lang w:val="en-US" w:eastAsia="zh-CN"/>
        </w:rPr>
        <w:t>重金属污染物排放总量及来源。</w:t>
      </w:r>
    </w:p>
    <w:p w14:paraId="42CB04AD">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加强重点行业企业清洁生产改造。加强重点行业清洁生产工艺的开发和应用</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到 2025 年底，重点行业企业基本达到国内清洁生产先进水平</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加大重有色金属冶炼行业企业生产工艺设备清洁生产改造力度，积极推动竖罐炼锌设备替代改造和铜冶炼转炉吹炼工艺提升改造。</w:t>
      </w:r>
    </w:p>
    <w:p w14:paraId="58346453">
      <w:pPr>
        <w:pStyle w:val="24"/>
        <w:snapToGrid w:val="0"/>
        <w:jc w:val="left"/>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本项目属于铅锑矿开采项目，在开采过程中会产生重金属粉尘铅及其化合物，属于重点重金属污染物，需进行总量控制。项目清洁生产水平可达到国内清洁生产先进水平。通过强化企业管理，严格控制无组织废气（重金属）污染物的排放，实现废气全部达标排放。本项目严格落实重点重金属“等量替代”要求。总体上符合《新疆维吾尔自治区重金属污染防控工作方案》相关要求。</w:t>
      </w:r>
    </w:p>
    <w:p w14:paraId="0D4CD0E0">
      <w:pPr>
        <w:pStyle w:val="24"/>
        <w:snapToGrid w:val="0"/>
        <w:ind w:left="0" w:leftChars="0" w:firstLine="0" w:firstLineChars="0"/>
        <w:jc w:val="left"/>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1.3.4.6与《关于印发〈新疆维吾尔自治区重金属污染防控工作方案〉的通知》（新环固体发〔2022〕88号）的符合性分析</w:t>
      </w:r>
    </w:p>
    <w:p w14:paraId="0BB1C313">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重点行业。包括重有色金属矿采选业</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铜、铅锌、镍钴、锡、锑和汞矿采选</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、重有色金属冶炼业</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铜、铅锌、镍钴、锡、锑和汞冶炼</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、铅蓄电池制造业、电镀行业、化学原料及化学制品制造业</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电石法(聚)氯乙烯制造、铬盐制造、以工业固体废物为原料的锌无机化合物工业</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以及皮革鞣制加工业等6个行业。</w:t>
      </w:r>
    </w:p>
    <w:p w14:paraId="709024C8">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推动重金属污染深度治理。重有色金属冶炼企业应加强生产车间低空逸散烟气收集处理，有效减少无组织排放。重有色金属矿采选企业要按照规定完善废石堆场、排土场周边雨污分流设施，建设酸性废水收集与处理设施，处理达标后排放。采用洒水、旋风等简易除尘治理工艺的重有色金属矿采选企业，应加强废气收集，实施过滤除尘等颗粒物治理升级改造工程，按照国家统一部署，组织开展电镀行业重金属污染综合整治，推进专业电镀园区、专业电镀企业重金属污染深度治理，排放汞及汞化合物的企业应当采用最佳可行技术和最佳环境实践，控制并减少</w:t>
      </w:r>
      <w:r>
        <w:rPr>
          <w:rFonts w:hint="eastAsia" w:ascii="Times New Roman" w:hAnsi="Times New Roman" w:cs="Times New Roman"/>
          <w:color w:val="auto"/>
          <w:lang w:val="en-US" w:eastAsia="zh-CN"/>
        </w:rPr>
        <w:t>汞</w:t>
      </w:r>
      <w:r>
        <w:rPr>
          <w:rFonts w:hint="default" w:ascii="Times New Roman" w:hAnsi="Times New Roman" w:cs="Times New Roman"/>
          <w:color w:val="auto"/>
          <w:lang w:val="en-US" w:eastAsia="zh-CN"/>
        </w:rPr>
        <w:t>及汞化合物的排放和释放。</w:t>
      </w:r>
    </w:p>
    <w:p w14:paraId="18273429">
      <w:pPr>
        <w:pStyle w:val="24"/>
        <w:snapToGrid w:val="0"/>
        <w:jc w:val="left"/>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本项目属于铅锑矿露天开采，属于文件中规定的重点行业，根据文件要求及本项目实际情况，本项目设计在废石场上游设置截水沟，截水沟采用倒梯形断面，上宽1.0m，下底宽0.5m，深0.5m。排土场顶部及安全平台设置3%的反坡，顶部和安全平台内侧设置排水沟，排水沟采用倒梯形断面，上宽0.6m，下底宽0.3m，深0.3m。项目生活污水设置一体化污水处理设施，生活污水处理其水质可满足</w:t>
      </w:r>
      <w:r>
        <w:rPr>
          <w:rFonts w:hint="default" w:ascii="Times New Roman" w:hAnsi="Times New Roman" w:eastAsia="华文中宋" w:cs="Times New Roman"/>
          <w:color w:val="auto"/>
          <w:lang w:val="en-US" w:eastAsia="zh-CN"/>
        </w:rPr>
        <w:t>《农村生活污水处理排放标准》（DB654275-2019）表2中</w:t>
      </w:r>
      <w:r>
        <w:rPr>
          <w:rFonts w:hint="eastAsia" w:ascii="Times New Roman" w:hAnsi="Times New Roman" w:eastAsia="华文中宋" w:cs="Times New Roman"/>
          <w:color w:val="auto"/>
          <w:lang w:val="en-US" w:eastAsia="zh-CN"/>
        </w:rPr>
        <w:t>A</w:t>
      </w:r>
      <w:r>
        <w:rPr>
          <w:rFonts w:hint="default" w:ascii="Times New Roman" w:hAnsi="Times New Roman" w:eastAsia="华文中宋" w:cs="Times New Roman"/>
          <w:color w:val="auto"/>
          <w:lang w:val="en-US" w:eastAsia="zh-CN"/>
        </w:rPr>
        <w:t>级排放标准</w:t>
      </w:r>
      <w:r>
        <w:rPr>
          <w:rFonts w:hint="eastAsia" w:ascii="Times New Roman" w:hAnsi="Times New Roman" w:cs="Times New Roman"/>
          <w:color w:val="auto"/>
          <w:lang w:val="en-US" w:eastAsia="zh-CN"/>
        </w:rPr>
        <w:t>，用于矿区洒水降尘。符合《关于印发〈新疆维吾尔自治区重金属污染防控工作方案〉的通知》（新环固体发〔2022〕88号）中相关规定。</w:t>
      </w:r>
    </w:p>
    <w:p w14:paraId="0F117D72">
      <w:pPr>
        <w:pStyle w:val="3"/>
        <w:spacing w:before="120" w:after="120" w:line="500" w:lineRule="exact"/>
        <w:ind w:left="375" w:hanging="375" w:firstLineChars="0"/>
        <w:contextualSpacing/>
        <w:rPr>
          <w:rFonts w:hint="default" w:ascii="Times New Roman" w:hAnsi="Times New Roman" w:eastAsia="华文中宋" w:cs="Times New Roman"/>
          <w:snapToGrid w:val="0"/>
          <w:kern w:val="0"/>
          <w:sz w:val="28"/>
          <w:szCs w:val="28"/>
          <w:lang w:val="en-US" w:eastAsia="zh-CN"/>
        </w:rPr>
      </w:pPr>
      <w:bookmarkStart w:id="13" w:name="_Toc7370"/>
      <w:bookmarkStart w:id="14" w:name="_Toc12548"/>
      <w:r>
        <w:rPr>
          <w:rFonts w:hint="default" w:ascii="Times New Roman" w:hAnsi="Times New Roman" w:eastAsia="华文中宋" w:cs="Times New Roman"/>
          <w:snapToGrid w:val="0"/>
          <w:kern w:val="0"/>
          <w:sz w:val="28"/>
          <w:szCs w:val="28"/>
          <w:lang w:val="en-US" w:eastAsia="zh-CN"/>
        </w:rPr>
        <w:t>1.4关注的主要环境问题及环境影响</w:t>
      </w:r>
      <w:bookmarkEnd w:id="13"/>
      <w:bookmarkEnd w:id="14"/>
    </w:p>
    <w:p w14:paraId="0270C1D4">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工程为新建项目，为有色金属矿露天开采工程，关注的主要环境问题为工程施工活动中造成的环境影响，后期运营过程中产生的无组织粉尘﹑矿石及废石运输过程汽车尾气、机械噪声、生活垃圾等对周边环境造成的影响以及矿石开采过程中产生的生态影响及恢复治理。</w:t>
      </w:r>
    </w:p>
    <w:p w14:paraId="2830E8ED">
      <w:pPr>
        <w:pStyle w:val="3"/>
        <w:spacing w:before="120" w:after="120" w:line="500" w:lineRule="exact"/>
        <w:ind w:left="375" w:hanging="375" w:firstLineChars="0"/>
        <w:contextualSpacing/>
        <w:rPr>
          <w:rFonts w:hint="default" w:ascii="Times New Roman" w:hAnsi="Times New Roman" w:eastAsia="华文中宋" w:cs="Times New Roman"/>
          <w:snapToGrid w:val="0"/>
          <w:kern w:val="0"/>
          <w:sz w:val="28"/>
          <w:szCs w:val="28"/>
          <w:lang w:val="en-US" w:eastAsia="zh-CN"/>
        </w:rPr>
      </w:pPr>
      <w:bookmarkStart w:id="15" w:name="_Toc7484"/>
      <w:bookmarkStart w:id="16" w:name="_Toc8357"/>
      <w:r>
        <w:rPr>
          <w:rFonts w:hint="default" w:ascii="Times New Roman" w:hAnsi="Times New Roman" w:eastAsia="华文中宋" w:cs="Times New Roman"/>
          <w:snapToGrid w:val="0"/>
          <w:kern w:val="0"/>
          <w:sz w:val="28"/>
          <w:szCs w:val="28"/>
          <w:lang w:val="en-US" w:eastAsia="zh-CN"/>
        </w:rPr>
        <w:t>1.5环境影响报告书主要结论</w:t>
      </w:r>
      <w:bookmarkEnd w:id="15"/>
      <w:bookmarkEnd w:id="16"/>
    </w:p>
    <w:p w14:paraId="691FB4DE">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本工程</w:t>
      </w:r>
      <w:r>
        <w:rPr>
          <w:rFonts w:hint="default" w:ascii="Times New Roman" w:hAnsi="Times New Roman" w:cs="Times New Roman"/>
          <w:color w:val="auto"/>
          <w:highlight w:val="none"/>
          <w:lang w:val="en-US" w:eastAsia="zh-CN"/>
        </w:rPr>
        <w:t>的建设符合《产业结构调整指导目录（2024年本）》，本工</w:t>
      </w:r>
      <w:r>
        <w:rPr>
          <w:rFonts w:hint="default" w:ascii="Times New Roman" w:hAnsi="Times New Roman" w:cs="Times New Roman"/>
          <w:color w:val="auto"/>
          <w:lang w:val="en-US" w:eastAsia="zh-CN"/>
        </w:rPr>
        <w:t>程不属于产业政策中鼓励类、限制类和淘汰类，属于允许类，本工程的建设符合国家产业政策。项目选址与空间布局满足</w:t>
      </w:r>
      <w:r>
        <w:rPr>
          <w:rFonts w:hint="eastAsia" w:ascii="Times New Roman" w:hAnsi="Times New Roman" w:cs="Times New Roman"/>
          <w:color w:val="auto"/>
          <w:lang w:val="en-US" w:eastAsia="zh-CN"/>
        </w:rPr>
        <w:t>《关于印发〈</w:t>
      </w:r>
      <w:r>
        <w:rPr>
          <w:rFonts w:hint="default" w:ascii="Times New Roman" w:hAnsi="Times New Roman" w:cs="Times New Roman"/>
          <w:color w:val="auto"/>
          <w:lang w:val="en-US" w:eastAsia="zh-CN"/>
        </w:rPr>
        <w:t>新疆维吾尔自治区重点行业生态环境准入条件</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2024年</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的通知</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（新环环评发〔2024〕93号）的有关要求。工程建设对带动当地就业及经济发展起到了一定的积极推动作用。</w:t>
      </w:r>
    </w:p>
    <w:p w14:paraId="481017E8">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在严格落实本环评提出的各项生态保护与污染控制措施的前提下，项目产生的生态影响可得到有效控制，各类污染物可实现达标排放；经预测本工程投产后不会对周围环境产生明显生态破坏和污染影响；环境风险水平在可接受程度内；公众参与调查工作中，未收到公众对该项目的反馈意见。建设单位应加强环保设施的运行维护和管理，保证各种环保设施的正常运行和污染物长期稳定达标排放。</w:t>
      </w:r>
    </w:p>
    <w:p w14:paraId="45AD6617">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在严格落实本环评所提出各项生态保护措施和污染控制措施的前提下，从环保角度分析本项目的建设是可行的。</w:t>
      </w:r>
    </w:p>
    <w:p w14:paraId="7111C00F">
      <w:pPr>
        <w:spacing w:line="360" w:lineRule="auto"/>
      </w:pPr>
      <w:r>
        <w:rPr>
          <w:rFonts w:hint="default" w:ascii="Times New Roman" w:hAnsi="Times New Roman" w:eastAsia="宋体" w:cs="Times New Roman"/>
          <w:color w:val="auto"/>
          <w:kern w:val="2"/>
          <w:sz w:val="24"/>
          <w:szCs w:val="24"/>
          <w:lang w:val="en-US" w:eastAsia="zh-CN" w:bidi="ar-SA"/>
        </w:rPr>
        <w:br w:type="page"/>
      </w:r>
    </w:p>
    <w:p w14:paraId="69554EC7">
      <w:pPr>
        <w:pStyle w:val="2"/>
        <w:pageBreakBefore/>
        <w:spacing w:before="250" w:beforeLines="50" w:after="250" w:afterLines="50" w:line="560" w:lineRule="exact"/>
        <w:ind w:left="554" w:hanging="555" w:hangingChars="152"/>
        <w:rPr>
          <w:rFonts w:hint="default" w:ascii="Times New Roman" w:hAnsi="Times New Roman" w:eastAsia="华文中宋" w:cs="Times New Roman"/>
          <w:snapToGrid w:val="0"/>
          <w:spacing w:val="2"/>
          <w:sz w:val="36"/>
          <w:szCs w:val="44"/>
          <w:lang w:val="en-US" w:eastAsia="zh-CN"/>
        </w:rPr>
      </w:pPr>
      <w:bookmarkStart w:id="17" w:name="_Toc22730"/>
      <w:bookmarkStart w:id="18" w:name="_Toc11823"/>
      <w:r>
        <w:rPr>
          <w:rFonts w:hint="default" w:ascii="Times New Roman" w:hAnsi="Times New Roman" w:eastAsia="华文中宋" w:cs="Times New Roman"/>
          <w:snapToGrid w:val="0"/>
          <w:spacing w:val="2"/>
          <w:sz w:val="36"/>
          <w:szCs w:val="44"/>
          <w:lang w:val="en-US" w:eastAsia="zh-CN"/>
        </w:rPr>
        <w:t>2总则</w:t>
      </w:r>
      <w:bookmarkEnd w:id="17"/>
      <w:bookmarkEnd w:id="18"/>
    </w:p>
    <w:p w14:paraId="67ED65BD">
      <w:pPr>
        <w:pStyle w:val="3"/>
        <w:spacing w:before="120" w:after="120" w:line="500" w:lineRule="exact"/>
        <w:ind w:left="375" w:hanging="375" w:firstLineChars="0"/>
        <w:contextualSpacing/>
        <w:rPr>
          <w:rFonts w:hint="default" w:ascii="Times New Roman" w:hAnsi="Times New Roman" w:eastAsia="华文中宋" w:cs="Times New Roman"/>
          <w:snapToGrid w:val="0"/>
          <w:kern w:val="0"/>
          <w:sz w:val="28"/>
          <w:szCs w:val="28"/>
          <w:lang w:val="en-US" w:eastAsia="zh-CN"/>
        </w:rPr>
      </w:pPr>
      <w:bookmarkStart w:id="19" w:name="_Toc19446"/>
      <w:bookmarkStart w:id="20" w:name="_Toc18037"/>
      <w:r>
        <w:rPr>
          <w:rFonts w:hint="default" w:ascii="Times New Roman" w:hAnsi="Times New Roman" w:eastAsia="华文中宋" w:cs="Times New Roman"/>
          <w:snapToGrid w:val="0"/>
          <w:kern w:val="0"/>
          <w:sz w:val="28"/>
          <w:szCs w:val="28"/>
          <w:lang w:val="en-US" w:eastAsia="zh-CN"/>
        </w:rPr>
        <w:t>2.1评价目的与评价原则</w:t>
      </w:r>
      <w:bookmarkEnd w:id="19"/>
      <w:bookmarkEnd w:id="20"/>
    </w:p>
    <w:p w14:paraId="48C2BB10">
      <w:pPr>
        <w:pStyle w:val="4"/>
        <w:spacing w:before="120" w:after="120" w:line="500" w:lineRule="exact"/>
        <w:rPr>
          <w:rFonts w:hint="default" w:ascii="Times New Roman" w:hAnsi="Times New Roman" w:eastAsia="华文中宋" w:cs="Times New Roman"/>
          <w:kern w:val="0"/>
          <w:sz w:val="24"/>
          <w:szCs w:val="24"/>
          <w:lang w:val="en-US" w:eastAsia="zh-CN"/>
        </w:rPr>
      </w:pPr>
      <w:bookmarkStart w:id="21" w:name="_Toc10845"/>
      <w:r>
        <w:rPr>
          <w:rFonts w:hint="default" w:ascii="Times New Roman" w:hAnsi="Times New Roman" w:eastAsia="华文中宋" w:cs="Times New Roman"/>
          <w:kern w:val="0"/>
          <w:sz w:val="24"/>
          <w:szCs w:val="24"/>
          <w:lang w:val="en-US" w:eastAsia="zh-CN"/>
        </w:rPr>
        <w:t>2.1.1评价目的</w:t>
      </w:r>
      <w:bookmarkEnd w:id="21"/>
    </w:p>
    <w:p w14:paraId="2F0C3810">
      <w:pPr>
        <w:pStyle w:val="24"/>
        <w:snapToGrid w:val="0"/>
        <w:jc w:val="left"/>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为把</w:t>
      </w:r>
      <w:r>
        <w:rPr>
          <w:rFonts w:hint="eastAsia" w:ascii="Times New Roman" w:hAnsi="Times New Roman" w:cs="Times New Roman"/>
          <w:color w:val="auto"/>
          <w:lang w:val="en-US" w:eastAsia="zh-CN"/>
        </w:rPr>
        <w:t>民丰县盼水河铅锑矿工程</w:t>
      </w:r>
      <w:r>
        <w:rPr>
          <w:rFonts w:hint="default" w:ascii="Times New Roman" w:hAnsi="Times New Roman" w:cs="Times New Roman"/>
          <w:color w:val="auto"/>
          <w:lang w:val="en-US" w:eastAsia="zh-CN"/>
        </w:rPr>
        <w:t>项目建设及生产过程中对环境的不利影响减轻到最低限度，为建设单位做好各项环保工作及主管部门的环境管理提供科学依据，按照环境保护法和环境影响评价法、建设项目环境保护管理条例等国家法律法规的有关规定，要求对本工程进行环境影响评价，通过本评价主要达到以下目的：</w:t>
      </w:r>
    </w:p>
    <w:p w14:paraId="56A64077">
      <w:pPr>
        <w:pStyle w:val="24"/>
        <w:snapToGrid w:val="0"/>
        <w:jc w:val="left"/>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rPr>
        <w:t>1）</w:t>
      </w:r>
      <w:r>
        <w:rPr>
          <w:rFonts w:hint="default" w:ascii="Times New Roman" w:hAnsi="Times New Roman" w:cs="Times New Roman"/>
          <w:color w:val="auto"/>
          <w:lang w:val="en-US" w:eastAsia="zh-CN"/>
        </w:rPr>
        <w:t>通过项目区环境质量现状调查和监测，掌握项目区环境质量现状、存在问题、污染产生的原因及解决的措施；</w:t>
      </w:r>
    </w:p>
    <w:p w14:paraId="4054C9C2">
      <w:pPr>
        <w:pStyle w:val="24"/>
        <w:snapToGrid w:val="0"/>
        <w:jc w:val="left"/>
        <w:rPr>
          <w:rFonts w:hint="default" w:ascii="Times New Roman" w:hAnsi="Times New Roman" w:cs="Times New Roman"/>
          <w:color w:val="auto"/>
        </w:rPr>
      </w:pPr>
      <w:r>
        <w:rPr>
          <w:rFonts w:hint="default" w:ascii="Times New Roman" w:hAnsi="Times New Roman" w:cs="Times New Roman"/>
          <w:color w:val="auto"/>
        </w:rPr>
        <w:t>（2）</w:t>
      </w:r>
      <w:r>
        <w:rPr>
          <w:rFonts w:hint="default" w:ascii="Times New Roman" w:hAnsi="Times New Roman" w:cs="Times New Roman"/>
          <w:color w:val="auto"/>
          <w:lang w:val="en-US" w:eastAsia="zh-CN"/>
        </w:rPr>
        <w:t>通过对本工程开拓方式、采矿方法、回采率、废石及矿山排水的回收利用情况等分析，评价其清洁生产水平；</w:t>
      </w:r>
    </w:p>
    <w:p w14:paraId="20FFBA02">
      <w:pPr>
        <w:pStyle w:val="24"/>
        <w:snapToGrid w:val="0"/>
        <w:jc w:val="left"/>
        <w:rPr>
          <w:rFonts w:hint="default" w:ascii="Times New Roman" w:hAnsi="Times New Roman" w:cs="Times New Roman"/>
          <w:color w:val="auto"/>
        </w:rPr>
      </w:pPr>
      <w:r>
        <w:rPr>
          <w:rFonts w:hint="default" w:ascii="Times New Roman" w:hAnsi="Times New Roman" w:cs="Times New Roman"/>
          <w:color w:val="auto"/>
        </w:rPr>
        <w:t>（3）</w:t>
      </w:r>
      <w:r>
        <w:rPr>
          <w:rFonts w:hint="default" w:ascii="Times New Roman" w:hAnsi="Times New Roman" w:cs="Times New Roman"/>
          <w:color w:val="auto"/>
          <w:lang w:val="en-US" w:eastAsia="zh-CN"/>
        </w:rPr>
        <w:t>对项目造成的污染和生态环境影</w:t>
      </w:r>
      <w:r>
        <w:rPr>
          <w:rFonts w:hint="eastAsia" w:ascii="Times New Roman" w:hAnsi="Times New Roman" w:cs="Times New Roman"/>
          <w:color w:val="auto"/>
          <w:lang w:val="en-US" w:eastAsia="zh-CN"/>
        </w:rPr>
        <w:t>响</w:t>
      </w:r>
      <w:r>
        <w:rPr>
          <w:rFonts w:hint="default" w:ascii="Times New Roman" w:hAnsi="Times New Roman" w:cs="Times New Roman"/>
          <w:color w:val="auto"/>
          <w:lang w:val="en-US" w:eastAsia="zh-CN"/>
        </w:rPr>
        <w:t>进行评价</w:t>
      </w:r>
      <w:r>
        <w:rPr>
          <w:rFonts w:hint="eastAsia" w:ascii="Times New Roman" w:hAnsi="Times New Roman" w:cs="Times New Roman"/>
          <w:color w:val="auto"/>
          <w:lang w:val="en-US" w:eastAsia="zh-CN"/>
        </w:rPr>
        <w:t>，分析项目造成的生态影响是否可以接受，是否对当地生态环境造成不利影响</w:t>
      </w:r>
      <w:r>
        <w:rPr>
          <w:rFonts w:hint="default" w:ascii="Times New Roman" w:hAnsi="Times New Roman" w:cs="Times New Roman"/>
          <w:color w:val="auto"/>
          <w:lang w:val="en-US" w:eastAsia="zh-CN"/>
        </w:rPr>
        <w:t>；分析项目排放的各类污染物是否达标排放、是否满足总量控制的要求；</w:t>
      </w:r>
    </w:p>
    <w:p w14:paraId="515BDE74">
      <w:pPr>
        <w:pStyle w:val="24"/>
        <w:snapToGrid w:val="0"/>
        <w:jc w:val="left"/>
        <w:rPr>
          <w:rFonts w:hint="default" w:ascii="Times New Roman" w:hAnsi="Times New Roman" w:cs="Times New Roman"/>
          <w:color w:val="auto"/>
        </w:rPr>
      </w:pPr>
      <w:r>
        <w:rPr>
          <w:rFonts w:hint="default" w:ascii="Times New Roman" w:hAnsi="Times New Roman" w:cs="Times New Roman"/>
          <w:color w:val="auto"/>
        </w:rPr>
        <w:t>（4）</w:t>
      </w:r>
      <w:r>
        <w:rPr>
          <w:rFonts w:hint="default" w:ascii="Times New Roman" w:hAnsi="Times New Roman" w:cs="Times New Roman"/>
          <w:color w:val="auto"/>
          <w:lang w:val="en-US" w:eastAsia="zh-CN"/>
        </w:rPr>
        <w:t>对存在的环境问题及环境影响提出技术可靠、针对性和可操作性强、经济合理的污染防治方案和生态环境减缓、恢复、补偿措施；</w:t>
      </w:r>
    </w:p>
    <w:p w14:paraId="618E4317">
      <w:pPr>
        <w:pStyle w:val="24"/>
        <w:snapToGrid w:val="0"/>
        <w:jc w:val="left"/>
        <w:rPr>
          <w:rFonts w:hint="default" w:ascii="Times New Roman" w:hAnsi="Times New Roman" w:cs="Times New Roman"/>
          <w:color w:val="auto"/>
        </w:rPr>
      </w:pPr>
      <w:r>
        <w:rPr>
          <w:rFonts w:hint="default" w:ascii="Times New Roman" w:hAnsi="Times New Roman" w:cs="Times New Roman"/>
          <w:color w:val="auto"/>
        </w:rPr>
        <w:t>（5）</w:t>
      </w:r>
      <w:r>
        <w:rPr>
          <w:rFonts w:hint="default" w:ascii="Times New Roman" w:hAnsi="Times New Roman" w:cs="Times New Roman"/>
          <w:color w:val="auto"/>
          <w:lang w:val="en-US" w:eastAsia="zh-CN"/>
        </w:rPr>
        <w:t>从环境保护和生态恢复的角度论证项目建设的可行性，为主管部门决策、环境管理及建设单位做好各项环保工作提供科学依据。</w:t>
      </w:r>
    </w:p>
    <w:p w14:paraId="1D1375F5">
      <w:pPr>
        <w:pStyle w:val="4"/>
        <w:spacing w:before="120" w:after="120" w:line="500" w:lineRule="exact"/>
        <w:rPr>
          <w:rFonts w:hint="default" w:ascii="Times New Roman" w:hAnsi="Times New Roman" w:eastAsia="华文中宋" w:cs="Times New Roman"/>
          <w:kern w:val="0"/>
          <w:sz w:val="24"/>
          <w:szCs w:val="24"/>
          <w:lang w:val="en-US" w:eastAsia="zh-CN"/>
        </w:rPr>
      </w:pPr>
      <w:bookmarkStart w:id="22" w:name="_Toc1824"/>
      <w:r>
        <w:rPr>
          <w:rFonts w:hint="default" w:ascii="Times New Roman" w:hAnsi="Times New Roman" w:eastAsia="华文中宋" w:cs="Times New Roman"/>
          <w:kern w:val="0"/>
          <w:sz w:val="24"/>
          <w:szCs w:val="24"/>
          <w:lang w:val="en-US" w:eastAsia="zh-CN"/>
        </w:rPr>
        <w:t>2.1.2评价原则</w:t>
      </w:r>
      <w:bookmarkEnd w:id="22"/>
    </w:p>
    <w:p w14:paraId="6ADCCE00">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1）依据国家和新疆维吾尔自治区有关环保法律法规、产业政策以及环境影响评价技术规定，以预防为主、防治结合、清洁生产、全过程控制的现代环境管理思想和循环经济理念为指导，密切结合项目工程特点和所在区域的环境特征，在满足区域总体发展规划和环境功能区划的总原则下，以科学的态度、实事求是的精神和严肃认真的工作作风开展各项环评工作。</w:t>
      </w:r>
    </w:p>
    <w:p w14:paraId="3DFCC116">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2）该项目为有色金属矿产资源开采项目，项目建设带来的环境问题除具有一般传统工业污染特征外，露天开采、废石堆放引起的矿区范围生态破坏是本工程的主要特点，且影响延续时间较长、范围较大。因此，本次评价将密切围绕项目的重要特点开展各项环评工作。</w:t>
      </w:r>
    </w:p>
    <w:p w14:paraId="2FFC1FF1">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（3）贯彻</w:t>
      </w:r>
      <w:r>
        <w:rPr>
          <w:rFonts w:hint="eastAsia" w:ascii="Times New Roman" w:hAnsi="Times New Roman" w:eastAsia="华文中宋" w:cs="Times New Roman"/>
          <w:color w:val="auto"/>
          <w:lang w:val="en-US" w:eastAsia="zh-CN"/>
        </w:rPr>
        <w:t>“以人为本”</w:t>
      </w:r>
      <w:r>
        <w:rPr>
          <w:rFonts w:hint="default" w:ascii="Times New Roman" w:hAnsi="Times New Roman" w:eastAsia="华文中宋" w:cs="Times New Roman"/>
          <w:color w:val="auto"/>
          <w:lang w:val="en-US" w:eastAsia="zh-CN"/>
        </w:rPr>
        <w:t>和</w:t>
      </w:r>
      <w:r>
        <w:rPr>
          <w:rFonts w:hint="eastAsia" w:ascii="Times New Roman" w:hAnsi="Times New Roman" w:eastAsia="华文中宋" w:cs="Times New Roman"/>
          <w:color w:val="auto"/>
          <w:lang w:val="en-US" w:eastAsia="zh-CN"/>
        </w:rPr>
        <w:t>“可持续发展”</w:t>
      </w:r>
      <w:r>
        <w:rPr>
          <w:rFonts w:hint="default" w:ascii="Times New Roman" w:hAnsi="Times New Roman" w:eastAsia="华文中宋" w:cs="Times New Roman"/>
          <w:color w:val="auto"/>
          <w:lang w:val="en-US" w:eastAsia="zh-CN"/>
        </w:rPr>
        <w:t>的科学发展观，努力推动清洁生产工艺的实施，探讨废石等固体废物的资源化利用途径及可行性，结合当地的实际情况提出矿区生态保护及生态综合整治方案，努力将本工程建设成资源节约型和生态友好型的矿山。</w:t>
      </w:r>
    </w:p>
    <w:p w14:paraId="237608E3">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（4）环评报告书的编制力求纲目条理清楚、论据充分、重点突出、内容全面、客观、结论明确。</w:t>
      </w:r>
    </w:p>
    <w:p w14:paraId="7E2E0936">
      <w:pPr>
        <w:pStyle w:val="3"/>
        <w:spacing w:before="120" w:after="120" w:line="500" w:lineRule="exact"/>
        <w:ind w:left="375" w:hanging="375" w:firstLineChars="0"/>
        <w:contextualSpacing/>
        <w:rPr>
          <w:rFonts w:hint="default" w:ascii="Times New Roman" w:hAnsi="Times New Roman" w:eastAsia="华文中宋" w:cs="Times New Roman"/>
          <w:snapToGrid w:val="0"/>
          <w:kern w:val="0"/>
          <w:sz w:val="28"/>
          <w:szCs w:val="28"/>
          <w:lang w:val="en-US" w:eastAsia="zh-CN"/>
        </w:rPr>
      </w:pPr>
      <w:bookmarkStart w:id="23" w:name="_Toc27494"/>
      <w:bookmarkStart w:id="24" w:name="_Toc31139"/>
      <w:r>
        <w:rPr>
          <w:rFonts w:hint="default" w:ascii="Times New Roman" w:hAnsi="Times New Roman" w:eastAsia="华文中宋" w:cs="Times New Roman"/>
          <w:snapToGrid w:val="0"/>
          <w:kern w:val="0"/>
          <w:sz w:val="28"/>
          <w:szCs w:val="28"/>
          <w:lang w:val="en-US" w:eastAsia="zh-CN"/>
        </w:rPr>
        <w:t>2.2编制依据</w:t>
      </w:r>
      <w:bookmarkEnd w:id="23"/>
      <w:bookmarkEnd w:id="24"/>
    </w:p>
    <w:p w14:paraId="173956CF">
      <w:pPr>
        <w:pStyle w:val="4"/>
        <w:spacing w:before="120" w:after="120" w:line="500" w:lineRule="exact"/>
        <w:rPr>
          <w:rFonts w:hint="default" w:ascii="Times New Roman" w:hAnsi="Times New Roman" w:eastAsia="华文中宋" w:cs="Times New Roman"/>
          <w:kern w:val="0"/>
          <w:sz w:val="24"/>
          <w:szCs w:val="24"/>
          <w:lang w:val="en-US" w:eastAsia="zh-CN"/>
        </w:rPr>
      </w:pPr>
      <w:bookmarkStart w:id="25" w:name="_Toc26519"/>
      <w:r>
        <w:rPr>
          <w:rFonts w:hint="default" w:ascii="Times New Roman" w:hAnsi="Times New Roman" w:eastAsia="华文中宋" w:cs="Times New Roman"/>
          <w:kern w:val="0"/>
          <w:sz w:val="24"/>
          <w:szCs w:val="24"/>
          <w:lang w:val="en-US" w:eastAsia="zh-CN"/>
        </w:rPr>
        <w:t>2.2.1法律</w:t>
      </w:r>
      <w:bookmarkEnd w:id="25"/>
    </w:p>
    <w:p w14:paraId="5FD31B19">
      <w:pPr>
        <w:adjustRightInd w:val="0"/>
        <w:snapToGrid w:val="0"/>
        <w:spacing w:line="500" w:lineRule="exact"/>
        <w:ind w:firstLine="480" w:firstLineChars="200"/>
        <w:jc w:val="left"/>
        <w:rPr>
          <w:rFonts w:hint="default" w:ascii="Times New Roman" w:hAnsi="Times New Roman" w:eastAsia="华文中宋" w:cs="Times New Roman"/>
          <w:sz w:val="24"/>
        </w:rPr>
      </w:pPr>
      <w:r>
        <w:rPr>
          <w:rFonts w:hint="default" w:ascii="Times New Roman" w:hAnsi="Times New Roman" w:eastAsia="华文中宋" w:cs="Times New Roman"/>
          <w:sz w:val="24"/>
        </w:rPr>
        <w:t>（1）</w:t>
      </w:r>
      <w:r>
        <w:rPr>
          <w:rFonts w:hint="default" w:ascii="Times New Roman" w:hAnsi="Times New Roman" w:eastAsia="华文中宋" w:cs="Times New Roman"/>
          <w:sz w:val="24"/>
          <w:lang w:val="en-US" w:eastAsia="zh-CN"/>
        </w:rPr>
        <w:t>《中华人民共和国环境保护法》（2015年1月1日施行）；</w:t>
      </w:r>
    </w:p>
    <w:p w14:paraId="7FA3DA6A">
      <w:pPr>
        <w:adjustRightInd w:val="0"/>
        <w:snapToGrid w:val="0"/>
        <w:spacing w:line="500" w:lineRule="exact"/>
        <w:ind w:firstLine="480" w:firstLineChars="200"/>
        <w:jc w:val="left"/>
        <w:rPr>
          <w:rFonts w:hint="default" w:ascii="Times New Roman" w:hAnsi="Times New Roman" w:eastAsia="华文中宋" w:cs="Times New Roman"/>
          <w:sz w:val="24"/>
        </w:rPr>
      </w:pPr>
      <w:r>
        <w:rPr>
          <w:rFonts w:hint="default" w:ascii="Times New Roman" w:hAnsi="Times New Roman" w:eastAsia="华文中宋" w:cs="Times New Roman"/>
          <w:sz w:val="24"/>
        </w:rPr>
        <w:t>（2）</w:t>
      </w:r>
      <w:r>
        <w:rPr>
          <w:rFonts w:hint="default" w:ascii="Times New Roman" w:hAnsi="Times New Roman" w:eastAsia="华文中宋" w:cs="Times New Roman"/>
          <w:sz w:val="24"/>
          <w:lang w:val="en-US" w:eastAsia="zh-CN"/>
        </w:rPr>
        <w:t>《中华人民共和国环境影响评价法》（2018年12月29日施行）；</w:t>
      </w:r>
    </w:p>
    <w:p w14:paraId="72416B39">
      <w:pPr>
        <w:adjustRightInd w:val="0"/>
        <w:snapToGrid w:val="0"/>
        <w:spacing w:line="500" w:lineRule="exact"/>
        <w:ind w:firstLine="480" w:firstLineChars="200"/>
        <w:jc w:val="left"/>
        <w:rPr>
          <w:rFonts w:hint="default" w:ascii="Times New Roman" w:hAnsi="Times New Roman" w:eastAsia="华文中宋" w:cs="Times New Roman"/>
          <w:sz w:val="24"/>
        </w:rPr>
      </w:pPr>
      <w:r>
        <w:rPr>
          <w:rFonts w:hint="default" w:ascii="Times New Roman" w:hAnsi="Times New Roman" w:eastAsia="华文中宋" w:cs="Times New Roman"/>
          <w:sz w:val="24"/>
        </w:rPr>
        <w:t>（3）</w:t>
      </w:r>
      <w:r>
        <w:rPr>
          <w:rFonts w:hint="default" w:ascii="Times New Roman" w:hAnsi="Times New Roman" w:eastAsia="华文中宋" w:cs="Times New Roman"/>
          <w:sz w:val="24"/>
          <w:lang w:val="en-US" w:eastAsia="zh-CN"/>
        </w:rPr>
        <w:t>《中华人民共和国大气污染防治法》（2018年10月26日施行）；</w:t>
      </w:r>
    </w:p>
    <w:p w14:paraId="36D750E1">
      <w:pPr>
        <w:adjustRightInd w:val="0"/>
        <w:snapToGrid w:val="0"/>
        <w:spacing w:line="500" w:lineRule="exact"/>
        <w:ind w:firstLine="480" w:firstLineChars="200"/>
        <w:jc w:val="left"/>
        <w:rPr>
          <w:rFonts w:hint="default" w:ascii="Times New Roman" w:hAnsi="Times New Roman" w:eastAsia="华文中宋" w:cs="Times New Roman"/>
          <w:sz w:val="24"/>
        </w:rPr>
      </w:pPr>
      <w:r>
        <w:rPr>
          <w:rFonts w:hint="default" w:ascii="Times New Roman" w:hAnsi="Times New Roman" w:eastAsia="华文中宋" w:cs="Times New Roman"/>
          <w:sz w:val="24"/>
        </w:rPr>
        <w:t>（4）</w:t>
      </w:r>
      <w:r>
        <w:rPr>
          <w:rFonts w:hint="default" w:ascii="Times New Roman" w:hAnsi="Times New Roman" w:eastAsia="华文中宋" w:cs="Times New Roman"/>
          <w:sz w:val="24"/>
          <w:lang w:val="en-US" w:eastAsia="zh-CN"/>
        </w:rPr>
        <w:t>《中华人民共和国水污染防治法》（2018年1月1日施行）；</w:t>
      </w:r>
    </w:p>
    <w:p w14:paraId="7178C664">
      <w:pPr>
        <w:adjustRightInd w:val="0"/>
        <w:snapToGrid w:val="0"/>
        <w:spacing w:line="500" w:lineRule="exact"/>
        <w:ind w:firstLine="480" w:firstLineChars="200"/>
        <w:jc w:val="left"/>
        <w:rPr>
          <w:rFonts w:hint="default" w:ascii="Times New Roman" w:hAnsi="Times New Roman" w:eastAsia="华文中宋" w:cs="Times New Roman"/>
          <w:sz w:val="24"/>
        </w:rPr>
      </w:pPr>
      <w:r>
        <w:rPr>
          <w:rFonts w:hint="default" w:ascii="Times New Roman" w:hAnsi="Times New Roman" w:eastAsia="华文中宋" w:cs="Times New Roman"/>
          <w:sz w:val="24"/>
        </w:rPr>
        <w:t>（5）</w:t>
      </w:r>
      <w:r>
        <w:rPr>
          <w:rFonts w:hint="default" w:ascii="Times New Roman" w:hAnsi="Times New Roman" w:eastAsia="华文中宋" w:cs="Times New Roman"/>
          <w:sz w:val="24"/>
          <w:lang w:val="en-US" w:eastAsia="zh-CN"/>
        </w:rPr>
        <w:t>《中华人民共和国噪声污染防治法》（2022年6月5日施行）；</w:t>
      </w:r>
    </w:p>
    <w:p w14:paraId="63DA8AD3">
      <w:pPr>
        <w:adjustRightInd w:val="0"/>
        <w:snapToGrid w:val="0"/>
        <w:spacing w:line="500" w:lineRule="exact"/>
        <w:ind w:firstLine="480" w:firstLineChars="200"/>
        <w:jc w:val="left"/>
        <w:rPr>
          <w:rFonts w:hint="default" w:ascii="Times New Roman" w:hAnsi="Times New Roman" w:eastAsia="华文中宋" w:cs="Times New Roman"/>
          <w:sz w:val="24"/>
        </w:rPr>
      </w:pPr>
      <w:r>
        <w:rPr>
          <w:rFonts w:hint="default" w:ascii="Times New Roman" w:hAnsi="Times New Roman" w:eastAsia="华文中宋" w:cs="Times New Roman"/>
          <w:sz w:val="24"/>
        </w:rPr>
        <w:t>（6）</w:t>
      </w:r>
      <w:r>
        <w:rPr>
          <w:rFonts w:hint="default" w:ascii="Times New Roman" w:hAnsi="Times New Roman" w:eastAsia="华文中宋" w:cs="Times New Roman"/>
          <w:sz w:val="24"/>
          <w:lang w:val="en-US" w:eastAsia="zh-CN"/>
        </w:rPr>
        <w:t>《中华人民共和国固体废物污染环境防治法》（2020年4月29日修订，2020年9月1日施行）；</w:t>
      </w:r>
    </w:p>
    <w:p w14:paraId="57FA3D22">
      <w:pPr>
        <w:adjustRightInd w:val="0"/>
        <w:snapToGrid w:val="0"/>
        <w:spacing w:line="500" w:lineRule="exact"/>
        <w:ind w:firstLine="480" w:firstLineChars="200"/>
        <w:jc w:val="left"/>
        <w:rPr>
          <w:rFonts w:hint="default" w:ascii="Times New Roman" w:hAnsi="Times New Roman" w:eastAsia="华文中宋" w:cs="Times New Roman"/>
          <w:sz w:val="24"/>
        </w:rPr>
      </w:pPr>
      <w:r>
        <w:rPr>
          <w:rFonts w:hint="default" w:ascii="Times New Roman" w:hAnsi="Times New Roman" w:eastAsia="华文中宋" w:cs="Times New Roman"/>
          <w:sz w:val="24"/>
        </w:rPr>
        <w:t>（7）</w:t>
      </w:r>
      <w:r>
        <w:rPr>
          <w:rFonts w:hint="default" w:ascii="Times New Roman" w:hAnsi="Times New Roman" w:eastAsia="华文中宋" w:cs="Times New Roman"/>
          <w:sz w:val="24"/>
          <w:lang w:val="en-US" w:eastAsia="zh-CN"/>
        </w:rPr>
        <w:t>《中华人民共和国土壤污染防治法》（2019年1月1日施行）；</w:t>
      </w:r>
    </w:p>
    <w:p w14:paraId="741A5CDA">
      <w:pPr>
        <w:adjustRightInd w:val="0"/>
        <w:snapToGrid w:val="0"/>
        <w:spacing w:line="500" w:lineRule="exact"/>
        <w:ind w:firstLine="480" w:firstLineChars="200"/>
        <w:jc w:val="left"/>
        <w:rPr>
          <w:rFonts w:hint="default" w:ascii="Times New Roman" w:hAnsi="Times New Roman" w:eastAsia="华文中宋" w:cs="Times New Roman"/>
          <w:sz w:val="24"/>
        </w:rPr>
      </w:pPr>
      <w:r>
        <w:rPr>
          <w:rFonts w:hint="default" w:ascii="Times New Roman" w:hAnsi="Times New Roman" w:eastAsia="华文中宋" w:cs="Times New Roman"/>
          <w:sz w:val="24"/>
        </w:rPr>
        <w:t>（8）</w:t>
      </w:r>
      <w:r>
        <w:rPr>
          <w:rFonts w:hint="default" w:ascii="Times New Roman" w:hAnsi="Times New Roman" w:eastAsia="华文中宋" w:cs="Times New Roman"/>
          <w:sz w:val="24"/>
          <w:lang w:val="en-US" w:eastAsia="zh-CN"/>
        </w:rPr>
        <w:t>《中华人民共和国清洁生产促进法》（2016年7月1日修订施行）；</w:t>
      </w:r>
    </w:p>
    <w:p w14:paraId="39F33275">
      <w:pPr>
        <w:adjustRightInd w:val="0"/>
        <w:snapToGrid w:val="0"/>
        <w:spacing w:line="500" w:lineRule="exact"/>
        <w:ind w:firstLine="480" w:firstLineChars="200"/>
        <w:jc w:val="left"/>
        <w:rPr>
          <w:rFonts w:hint="default" w:ascii="Times New Roman" w:hAnsi="Times New Roman" w:eastAsia="华文中宋" w:cs="Times New Roman"/>
          <w:sz w:val="24"/>
        </w:rPr>
      </w:pPr>
      <w:r>
        <w:rPr>
          <w:rFonts w:hint="default" w:ascii="Times New Roman" w:hAnsi="Times New Roman" w:eastAsia="华文中宋" w:cs="Times New Roman"/>
          <w:sz w:val="24"/>
        </w:rPr>
        <w:t>（9）</w:t>
      </w:r>
      <w:r>
        <w:rPr>
          <w:rFonts w:hint="default" w:ascii="Times New Roman" w:hAnsi="Times New Roman" w:eastAsia="华文中宋" w:cs="Times New Roman"/>
          <w:sz w:val="24"/>
          <w:lang w:val="en-US" w:eastAsia="zh-CN"/>
        </w:rPr>
        <w:t>《中华人民共和国循环经济促进法》（2018年10月26日修订）；</w:t>
      </w:r>
    </w:p>
    <w:p w14:paraId="231C36E8">
      <w:pPr>
        <w:adjustRightInd w:val="0"/>
        <w:snapToGrid w:val="0"/>
        <w:spacing w:line="500" w:lineRule="exact"/>
        <w:ind w:firstLine="480" w:firstLineChars="200"/>
        <w:jc w:val="left"/>
        <w:rPr>
          <w:rFonts w:hint="default" w:ascii="Times New Roman" w:hAnsi="Times New Roman" w:eastAsia="华文中宋" w:cs="Times New Roman"/>
          <w:sz w:val="24"/>
        </w:rPr>
      </w:pPr>
      <w:r>
        <w:rPr>
          <w:rFonts w:hint="default" w:ascii="Times New Roman" w:hAnsi="Times New Roman" w:eastAsia="华文中宋" w:cs="Times New Roman"/>
          <w:sz w:val="24"/>
        </w:rPr>
        <w:t>（10）</w:t>
      </w:r>
      <w:r>
        <w:rPr>
          <w:rFonts w:hint="default" w:ascii="Times New Roman" w:hAnsi="Times New Roman" w:eastAsia="华文中宋" w:cs="Times New Roman"/>
          <w:sz w:val="24"/>
          <w:lang w:val="en-US" w:eastAsia="zh-CN"/>
        </w:rPr>
        <w:t>《中华人民共和国节约能源法》（2018年10月26日修订）；</w:t>
      </w:r>
    </w:p>
    <w:p w14:paraId="76A9F928">
      <w:pPr>
        <w:adjustRightInd w:val="0"/>
        <w:snapToGrid w:val="0"/>
        <w:spacing w:line="500" w:lineRule="exact"/>
        <w:ind w:firstLine="480" w:firstLineChars="200"/>
        <w:jc w:val="left"/>
        <w:rPr>
          <w:rFonts w:hint="default" w:ascii="Times New Roman" w:hAnsi="Times New Roman" w:eastAsia="华文中宋" w:cs="Times New Roman"/>
          <w:sz w:val="24"/>
        </w:rPr>
      </w:pPr>
      <w:r>
        <w:rPr>
          <w:rFonts w:hint="default" w:ascii="Times New Roman" w:hAnsi="Times New Roman" w:eastAsia="华文中宋" w:cs="Times New Roman"/>
          <w:sz w:val="24"/>
        </w:rPr>
        <w:t>（11）</w:t>
      </w:r>
      <w:r>
        <w:rPr>
          <w:rFonts w:hint="default" w:ascii="Times New Roman" w:hAnsi="Times New Roman" w:eastAsia="华文中宋" w:cs="Times New Roman"/>
          <w:sz w:val="24"/>
          <w:lang w:val="en-US" w:eastAsia="zh-CN"/>
        </w:rPr>
        <w:t>《中华人民共和国水土保持法》（2011年3月1日修订施行）；</w:t>
      </w:r>
    </w:p>
    <w:p w14:paraId="0B9ABA2A">
      <w:pPr>
        <w:adjustRightInd w:val="0"/>
        <w:snapToGrid w:val="0"/>
        <w:spacing w:line="500" w:lineRule="exact"/>
        <w:ind w:firstLine="480" w:firstLineChars="200"/>
        <w:jc w:val="left"/>
        <w:rPr>
          <w:rFonts w:hint="default" w:ascii="Times New Roman" w:hAnsi="Times New Roman" w:eastAsia="华文中宋" w:cs="Times New Roman"/>
          <w:sz w:val="24"/>
        </w:rPr>
      </w:pPr>
      <w:r>
        <w:rPr>
          <w:rFonts w:hint="default" w:ascii="Times New Roman" w:hAnsi="Times New Roman" w:eastAsia="华文中宋" w:cs="Times New Roman"/>
          <w:sz w:val="24"/>
        </w:rPr>
        <w:t>（1</w:t>
      </w:r>
      <w:r>
        <w:rPr>
          <w:rFonts w:hint="default" w:ascii="Times New Roman" w:hAnsi="Times New Roman" w:eastAsia="华文中宋" w:cs="Times New Roman"/>
          <w:sz w:val="24"/>
          <w:lang w:val="en-US" w:eastAsia="zh-CN"/>
        </w:rPr>
        <w:t>2</w:t>
      </w:r>
      <w:r>
        <w:rPr>
          <w:rFonts w:hint="default" w:ascii="Times New Roman" w:hAnsi="Times New Roman" w:eastAsia="华文中宋" w:cs="Times New Roman"/>
          <w:sz w:val="24"/>
        </w:rPr>
        <w:t>）</w:t>
      </w:r>
      <w:r>
        <w:rPr>
          <w:rFonts w:hint="default" w:ascii="Times New Roman" w:hAnsi="Times New Roman" w:eastAsia="华文中宋" w:cs="Times New Roman"/>
          <w:sz w:val="24"/>
          <w:lang w:val="en-US" w:eastAsia="zh-CN"/>
        </w:rPr>
        <w:t>《中华人民共和国野生动物保护法（2023年修正）》（2023-05-01）；</w:t>
      </w:r>
    </w:p>
    <w:p w14:paraId="117A786F">
      <w:pPr>
        <w:adjustRightInd w:val="0"/>
        <w:snapToGrid w:val="0"/>
        <w:spacing w:line="500" w:lineRule="exact"/>
        <w:ind w:firstLine="480" w:firstLineChars="200"/>
        <w:jc w:val="left"/>
        <w:rPr>
          <w:rFonts w:hint="default" w:ascii="Times New Roman" w:hAnsi="Times New Roman" w:eastAsia="华文中宋" w:cs="Times New Roman"/>
          <w:sz w:val="24"/>
          <w:lang w:eastAsia="zh-CN"/>
        </w:rPr>
      </w:pPr>
      <w:r>
        <w:rPr>
          <w:rFonts w:hint="default" w:ascii="Times New Roman" w:hAnsi="Times New Roman" w:eastAsia="华文中宋" w:cs="Times New Roman"/>
          <w:sz w:val="24"/>
        </w:rPr>
        <w:t>（1</w:t>
      </w:r>
      <w:r>
        <w:rPr>
          <w:rFonts w:hint="default" w:ascii="Times New Roman" w:hAnsi="Times New Roman" w:eastAsia="华文中宋" w:cs="Times New Roman"/>
          <w:sz w:val="24"/>
          <w:lang w:val="en-US" w:eastAsia="zh-CN"/>
        </w:rPr>
        <w:t>3</w:t>
      </w:r>
      <w:r>
        <w:rPr>
          <w:rFonts w:hint="default" w:ascii="Times New Roman" w:hAnsi="Times New Roman" w:eastAsia="华文中宋" w:cs="Times New Roman"/>
          <w:sz w:val="24"/>
        </w:rPr>
        <w:t>）</w:t>
      </w:r>
      <w:r>
        <w:rPr>
          <w:rFonts w:hint="default" w:ascii="Times New Roman" w:hAnsi="Times New Roman" w:eastAsia="华文中宋" w:cs="Times New Roman"/>
          <w:sz w:val="24"/>
          <w:lang w:val="en-US" w:eastAsia="zh-CN"/>
        </w:rPr>
        <w:t>《中华人民共和国水法》（2016年7月12日修订）</w:t>
      </w:r>
      <w:r>
        <w:rPr>
          <w:rFonts w:hint="default" w:ascii="Times New Roman" w:hAnsi="Times New Roman" w:eastAsia="华文中宋" w:cs="Times New Roman"/>
          <w:sz w:val="24"/>
          <w:lang w:eastAsia="zh-CN"/>
        </w:rPr>
        <w:t>；</w:t>
      </w:r>
    </w:p>
    <w:p w14:paraId="3A2CFF54">
      <w:pPr>
        <w:adjustRightInd w:val="0"/>
        <w:snapToGrid w:val="0"/>
        <w:spacing w:line="500" w:lineRule="exact"/>
        <w:ind w:firstLine="480" w:firstLineChars="200"/>
        <w:jc w:val="left"/>
        <w:rPr>
          <w:rFonts w:hint="default" w:ascii="Times New Roman" w:hAnsi="Times New Roman" w:eastAsia="华文中宋" w:cs="Times New Roman"/>
          <w:sz w:val="24"/>
        </w:rPr>
      </w:pPr>
      <w:r>
        <w:rPr>
          <w:rFonts w:hint="default" w:ascii="Times New Roman" w:hAnsi="Times New Roman" w:eastAsia="华文中宋" w:cs="Times New Roman"/>
          <w:sz w:val="24"/>
          <w:lang w:eastAsia="zh-CN"/>
        </w:rPr>
        <w:t>（</w:t>
      </w:r>
      <w:r>
        <w:rPr>
          <w:rFonts w:hint="default" w:ascii="Times New Roman" w:hAnsi="Times New Roman" w:eastAsia="华文中宋" w:cs="Times New Roman"/>
          <w:sz w:val="24"/>
          <w:lang w:val="en-US" w:eastAsia="zh-CN"/>
        </w:rPr>
        <w:t>14</w:t>
      </w:r>
      <w:r>
        <w:rPr>
          <w:rFonts w:hint="default" w:ascii="Times New Roman" w:hAnsi="Times New Roman" w:eastAsia="华文中宋" w:cs="Times New Roman"/>
          <w:sz w:val="24"/>
          <w:lang w:eastAsia="zh-CN"/>
        </w:rPr>
        <w:t>）</w:t>
      </w:r>
      <w:r>
        <w:rPr>
          <w:rFonts w:hint="default" w:ascii="Times New Roman" w:hAnsi="Times New Roman" w:eastAsia="华文中宋" w:cs="Times New Roman"/>
          <w:sz w:val="24"/>
          <w:lang w:val="en-US" w:eastAsia="zh-CN"/>
        </w:rPr>
        <w:t>《中华人民共和国土地管理法》（2020年1月1日修订）；</w:t>
      </w:r>
    </w:p>
    <w:p w14:paraId="6C929FDC">
      <w:pPr>
        <w:adjustRightInd w:val="0"/>
        <w:snapToGrid w:val="0"/>
        <w:spacing w:line="500" w:lineRule="exact"/>
        <w:ind w:firstLine="480" w:firstLineChars="200"/>
        <w:jc w:val="left"/>
        <w:rPr>
          <w:rFonts w:hint="default" w:ascii="Times New Roman" w:hAnsi="Times New Roman" w:eastAsia="华文中宋" w:cs="Times New Roman"/>
          <w:sz w:val="24"/>
        </w:rPr>
      </w:pPr>
      <w:r>
        <w:rPr>
          <w:rFonts w:hint="default" w:ascii="Times New Roman" w:hAnsi="Times New Roman" w:eastAsia="华文中宋" w:cs="Times New Roman"/>
          <w:sz w:val="24"/>
        </w:rPr>
        <w:t>（1</w:t>
      </w:r>
      <w:r>
        <w:rPr>
          <w:rFonts w:hint="default" w:ascii="Times New Roman" w:hAnsi="Times New Roman" w:eastAsia="华文中宋" w:cs="Times New Roman"/>
          <w:sz w:val="24"/>
          <w:lang w:val="en-US" w:eastAsia="zh-CN"/>
        </w:rPr>
        <w:t>5</w:t>
      </w:r>
      <w:r>
        <w:rPr>
          <w:rFonts w:hint="default" w:ascii="Times New Roman" w:hAnsi="Times New Roman" w:eastAsia="华文中宋" w:cs="Times New Roman"/>
          <w:sz w:val="24"/>
        </w:rPr>
        <w:t>）</w:t>
      </w:r>
      <w:r>
        <w:rPr>
          <w:rFonts w:hint="default" w:ascii="Times New Roman" w:hAnsi="Times New Roman" w:eastAsia="华文中宋" w:cs="Times New Roman"/>
          <w:sz w:val="24"/>
          <w:lang w:val="en-US" w:eastAsia="zh-CN"/>
        </w:rPr>
        <w:t>《中华人民共和国矿产资源法》（2009年8月27日修正）；</w:t>
      </w:r>
    </w:p>
    <w:p w14:paraId="0526EA8B">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rPr>
        <w:t>（1</w:t>
      </w:r>
      <w:r>
        <w:rPr>
          <w:rFonts w:hint="default" w:ascii="Times New Roman" w:hAnsi="Times New Roman" w:eastAsia="华文中宋" w:cs="Times New Roman"/>
          <w:sz w:val="24"/>
          <w:lang w:val="en-US" w:eastAsia="zh-CN"/>
        </w:rPr>
        <w:t>6</w:t>
      </w:r>
      <w:r>
        <w:rPr>
          <w:rFonts w:hint="default" w:ascii="Times New Roman" w:hAnsi="Times New Roman" w:eastAsia="华文中宋" w:cs="Times New Roman"/>
          <w:sz w:val="24"/>
        </w:rPr>
        <w:t>）</w:t>
      </w:r>
      <w:r>
        <w:rPr>
          <w:rFonts w:hint="default" w:ascii="Times New Roman" w:hAnsi="Times New Roman" w:eastAsia="华文中宋" w:cs="Times New Roman"/>
          <w:sz w:val="24"/>
          <w:lang w:val="en-US" w:eastAsia="zh-CN"/>
        </w:rPr>
        <w:t>《中华人民共和国草原法（修订版）》（2021年4月29日）；</w:t>
      </w:r>
    </w:p>
    <w:p w14:paraId="2D4722F0">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（18）《中华人民共和国防沙治沙法》（2018年10月26日修订）；</w:t>
      </w:r>
    </w:p>
    <w:p w14:paraId="77AADB51">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（19）《中华人民共和国安全生产法》（2014年8月31日修订，自2014年12月1日实施）；</w:t>
      </w:r>
    </w:p>
    <w:p w14:paraId="347934B4">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（20）《中华人民共和国矿山安全法》（2009年8月27日修订）。</w:t>
      </w:r>
    </w:p>
    <w:p w14:paraId="06F0A98E">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（21）《</w:t>
      </w:r>
      <w:r>
        <w:rPr>
          <w:rFonts w:hint="default" w:ascii="Times New Roman" w:hAnsi="Times New Roman" w:eastAsia="华文中宋" w:cs="Times New Roman"/>
          <w:sz w:val="24"/>
          <w:lang w:val="en-US" w:eastAsia="zh-CN"/>
        </w:rPr>
        <w:t>中华人民共和国自然保护区条例</w:t>
      </w:r>
      <w:r>
        <w:rPr>
          <w:rFonts w:hint="eastAsia" w:ascii="Times New Roman" w:hAnsi="Times New Roman" w:eastAsia="华文中宋" w:cs="Times New Roman"/>
          <w:sz w:val="24"/>
          <w:lang w:val="en-US" w:eastAsia="zh-CN"/>
        </w:rPr>
        <w:t>》（2017年10月7日修订）</w:t>
      </w:r>
    </w:p>
    <w:p w14:paraId="598EE9AC">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（22）《地下水管理条例》（2021年12月1日施行）</w:t>
      </w:r>
    </w:p>
    <w:p w14:paraId="17F9FD08">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（23）《</w:t>
      </w:r>
      <w:r>
        <w:rPr>
          <w:rFonts w:hint="default" w:ascii="Times New Roman" w:hAnsi="Times New Roman" w:eastAsia="华文中宋" w:cs="Times New Roman"/>
          <w:sz w:val="24"/>
          <w:lang w:val="en-US" w:eastAsia="zh-CN"/>
        </w:rPr>
        <w:t>土壤污染源头防控行动计划</w:t>
      </w:r>
      <w:r>
        <w:rPr>
          <w:rFonts w:hint="eastAsia" w:ascii="Times New Roman" w:hAnsi="Times New Roman" w:eastAsia="华文中宋" w:cs="Times New Roman"/>
          <w:sz w:val="24"/>
          <w:lang w:val="en-US" w:eastAsia="zh-CN"/>
        </w:rPr>
        <w:t>》（2024年11月7日印发）</w:t>
      </w:r>
    </w:p>
    <w:p w14:paraId="586D2F3F">
      <w:pPr>
        <w:pStyle w:val="4"/>
        <w:spacing w:before="120" w:after="120" w:line="500" w:lineRule="exact"/>
        <w:rPr>
          <w:rFonts w:hint="default" w:ascii="Times New Roman" w:hAnsi="Times New Roman" w:eastAsia="华文中宋" w:cs="Times New Roman"/>
          <w:kern w:val="0"/>
          <w:sz w:val="24"/>
          <w:szCs w:val="24"/>
          <w:lang w:val="en-US" w:eastAsia="zh-CN"/>
        </w:rPr>
      </w:pPr>
      <w:bookmarkStart w:id="26" w:name="_Toc28134"/>
      <w:r>
        <w:rPr>
          <w:rFonts w:hint="default" w:ascii="Times New Roman" w:hAnsi="Times New Roman" w:eastAsia="华文中宋" w:cs="Times New Roman"/>
          <w:kern w:val="0"/>
          <w:sz w:val="24"/>
          <w:szCs w:val="24"/>
          <w:lang w:val="en-US" w:eastAsia="zh-CN"/>
        </w:rPr>
        <w:t>2.2.2法规、规章</w:t>
      </w:r>
      <w:bookmarkEnd w:id="26"/>
    </w:p>
    <w:p w14:paraId="749B2C6D">
      <w:pPr>
        <w:rPr>
          <w:rFonts w:hint="default"/>
          <w:lang w:val="en-US" w:eastAsia="zh-CN"/>
        </w:rPr>
      </w:pPr>
    </w:p>
    <w:p w14:paraId="2CA51249">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（1）《建设项目环境保护管理条例》（国务院令682号，2017年10月1日施行）；</w:t>
      </w:r>
    </w:p>
    <w:p w14:paraId="40118356">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（2）《建设项目环境影响评价分类管理名录（2021年版）》；</w:t>
      </w:r>
    </w:p>
    <w:p w14:paraId="428B643C">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（3）《产业结构调整指导目录（2024年本）》，中华人民共和国国家发展和改革委员会令第7号，2023.12.27；</w:t>
      </w:r>
    </w:p>
    <w:p w14:paraId="7774789B">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（4）《环境影响评价公众参与办法》（生态环境部第4号令，2019年1月1日）；</w:t>
      </w:r>
    </w:p>
    <w:p w14:paraId="5ECCE39E">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（5）《国务院关于印发水污染防治行动计划的通知》（国发〔2015〕17号）；</w:t>
      </w:r>
    </w:p>
    <w:p w14:paraId="56929DA9">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（6）《国务院关于印发土壤污染防治行动计划的通知》国发〔2016〕31号；</w:t>
      </w:r>
    </w:p>
    <w:p w14:paraId="5DE29CDD">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（7）《关于发布</w:t>
      </w:r>
      <w:r>
        <w:rPr>
          <w:rFonts w:hint="eastAsia" w:ascii="Times New Roman" w:hAnsi="Times New Roman" w:eastAsia="华文中宋" w:cs="Times New Roman"/>
          <w:sz w:val="24"/>
          <w:lang w:val="en-US" w:eastAsia="zh-CN"/>
        </w:rPr>
        <w:t>〈</w:t>
      </w:r>
      <w:r>
        <w:rPr>
          <w:rFonts w:hint="default" w:ascii="Times New Roman" w:hAnsi="Times New Roman" w:eastAsia="华文中宋" w:cs="Times New Roman"/>
          <w:sz w:val="24"/>
          <w:lang w:val="en-US" w:eastAsia="zh-CN"/>
        </w:rPr>
        <w:t>矿产资源开发利用辐射环境监督管理名录</w:t>
      </w:r>
      <w:r>
        <w:rPr>
          <w:rFonts w:hint="eastAsia" w:ascii="Times New Roman" w:hAnsi="Times New Roman" w:eastAsia="华文中宋" w:cs="Times New Roman"/>
          <w:sz w:val="24"/>
          <w:lang w:val="en-US" w:eastAsia="zh-CN"/>
        </w:rPr>
        <w:t>〉</w:t>
      </w:r>
      <w:r>
        <w:rPr>
          <w:rFonts w:hint="default" w:ascii="Times New Roman" w:hAnsi="Times New Roman" w:eastAsia="华文中宋" w:cs="Times New Roman"/>
          <w:sz w:val="24"/>
          <w:lang w:val="en-US" w:eastAsia="zh-CN"/>
        </w:rPr>
        <w:t>的公告》（生态环境部公告2020年第54号）；</w:t>
      </w:r>
    </w:p>
    <w:p w14:paraId="45D7CA8C">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（8）《国家危险废物名录（202</w:t>
      </w:r>
      <w:r>
        <w:rPr>
          <w:rFonts w:hint="eastAsia" w:ascii="Times New Roman" w:hAnsi="Times New Roman" w:eastAsia="华文中宋" w:cs="Times New Roman"/>
          <w:sz w:val="24"/>
          <w:lang w:val="en-US" w:eastAsia="zh-CN"/>
        </w:rPr>
        <w:t>5</w:t>
      </w:r>
      <w:r>
        <w:rPr>
          <w:rFonts w:hint="default" w:ascii="Times New Roman" w:hAnsi="Times New Roman" w:eastAsia="华文中宋" w:cs="Times New Roman"/>
          <w:sz w:val="24"/>
          <w:lang w:val="en-US" w:eastAsia="zh-CN"/>
        </w:rPr>
        <w:t>年版）》（生态环境部部令第</w:t>
      </w:r>
      <w:r>
        <w:rPr>
          <w:rFonts w:hint="eastAsia" w:ascii="Times New Roman" w:hAnsi="Times New Roman" w:eastAsia="华文中宋" w:cs="Times New Roman"/>
          <w:sz w:val="24"/>
          <w:lang w:val="en-US" w:eastAsia="zh-CN"/>
        </w:rPr>
        <w:t>36</w:t>
      </w:r>
      <w:r>
        <w:rPr>
          <w:rFonts w:hint="default" w:ascii="Times New Roman" w:hAnsi="Times New Roman" w:eastAsia="华文中宋" w:cs="Times New Roman"/>
          <w:sz w:val="24"/>
          <w:lang w:val="en-US" w:eastAsia="zh-CN"/>
        </w:rPr>
        <w:t>号，202</w:t>
      </w:r>
      <w:r>
        <w:rPr>
          <w:rFonts w:hint="eastAsia" w:ascii="Times New Roman" w:hAnsi="Times New Roman" w:eastAsia="华文中宋" w:cs="Times New Roman"/>
          <w:sz w:val="24"/>
          <w:lang w:val="en-US" w:eastAsia="zh-CN"/>
        </w:rPr>
        <w:t>5</w:t>
      </w:r>
      <w:r>
        <w:rPr>
          <w:rFonts w:hint="default" w:ascii="Times New Roman" w:hAnsi="Times New Roman" w:eastAsia="华文中宋" w:cs="Times New Roman"/>
          <w:sz w:val="24"/>
          <w:lang w:val="en-US" w:eastAsia="zh-CN"/>
        </w:rPr>
        <w:t>年1月1日施行）；</w:t>
      </w:r>
    </w:p>
    <w:p w14:paraId="495B30EA">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（9）《国家重点保护野生动物名录》（2021年2月5日更新）；</w:t>
      </w:r>
    </w:p>
    <w:p w14:paraId="0A0471DD">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（10）《国务院关于全面整顿和规范矿山资源开发秩序的通知》（国发〔2005〕28号，2005年8月）；</w:t>
      </w:r>
    </w:p>
    <w:p w14:paraId="1C4D3974">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（11）《建设项目竣工环境保护验收暂行办法》（部令〔2017〕4号）；</w:t>
      </w:r>
    </w:p>
    <w:p w14:paraId="16C89340">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（12）《土地复垦条例》（中华人民共和国国务院令第592号，2011年3月5日）；</w:t>
      </w:r>
    </w:p>
    <w:p w14:paraId="5E189B32">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（13）《土地复垦条例实施办法》，2012年12月11日通过，2013年3月1日起施行；</w:t>
      </w:r>
    </w:p>
    <w:p w14:paraId="75C92FFF">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（14）《工业和信息化部关于进一步加强工业节水工作的意见》工信部节〔2010〕218号，2010年5月4日；</w:t>
      </w:r>
    </w:p>
    <w:p w14:paraId="3155ED7B">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（15）《“十四五”原材料工业发展规划（2021</w:t>
      </w:r>
      <w:r>
        <w:rPr>
          <w:rFonts w:hint="eastAsia" w:ascii="Times New Roman" w:hAnsi="Times New Roman" w:eastAsia="华文中宋" w:cs="Times New Roman"/>
          <w:sz w:val="24"/>
          <w:lang w:val="en-US" w:eastAsia="zh-CN"/>
        </w:rPr>
        <w:t>—</w:t>
      </w:r>
      <w:r>
        <w:rPr>
          <w:rFonts w:hint="default" w:ascii="Times New Roman" w:hAnsi="Times New Roman" w:eastAsia="华文中宋" w:cs="Times New Roman"/>
          <w:sz w:val="24"/>
          <w:lang w:val="en-US" w:eastAsia="zh-CN"/>
        </w:rPr>
        <w:t>2025年）》；</w:t>
      </w:r>
    </w:p>
    <w:p w14:paraId="6FA6E318">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（16）《金属非金属矿山排土场安全技术规范》（DB41/T1267-2016），2016年11月11日实施；</w:t>
      </w:r>
    </w:p>
    <w:p w14:paraId="19476C5E">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（17）《关于加强生态保护监管工作的意见》，2021年1月4日；</w:t>
      </w:r>
    </w:p>
    <w:p w14:paraId="69FA7AF4">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（18）《中共中央</w:t>
      </w:r>
      <w:r>
        <w:rPr>
          <w:rFonts w:hint="eastAsia" w:ascii="Times New Roman" w:hAnsi="Times New Roman" w:eastAsia="华文中宋" w:cs="Times New Roman"/>
          <w:sz w:val="24"/>
          <w:lang w:val="en-US" w:eastAsia="zh-CN"/>
        </w:rPr>
        <w:t xml:space="preserve"> </w:t>
      </w:r>
      <w:r>
        <w:rPr>
          <w:rFonts w:hint="default" w:ascii="Times New Roman" w:hAnsi="Times New Roman" w:eastAsia="华文中宋" w:cs="Times New Roman"/>
          <w:sz w:val="24"/>
          <w:lang w:val="en-US" w:eastAsia="zh-CN"/>
        </w:rPr>
        <w:t>国务院关于深入打好污染防治攻坚战的意见》，（2021年11月2日）；</w:t>
      </w:r>
    </w:p>
    <w:p w14:paraId="327A18BD">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（19）《中共中央</w:t>
      </w:r>
      <w:r>
        <w:rPr>
          <w:rFonts w:hint="eastAsia" w:ascii="Times New Roman" w:hAnsi="Times New Roman" w:eastAsia="华文中宋" w:cs="Times New Roman"/>
          <w:sz w:val="24"/>
          <w:lang w:val="en-US" w:eastAsia="zh-CN"/>
        </w:rPr>
        <w:t xml:space="preserve"> </w:t>
      </w:r>
      <w:r>
        <w:rPr>
          <w:rFonts w:hint="default" w:ascii="Times New Roman" w:hAnsi="Times New Roman" w:eastAsia="华文中宋" w:cs="Times New Roman"/>
          <w:sz w:val="24"/>
          <w:lang w:val="en-US" w:eastAsia="zh-CN"/>
        </w:rPr>
        <w:t>国务院关于全面加强生态环境保护坚决打好污染防治攻坚战的意见》，（2018年6月16日）；</w:t>
      </w:r>
    </w:p>
    <w:p w14:paraId="69EBDAA4">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（20）《危险废物贮存污染控制标准》</w:t>
      </w:r>
      <w:r>
        <w:rPr>
          <w:rFonts w:hint="eastAsia" w:ascii="Times New Roman" w:hAnsi="Times New Roman" w:eastAsia="华文中宋" w:cs="Times New Roman"/>
          <w:sz w:val="24"/>
          <w:lang w:val="en-US" w:eastAsia="zh-CN"/>
        </w:rPr>
        <w:t>（</w:t>
      </w:r>
      <w:r>
        <w:rPr>
          <w:rFonts w:hint="default" w:ascii="Times New Roman" w:hAnsi="Times New Roman" w:eastAsia="华文中宋" w:cs="Times New Roman"/>
          <w:sz w:val="24"/>
          <w:lang w:val="en-US" w:eastAsia="zh-CN"/>
        </w:rPr>
        <w:t>GB18597-2023</w:t>
      </w:r>
      <w:r>
        <w:rPr>
          <w:rFonts w:hint="eastAsia" w:ascii="Times New Roman" w:hAnsi="Times New Roman" w:eastAsia="华文中宋" w:cs="Times New Roman"/>
          <w:sz w:val="24"/>
          <w:lang w:val="en-US" w:eastAsia="zh-CN"/>
        </w:rPr>
        <w:t>）（</w:t>
      </w:r>
      <w:r>
        <w:rPr>
          <w:rFonts w:hint="default" w:ascii="Times New Roman" w:hAnsi="Times New Roman" w:eastAsia="华文中宋" w:cs="Times New Roman"/>
          <w:sz w:val="24"/>
          <w:lang w:val="en-US" w:eastAsia="zh-CN"/>
        </w:rPr>
        <w:t>生态环境部公告2023年第6号），2023年2月3日；</w:t>
      </w:r>
    </w:p>
    <w:p w14:paraId="6817F8F8">
      <w:pPr>
        <w:adjustRightInd w:val="0"/>
        <w:snapToGrid w:val="0"/>
        <w:spacing w:line="500" w:lineRule="exact"/>
        <w:jc w:val="left"/>
        <w:outlineLvl w:val="2"/>
        <w:rPr>
          <w:rFonts w:hint="default" w:ascii="Times New Roman" w:hAnsi="Times New Roman" w:eastAsia="华文中宋" w:cs="Times New Roman"/>
          <w:kern w:val="0"/>
          <w:sz w:val="24"/>
          <w:szCs w:val="24"/>
          <w:lang w:val="en-US" w:eastAsia="zh-CN"/>
        </w:rPr>
      </w:pPr>
      <w:bookmarkStart w:id="27" w:name="_Toc18563"/>
      <w:r>
        <w:rPr>
          <w:rFonts w:hint="default" w:ascii="Times New Roman" w:hAnsi="Times New Roman" w:eastAsia="华文中宋" w:cs="Times New Roman"/>
          <w:b/>
          <w:bCs/>
          <w:kern w:val="0"/>
          <w:sz w:val="24"/>
          <w:szCs w:val="24"/>
          <w:lang w:val="en-US" w:eastAsia="zh-CN" w:bidi="ar-SA"/>
        </w:rPr>
        <w:t>2.2.3地方性法规、规章</w:t>
      </w:r>
      <w:bookmarkEnd w:id="27"/>
    </w:p>
    <w:p w14:paraId="1596F255">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（1）《新疆维吾尔自治区环境保护条例》（新疆维吾尔自治区人民代表大会常务委员会，2018年9月21日修正）；</w:t>
      </w:r>
    </w:p>
    <w:p w14:paraId="39BBC77B">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（2）《新疆维吾尔自治区大气污染防治条例》（2018年11月30日）；</w:t>
      </w:r>
    </w:p>
    <w:p w14:paraId="490925C5">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（3）《新疆维吾尔自治区自然保护区管理条例》（2018年9月21日）；</w:t>
      </w:r>
    </w:p>
    <w:p w14:paraId="11507118">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（4）《新疆维吾尔自治区地下水资源管理条例》（2017年5月27日修订）；</w:t>
      </w:r>
    </w:p>
    <w:p w14:paraId="6B8F17F8">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w:t>
      </w:r>
      <w:r>
        <w:rPr>
          <w:rFonts w:hint="eastAsia" w:ascii="Times New Roman" w:hAnsi="Times New Roman" w:cs="Times New Roman"/>
          <w:color w:val="auto"/>
          <w:lang w:val="en-US" w:eastAsia="zh-CN"/>
        </w:rPr>
        <w:t>工业料堆场扬尘整治规范</w:t>
      </w:r>
      <w:r>
        <w:rPr>
          <w:rFonts w:hint="default" w:ascii="Times New Roman" w:hAnsi="Times New Roman" w:cs="Times New Roman"/>
          <w:color w:val="auto"/>
          <w:lang w:val="en-US" w:eastAsia="zh-CN"/>
        </w:rPr>
        <w:t>》（DB65/T4061</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2017），2017年11月10日发布并实施；</w:t>
      </w:r>
    </w:p>
    <w:p w14:paraId="2BC923A2">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（6）《新疆维吾尔自治区矿产资源管理条例》（1997年10月11日）；</w:t>
      </w:r>
    </w:p>
    <w:p w14:paraId="0B44982B">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（7）《关于印发新疆维吾尔自治区水污染防治工作方案的通知》（新政发〔2016〕21号，2016年1月29日）；</w:t>
      </w:r>
    </w:p>
    <w:p w14:paraId="71865E5A">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（8）《关于印发新疆维吾尔自治区土壤污染防治工作方案的通知》（新政发〔2017〕25号，2017年3月1日）；</w:t>
      </w:r>
    </w:p>
    <w:p w14:paraId="1E93F41E">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（9）《新疆维吾尔自治区重点保护野生动物名录（修订）》（新政发〔2022〕75号）；</w:t>
      </w:r>
    </w:p>
    <w:p w14:paraId="0434FCFE">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（10）《新疆维吾尔自治区危险废物污染环境防治办法》（新疆维吾尔自治区人民政府令第163号）（2010年5月1日）；</w:t>
      </w:r>
    </w:p>
    <w:p w14:paraId="01385FE7">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（11）《新疆维吾尔自治区重点行业</w:t>
      </w:r>
      <w:r>
        <w:rPr>
          <w:rFonts w:hint="eastAsia" w:ascii="Times New Roman" w:hAnsi="Times New Roman" w:cs="Times New Roman"/>
          <w:color w:val="auto"/>
          <w:lang w:val="en-US" w:eastAsia="zh-CN"/>
        </w:rPr>
        <w:t>生态</w:t>
      </w:r>
      <w:r>
        <w:rPr>
          <w:rFonts w:hint="default" w:ascii="Times New Roman" w:hAnsi="Times New Roman" w:cs="Times New Roman"/>
          <w:color w:val="auto"/>
          <w:lang w:val="en-US" w:eastAsia="zh-CN"/>
        </w:rPr>
        <w:t>环境准入条件</w:t>
      </w:r>
      <w:r>
        <w:rPr>
          <w:rFonts w:hint="eastAsia" w:ascii="Times New Roman" w:hAnsi="Times New Roman" w:cs="Times New Roman"/>
          <w:color w:val="auto"/>
          <w:lang w:val="en-US" w:eastAsia="zh-CN"/>
        </w:rPr>
        <w:t>（2024年）</w:t>
      </w:r>
      <w:r>
        <w:rPr>
          <w:rFonts w:hint="default" w:ascii="Times New Roman" w:hAnsi="Times New Roman" w:cs="Times New Roman"/>
          <w:color w:val="auto"/>
          <w:lang w:val="en-US" w:eastAsia="zh-CN"/>
        </w:rPr>
        <w:t>》（新环发〔20</w:t>
      </w:r>
      <w:r>
        <w:rPr>
          <w:rFonts w:hint="eastAsia" w:ascii="Times New Roman" w:hAnsi="Times New Roman" w:cs="Times New Roman"/>
          <w:color w:val="auto"/>
          <w:lang w:val="en-US" w:eastAsia="zh-CN"/>
        </w:rPr>
        <w:t>24</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93</w:t>
      </w:r>
      <w:r>
        <w:rPr>
          <w:rFonts w:hint="default" w:ascii="Times New Roman" w:hAnsi="Times New Roman" w:cs="Times New Roman"/>
          <w:color w:val="auto"/>
          <w:lang w:val="en-US" w:eastAsia="zh-CN"/>
        </w:rPr>
        <w:t>号，</w:t>
      </w:r>
      <w:r>
        <w:rPr>
          <w:rFonts w:hint="eastAsia" w:ascii="Times New Roman" w:hAnsi="Times New Roman" w:cs="Times New Roman"/>
          <w:color w:val="auto"/>
          <w:lang w:val="en-US" w:eastAsia="zh-CN"/>
        </w:rPr>
        <w:t>2024</w:t>
      </w:r>
      <w:r>
        <w:rPr>
          <w:rFonts w:hint="default" w:ascii="Times New Roman" w:hAnsi="Times New Roman" w:cs="Times New Roman"/>
          <w:color w:val="auto"/>
          <w:lang w:val="en-US" w:eastAsia="zh-CN"/>
        </w:rPr>
        <w:t>年</w:t>
      </w:r>
      <w:r>
        <w:rPr>
          <w:rFonts w:hint="eastAsia" w:ascii="Times New Roman" w:hAnsi="Times New Roman" w:cs="Times New Roman"/>
          <w:color w:val="auto"/>
          <w:lang w:val="en-US" w:eastAsia="zh-CN"/>
        </w:rPr>
        <w:t>6</w:t>
      </w:r>
      <w:r>
        <w:rPr>
          <w:rFonts w:hint="default" w:ascii="Times New Roman" w:hAnsi="Times New Roman" w:cs="Times New Roman"/>
          <w:color w:val="auto"/>
          <w:lang w:val="en-US" w:eastAsia="zh-CN"/>
        </w:rPr>
        <w:t>月）；</w:t>
      </w:r>
    </w:p>
    <w:p w14:paraId="694B0BA0">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2</w:t>
      </w:r>
      <w:r>
        <w:rPr>
          <w:rFonts w:hint="default" w:ascii="Times New Roman" w:hAnsi="Times New Roman" w:cs="Times New Roman"/>
          <w:color w:val="auto"/>
          <w:lang w:val="en-US" w:eastAsia="zh-CN"/>
        </w:rPr>
        <w:t>）《新疆维吾尔自治区野生植物保护条例》2006年12月1日</w:t>
      </w:r>
      <w:r>
        <w:rPr>
          <w:rFonts w:hint="eastAsia" w:ascii="Times New Roman" w:hAnsi="Times New Roman" w:cs="Times New Roman"/>
          <w:color w:val="auto"/>
          <w:lang w:val="en-US" w:eastAsia="zh-CN"/>
        </w:rPr>
        <w:t>施行</w:t>
      </w:r>
      <w:r>
        <w:rPr>
          <w:rFonts w:hint="default" w:ascii="Times New Roman" w:hAnsi="Times New Roman" w:cs="Times New Roman"/>
          <w:color w:val="auto"/>
          <w:lang w:val="en-US" w:eastAsia="zh-CN"/>
        </w:rPr>
        <w:t>。</w:t>
      </w:r>
    </w:p>
    <w:p w14:paraId="019EB892">
      <w:pPr>
        <w:pStyle w:val="4"/>
        <w:spacing w:before="120" w:after="120" w:line="500" w:lineRule="exact"/>
        <w:rPr>
          <w:rFonts w:hint="default" w:ascii="Times New Roman" w:hAnsi="Times New Roman" w:eastAsia="华文中宋" w:cs="Times New Roman"/>
          <w:kern w:val="0"/>
          <w:sz w:val="24"/>
          <w:szCs w:val="24"/>
          <w:lang w:val="en-US" w:eastAsia="zh-CN"/>
        </w:rPr>
      </w:pPr>
      <w:bookmarkStart w:id="28" w:name="_Toc5501"/>
      <w:r>
        <w:rPr>
          <w:rFonts w:hint="default" w:ascii="Times New Roman" w:hAnsi="Times New Roman" w:eastAsia="华文中宋" w:cs="Times New Roman"/>
          <w:kern w:val="0"/>
          <w:sz w:val="24"/>
          <w:szCs w:val="24"/>
          <w:lang w:val="en-US" w:eastAsia="zh-CN"/>
        </w:rPr>
        <w:t>2.2.4相关规划</w:t>
      </w:r>
      <w:bookmarkEnd w:id="28"/>
    </w:p>
    <w:p w14:paraId="4B649FEB">
      <w:pPr>
        <w:pStyle w:val="24"/>
        <w:snapToGrid w:val="0"/>
        <w:jc w:val="left"/>
        <w:rPr>
          <w:rFonts w:hint="default" w:ascii="Times New Roman" w:hAnsi="Times New Roman" w:cs="Times New Roman"/>
          <w:color w:val="auto"/>
        </w:rPr>
      </w:pPr>
      <w:r>
        <w:rPr>
          <w:rFonts w:hint="default" w:ascii="Times New Roman" w:hAnsi="Times New Roman" w:cs="Times New Roman"/>
          <w:color w:val="auto"/>
          <w:lang w:val="en-US" w:eastAsia="zh-CN"/>
        </w:rPr>
        <w:t>（1）《新疆维吾尔自治区生态环境保护</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十四五</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规划》（2021年12月24日）；</w:t>
      </w:r>
    </w:p>
    <w:p w14:paraId="35E45E15">
      <w:pPr>
        <w:pStyle w:val="24"/>
        <w:snapToGrid w:val="0"/>
        <w:jc w:val="left"/>
        <w:rPr>
          <w:rFonts w:hint="default" w:ascii="Times New Roman" w:hAnsi="Times New Roman" w:cs="Times New Roman"/>
          <w:color w:val="auto"/>
        </w:rPr>
      </w:pPr>
      <w:r>
        <w:rPr>
          <w:rFonts w:hint="default" w:ascii="Times New Roman" w:hAnsi="Times New Roman" w:cs="Times New Roman"/>
          <w:color w:val="auto"/>
          <w:lang w:val="en-US" w:eastAsia="zh-CN"/>
        </w:rPr>
        <w:t>（2）《新疆维吾尔自治区生态功能区划》（2005年7月4日）；</w:t>
      </w:r>
    </w:p>
    <w:p w14:paraId="4BD823CE">
      <w:pPr>
        <w:pStyle w:val="24"/>
        <w:snapToGrid w:val="0"/>
        <w:jc w:val="left"/>
        <w:rPr>
          <w:rFonts w:hint="default" w:ascii="Times New Roman" w:hAnsi="Times New Roman" w:cs="Times New Roman"/>
          <w:color w:val="auto"/>
        </w:rPr>
      </w:pPr>
      <w:r>
        <w:rPr>
          <w:rFonts w:hint="default" w:ascii="Times New Roman" w:hAnsi="Times New Roman" w:cs="Times New Roman"/>
          <w:color w:val="auto"/>
          <w:lang w:val="en-US" w:eastAsia="zh-CN"/>
        </w:rPr>
        <w:t>（3）《</w:t>
      </w:r>
      <w:r>
        <w:rPr>
          <w:rFonts w:hint="eastAsia" w:ascii="Times New Roman" w:hAnsi="Times New Roman" w:cs="Times New Roman"/>
          <w:color w:val="auto"/>
          <w:lang w:val="en-US" w:eastAsia="zh-CN"/>
        </w:rPr>
        <w:t>新疆维吾尔自治区</w:t>
      </w:r>
      <w:r>
        <w:rPr>
          <w:rFonts w:hint="default" w:ascii="Times New Roman" w:hAnsi="Times New Roman" w:cs="Times New Roman"/>
          <w:color w:val="auto"/>
          <w:lang w:val="en-US" w:eastAsia="zh-CN"/>
        </w:rPr>
        <w:t>主体功能区划》（2013年6月20日）；</w:t>
      </w:r>
    </w:p>
    <w:p w14:paraId="39A49C80">
      <w:pPr>
        <w:pStyle w:val="24"/>
        <w:snapToGrid w:val="0"/>
        <w:jc w:val="left"/>
        <w:rPr>
          <w:rFonts w:hint="default" w:ascii="Times New Roman" w:hAnsi="Times New Roman" w:cs="Times New Roman"/>
          <w:color w:val="auto"/>
        </w:rPr>
      </w:pPr>
      <w:r>
        <w:rPr>
          <w:rFonts w:hint="default" w:ascii="Times New Roman" w:hAnsi="Times New Roman" w:cs="Times New Roman"/>
          <w:color w:val="auto"/>
          <w:lang w:val="en-US" w:eastAsia="zh-CN"/>
        </w:rPr>
        <w:t>（4）《新疆维吾尔自治区水环境功能区划》（新疆</w:t>
      </w:r>
      <w:r>
        <w:rPr>
          <w:rFonts w:hint="eastAsia" w:ascii="Times New Roman" w:hAnsi="Times New Roman" w:cs="Times New Roman"/>
          <w:color w:val="auto"/>
          <w:lang w:val="en-US" w:eastAsia="zh-CN"/>
        </w:rPr>
        <w:t>维吾尔</w:t>
      </w:r>
      <w:r>
        <w:rPr>
          <w:rFonts w:hint="default" w:ascii="Times New Roman" w:hAnsi="Times New Roman" w:cs="Times New Roman"/>
          <w:color w:val="auto"/>
          <w:lang w:val="en-US" w:eastAsia="zh-CN"/>
        </w:rPr>
        <w:t>自治区人民政府，新政函〔2002〕194号文，2002年11月16日发布）；</w:t>
      </w:r>
    </w:p>
    <w:p w14:paraId="4179D0CF">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（5）《新疆维吾尔自治区国民经济和社会发展第十四个五年规划》；</w:t>
      </w:r>
    </w:p>
    <w:p w14:paraId="658ED055">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（6）《新疆维吾尔自治区矿产资源总体规划（2021</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2025年）》；</w:t>
      </w:r>
    </w:p>
    <w:p w14:paraId="07FBF3FF">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（7）《新疆维吾尔自治区和田地区矿产资源总体规划（2021</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2025年）》；</w:t>
      </w:r>
    </w:p>
    <w:p w14:paraId="5FA2526B">
      <w:pPr>
        <w:pStyle w:val="24"/>
        <w:snapToGrid w:val="0"/>
        <w:jc w:val="left"/>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（8）《新疆维吾尔自治区民丰县矿产资源总体规划（2021—2025年）》</w:t>
      </w:r>
    </w:p>
    <w:p w14:paraId="2CF9FA9A">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9</w:t>
      </w:r>
      <w:r>
        <w:rPr>
          <w:rFonts w:hint="default" w:ascii="Times New Roman" w:hAnsi="Times New Roman" w:cs="Times New Roman"/>
          <w:color w:val="auto"/>
          <w:lang w:val="en-US" w:eastAsia="zh-CN"/>
        </w:rPr>
        <w:t>）《新疆生态环境保护</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十四五</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规划》</w:t>
      </w:r>
      <w:r>
        <w:rPr>
          <w:rFonts w:hint="eastAsia" w:ascii="Times New Roman" w:hAnsi="Times New Roman" w:cs="Times New Roman"/>
          <w:color w:val="auto"/>
          <w:lang w:val="en-US" w:eastAsia="zh-CN"/>
        </w:rPr>
        <w:t>。</w:t>
      </w:r>
    </w:p>
    <w:p w14:paraId="55597292">
      <w:pPr>
        <w:pStyle w:val="24"/>
        <w:snapToGrid w:val="0"/>
        <w:jc w:val="left"/>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（10）《和田地区“十四五”生态环境保护规划》</w:t>
      </w:r>
    </w:p>
    <w:p w14:paraId="7115DFCB">
      <w:pPr>
        <w:pStyle w:val="24"/>
        <w:snapToGrid w:val="0"/>
        <w:jc w:val="left"/>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（11）《民丰县环境保护“十四五”规划》</w:t>
      </w:r>
    </w:p>
    <w:p w14:paraId="63CE9998">
      <w:pPr>
        <w:pStyle w:val="4"/>
        <w:spacing w:before="120" w:after="120" w:line="500" w:lineRule="exact"/>
        <w:rPr>
          <w:rFonts w:hint="default" w:ascii="Times New Roman" w:hAnsi="Times New Roman" w:eastAsia="华文中宋" w:cs="Times New Roman"/>
          <w:kern w:val="0"/>
          <w:sz w:val="24"/>
          <w:szCs w:val="24"/>
          <w:lang w:val="en-US" w:eastAsia="zh-CN"/>
        </w:rPr>
      </w:pPr>
      <w:bookmarkStart w:id="29" w:name="_Toc26575"/>
      <w:r>
        <w:rPr>
          <w:rFonts w:hint="default" w:ascii="Times New Roman" w:hAnsi="Times New Roman" w:eastAsia="华文中宋" w:cs="Times New Roman"/>
          <w:kern w:val="0"/>
          <w:sz w:val="24"/>
          <w:szCs w:val="24"/>
          <w:lang w:val="en-US" w:eastAsia="zh-CN"/>
        </w:rPr>
        <w:t>2.2.5评价导则</w:t>
      </w:r>
      <w:r>
        <w:rPr>
          <w:rFonts w:hint="eastAsia" w:ascii="Times New Roman" w:hAnsi="Times New Roman" w:eastAsia="华文中宋" w:cs="Times New Roman"/>
          <w:kern w:val="0"/>
          <w:sz w:val="24"/>
          <w:szCs w:val="24"/>
          <w:lang w:val="en-US" w:eastAsia="zh-CN"/>
        </w:rPr>
        <w:t>、规范</w:t>
      </w:r>
      <w:bookmarkEnd w:id="29"/>
    </w:p>
    <w:p w14:paraId="1E3E9D99">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（1）《建设项目环境影响评价技术导则</w:t>
      </w:r>
      <w:r>
        <w:rPr>
          <w:rFonts w:hint="eastAsia" w:ascii="Times New Roman" w:hAnsi="Times New Roman" w:cs="Times New Roman"/>
          <w:color w:val="auto"/>
          <w:lang w:val="en-US" w:eastAsia="zh-CN"/>
        </w:rPr>
        <w:t xml:space="preserve"> </w:t>
      </w:r>
      <w:r>
        <w:rPr>
          <w:rFonts w:hint="default" w:ascii="Times New Roman" w:hAnsi="Times New Roman" w:eastAsia="华文中宋" w:cs="Times New Roman"/>
          <w:color w:val="auto"/>
          <w:lang w:val="en-US" w:eastAsia="zh-CN"/>
        </w:rPr>
        <w:t>总纲》（HJ2.1-2016）；</w:t>
      </w:r>
    </w:p>
    <w:p w14:paraId="7BC21752">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（2）《环境影响评价技术导则</w:t>
      </w:r>
      <w:r>
        <w:rPr>
          <w:rFonts w:hint="eastAsia" w:ascii="Times New Roman" w:hAnsi="Times New Roman" w:cs="Times New Roman"/>
          <w:color w:val="auto"/>
          <w:lang w:val="en-US" w:eastAsia="zh-CN"/>
        </w:rPr>
        <w:t xml:space="preserve"> </w:t>
      </w:r>
      <w:r>
        <w:rPr>
          <w:rFonts w:hint="default" w:ascii="Times New Roman" w:hAnsi="Times New Roman" w:eastAsia="华文中宋" w:cs="Times New Roman"/>
          <w:color w:val="auto"/>
          <w:lang w:val="en-US" w:eastAsia="zh-CN"/>
        </w:rPr>
        <w:t>大气环境》（HJ2.2-2018）；</w:t>
      </w:r>
    </w:p>
    <w:p w14:paraId="7231E66A">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（3）《环境影响评价技术导则</w:t>
      </w:r>
      <w:r>
        <w:rPr>
          <w:rFonts w:hint="eastAsia" w:ascii="Times New Roman" w:hAnsi="Times New Roman" w:cs="Times New Roman"/>
          <w:color w:val="auto"/>
          <w:lang w:val="en-US" w:eastAsia="zh-CN"/>
        </w:rPr>
        <w:t xml:space="preserve"> </w:t>
      </w:r>
      <w:r>
        <w:rPr>
          <w:rFonts w:hint="default" w:ascii="Times New Roman" w:hAnsi="Times New Roman" w:eastAsia="华文中宋" w:cs="Times New Roman"/>
          <w:color w:val="auto"/>
          <w:lang w:val="en-US" w:eastAsia="zh-CN"/>
        </w:rPr>
        <w:t>地表水环境》（HJ2.3-2018）；</w:t>
      </w:r>
    </w:p>
    <w:p w14:paraId="02059484">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（4）《环境影响评价技术导则</w:t>
      </w:r>
      <w:r>
        <w:rPr>
          <w:rFonts w:hint="eastAsia" w:ascii="Times New Roman" w:hAnsi="Times New Roman" w:cs="Times New Roman"/>
          <w:color w:val="auto"/>
          <w:lang w:val="en-US" w:eastAsia="zh-CN"/>
        </w:rPr>
        <w:t xml:space="preserve"> </w:t>
      </w:r>
      <w:r>
        <w:rPr>
          <w:rFonts w:hint="default" w:ascii="Times New Roman" w:hAnsi="Times New Roman" w:eastAsia="华文中宋" w:cs="Times New Roman"/>
          <w:color w:val="auto"/>
          <w:lang w:val="en-US" w:eastAsia="zh-CN"/>
        </w:rPr>
        <w:t>地下水环境》（HJ620-2016）；</w:t>
      </w:r>
    </w:p>
    <w:p w14:paraId="0CB9000A">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（5）《环境影响评价技术导则</w:t>
      </w:r>
      <w:r>
        <w:rPr>
          <w:rFonts w:hint="eastAsia" w:ascii="Times New Roman" w:hAnsi="Times New Roman" w:cs="Times New Roman"/>
          <w:color w:val="auto"/>
          <w:lang w:val="en-US" w:eastAsia="zh-CN"/>
        </w:rPr>
        <w:t xml:space="preserve"> </w:t>
      </w:r>
      <w:r>
        <w:rPr>
          <w:rFonts w:hint="default" w:ascii="Times New Roman" w:hAnsi="Times New Roman" w:eastAsia="华文中宋" w:cs="Times New Roman"/>
          <w:color w:val="auto"/>
          <w:lang w:val="en-US" w:eastAsia="zh-CN"/>
        </w:rPr>
        <w:t>声环境》（HJ2.4-2021）；</w:t>
      </w:r>
    </w:p>
    <w:p w14:paraId="6B825D31">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（6）《环境影响评价技术导则</w:t>
      </w:r>
      <w:r>
        <w:rPr>
          <w:rFonts w:hint="eastAsia" w:ascii="Times New Roman" w:hAnsi="Times New Roman" w:cs="Times New Roman"/>
          <w:color w:val="auto"/>
          <w:lang w:val="en-US" w:eastAsia="zh-CN"/>
        </w:rPr>
        <w:t xml:space="preserve"> </w:t>
      </w:r>
      <w:r>
        <w:rPr>
          <w:rFonts w:hint="default" w:ascii="Times New Roman" w:hAnsi="Times New Roman" w:eastAsia="华文中宋" w:cs="Times New Roman"/>
          <w:color w:val="auto"/>
          <w:lang w:val="en-US" w:eastAsia="zh-CN"/>
        </w:rPr>
        <w:t>生态</w:t>
      </w:r>
      <w:r>
        <w:rPr>
          <w:rFonts w:hint="eastAsia" w:ascii="Times New Roman" w:hAnsi="Times New Roman" w:cs="Times New Roman"/>
          <w:color w:val="auto"/>
          <w:lang w:val="en-US" w:eastAsia="zh-CN"/>
        </w:rPr>
        <w:t>影响</w:t>
      </w:r>
      <w:r>
        <w:rPr>
          <w:rFonts w:hint="default" w:ascii="Times New Roman" w:hAnsi="Times New Roman" w:eastAsia="华文中宋" w:cs="Times New Roman"/>
          <w:color w:val="auto"/>
          <w:lang w:val="en-US" w:eastAsia="zh-CN"/>
        </w:rPr>
        <w:t>》（HJ19-2022）；</w:t>
      </w:r>
    </w:p>
    <w:p w14:paraId="1BA4C2FF">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（7）《环境影响评价技术导则</w:t>
      </w:r>
      <w:r>
        <w:rPr>
          <w:rFonts w:hint="eastAsia" w:ascii="Times New Roman" w:hAnsi="Times New Roman" w:cs="Times New Roman"/>
          <w:color w:val="auto"/>
          <w:lang w:val="en-US" w:eastAsia="zh-CN"/>
        </w:rPr>
        <w:t xml:space="preserve"> </w:t>
      </w:r>
      <w:r>
        <w:rPr>
          <w:rFonts w:hint="default" w:ascii="Times New Roman" w:hAnsi="Times New Roman" w:eastAsia="华文中宋" w:cs="Times New Roman"/>
          <w:color w:val="auto"/>
          <w:lang w:val="en-US" w:eastAsia="zh-CN"/>
        </w:rPr>
        <w:t>土壤环境（试行）》（HJ964-2018）；</w:t>
      </w:r>
    </w:p>
    <w:p w14:paraId="40804B88">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（8）《建设项目环境风险评价技术导则》（HJ169-2018）；</w:t>
      </w:r>
    </w:p>
    <w:p w14:paraId="46D79A99">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（9）《关于发布</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排放源统计调查产排污核算方法和系数手册</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的公告》（公告2021年第24号）；</w:t>
      </w:r>
    </w:p>
    <w:p w14:paraId="34C2BED2">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（10）《矿山生态环境保护与恢复治理技术规范</w:t>
      </w:r>
      <w:r>
        <w:rPr>
          <w:rFonts w:hint="eastAsia" w:ascii="Times New Roman" w:hAnsi="Times New Roman" w:eastAsia="华文中宋" w:cs="Times New Roman"/>
          <w:color w:val="auto"/>
          <w:lang w:val="en-US" w:eastAsia="zh-CN"/>
        </w:rPr>
        <w:t>（试行）</w:t>
      </w:r>
      <w:r>
        <w:rPr>
          <w:rFonts w:hint="default" w:ascii="Times New Roman" w:hAnsi="Times New Roman" w:eastAsia="华文中宋" w:cs="Times New Roman"/>
          <w:color w:val="auto"/>
          <w:lang w:val="en-US" w:eastAsia="zh-CN"/>
        </w:rPr>
        <w:t>》（HJ651-2013）；</w:t>
      </w:r>
    </w:p>
    <w:p w14:paraId="09629A2B">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（11）《排污许可证申请与核发技术规范总则》（HJ942-2018）；</w:t>
      </w:r>
    </w:p>
    <w:p w14:paraId="4D153A18">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（12）《土壤侵蚀分类分级标准》（SL190-2007）；</w:t>
      </w:r>
    </w:p>
    <w:p w14:paraId="3A67D2FE">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（13）《危险废物鉴别技术规范》（HJ298-2019）；</w:t>
      </w:r>
    </w:p>
    <w:p w14:paraId="53FC6C43">
      <w:pPr>
        <w:pStyle w:val="4"/>
        <w:spacing w:before="120" w:after="120" w:line="500" w:lineRule="exact"/>
        <w:rPr>
          <w:rFonts w:hint="default" w:ascii="Times New Roman" w:hAnsi="Times New Roman" w:eastAsia="华文中宋" w:cs="Times New Roman"/>
          <w:kern w:val="0"/>
          <w:sz w:val="24"/>
          <w:szCs w:val="24"/>
          <w:lang w:val="en-US" w:eastAsia="zh-CN"/>
        </w:rPr>
      </w:pPr>
      <w:bookmarkStart w:id="30" w:name="_Toc5643"/>
      <w:r>
        <w:rPr>
          <w:rFonts w:hint="default" w:ascii="Times New Roman" w:hAnsi="Times New Roman" w:eastAsia="华文中宋" w:cs="Times New Roman"/>
          <w:kern w:val="0"/>
          <w:sz w:val="24"/>
          <w:szCs w:val="24"/>
          <w:lang w:val="en-US" w:eastAsia="zh-CN"/>
        </w:rPr>
        <w:t>2.2.6其他</w:t>
      </w:r>
      <w:bookmarkEnd w:id="30"/>
    </w:p>
    <w:p w14:paraId="3C0FC4BB">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民丰县盼水河铅锑矿工程</w:t>
      </w:r>
      <w:r>
        <w:rPr>
          <w:rFonts w:hint="default" w:ascii="Times New Roman" w:hAnsi="Times New Roman" w:cs="Times New Roman"/>
          <w:color w:val="auto"/>
          <w:lang w:val="en-US" w:eastAsia="zh-CN"/>
        </w:rPr>
        <w:t>项目环境影响评价工作委托书》；</w:t>
      </w:r>
    </w:p>
    <w:p w14:paraId="60DE8902">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（2）《新疆民丰县盼水河铅锑矿详查报告》</w:t>
      </w:r>
      <w:r>
        <w:rPr>
          <w:rFonts w:hint="eastAsia" w:ascii="Times New Roman" w:hAnsi="Times New Roman" w:cs="Times New Roman"/>
          <w:color w:val="auto"/>
          <w:lang w:val="en-US" w:eastAsia="zh-CN"/>
        </w:rPr>
        <w:t>（新疆地质矿产勘查开发局第一区域地质调查大队2010年8月）</w:t>
      </w:r>
      <w:r>
        <w:rPr>
          <w:rFonts w:hint="default" w:ascii="Times New Roman" w:hAnsi="Times New Roman" w:cs="Times New Roman"/>
          <w:color w:val="auto"/>
          <w:lang w:val="en-US" w:eastAsia="zh-CN"/>
        </w:rPr>
        <w:t>；</w:t>
      </w:r>
    </w:p>
    <w:p w14:paraId="2EEDD7A6">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（3）《〈新疆民丰县盼水河铅锑矿详查报告〉矿产资源储量评审意见书》（新国土资储评〔2011〕131号）；</w:t>
      </w:r>
    </w:p>
    <w:p w14:paraId="43D6AE26">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（4）《民丰县万水源矿业有限责任公司新疆民丰县盼水河锑铅矿采矿许可证》（证号：C6500002013053210129869）；</w:t>
      </w:r>
    </w:p>
    <w:p w14:paraId="2383F2A9">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（5）《民丰县盼水河锑铅矿矿产资源开发利用与生态保护修复方案》</w:t>
      </w:r>
      <w:r>
        <w:rPr>
          <w:rFonts w:hint="eastAsia" w:ascii="Times New Roman" w:hAnsi="Times New Roman" w:cs="Times New Roman"/>
          <w:color w:val="auto"/>
          <w:lang w:val="en-US" w:eastAsia="zh-CN"/>
        </w:rPr>
        <w:t>（新疆普勘地矿技术有限公司2023年11月）</w:t>
      </w:r>
      <w:r>
        <w:rPr>
          <w:rFonts w:hint="default" w:ascii="Times New Roman" w:hAnsi="Times New Roman" w:cs="Times New Roman"/>
          <w:color w:val="auto"/>
          <w:lang w:val="en-US" w:eastAsia="zh-CN"/>
        </w:rPr>
        <w:t>；</w:t>
      </w:r>
    </w:p>
    <w:p w14:paraId="40973C62">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（6）《关于对〈民丰县万水源矿业有限责任公司新疆民丰县盼水河锑铅矿矿产资源开发利用与生态保护修复方案〉专家意见的认定》（新自然资三合一审发〔2024〕16号）；</w:t>
      </w:r>
    </w:p>
    <w:p w14:paraId="659B3103">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（7）工程的其他有关技术资料。</w:t>
      </w:r>
    </w:p>
    <w:p w14:paraId="66BF9DA7">
      <w:pPr>
        <w:pStyle w:val="3"/>
        <w:spacing w:before="120" w:after="120" w:line="500" w:lineRule="exact"/>
        <w:ind w:left="375" w:hanging="375" w:firstLineChars="0"/>
        <w:contextualSpacing/>
        <w:rPr>
          <w:rFonts w:hint="default" w:ascii="Times New Roman" w:hAnsi="Times New Roman" w:eastAsia="华文中宋" w:cs="Times New Roman"/>
          <w:snapToGrid w:val="0"/>
          <w:kern w:val="0"/>
          <w:sz w:val="28"/>
          <w:szCs w:val="28"/>
          <w:lang w:val="en-US" w:eastAsia="zh-CN"/>
        </w:rPr>
      </w:pPr>
      <w:bookmarkStart w:id="31" w:name="_Toc26865"/>
      <w:bookmarkStart w:id="32" w:name="_Toc5115"/>
      <w:r>
        <w:rPr>
          <w:rFonts w:hint="default" w:ascii="Times New Roman" w:hAnsi="Times New Roman" w:eastAsia="华文中宋" w:cs="Times New Roman"/>
          <w:snapToGrid w:val="0"/>
          <w:kern w:val="0"/>
          <w:sz w:val="28"/>
          <w:szCs w:val="28"/>
          <w:lang w:val="en-US" w:eastAsia="zh-CN"/>
        </w:rPr>
        <w:t>2.3环境影响因素识别与评价因子筛选</w:t>
      </w:r>
      <w:bookmarkEnd w:id="31"/>
      <w:bookmarkEnd w:id="32"/>
    </w:p>
    <w:p w14:paraId="411B85D4">
      <w:pPr>
        <w:pStyle w:val="4"/>
        <w:spacing w:before="120" w:after="120" w:line="500" w:lineRule="exact"/>
        <w:rPr>
          <w:rFonts w:hint="default" w:ascii="Times New Roman" w:hAnsi="Times New Roman" w:eastAsia="华文中宋" w:cs="Times New Roman"/>
          <w:kern w:val="0"/>
          <w:sz w:val="24"/>
          <w:szCs w:val="24"/>
          <w:lang w:val="en-US" w:eastAsia="zh-CN"/>
        </w:rPr>
      </w:pPr>
      <w:bookmarkStart w:id="33" w:name="_Toc12254"/>
      <w:r>
        <w:rPr>
          <w:rFonts w:hint="default" w:ascii="Times New Roman" w:hAnsi="Times New Roman" w:eastAsia="华文中宋" w:cs="Times New Roman"/>
          <w:kern w:val="0"/>
          <w:sz w:val="24"/>
          <w:szCs w:val="24"/>
          <w:lang w:val="en-US" w:eastAsia="zh-CN"/>
        </w:rPr>
        <w:t>2.3.1 环境影响因素识别</w:t>
      </w:r>
      <w:bookmarkEnd w:id="33"/>
    </w:p>
    <w:p w14:paraId="197FF9AA">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矿区位于民丰县城170°方向、直距约140千米处，行政区划隶属和田地区民丰县管辖。根据本工程工艺特点、区域环境特征、工程运行对环境的影响程度以及国家污染物总量控制的指标规定，对项目建设的环境影响进行识别，影响因素识别见下表2.3-1。</w:t>
      </w:r>
    </w:p>
    <w:p w14:paraId="6AB49685">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表2.3-1  项目主要环境影响因素识别</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920"/>
        <w:gridCol w:w="716"/>
        <w:gridCol w:w="770"/>
        <w:gridCol w:w="709"/>
        <w:gridCol w:w="741"/>
        <w:gridCol w:w="758"/>
        <w:gridCol w:w="705"/>
        <w:gridCol w:w="804"/>
        <w:gridCol w:w="970"/>
      </w:tblGrid>
      <w:tr w14:paraId="5BC21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7" w:type="pct"/>
            <w:gridSpan w:val="2"/>
            <w:vAlign w:val="center"/>
          </w:tcPr>
          <w:p w14:paraId="22DFE4E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阶段</w:t>
            </w:r>
          </w:p>
        </w:tc>
        <w:tc>
          <w:tcPr>
            <w:tcW w:w="1288" w:type="pct"/>
            <w:gridSpan w:val="3"/>
            <w:vAlign w:val="center"/>
          </w:tcPr>
          <w:p w14:paraId="6D654B3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施工期</w:t>
            </w:r>
          </w:p>
        </w:tc>
        <w:tc>
          <w:tcPr>
            <w:tcW w:w="1766" w:type="pct"/>
            <w:gridSpan w:val="4"/>
            <w:vAlign w:val="center"/>
          </w:tcPr>
          <w:p w14:paraId="3628EE7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运营期</w:t>
            </w:r>
          </w:p>
        </w:tc>
        <w:tc>
          <w:tcPr>
            <w:tcW w:w="566" w:type="pct"/>
            <w:vAlign w:val="center"/>
          </w:tcPr>
          <w:p w14:paraId="0A5E64E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闭矿期</w:t>
            </w:r>
          </w:p>
        </w:tc>
      </w:tr>
      <w:tr w14:paraId="27A42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377" w:type="pct"/>
            <w:gridSpan w:val="2"/>
            <w:vAlign w:val="center"/>
            <mc:AlternateContent>
              <mc:Choice Requires="wpsCustomData">
                <wpsCustomData:diagonals>
                  <wpsCustomData:diagonal from="10000" to="30000">
                    <wpsCustomData:border w:val="single" w:color="auto" w:sz="4" w:space="0"/>
                  </wpsCustomData:diagonal>
                </wpsCustomData:diagonals>
              </mc:Choice>
            </mc:AlternateContent>
          </w:tcPr>
          <w:p w14:paraId="4311A546">
            <w:pPr>
              <w:spacing w:line="300" w:lineRule="exact"/>
              <w:jc w:val="center"/>
              <mc:AlternateContent>
                <mc:Choice Requires="wpsCustomData">
                  <wpsCustomData:diagonalParaType/>
                </mc:Choice>
              </mc:AlternateConten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环境要素</w:t>
            </w:r>
          </w:p>
          <w:p w14:paraId="2D40D68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影响行为</w:t>
            </w:r>
          </w:p>
        </w:tc>
        <w:tc>
          <w:tcPr>
            <w:tcW w:w="420" w:type="pct"/>
            <w:vAlign w:val="center"/>
          </w:tcPr>
          <w:p w14:paraId="5CB4F22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土建工程</w:t>
            </w:r>
          </w:p>
        </w:tc>
        <w:tc>
          <w:tcPr>
            <w:tcW w:w="452" w:type="pct"/>
            <w:vAlign w:val="center"/>
          </w:tcPr>
          <w:p w14:paraId="49143B3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物料运输</w:t>
            </w:r>
          </w:p>
        </w:tc>
        <w:tc>
          <w:tcPr>
            <w:tcW w:w="415" w:type="pct"/>
            <w:vAlign w:val="center"/>
          </w:tcPr>
          <w:p w14:paraId="3CE6929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施工安装</w:t>
            </w:r>
          </w:p>
        </w:tc>
        <w:tc>
          <w:tcPr>
            <w:tcW w:w="435" w:type="pct"/>
            <w:vAlign w:val="center"/>
          </w:tcPr>
          <w:p w14:paraId="782DF31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露天开采</w:t>
            </w:r>
          </w:p>
        </w:tc>
        <w:tc>
          <w:tcPr>
            <w:tcW w:w="445" w:type="pct"/>
            <w:vAlign w:val="center"/>
          </w:tcPr>
          <w:p w14:paraId="4D4C1B8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矿石运输</w:t>
            </w:r>
          </w:p>
        </w:tc>
        <w:tc>
          <w:tcPr>
            <w:tcW w:w="414" w:type="pct"/>
            <w:vAlign w:val="center"/>
          </w:tcPr>
          <w:p w14:paraId="5A3F31B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废石堆场</w:t>
            </w:r>
          </w:p>
        </w:tc>
        <w:tc>
          <w:tcPr>
            <w:tcW w:w="471" w:type="pct"/>
            <w:vAlign w:val="center"/>
          </w:tcPr>
          <w:p w14:paraId="414AD0B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生活办公</w:t>
            </w:r>
          </w:p>
        </w:tc>
        <w:tc>
          <w:tcPr>
            <w:tcW w:w="566" w:type="pct"/>
            <w:vAlign w:val="center"/>
          </w:tcPr>
          <w:p w14:paraId="775CAB2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生态恢复</w:t>
            </w:r>
          </w:p>
        </w:tc>
      </w:tr>
      <w:tr w14:paraId="7C3A1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0" w:type="pct"/>
            <w:vMerge w:val="restart"/>
            <w:vAlign w:val="center"/>
          </w:tcPr>
          <w:p w14:paraId="25D7F4C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自然环境</w:t>
            </w:r>
          </w:p>
        </w:tc>
        <w:tc>
          <w:tcPr>
            <w:tcW w:w="1127" w:type="pct"/>
            <w:vAlign w:val="center"/>
          </w:tcPr>
          <w:p w14:paraId="1B935D6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环境空气</w:t>
            </w:r>
          </w:p>
        </w:tc>
        <w:tc>
          <w:tcPr>
            <w:tcW w:w="420" w:type="pct"/>
            <w:vAlign w:val="center"/>
          </w:tcPr>
          <w:p w14:paraId="123D7E6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-1D</w:t>
            </w:r>
          </w:p>
        </w:tc>
        <w:tc>
          <w:tcPr>
            <w:tcW w:w="452" w:type="pct"/>
            <w:vAlign w:val="center"/>
          </w:tcPr>
          <w:p w14:paraId="7C37208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-1D</w:t>
            </w:r>
          </w:p>
        </w:tc>
        <w:tc>
          <w:tcPr>
            <w:tcW w:w="415" w:type="pct"/>
            <w:vAlign w:val="center"/>
          </w:tcPr>
          <w:p w14:paraId="59E1677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-1D</w:t>
            </w:r>
          </w:p>
        </w:tc>
        <w:tc>
          <w:tcPr>
            <w:tcW w:w="435" w:type="pct"/>
            <w:vAlign w:val="center"/>
          </w:tcPr>
          <w:p w14:paraId="46D7EFF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-2C</w:t>
            </w:r>
          </w:p>
        </w:tc>
        <w:tc>
          <w:tcPr>
            <w:tcW w:w="445" w:type="pct"/>
            <w:vAlign w:val="center"/>
          </w:tcPr>
          <w:p w14:paraId="7B139C4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-1C</w:t>
            </w:r>
          </w:p>
        </w:tc>
        <w:tc>
          <w:tcPr>
            <w:tcW w:w="414" w:type="pct"/>
            <w:vAlign w:val="center"/>
          </w:tcPr>
          <w:p w14:paraId="40AE379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-1C</w:t>
            </w:r>
          </w:p>
        </w:tc>
        <w:tc>
          <w:tcPr>
            <w:tcW w:w="471" w:type="pct"/>
            <w:vAlign w:val="center"/>
          </w:tcPr>
          <w:p w14:paraId="66DF2C0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-1C</w:t>
            </w:r>
          </w:p>
        </w:tc>
        <w:tc>
          <w:tcPr>
            <w:tcW w:w="566" w:type="pct"/>
            <w:vAlign w:val="center"/>
          </w:tcPr>
          <w:p w14:paraId="3A8D0FB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+1C</w:t>
            </w:r>
          </w:p>
        </w:tc>
      </w:tr>
      <w:tr w14:paraId="1B0C0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0" w:type="pct"/>
            <w:vMerge w:val="continue"/>
            <w:vAlign w:val="center"/>
          </w:tcPr>
          <w:p w14:paraId="78103C64">
            <w:pPr>
              <w:spacing w:line="300" w:lineRule="exact"/>
              <w:jc w:val="center"/>
              <w:rPr>
                <w:rFonts w:hint="default" w:ascii="Times New Roman" w:hAnsi="Times New Roman" w:eastAsia="华文中宋" w:cs="Times New Roman"/>
                <w:szCs w:val="21"/>
                <w:lang w:val="en-US" w:eastAsia="zh-CN"/>
              </w:rPr>
            </w:pPr>
          </w:p>
        </w:tc>
        <w:tc>
          <w:tcPr>
            <w:tcW w:w="1127" w:type="pct"/>
            <w:vAlign w:val="center"/>
          </w:tcPr>
          <w:p w14:paraId="7D4AD19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地表水</w:t>
            </w:r>
          </w:p>
        </w:tc>
        <w:tc>
          <w:tcPr>
            <w:tcW w:w="420" w:type="pct"/>
            <w:vAlign w:val="center"/>
          </w:tcPr>
          <w:p w14:paraId="3606A310">
            <w:pPr>
              <w:spacing w:line="300" w:lineRule="exact"/>
              <w:jc w:val="center"/>
              <w:rPr>
                <w:rFonts w:hint="default" w:ascii="Times New Roman" w:hAnsi="Times New Roman" w:eastAsia="华文中宋" w:cs="Times New Roman"/>
                <w:szCs w:val="21"/>
              </w:rPr>
            </w:pPr>
          </w:p>
        </w:tc>
        <w:tc>
          <w:tcPr>
            <w:tcW w:w="452" w:type="pct"/>
            <w:vAlign w:val="center"/>
          </w:tcPr>
          <w:p w14:paraId="6D013C18">
            <w:pPr>
              <w:spacing w:line="300" w:lineRule="exact"/>
              <w:jc w:val="center"/>
              <w:rPr>
                <w:rFonts w:hint="default" w:ascii="Times New Roman" w:hAnsi="Times New Roman" w:eastAsia="华文中宋" w:cs="Times New Roman"/>
                <w:szCs w:val="21"/>
                <w:lang w:val="en-US" w:eastAsia="zh-CN"/>
              </w:rPr>
            </w:pPr>
          </w:p>
        </w:tc>
        <w:tc>
          <w:tcPr>
            <w:tcW w:w="415" w:type="pct"/>
            <w:vAlign w:val="center"/>
          </w:tcPr>
          <w:p w14:paraId="78BE6634">
            <w:pPr>
              <w:spacing w:line="300" w:lineRule="exact"/>
              <w:jc w:val="center"/>
              <w:rPr>
                <w:rFonts w:hint="default" w:ascii="Times New Roman" w:hAnsi="Times New Roman" w:eastAsia="华文中宋" w:cs="Times New Roman"/>
                <w:szCs w:val="21"/>
                <w:lang w:val="en-US" w:eastAsia="zh-CN"/>
              </w:rPr>
            </w:pPr>
          </w:p>
        </w:tc>
        <w:tc>
          <w:tcPr>
            <w:tcW w:w="435" w:type="pct"/>
            <w:vAlign w:val="center"/>
          </w:tcPr>
          <w:p w14:paraId="41CB8737">
            <w:pPr>
              <w:spacing w:line="300" w:lineRule="exact"/>
              <w:jc w:val="center"/>
              <w:rPr>
                <w:rFonts w:hint="default" w:ascii="Times New Roman" w:hAnsi="Times New Roman" w:eastAsia="华文中宋" w:cs="Times New Roman"/>
                <w:szCs w:val="21"/>
              </w:rPr>
            </w:pPr>
          </w:p>
        </w:tc>
        <w:tc>
          <w:tcPr>
            <w:tcW w:w="445" w:type="pct"/>
            <w:vAlign w:val="center"/>
          </w:tcPr>
          <w:p w14:paraId="15B4A6F8">
            <w:pPr>
              <w:spacing w:line="300" w:lineRule="exact"/>
              <w:jc w:val="center"/>
              <w:rPr>
                <w:rFonts w:hint="default" w:ascii="Times New Roman" w:hAnsi="Times New Roman" w:eastAsia="华文中宋" w:cs="Times New Roman"/>
                <w:szCs w:val="21"/>
              </w:rPr>
            </w:pPr>
          </w:p>
        </w:tc>
        <w:tc>
          <w:tcPr>
            <w:tcW w:w="414" w:type="pct"/>
            <w:vAlign w:val="center"/>
          </w:tcPr>
          <w:p w14:paraId="7C79D62C">
            <w:pPr>
              <w:spacing w:line="300" w:lineRule="exact"/>
              <w:jc w:val="center"/>
              <w:rPr>
                <w:rFonts w:hint="default" w:ascii="Times New Roman" w:hAnsi="Times New Roman" w:eastAsia="华文中宋" w:cs="Times New Roman"/>
                <w:szCs w:val="21"/>
              </w:rPr>
            </w:pPr>
          </w:p>
        </w:tc>
        <w:tc>
          <w:tcPr>
            <w:tcW w:w="471" w:type="pct"/>
            <w:vAlign w:val="center"/>
          </w:tcPr>
          <w:p w14:paraId="188471DF">
            <w:pPr>
              <w:spacing w:line="300" w:lineRule="exact"/>
              <w:jc w:val="center"/>
              <w:rPr>
                <w:rFonts w:hint="default" w:ascii="Times New Roman" w:hAnsi="Times New Roman" w:eastAsia="华文中宋" w:cs="Times New Roman"/>
                <w:szCs w:val="21"/>
                <w:lang w:val="en-US" w:eastAsia="zh-CN"/>
              </w:rPr>
            </w:pPr>
          </w:p>
        </w:tc>
        <w:tc>
          <w:tcPr>
            <w:tcW w:w="566" w:type="pct"/>
            <w:vAlign w:val="center"/>
          </w:tcPr>
          <w:p w14:paraId="2E7A09CE">
            <w:pPr>
              <w:spacing w:line="300" w:lineRule="exact"/>
              <w:jc w:val="center"/>
              <w:rPr>
                <w:rFonts w:hint="default" w:ascii="Times New Roman" w:hAnsi="Times New Roman" w:eastAsia="华文中宋" w:cs="Times New Roman"/>
                <w:szCs w:val="21"/>
                <w:lang w:val="en-US" w:eastAsia="zh-CN"/>
              </w:rPr>
            </w:pPr>
          </w:p>
        </w:tc>
      </w:tr>
      <w:tr w14:paraId="0618D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0" w:type="pct"/>
            <w:vMerge w:val="continue"/>
            <w:vAlign w:val="center"/>
          </w:tcPr>
          <w:p w14:paraId="02D6FC13">
            <w:pPr>
              <w:spacing w:line="300" w:lineRule="exact"/>
              <w:jc w:val="center"/>
              <w:rPr>
                <w:rFonts w:hint="default" w:ascii="Times New Roman" w:hAnsi="Times New Roman" w:eastAsia="华文中宋" w:cs="Times New Roman"/>
                <w:szCs w:val="21"/>
                <w:lang w:val="en-US" w:eastAsia="zh-CN"/>
              </w:rPr>
            </w:pPr>
          </w:p>
        </w:tc>
        <w:tc>
          <w:tcPr>
            <w:tcW w:w="1127" w:type="pct"/>
            <w:vAlign w:val="center"/>
          </w:tcPr>
          <w:p w14:paraId="0E13CB2E">
            <w:pPr>
              <w:spacing w:line="300" w:lineRule="exact"/>
              <w:jc w:val="center"/>
              <w:rPr>
                <w:rFonts w:hint="default" w:ascii="Times New Roman" w:hAnsi="Times New Roman" w:eastAsia="华文中宋" w:cs="Times New Roman"/>
                <w:szCs w:val="21"/>
                <w:lang w:val="en-US" w:eastAsia="zh-CN"/>
              </w:rPr>
            </w:pPr>
            <m:oMathPara>
              <m:oMath>
                <m:r>
                  <m:rPr>
                    <m:sty m:val="p"/>
                  </m:rPr>
                  <w:rPr>
                    <w:rFonts w:hint="default" w:ascii="Cambria Math" w:hAnsi="Cambria Math" w:eastAsia="华文中宋" w:cs="Times New Roman"/>
                    <w:kern w:val="2"/>
                    <w:sz w:val="21"/>
                    <w:szCs w:val="21"/>
                    <w:lang w:val="en-US" w:eastAsia="zh-CN" w:bidi="ar-SA"/>
                  </w:rPr>
                  <m:t>地下水</m:t>
                </m:r>
              </m:oMath>
            </m:oMathPara>
          </w:p>
        </w:tc>
        <w:tc>
          <w:tcPr>
            <w:tcW w:w="420" w:type="pct"/>
            <w:vAlign w:val="center"/>
          </w:tcPr>
          <w:p w14:paraId="3B451A10">
            <w:pPr>
              <w:spacing w:line="300" w:lineRule="exact"/>
              <w:jc w:val="center"/>
              <w:rPr>
                <w:rFonts w:hint="default" w:ascii="Times New Roman" w:hAnsi="Times New Roman" w:eastAsia="华文中宋" w:cs="Times New Roman"/>
                <w:szCs w:val="21"/>
              </w:rPr>
            </w:pPr>
          </w:p>
        </w:tc>
        <w:tc>
          <w:tcPr>
            <w:tcW w:w="452" w:type="pct"/>
            <w:vAlign w:val="center"/>
          </w:tcPr>
          <w:p w14:paraId="61A8874F">
            <w:pPr>
              <w:spacing w:line="300" w:lineRule="exact"/>
              <w:jc w:val="center"/>
              <w:rPr>
                <w:rFonts w:hint="default" w:ascii="Times New Roman" w:hAnsi="Times New Roman" w:eastAsia="华文中宋" w:cs="Times New Roman"/>
                <w:szCs w:val="21"/>
                <w:lang w:val="en-US" w:eastAsia="zh-CN"/>
              </w:rPr>
            </w:pPr>
          </w:p>
        </w:tc>
        <w:tc>
          <w:tcPr>
            <w:tcW w:w="415" w:type="pct"/>
            <w:vAlign w:val="center"/>
          </w:tcPr>
          <w:p w14:paraId="1D588670">
            <w:pPr>
              <w:spacing w:line="300" w:lineRule="exact"/>
              <w:jc w:val="center"/>
              <w:rPr>
                <w:rFonts w:hint="default" w:ascii="Times New Roman" w:hAnsi="Times New Roman" w:eastAsia="华文中宋" w:cs="Times New Roman"/>
                <w:szCs w:val="21"/>
                <w:lang w:val="en-US" w:eastAsia="zh-CN"/>
              </w:rPr>
            </w:pPr>
          </w:p>
        </w:tc>
        <w:tc>
          <w:tcPr>
            <w:tcW w:w="435" w:type="pct"/>
            <w:vAlign w:val="center"/>
          </w:tcPr>
          <w:p w14:paraId="0F15DDE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-1C</w:t>
            </w:r>
          </w:p>
        </w:tc>
        <w:tc>
          <w:tcPr>
            <w:tcW w:w="445" w:type="pct"/>
            <w:vAlign w:val="center"/>
          </w:tcPr>
          <w:p w14:paraId="13BF1430">
            <w:pPr>
              <w:spacing w:line="300" w:lineRule="exact"/>
              <w:jc w:val="center"/>
              <w:rPr>
                <w:rFonts w:hint="default" w:ascii="Times New Roman" w:hAnsi="Times New Roman" w:eastAsia="华文中宋" w:cs="Times New Roman"/>
                <w:szCs w:val="21"/>
              </w:rPr>
            </w:pPr>
          </w:p>
        </w:tc>
        <w:tc>
          <w:tcPr>
            <w:tcW w:w="414" w:type="pct"/>
            <w:vAlign w:val="center"/>
          </w:tcPr>
          <w:p w14:paraId="2CE5676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-1C</w:t>
            </w:r>
          </w:p>
        </w:tc>
        <w:tc>
          <w:tcPr>
            <w:tcW w:w="471" w:type="pct"/>
            <w:vAlign w:val="center"/>
          </w:tcPr>
          <w:p w14:paraId="5B6C25E6">
            <w:pPr>
              <w:spacing w:line="300" w:lineRule="exact"/>
              <w:jc w:val="center"/>
              <w:rPr>
                <w:rFonts w:hint="default" w:ascii="Times New Roman" w:hAnsi="Times New Roman" w:eastAsia="华文中宋" w:cs="Times New Roman"/>
                <w:szCs w:val="21"/>
                <w:lang w:val="en-US" w:eastAsia="zh-CN"/>
              </w:rPr>
            </w:pPr>
          </w:p>
        </w:tc>
        <w:tc>
          <w:tcPr>
            <w:tcW w:w="566" w:type="pct"/>
            <w:vAlign w:val="center"/>
          </w:tcPr>
          <w:p w14:paraId="2612F216">
            <w:pPr>
              <w:spacing w:line="300" w:lineRule="exact"/>
              <w:jc w:val="center"/>
              <w:rPr>
                <w:rFonts w:hint="default" w:ascii="Times New Roman" w:hAnsi="Times New Roman" w:eastAsia="华文中宋" w:cs="Times New Roman"/>
                <w:szCs w:val="21"/>
                <w:lang w:val="en-US" w:eastAsia="zh-CN"/>
              </w:rPr>
            </w:pPr>
          </w:p>
        </w:tc>
      </w:tr>
      <w:tr w14:paraId="15F82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0" w:type="pct"/>
            <w:vMerge w:val="continue"/>
            <w:vAlign w:val="center"/>
          </w:tcPr>
          <w:p w14:paraId="40BAC542">
            <w:pPr>
              <w:spacing w:line="300" w:lineRule="exact"/>
              <w:jc w:val="center"/>
              <w:rPr>
                <w:rFonts w:hint="default" w:ascii="Times New Roman" w:hAnsi="Times New Roman" w:eastAsia="华文中宋" w:cs="Times New Roman"/>
                <w:szCs w:val="21"/>
                <w:lang w:val="en-US" w:eastAsia="zh-CN"/>
              </w:rPr>
            </w:pPr>
          </w:p>
        </w:tc>
        <w:tc>
          <w:tcPr>
            <w:tcW w:w="1127" w:type="pct"/>
            <w:vAlign w:val="center"/>
          </w:tcPr>
          <w:p w14:paraId="495A8B9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声环境</w:t>
            </w:r>
          </w:p>
        </w:tc>
        <w:tc>
          <w:tcPr>
            <w:tcW w:w="420" w:type="pct"/>
            <w:vAlign w:val="center"/>
          </w:tcPr>
          <w:p w14:paraId="0334903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-1D</w:t>
            </w:r>
          </w:p>
        </w:tc>
        <w:tc>
          <w:tcPr>
            <w:tcW w:w="452" w:type="pct"/>
            <w:vAlign w:val="center"/>
          </w:tcPr>
          <w:p w14:paraId="7D6B6F1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-1D</w:t>
            </w:r>
          </w:p>
        </w:tc>
        <w:tc>
          <w:tcPr>
            <w:tcW w:w="415" w:type="pct"/>
            <w:vAlign w:val="center"/>
          </w:tcPr>
          <w:p w14:paraId="0ABD702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-1D</w:t>
            </w:r>
          </w:p>
        </w:tc>
        <w:tc>
          <w:tcPr>
            <w:tcW w:w="435" w:type="pct"/>
            <w:vAlign w:val="center"/>
          </w:tcPr>
          <w:p w14:paraId="7F5AE63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-1C</w:t>
            </w:r>
          </w:p>
        </w:tc>
        <w:tc>
          <w:tcPr>
            <w:tcW w:w="445" w:type="pct"/>
            <w:vAlign w:val="center"/>
          </w:tcPr>
          <w:p w14:paraId="7D0176B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-1C</w:t>
            </w:r>
          </w:p>
        </w:tc>
        <w:tc>
          <w:tcPr>
            <w:tcW w:w="414" w:type="pct"/>
            <w:vAlign w:val="center"/>
          </w:tcPr>
          <w:p w14:paraId="31A7F4B5">
            <w:pPr>
              <w:spacing w:line="300" w:lineRule="exact"/>
              <w:jc w:val="center"/>
              <w:rPr>
                <w:rFonts w:hint="default" w:ascii="Times New Roman" w:hAnsi="Times New Roman" w:eastAsia="华文中宋" w:cs="Times New Roman"/>
                <w:szCs w:val="21"/>
              </w:rPr>
            </w:pPr>
          </w:p>
        </w:tc>
        <w:tc>
          <w:tcPr>
            <w:tcW w:w="471" w:type="pct"/>
            <w:vAlign w:val="center"/>
          </w:tcPr>
          <w:p w14:paraId="44F639F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-1C</w:t>
            </w:r>
          </w:p>
        </w:tc>
        <w:tc>
          <w:tcPr>
            <w:tcW w:w="566" w:type="pct"/>
            <w:vAlign w:val="center"/>
          </w:tcPr>
          <w:p w14:paraId="4535DC6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-1C</w:t>
            </w:r>
          </w:p>
        </w:tc>
      </w:tr>
      <w:tr w14:paraId="39399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0" w:type="pct"/>
            <w:vMerge w:val="continue"/>
            <w:vAlign w:val="center"/>
          </w:tcPr>
          <w:p w14:paraId="0A3B0780">
            <w:pPr>
              <w:spacing w:line="300" w:lineRule="exact"/>
              <w:jc w:val="center"/>
              <w:rPr>
                <w:rFonts w:hint="default" w:ascii="Times New Roman" w:hAnsi="Times New Roman" w:eastAsia="华文中宋" w:cs="Times New Roman"/>
                <w:szCs w:val="21"/>
                <w:lang w:val="en-US" w:eastAsia="zh-CN"/>
              </w:rPr>
            </w:pPr>
          </w:p>
        </w:tc>
        <w:tc>
          <w:tcPr>
            <w:tcW w:w="1127" w:type="pct"/>
            <w:vAlign w:val="center"/>
          </w:tcPr>
          <w:p w14:paraId="103D2A3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土壤或土地利用</w:t>
            </w:r>
          </w:p>
        </w:tc>
        <w:tc>
          <w:tcPr>
            <w:tcW w:w="420" w:type="pct"/>
            <w:vAlign w:val="center"/>
          </w:tcPr>
          <w:p w14:paraId="662108D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-1D</w:t>
            </w:r>
          </w:p>
        </w:tc>
        <w:tc>
          <w:tcPr>
            <w:tcW w:w="452" w:type="pct"/>
            <w:vAlign w:val="center"/>
          </w:tcPr>
          <w:p w14:paraId="632EA8C6">
            <w:pPr>
              <w:spacing w:line="300" w:lineRule="exact"/>
              <w:jc w:val="center"/>
              <w:rPr>
                <w:rFonts w:hint="default" w:ascii="Times New Roman" w:hAnsi="Times New Roman" w:eastAsia="华文中宋" w:cs="Times New Roman"/>
                <w:szCs w:val="21"/>
                <w:lang w:val="en-US" w:eastAsia="zh-CN"/>
              </w:rPr>
            </w:pPr>
          </w:p>
        </w:tc>
        <w:tc>
          <w:tcPr>
            <w:tcW w:w="415" w:type="pct"/>
            <w:vAlign w:val="center"/>
          </w:tcPr>
          <w:p w14:paraId="0174F22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-1D</w:t>
            </w:r>
          </w:p>
        </w:tc>
        <w:tc>
          <w:tcPr>
            <w:tcW w:w="435" w:type="pct"/>
            <w:vAlign w:val="center"/>
          </w:tcPr>
          <w:p w14:paraId="47063EB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-1C</w:t>
            </w:r>
          </w:p>
        </w:tc>
        <w:tc>
          <w:tcPr>
            <w:tcW w:w="445" w:type="pct"/>
            <w:vAlign w:val="center"/>
          </w:tcPr>
          <w:p w14:paraId="6EEDE34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-1C</w:t>
            </w:r>
          </w:p>
        </w:tc>
        <w:tc>
          <w:tcPr>
            <w:tcW w:w="414" w:type="pct"/>
            <w:vAlign w:val="center"/>
          </w:tcPr>
          <w:p w14:paraId="63756370">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-2C</w:t>
            </w:r>
          </w:p>
        </w:tc>
        <w:tc>
          <w:tcPr>
            <w:tcW w:w="471" w:type="pct"/>
            <w:vAlign w:val="center"/>
          </w:tcPr>
          <w:p w14:paraId="671BBED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-1C</w:t>
            </w:r>
          </w:p>
        </w:tc>
        <w:tc>
          <w:tcPr>
            <w:tcW w:w="566" w:type="pct"/>
            <w:vAlign w:val="center"/>
          </w:tcPr>
          <w:p w14:paraId="17E00B2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+1C</w:t>
            </w:r>
          </w:p>
        </w:tc>
      </w:tr>
      <w:tr w14:paraId="796A5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0" w:type="pct"/>
            <w:vMerge w:val="continue"/>
            <w:vAlign w:val="center"/>
          </w:tcPr>
          <w:p w14:paraId="021F120E">
            <w:pPr>
              <w:spacing w:line="300" w:lineRule="exact"/>
              <w:jc w:val="center"/>
              <w:rPr>
                <w:rFonts w:hint="default" w:ascii="Times New Roman" w:hAnsi="Times New Roman" w:eastAsia="华文中宋" w:cs="Times New Roman"/>
                <w:szCs w:val="21"/>
                <w:lang w:val="en-US" w:eastAsia="zh-CN"/>
              </w:rPr>
            </w:pPr>
          </w:p>
        </w:tc>
        <w:tc>
          <w:tcPr>
            <w:tcW w:w="1127" w:type="pct"/>
            <w:vAlign w:val="center"/>
          </w:tcPr>
          <w:p w14:paraId="59C08C6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水土流失</w:t>
            </w:r>
          </w:p>
        </w:tc>
        <w:tc>
          <w:tcPr>
            <w:tcW w:w="420" w:type="pct"/>
            <w:vAlign w:val="center"/>
          </w:tcPr>
          <w:p w14:paraId="1658436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-2D</w:t>
            </w:r>
          </w:p>
        </w:tc>
        <w:tc>
          <w:tcPr>
            <w:tcW w:w="452" w:type="pct"/>
            <w:vAlign w:val="center"/>
          </w:tcPr>
          <w:p w14:paraId="7A1E22D6">
            <w:pPr>
              <w:spacing w:line="300" w:lineRule="exact"/>
              <w:jc w:val="center"/>
              <w:rPr>
                <w:rFonts w:hint="default" w:ascii="Times New Roman" w:hAnsi="Times New Roman" w:eastAsia="华文中宋" w:cs="Times New Roman"/>
                <w:szCs w:val="21"/>
                <w:lang w:val="en-US" w:eastAsia="zh-CN"/>
              </w:rPr>
            </w:pPr>
          </w:p>
        </w:tc>
        <w:tc>
          <w:tcPr>
            <w:tcW w:w="415" w:type="pct"/>
            <w:vAlign w:val="center"/>
          </w:tcPr>
          <w:p w14:paraId="6EEB1DF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-1D</w:t>
            </w:r>
          </w:p>
        </w:tc>
        <w:tc>
          <w:tcPr>
            <w:tcW w:w="435" w:type="pct"/>
            <w:vAlign w:val="center"/>
          </w:tcPr>
          <w:p w14:paraId="0D4FD47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-2C</w:t>
            </w:r>
          </w:p>
        </w:tc>
        <w:tc>
          <w:tcPr>
            <w:tcW w:w="445" w:type="pct"/>
            <w:vAlign w:val="center"/>
          </w:tcPr>
          <w:p w14:paraId="1F386BC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-1C</w:t>
            </w:r>
          </w:p>
        </w:tc>
        <w:tc>
          <w:tcPr>
            <w:tcW w:w="414" w:type="pct"/>
            <w:vAlign w:val="center"/>
          </w:tcPr>
          <w:p w14:paraId="464FF5D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-1C</w:t>
            </w:r>
          </w:p>
        </w:tc>
        <w:tc>
          <w:tcPr>
            <w:tcW w:w="471" w:type="pct"/>
            <w:vAlign w:val="center"/>
          </w:tcPr>
          <w:p w14:paraId="67F7EC0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-1C</w:t>
            </w:r>
          </w:p>
        </w:tc>
        <w:tc>
          <w:tcPr>
            <w:tcW w:w="566" w:type="pct"/>
            <w:vAlign w:val="center"/>
          </w:tcPr>
          <w:p w14:paraId="682A564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+2C</w:t>
            </w:r>
          </w:p>
        </w:tc>
      </w:tr>
      <w:tr w14:paraId="0D579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0" w:type="pct"/>
            <w:vMerge w:val="continue"/>
            <w:vAlign w:val="center"/>
          </w:tcPr>
          <w:p w14:paraId="2488BDE4">
            <w:pPr>
              <w:spacing w:line="300" w:lineRule="exact"/>
              <w:jc w:val="center"/>
              <w:rPr>
                <w:rFonts w:hint="default" w:ascii="Times New Roman" w:hAnsi="Times New Roman" w:eastAsia="华文中宋" w:cs="Times New Roman"/>
                <w:szCs w:val="21"/>
                <w:lang w:val="en-US" w:eastAsia="zh-CN"/>
              </w:rPr>
            </w:pPr>
          </w:p>
        </w:tc>
        <w:tc>
          <w:tcPr>
            <w:tcW w:w="1127" w:type="pct"/>
            <w:vAlign w:val="center"/>
          </w:tcPr>
          <w:p w14:paraId="59DD908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自然景观</w:t>
            </w:r>
          </w:p>
        </w:tc>
        <w:tc>
          <w:tcPr>
            <w:tcW w:w="420" w:type="pct"/>
            <w:vAlign w:val="center"/>
          </w:tcPr>
          <w:p w14:paraId="426F5FB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-1D</w:t>
            </w:r>
          </w:p>
        </w:tc>
        <w:tc>
          <w:tcPr>
            <w:tcW w:w="452" w:type="pct"/>
            <w:vAlign w:val="center"/>
          </w:tcPr>
          <w:p w14:paraId="2279D006">
            <w:pPr>
              <w:spacing w:line="300" w:lineRule="exact"/>
              <w:jc w:val="center"/>
              <w:rPr>
                <w:rFonts w:hint="default" w:ascii="Times New Roman" w:hAnsi="Times New Roman" w:eastAsia="华文中宋" w:cs="Times New Roman"/>
                <w:szCs w:val="21"/>
                <w:lang w:val="en-US" w:eastAsia="zh-CN"/>
              </w:rPr>
            </w:pPr>
          </w:p>
        </w:tc>
        <w:tc>
          <w:tcPr>
            <w:tcW w:w="415" w:type="pct"/>
            <w:vAlign w:val="center"/>
          </w:tcPr>
          <w:p w14:paraId="79A9591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-1D</w:t>
            </w:r>
          </w:p>
        </w:tc>
        <w:tc>
          <w:tcPr>
            <w:tcW w:w="435" w:type="pct"/>
            <w:vAlign w:val="center"/>
          </w:tcPr>
          <w:p w14:paraId="389C581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-1C</w:t>
            </w:r>
          </w:p>
        </w:tc>
        <w:tc>
          <w:tcPr>
            <w:tcW w:w="445" w:type="pct"/>
            <w:vAlign w:val="center"/>
          </w:tcPr>
          <w:p w14:paraId="4E63EC83">
            <w:pPr>
              <w:spacing w:line="300" w:lineRule="exact"/>
              <w:jc w:val="center"/>
              <w:rPr>
                <w:rFonts w:hint="default" w:ascii="Times New Roman" w:hAnsi="Times New Roman" w:eastAsia="华文中宋" w:cs="Times New Roman"/>
                <w:szCs w:val="21"/>
              </w:rPr>
            </w:pPr>
          </w:p>
        </w:tc>
        <w:tc>
          <w:tcPr>
            <w:tcW w:w="414" w:type="pct"/>
            <w:vAlign w:val="center"/>
          </w:tcPr>
          <w:p w14:paraId="57C0254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-1C</w:t>
            </w:r>
          </w:p>
        </w:tc>
        <w:tc>
          <w:tcPr>
            <w:tcW w:w="471" w:type="pct"/>
            <w:vAlign w:val="center"/>
          </w:tcPr>
          <w:p w14:paraId="210252E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-1C</w:t>
            </w:r>
          </w:p>
        </w:tc>
        <w:tc>
          <w:tcPr>
            <w:tcW w:w="566" w:type="pct"/>
            <w:vAlign w:val="center"/>
          </w:tcPr>
          <w:p w14:paraId="5972DE3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+2C</w:t>
            </w:r>
          </w:p>
        </w:tc>
      </w:tr>
      <w:tr w14:paraId="4F5FE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0" w:type="pct"/>
            <w:vMerge w:val="continue"/>
            <w:vAlign w:val="center"/>
          </w:tcPr>
          <w:p w14:paraId="3E2C72BC">
            <w:pPr>
              <w:spacing w:line="300" w:lineRule="exact"/>
              <w:jc w:val="center"/>
              <w:rPr>
                <w:rFonts w:hint="default" w:ascii="Times New Roman" w:hAnsi="Times New Roman" w:eastAsia="华文中宋" w:cs="Times New Roman"/>
                <w:szCs w:val="21"/>
                <w:lang w:val="en-US" w:eastAsia="zh-CN"/>
              </w:rPr>
            </w:pPr>
          </w:p>
        </w:tc>
        <w:tc>
          <w:tcPr>
            <w:tcW w:w="1127" w:type="pct"/>
            <w:vAlign w:val="center"/>
          </w:tcPr>
          <w:p w14:paraId="33497B82">
            <w:pPr>
              <w:spacing w:line="300" w:lineRule="exact"/>
              <w:jc w:val="center"/>
              <w:rPr>
                <w:rFonts w:hint="default" w:ascii="Times New Roman" w:hAnsi="Times New Roman" w:eastAsia="华文中宋" w:cs="Times New Roman"/>
                <w:szCs w:val="21"/>
                <w:lang w:val="en-US" w:eastAsia="zh-CN"/>
              </w:rPr>
            </w:pPr>
            <m:oMath>
              <m:r>
                <m:rPr>
                  <m:sty m:val="p"/>
                </m:rPr>
                <w:rPr>
                  <w:rFonts w:hint="default" w:ascii="Cambria Math" w:hAnsi="Cambria Math" w:eastAsia="华文中宋" w:cs="Times New Roman"/>
                  <w:kern w:val="2"/>
                  <w:sz w:val="21"/>
                  <w:szCs w:val="21"/>
                  <w:lang w:val="en-US" w:eastAsia="zh-CN" w:bidi="ar-SA"/>
                </w:rPr>
                <m:t>野生动</m:t>
              </m:r>
            </m:oMath>
            <w:r>
              <w:rPr>
                <w:rFonts w:hint="default" w:ascii="Times New Roman" w:hAnsi="Times New Roman" w:eastAsia="华文中宋" w:cs="Times New Roman"/>
                <w:szCs w:val="21"/>
                <w:lang w:val="en-US" w:eastAsia="zh-CN"/>
              </w:rPr>
              <w:t>物</w:t>
            </w:r>
          </w:p>
        </w:tc>
        <w:tc>
          <w:tcPr>
            <w:tcW w:w="420" w:type="pct"/>
            <w:vAlign w:val="center"/>
          </w:tcPr>
          <w:p w14:paraId="5A3F66E7">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-1D</w:t>
            </w:r>
          </w:p>
        </w:tc>
        <w:tc>
          <w:tcPr>
            <w:tcW w:w="452" w:type="pct"/>
            <w:vAlign w:val="center"/>
          </w:tcPr>
          <w:p w14:paraId="3A55DBE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-1D</w:t>
            </w:r>
          </w:p>
        </w:tc>
        <w:tc>
          <w:tcPr>
            <w:tcW w:w="415" w:type="pct"/>
            <w:vAlign w:val="center"/>
          </w:tcPr>
          <w:p w14:paraId="4E9E4C6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-1D</w:t>
            </w:r>
          </w:p>
        </w:tc>
        <w:tc>
          <w:tcPr>
            <w:tcW w:w="435" w:type="pct"/>
            <w:vAlign w:val="center"/>
          </w:tcPr>
          <w:p w14:paraId="15B5F5D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-1C</w:t>
            </w:r>
          </w:p>
        </w:tc>
        <w:tc>
          <w:tcPr>
            <w:tcW w:w="445" w:type="pct"/>
            <w:vAlign w:val="center"/>
          </w:tcPr>
          <w:p w14:paraId="382B3C60">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-1C</w:t>
            </w:r>
          </w:p>
        </w:tc>
        <w:tc>
          <w:tcPr>
            <w:tcW w:w="414" w:type="pct"/>
            <w:vAlign w:val="center"/>
          </w:tcPr>
          <w:p w14:paraId="1F89540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-1C</w:t>
            </w:r>
          </w:p>
        </w:tc>
        <w:tc>
          <w:tcPr>
            <w:tcW w:w="471" w:type="pct"/>
            <w:vAlign w:val="center"/>
          </w:tcPr>
          <w:p w14:paraId="6CE46CC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-1C</w:t>
            </w:r>
          </w:p>
        </w:tc>
        <w:tc>
          <w:tcPr>
            <w:tcW w:w="566" w:type="pct"/>
            <w:vAlign w:val="center"/>
          </w:tcPr>
          <w:p w14:paraId="175327C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+1C</w:t>
            </w:r>
          </w:p>
        </w:tc>
      </w:tr>
      <w:tr w14:paraId="1C1D5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0" w:type="pct"/>
            <w:vMerge w:val="continue"/>
            <w:vAlign w:val="center"/>
          </w:tcPr>
          <w:p w14:paraId="5FD38B49">
            <w:pPr>
              <w:spacing w:line="300" w:lineRule="exact"/>
              <w:jc w:val="center"/>
              <w:rPr>
                <w:rFonts w:hint="default" w:ascii="Times New Roman" w:hAnsi="Times New Roman" w:eastAsia="华文中宋" w:cs="Times New Roman"/>
                <w:szCs w:val="21"/>
                <w:lang w:val="en-US" w:eastAsia="zh-CN"/>
              </w:rPr>
            </w:pPr>
          </w:p>
        </w:tc>
        <w:tc>
          <w:tcPr>
            <w:tcW w:w="1127" w:type="pct"/>
            <w:vAlign w:val="center"/>
          </w:tcPr>
          <w:p w14:paraId="734A54F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环境风险</w:t>
            </w:r>
          </w:p>
        </w:tc>
        <w:tc>
          <w:tcPr>
            <w:tcW w:w="420" w:type="pct"/>
            <w:vAlign w:val="center"/>
          </w:tcPr>
          <w:p w14:paraId="165FB5A3">
            <w:pPr>
              <w:spacing w:line="300" w:lineRule="exact"/>
              <w:jc w:val="center"/>
              <w:rPr>
                <w:rFonts w:hint="default" w:ascii="Times New Roman" w:hAnsi="Times New Roman" w:eastAsia="华文中宋" w:cs="Times New Roman"/>
                <w:szCs w:val="21"/>
              </w:rPr>
            </w:pPr>
          </w:p>
        </w:tc>
        <w:tc>
          <w:tcPr>
            <w:tcW w:w="452" w:type="pct"/>
            <w:vAlign w:val="center"/>
          </w:tcPr>
          <w:p w14:paraId="53C4885A">
            <w:pPr>
              <w:spacing w:line="300" w:lineRule="exact"/>
              <w:jc w:val="center"/>
              <w:rPr>
                <w:rFonts w:hint="default" w:ascii="Times New Roman" w:hAnsi="Times New Roman" w:eastAsia="华文中宋" w:cs="Times New Roman"/>
                <w:szCs w:val="21"/>
                <w:lang w:val="en-US" w:eastAsia="zh-CN"/>
              </w:rPr>
            </w:pPr>
          </w:p>
        </w:tc>
        <w:tc>
          <w:tcPr>
            <w:tcW w:w="415" w:type="pct"/>
            <w:vAlign w:val="center"/>
          </w:tcPr>
          <w:p w14:paraId="122CF5C6">
            <w:pPr>
              <w:spacing w:line="300" w:lineRule="exact"/>
              <w:jc w:val="center"/>
              <w:rPr>
                <w:rFonts w:hint="default" w:ascii="Times New Roman" w:hAnsi="Times New Roman" w:eastAsia="华文中宋" w:cs="Times New Roman"/>
                <w:szCs w:val="21"/>
                <w:lang w:val="en-US" w:eastAsia="zh-CN"/>
              </w:rPr>
            </w:pPr>
          </w:p>
        </w:tc>
        <w:tc>
          <w:tcPr>
            <w:tcW w:w="435" w:type="pct"/>
            <w:vAlign w:val="center"/>
          </w:tcPr>
          <w:p w14:paraId="0684BD6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-1C</w:t>
            </w:r>
          </w:p>
        </w:tc>
        <w:tc>
          <w:tcPr>
            <w:tcW w:w="445" w:type="pct"/>
            <w:vAlign w:val="center"/>
          </w:tcPr>
          <w:p w14:paraId="5258E1B7">
            <w:pPr>
              <w:spacing w:line="300" w:lineRule="exact"/>
              <w:jc w:val="center"/>
              <w:rPr>
                <w:rFonts w:hint="default" w:ascii="Times New Roman" w:hAnsi="Times New Roman" w:eastAsia="华文中宋" w:cs="Times New Roman"/>
                <w:szCs w:val="21"/>
              </w:rPr>
            </w:pPr>
          </w:p>
        </w:tc>
        <w:tc>
          <w:tcPr>
            <w:tcW w:w="414" w:type="pct"/>
            <w:vAlign w:val="center"/>
          </w:tcPr>
          <w:p w14:paraId="4024A5B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-1C</w:t>
            </w:r>
          </w:p>
        </w:tc>
        <w:tc>
          <w:tcPr>
            <w:tcW w:w="471" w:type="pct"/>
            <w:vAlign w:val="center"/>
          </w:tcPr>
          <w:p w14:paraId="0D52A352">
            <w:pPr>
              <w:spacing w:line="300" w:lineRule="exact"/>
              <w:jc w:val="center"/>
              <w:rPr>
                <w:rFonts w:hint="default" w:ascii="Times New Roman" w:hAnsi="Times New Roman" w:eastAsia="华文中宋" w:cs="Times New Roman"/>
                <w:szCs w:val="21"/>
                <w:lang w:val="en-US" w:eastAsia="zh-CN"/>
              </w:rPr>
            </w:pPr>
          </w:p>
        </w:tc>
        <w:tc>
          <w:tcPr>
            <w:tcW w:w="566" w:type="pct"/>
            <w:vAlign w:val="center"/>
          </w:tcPr>
          <w:p w14:paraId="244288E5">
            <w:pPr>
              <w:spacing w:line="300" w:lineRule="exact"/>
              <w:jc w:val="center"/>
              <w:rPr>
                <w:rFonts w:hint="default" w:ascii="Times New Roman" w:hAnsi="Times New Roman" w:eastAsia="华文中宋" w:cs="Times New Roman"/>
                <w:szCs w:val="21"/>
                <w:lang w:val="en-US" w:eastAsia="zh-CN"/>
              </w:rPr>
            </w:pPr>
          </w:p>
        </w:tc>
      </w:tr>
      <w:tr w14:paraId="2F6BF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0" w:type="pct"/>
            <w:vAlign w:val="center"/>
          </w:tcPr>
          <w:p w14:paraId="414696DE">
            <w:pPr>
              <w:spacing w:line="300" w:lineRule="exact"/>
              <w:jc w:val="center"/>
              <w:rPr>
                <w:rFonts w:hint="default" w:ascii="Times New Roman" w:hAnsi="Times New Roman" w:eastAsia="华文中宋" w:cs="Times New Roman"/>
                <w:szCs w:val="21"/>
                <w:lang w:val="en-US" w:eastAsia="zh-CN"/>
              </w:rPr>
            </w:pPr>
          </w:p>
        </w:tc>
        <w:tc>
          <w:tcPr>
            <w:tcW w:w="4749" w:type="pct"/>
            <w:gridSpan w:val="9"/>
            <w:vAlign w:val="center"/>
          </w:tcPr>
          <w:p w14:paraId="356D36BC">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rPr>
              <w:t>备注：</w:t>
            </w:r>
          </w:p>
          <w:p w14:paraId="20AE58B4">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1.表中“+”表示正收益，“－”表示负收益；</w:t>
            </w:r>
          </w:p>
          <w:p w14:paraId="31C104E5">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2.表中数字表示影响的相对程度，“1”表示影响较小，“2”表示影响中等，“3”表示影响较大；</w:t>
            </w:r>
          </w:p>
          <w:p w14:paraId="16BFA43A">
            <w:pPr>
              <w:spacing w:line="300" w:lineRule="exact"/>
              <w:jc w:val="left"/>
              <w:rPr>
                <w:rFonts w:hint="default" w:ascii="Times New Roman" w:hAnsi="Times New Roman" w:eastAsia="华文中宋" w:cs="Times New Roman"/>
                <w:szCs w:val="21"/>
                <w:lang w:val="en-US" w:eastAsia="zh-CN"/>
              </w:rPr>
            </w:pPr>
            <w:bookmarkStart w:id="34" w:name="_Toc30762"/>
            <w:r>
              <w:rPr>
                <w:rFonts w:hint="default" w:ascii="Times New Roman" w:hAnsi="Times New Roman" w:eastAsia="华文中宋" w:cs="Times New Roman"/>
                <w:szCs w:val="21"/>
                <w:lang w:val="en-US" w:eastAsia="zh-CN"/>
              </w:rPr>
              <w:t>3.表中“D”表示短期影响，“C”表示长期影响。</w:t>
            </w:r>
            <w:bookmarkEnd w:id="34"/>
          </w:p>
        </w:tc>
      </w:tr>
    </w:tbl>
    <w:p w14:paraId="16C2A6CE">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由表2.3-1中可以看出：本项目的建设对环境的影响是多方面的，既存在短期、局部及可恢复的正、负影响，也存在长期的正、负影响。施工期主要对环境空气、声环境、生态环境等环境因素产生短期的较小负面影响；运营期露天等开发利用活动主要对环境空气、声环境、生态环境等环境因素产生显著影响；闭矿后开展生态恢复治理工程，可能对周围产生较小的噪声影响，但对生态环境等环境因素产生长期的有利作用。</w:t>
      </w:r>
    </w:p>
    <w:p w14:paraId="00183BA9">
      <w:pPr>
        <w:pStyle w:val="4"/>
        <w:spacing w:before="120" w:after="120" w:line="500" w:lineRule="exact"/>
        <w:rPr>
          <w:rFonts w:hint="default" w:ascii="Times New Roman" w:hAnsi="Times New Roman" w:eastAsia="华文中宋" w:cs="Times New Roman"/>
          <w:kern w:val="0"/>
          <w:sz w:val="24"/>
          <w:szCs w:val="24"/>
          <w:lang w:val="en-US" w:eastAsia="zh-CN"/>
        </w:rPr>
      </w:pPr>
      <w:bookmarkStart w:id="35" w:name="_Toc21229"/>
      <w:r>
        <w:rPr>
          <w:rFonts w:hint="default" w:ascii="Times New Roman" w:hAnsi="Times New Roman" w:eastAsia="华文中宋" w:cs="Times New Roman"/>
          <w:kern w:val="0"/>
          <w:sz w:val="24"/>
          <w:szCs w:val="24"/>
          <w:lang w:val="en-US" w:eastAsia="zh-CN"/>
        </w:rPr>
        <w:t>2.3.2评价因子筛选</w:t>
      </w:r>
      <w:bookmarkEnd w:id="35"/>
    </w:p>
    <w:p w14:paraId="398BE283">
      <w:pPr>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left"/>
        <w:textAlignment w:val="auto"/>
        <w:outlineLvl w:val="9"/>
        <w:rPr>
          <w:rFonts w:hint="default" w:ascii="Times New Roman" w:hAnsi="Times New Roman" w:eastAsia="华文中宋" w:cs="Times New Roman"/>
          <w:snapToGrid w:val="0"/>
          <w:color w:val="auto"/>
          <w:kern w:val="0"/>
          <w:sz w:val="24"/>
          <w:szCs w:val="20"/>
          <w:lang w:val="en-US" w:eastAsia="zh-CN" w:bidi="ar-SA"/>
        </w:rPr>
      </w:pPr>
      <w:r>
        <w:rPr>
          <w:rFonts w:hint="default" w:ascii="Times New Roman" w:hAnsi="Times New Roman" w:eastAsia="华文中宋" w:cs="Times New Roman"/>
          <w:snapToGrid w:val="0"/>
          <w:color w:val="auto"/>
          <w:kern w:val="0"/>
          <w:sz w:val="24"/>
          <w:szCs w:val="20"/>
          <w:lang w:val="en-US" w:eastAsia="zh-CN" w:bidi="ar-SA"/>
        </w:rPr>
        <w:t>根据环境影响因素识别结果，结合本项目工程特点和污染源排放特征及项目区周边环境现状，确定本次评价因子见表2.3-2。</w:t>
      </w:r>
    </w:p>
    <w:p w14:paraId="26DAE15E">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表2.3-2  评价因子筛选表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5"/>
        <w:gridCol w:w="1901"/>
        <w:gridCol w:w="5146"/>
      </w:tblGrid>
      <w:tr w14:paraId="3F5F1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5" w:type="dxa"/>
            <w:vAlign w:val="center"/>
          </w:tcPr>
          <w:p w14:paraId="5EB6E84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评价要素</w:t>
            </w:r>
          </w:p>
        </w:tc>
        <w:tc>
          <w:tcPr>
            <w:tcW w:w="1901" w:type="dxa"/>
            <w:vAlign w:val="center"/>
          </w:tcPr>
          <w:p w14:paraId="5D73650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评价类型</w:t>
            </w:r>
          </w:p>
        </w:tc>
        <w:tc>
          <w:tcPr>
            <w:tcW w:w="5146" w:type="dxa"/>
            <w:vAlign w:val="center"/>
          </w:tcPr>
          <w:p w14:paraId="655CAC1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评价因子</w:t>
            </w:r>
          </w:p>
        </w:tc>
      </w:tr>
      <w:tr w14:paraId="6FE3F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475" w:type="dxa"/>
            <w:vMerge w:val="restart"/>
            <w:vAlign w:val="center"/>
          </w:tcPr>
          <w:p w14:paraId="7EF6F78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大气环境</w:t>
            </w:r>
          </w:p>
        </w:tc>
        <w:tc>
          <w:tcPr>
            <w:tcW w:w="1901" w:type="dxa"/>
            <w:vAlign w:val="center"/>
          </w:tcPr>
          <w:p w14:paraId="6B1907C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现状评价</w:t>
            </w:r>
          </w:p>
        </w:tc>
        <w:tc>
          <w:tcPr>
            <w:tcW w:w="5146" w:type="dxa"/>
            <w:vAlign w:val="center"/>
          </w:tcPr>
          <w:p w14:paraId="2F9A7475">
            <w:pPr>
              <w:spacing w:line="300" w:lineRule="exact"/>
              <w:jc w:val="center"/>
              <w:rPr>
                <w:rFonts w:hint="default" w:ascii="Times New Roman" w:hAnsi="Times New Roman" w:cs="Times New Roman" w:eastAsiaTheme="minorEastAsia"/>
                <w:szCs w:val="21"/>
                <w:lang w:val="en-US" w:eastAsia="zh-CN"/>
              </w:rPr>
            </w:pPr>
            <w:r>
              <w:rPr>
                <w:rFonts w:hint="default" w:ascii="Times New Roman" w:hAnsi="Times New Roman" w:eastAsia="华文中宋" w:cs="Times New Roman"/>
                <w:szCs w:val="21"/>
                <w:lang w:val="en-US" w:eastAsia="zh-CN"/>
              </w:rPr>
              <w:t>SO</w:t>
            </w:r>
            <w:r>
              <w:rPr>
                <w:rFonts w:hint="default" w:ascii="Times New Roman" w:hAnsi="Times New Roman" w:eastAsia="华文中宋" w:cs="Times New Roman"/>
                <w:szCs w:val="21"/>
                <w:vertAlign w:val="subscript"/>
                <w:lang w:val="en-US" w:eastAsia="zh-CN"/>
              </w:rPr>
              <w:t>2</w:t>
            </w:r>
            <w:r>
              <w:rPr>
                <w:rFonts w:hint="default" w:ascii="Times New Roman" w:hAnsi="Times New Roman" w:eastAsia="华文中宋" w:cs="Times New Roman"/>
                <w:szCs w:val="21"/>
                <w:lang w:val="en-US" w:eastAsia="zh-CN"/>
              </w:rPr>
              <w:t>、NO</w:t>
            </w:r>
            <w:r>
              <w:rPr>
                <w:rFonts w:hint="eastAsia" w:ascii="Times New Roman" w:hAnsi="Times New Roman" w:eastAsia="华文中宋" w:cs="Times New Roman"/>
                <w:szCs w:val="21"/>
                <w:vertAlign w:val="subscript"/>
                <w:lang w:val="en-US" w:eastAsia="zh-CN"/>
              </w:rPr>
              <w:t>2</w:t>
            </w:r>
            <w:r>
              <w:rPr>
                <w:rFonts w:hint="default" w:ascii="Times New Roman" w:hAnsi="Times New Roman" w:eastAsia="华文中宋" w:cs="Times New Roman"/>
                <w:szCs w:val="21"/>
                <w:lang w:val="en-US" w:eastAsia="zh-CN"/>
              </w:rPr>
              <w:t>、PM</w:t>
            </w:r>
            <w:r>
              <w:rPr>
                <w:rFonts w:hint="default" w:ascii="Times New Roman" w:hAnsi="Times New Roman" w:eastAsia="华文中宋" w:cs="Times New Roman"/>
                <w:szCs w:val="21"/>
                <w:vertAlign w:val="subscript"/>
                <w:lang w:val="en-US" w:eastAsia="zh-CN"/>
              </w:rPr>
              <w:t>10</w:t>
            </w:r>
            <w:r>
              <w:rPr>
                <w:rFonts w:hint="default" w:ascii="Times New Roman" w:hAnsi="Times New Roman" w:eastAsia="华文中宋" w:cs="Times New Roman"/>
                <w:szCs w:val="21"/>
                <w:lang w:val="en-US" w:eastAsia="zh-CN"/>
              </w:rPr>
              <w:t>、PM</w:t>
            </w:r>
            <w:r>
              <w:rPr>
                <w:rFonts w:hint="default" w:ascii="Times New Roman" w:hAnsi="Times New Roman" w:eastAsia="华文中宋" w:cs="Times New Roman"/>
                <w:szCs w:val="21"/>
                <w:vertAlign w:val="subscript"/>
                <w:lang w:val="en-US" w:eastAsia="zh-CN"/>
              </w:rPr>
              <w:t>2.5</w:t>
            </w:r>
            <w:r>
              <w:rPr>
                <w:rFonts w:hint="default" w:ascii="Times New Roman" w:hAnsi="Times New Roman" w:eastAsia="华文中宋" w:cs="Times New Roman"/>
                <w:szCs w:val="21"/>
                <w:lang w:val="en-US" w:eastAsia="zh-CN"/>
              </w:rPr>
              <w:t>、O</w:t>
            </w:r>
            <w:r>
              <w:rPr>
                <w:rFonts w:hint="default" w:ascii="Times New Roman" w:hAnsi="Times New Roman" w:eastAsia="华文中宋" w:cs="Times New Roman"/>
                <w:szCs w:val="21"/>
                <w:vertAlign w:val="subscript"/>
                <w:lang w:val="en-US" w:eastAsia="zh-CN"/>
              </w:rPr>
              <w:t>3</w:t>
            </w:r>
            <w:r>
              <w:rPr>
                <w:rFonts w:hint="default" w:ascii="Times New Roman" w:hAnsi="Times New Roman" w:eastAsia="华文中宋" w:cs="Times New Roman"/>
                <w:szCs w:val="21"/>
                <w:lang w:val="en-US" w:eastAsia="zh-CN"/>
              </w:rPr>
              <w:t>、CO、TSP</w:t>
            </w:r>
            <w:r>
              <w:rPr>
                <w:rFonts w:hint="eastAsia"/>
                <w:lang w:eastAsia="zh-CN"/>
              </w:rPr>
              <w:t>、</w:t>
            </w:r>
            <w:r>
              <w:rPr>
                <w:rFonts w:hint="eastAsia"/>
                <w:lang w:val="en-US" w:eastAsia="zh-CN"/>
              </w:rPr>
              <w:t>铅</w:t>
            </w:r>
          </w:p>
        </w:tc>
      </w:tr>
      <w:tr w14:paraId="1F93B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5" w:type="dxa"/>
            <w:vMerge w:val="continue"/>
            <w:vAlign w:val="center"/>
          </w:tcPr>
          <w:p w14:paraId="1A0BF4AC">
            <w:pPr>
              <w:spacing w:line="300" w:lineRule="exact"/>
              <w:jc w:val="center"/>
              <w:rPr>
                <w:rFonts w:hint="default" w:ascii="Times New Roman" w:hAnsi="Times New Roman" w:eastAsia="华文中宋" w:cs="Times New Roman"/>
                <w:szCs w:val="21"/>
                <w:lang w:val="en-US" w:eastAsia="zh-CN"/>
              </w:rPr>
            </w:pPr>
          </w:p>
        </w:tc>
        <w:tc>
          <w:tcPr>
            <w:tcW w:w="1901" w:type="dxa"/>
            <w:vAlign w:val="center"/>
          </w:tcPr>
          <w:p w14:paraId="3BD336C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影响评价</w:t>
            </w:r>
          </w:p>
        </w:tc>
        <w:tc>
          <w:tcPr>
            <w:tcW w:w="5146" w:type="dxa"/>
            <w:vAlign w:val="center"/>
          </w:tcPr>
          <w:p w14:paraId="578DEB51">
            <w:pPr>
              <w:spacing w:line="300" w:lineRule="exact"/>
              <w:jc w:val="center"/>
              <w:rPr>
                <w:rFonts w:hint="default" w:ascii="Times New Roman" w:hAnsi="Times New Roman" w:cs="Times New Roman" w:eastAsiaTheme="minorEastAsia"/>
                <w:szCs w:val="21"/>
                <w:lang w:val="en-US" w:eastAsia="zh-CN"/>
              </w:rPr>
            </w:pPr>
            <w:r>
              <w:rPr>
                <w:rFonts w:hint="default" w:ascii="Times New Roman" w:hAnsi="Times New Roman" w:eastAsia="华文中宋" w:cs="Times New Roman"/>
                <w:szCs w:val="21"/>
                <w:lang w:val="en-US" w:eastAsia="zh-CN"/>
              </w:rPr>
              <w:t>TSP</w:t>
            </w:r>
            <w:r>
              <w:rPr>
                <w:rFonts w:hint="eastAsia"/>
                <w:lang w:eastAsia="zh-CN"/>
              </w:rPr>
              <w:t>、</w:t>
            </w:r>
            <w:r>
              <w:rPr>
                <w:rFonts w:hint="eastAsia"/>
                <w:lang w:val="en-US" w:eastAsia="zh-CN"/>
              </w:rPr>
              <w:t>铅</w:t>
            </w:r>
          </w:p>
        </w:tc>
      </w:tr>
      <w:tr w14:paraId="365DC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75" w:type="dxa"/>
            <w:vMerge w:val="restart"/>
            <w:vAlign w:val="center"/>
          </w:tcPr>
          <w:p w14:paraId="22E2977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地下水环境</w:t>
            </w:r>
          </w:p>
        </w:tc>
        <w:tc>
          <w:tcPr>
            <w:tcW w:w="1901" w:type="dxa"/>
            <w:vAlign w:val="center"/>
          </w:tcPr>
          <w:p w14:paraId="622942C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现状评价</w:t>
            </w:r>
          </w:p>
        </w:tc>
        <w:tc>
          <w:tcPr>
            <w:tcW w:w="5146" w:type="dxa"/>
            <w:vAlign w:val="center"/>
          </w:tcPr>
          <w:p w14:paraId="3438D61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r>
      <w:tr w14:paraId="7A1AE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5" w:type="dxa"/>
            <w:vMerge w:val="continue"/>
            <w:vAlign w:val="center"/>
          </w:tcPr>
          <w:p w14:paraId="646E4A7E">
            <w:pPr>
              <w:spacing w:line="300" w:lineRule="exact"/>
              <w:jc w:val="center"/>
              <w:rPr>
                <w:rFonts w:hint="default" w:ascii="Times New Roman" w:hAnsi="Times New Roman" w:eastAsia="华文中宋" w:cs="Times New Roman"/>
                <w:szCs w:val="21"/>
                <w:lang w:val="en-US" w:eastAsia="zh-CN"/>
              </w:rPr>
            </w:pPr>
          </w:p>
        </w:tc>
        <w:tc>
          <w:tcPr>
            <w:tcW w:w="1901" w:type="dxa"/>
            <w:vAlign w:val="center"/>
          </w:tcPr>
          <w:p w14:paraId="6725F5B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影响评价</w:t>
            </w:r>
          </w:p>
        </w:tc>
        <w:tc>
          <w:tcPr>
            <w:tcW w:w="5146" w:type="dxa"/>
            <w:vAlign w:val="center"/>
          </w:tcPr>
          <w:p w14:paraId="50C585A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锌</w:t>
            </w:r>
          </w:p>
        </w:tc>
      </w:tr>
      <w:tr w14:paraId="4B77F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5" w:type="dxa"/>
            <w:vMerge w:val="restart"/>
            <w:vAlign w:val="center"/>
          </w:tcPr>
          <w:p w14:paraId="2011E1E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声环境</w:t>
            </w:r>
          </w:p>
        </w:tc>
        <w:tc>
          <w:tcPr>
            <w:tcW w:w="1901" w:type="dxa"/>
            <w:vAlign w:val="center"/>
          </w:tcPr>
          <w:p w14:paraId="756F53D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现状评价</w:t>
            </w:r>
          </w:p>
        </w:tc>
        <w:tc>
          <w:tcPr>
            <w:tcW w:w="5146" w:type="dxa"/>
            <w:vMerge w:val="restart"/>
            <w:vAlign w:val="center"/>
          </w:tcPr>
          <w:p w14:paraId="2731710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等效连续A声级。</w:t>
            </w:r>
          </w:p>
        </w:tc>
      </w:tr>
      <w:tr w14:paraId="1EE6D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5" w:type="dxa"/>
            <w:vMerge w:val="continue"/>
            <w:vAlign w:val="center"/>
          </w:tcPr>
          <w:p w14:paraId="0F191083">
            <w:pPr>
              <w:spacing w:line="300" w:lineRule="exact"/>
              <w:jc w:val="center"/>
              <w:rPr>
                <w:rFonts w:hint="default" w:ascii="Times New Roman" w:hAnsi="Times New Roman" w:eastAsia="华文中宋" w:cs="Times New Roman"/>
                <w:szCs w:val="21"/>
                <w:lang w:val="en-US" w:eastAsia="zh-CN"/>
              </w:rPr>
            </w:pPr>
          </w:p>
        </w:tc>
        <w:tc>
          <w:tcPr>
            <w:tcW w:w="1901" w:type="dxa"/>
            <w:vAlign w:val="center"/>
          </w:tcPr>
          <w:p w14:paraId="7394F13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影响评价</w:t>
            </w:r>
          </w:p>
        </w:tc>
        <w:tc>
          <w:tcPr>
            <w:tcW w:w="5146" w:type="dxa"/>
            <w:vMerge w:val="continue"/>
            <w:vAlign w:val="center"/>
          </w:tcPr>
          <w:p w14:paraId="47E2AFB8">
            <w:pPr>
              <w:spacing w:line="300" w:lineRule="exact"/>
              <w:jc w:val="center"/>
              <w:rPr>
                <w:rFonts w:hint="default" w:ascii="Times New Roman" w:hAnsi="Times New Roman" w:eastAsia="华文中宋" w:cs="Times New Roman"/>
                <w:szCs w:val="21"/>
                <w:lang w:val="en-US" w:eastAsia="zh-CN"/>
              </w:rPr>
            </w:pPr>
          </w:p>
        </w:tc>
      </w:tr>
      <w:tr w14:paraId="296EA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5" w:type="dxa"/>
            <w:vMerge w:val="restart"/>
            <w:vAlign w:val="center"/>
          </w:tcPr>
          <w:p w14:paraId="0FABE77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土壤环境</w:t>
            </w:r>
          </w:p>
        </w:tc>
        <w:tc>
          <w:tcPr>
            <w:tcW w:w="1901" w:type="dxa"/>
            <w:vAlign w:val="center"/>
          </w:tcPr>
          <w:p w14:paraId="0004477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现状评价</w:t>
            </w:r>
          </w:p>
        </w:tc>
        <w:tc>
          <w:tcPr>
            <w:tcW w:w="5146" w:type="dxa"/>
            <w:vAlign w:val="center"/>
          </w:tcPr>
          <w:p w14:paraId="328FA4B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pH值、全盐量</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GB36600中基本项目45项基本因子、</w:t>
            </w:r>
            <w:r>
              <w:rPr>
                <w:rFonts w:hint="eastAsia" w:ascii="Times New Roman" w:hAnsi="Times New Roman" w:eastAsia="华文中宋" w:cs="Times New Roman"/>
                <w:szCs w:val="21"/>
                <w:lang w:val="en-US" w:eastAsia="zh-CN"/>
              </w:rPr>
              <w:t>GB/T 15168-2013</w:t>
            </w:r>
            <w:r>
              <w:rPr>
                <w:rFonts w:hint="default" w:ascii="Times New Roman" w:hAnsi="Times New Roman" w:eastAsia="华文中宋" w:cs="Times New Roman"/>
                <w:szCs w:val="21"/>
                <w:lang w:val="en-US" w:eastAsia="zh-CN"/>
              </w:rPr>
              <w:t>基本项目</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锑、锌</w:t>
            </w:r>
          </w:p>
          <w:p w14:paraId="740ABE5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土壤理化性质：阳离子交换量、氧化还原电位、饱和导水率、土壤容重、孔隙度等</w:t>
            </w:r>
          </w:p>
        </w:tc>
      </w:tr>
      <w:tr w14:paraId="2B3BE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5" w:type="dxa"/>
            <w:vMerge w:val="continue"/>
            <w:vAlign w:val="center"/>
          </w:tcPr>
          <w:p w14:paraId="4318FD37">
            <w:pPr>
              <w:spacing w:line="300" w:lineRule="exact"/>
              <w:jc w:val="center"/>
              <w:rPr>
                <w:rFonts w:hint="default" w:ascii="Times New Roman" w:hAnsi="Times New Roman" w:eastAsia="华文中宋" w:cs="Times New Roman"/>
                <w:szCs w:val="21"/>
                <w:lang w:val="en-US" w:eastAsia="zh-CN"/>
              </w:rPr>
            </w:pPr>
          </w:p>
        </w:tc>
        <w:tc>
          <w:tcPr>
            <w:tcW w:w="1901" w:type="dxa"/>
            <w:vAlign w:val="center"/>
          </w:tcPr>
          <w:p w14:paraId="2628818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影响评价因子</w:t>
            </w:r>
          </w:p>
        </w:tc>
        <w:tc>
          <w:tcPr>
            <w:tcW w:w="5146" w:type="dxa"/>
            <w:shd w:val="clear" w:color="auto" w:fill="auto"/>
            <w:vAlign w:val="center"/>
          </w:tcPr>
          <w:p w14:paraId="02E45768">
            <w:pPr>
              <w:spacing w:line="300" w:lineRule="exact"/>
              <w:jc w:val="center"/>
              <w:rPr>
                <w:rFonts w:hint="default" w:ascii="Times New Roman" w:hAnsi="Times New Roman" w:eastAsia="华文中宋" w:cs="Times New Roman"/>
                <w:kern w:val="2"/>
                <w:sz w:val="21"/>
                <w:szCs w:val="21"/>
                <w:lang w:val="en-US" w:eastAsia="zh-CN" w:bidi="ar-SA"/>
              </w:rPr>
            </w:pPr>
            <w:r>
              <w:rPr>
                <w:rFonts w:hint="default" w:ascii="Times New Roman" w:hAnsi="Times New Roman" w:eastAsia="华文中宋" w:cs="Times New Roman"/>
                <w:szCs w:val="21"/>
                <w:lang w:val="en-US" w:eastAsia="zh-CN"/>
              </w:rPr>
              <w:t>铅</w:t>
            </w:r>
            <w:r>
              <w:rPr>
                <w:rFonts w:hint="eastAsia" w:ascii="Times New Roman" w:hAnsi="Times New Roman" w:eastAsia="华文中宋" w:cs="Times New Roman"/>
                <w:szCs w:val="21"/>
                <w:lang w:eastAsia="zh-CN"/>
              </w:rPr>
              <w:t>、</w:t>
            </w:r>
            <w:r>
              <w:rPr>
                <w:rFonts w:hint="eastAsia" w:ascii="Times New Roman" w:hAnsi="Times New Roman" w:eastAsia="华文中宋" w:cs="Times New Roman"/>
                <w:szCs w:val="21"/>
                <w:lang w:val="en-US" w:eastAsia="zh-CN"/>
              </w:rPr>
              <w:t>锌</w:t>
            </w:r>
          </w:p>
        </w:tc>
      </w:tr>
      <w:tr w14:paraId="5CF48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5" w:type="dxa"/>
            <w:vMerge w:val="restart"/>
            <w:vAlign w:val="center"/>
          </w:tcPr>
          <w:p w14:paraId="788B87A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生态环境</w:t>
            </w:r>
          </w:p>
        </w:tc>
        <w:tc>
          <w:tcPr>
            <w:tcW w:w="1901" w:type="dxa"/>
            <w:vAlign w:val="center"/>
          </w:tcPr>
          <w:p w14:paraId="7F313D5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现状评价</w:t>
            </w:r>
          </w:p>
        </w:tc>
        <w:tc>
          <w:tcPr>
            <w:tcW w:w="5146" w:type="dxa"/>
            <w:vAlign w:val="center"/>
          </w:tcPr>
          <w:p w14:paraId="0A610D0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生态系统现状、植被与植物多样性、动物多样性、土地利用现状</w:t>
            </w:r>
          </w:p>
        </w:tc>
      </w:tr>
      <w:tr w14:paraId="06FA2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5" w:type="dxa"/>
            <w:vMerge w:val="continue"/>
            <w:vAlign w:val="center"/>
          </w:tcPr>
          <w:p w14:paraId="07C449BF">
            <w:pPr>
              <w:spacing w:line="300" w:lineRule="exact"/>
              <w:jc w:val="center"/>
              <w:rPr>
                <w:rFonts w:hint="default" w:ascii="Times New Roman" w:hAnsi="Times New Roman" w:eastAsia="华文中宋" w:cs="Times New Roman"/>
                <w:szCs w:val="21"/>
                <w:lang w:val="en-US" w:eastAsia="zh-CN"/>
              </w:rPr>
            </w:pPr>
          </w:p>
        </w:tc>
        <w:tc>
          <w:tcPr>
            <w:tcW w:w="1901" w:type="dxa"/>
            <w:vAlign w:val="center"/>
          </w:tcPr>
          <w:p w14:paraId="3C5B4CB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影响评价因子</w:t>
            </w:r>
          </w:p>
        </w:tc>
        <w:tc>
          <w:tcPr>
            <w:tcW w:w="5146" w:type="dxa"/>
            <w:vAlign w:val="center"/>
          </w:tcPr>
          <w:p w14:paraId="2025D2F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生态系统影响、土地利用影响、植被类型与植物多样性影响、动物多样性影响、景观资源影响</w:t>
            </w:r>
          </w:p>
        </w:tc>
      </w:tr>
      <w:tr w14:paraId="5C0BF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5" w:type="dxa"/>
            <w:vAlign w:val="center"/>
          </w:tcPr>
          <w:p w14:paraId="3D61943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环境风险</w:t>
            </w:r>
          </w:p>
        </w:tc>
        <w:tc>
          <w:tcPr>
            <w:tcW w:w="1901" w:type="dxa"/>
            <w:vAlign w:val="center"/>
          </w:tcPr>
          <w:p w14:paraId="70153A0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w:t>
            </w:r>
          </w:p>
        </w:tc>
        <w:tc>
          <w:tcPr>
            <w:tcW w:w="5146" w:type="dxa"/>
            <w:vAlign w:val="center"/>
          </w:tcPr>
          <w:p w14:paraId="27206BB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w:t>
            </w:r>
          </w:p>
        </w:tc>
      </w:tr>
    </w:tbl>
    <w:p w14:paraId="3BC550E9">
      <w:pPr>
        <w:pStyle w:val="3"/>
        <w:spacing w:before="120" w:after="120" w:line="500" w:lineRule="exact"/>
        <w:ind w:left="375" w:hanging="375" w:firstLineChars="0"/>
        <w:contextualSpacing/>
        <w:rPr>
          <w:rFonts w:hint="default" w:ascii="Times New Roman" w:hAnsi="Times New Roman" w:eastAsia="华文中宋" w:cs="Times New Roman"/>
          <w:snapToGrid w:val="0"/>
          <w:kern w:val="0"/>
          <w:sz w:val="28"/>
          <w:szCs w:val="28"/>
          <w:lang w:val="en-US" w:eastAsia="zh-CN"/>
        </w:rPr>
      </w:pPr>
      <w:bookmarkStart w:id="36" w:name="_Toc28668"/>
      <w:bookmarkStart w:id="37" w:name="_Toc7726"/>
      <w:r>
        <w:rPr>
          <w:rFonts w:hint="default" w:ascii="Times New Roman" w:hAnsi="Times New Roman" w:eastAsia="华文中宋" w:cs="Times New Roman"/>
          <w:snapToGrid w:val="0"/>
          <w:kern w:val="0"/>
          <w:sz w:val="28"/>
          <w:szCs w:val="28"/>
          <w:lang w:val="en-US" w:eastAsia="zh-CN"/>
        </w:rPr>
        <w:t>2.4环境质量标准</w:t>
      </w:r>
      <w:bookmarkEnd w:id="36"/>
      <w:bookmarkEnd w:id="37"/>
    </w:p>
    <w:p w14:paraId="6EF0AD33">
      <w:pPr>
        <w:pStyle w:val="4"/>
        <w:spacing w:before="120" w:after="120" w:line="500" w:lineRule="exact"/>
        <w:rPr>
          <w:rFonts w:hint="default" w:ascii="Times New Roman" w:hAnsi="Times New Roman" w:eastAsia="华文中宋" w:cs="Times New Roman"/>
          <w:kern w:val="0"/>
          <w:sz w:val="24"/>
          <w:szCs w:val="24"/>
          <w:lang w:val="en-US" w:eastAsia="zh-CN"/>
        </w:rPr>
      </w:pPr>
      <w:bookmarkStart w:id="38" w:name="_Toc2899"/>
      <w:r>
        <w:rPr>
          <w:rFonts w:hint="default" w:ascii="Times New Roman" w:hAnsi="Times New Roman" w:eastAsia="华文中宋" w:cs="Times New Roman"/>
          <w:kern w:val="0"/>
          <w:sz w:val="24"/>
          <w:szCs w:val="24"/>
          <w:lang w:val="en-US" w:eastAsia="zh-CN"/>
        </w:rPr>
        <w:t>2.4.1环境功能区划</w:t>
      </w:r>
      <w:bookmarkEnd w:id="38"/>
    </w:p>
    <w:p w14:paraId="2B0C7F3A">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（1）环境空气</w:t>
      </w:r>
    </w:p>
    <w:p w14:paraId="6668EAE0">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根据《新疆维吾尔自治区环境空气质量功能区划》，项目所在地环境空气质量执行《环境空气质量标准》（GB3095-2012）中的二级标准。有关污染物及其浓度限值见表2.4-1。</w:t>
      </w:r>
    </w:p>
    <w:p w14:paraId="6BDBF0FB">
      <w:pPr>
        <w:adjustRightInd w:val="0"/>
        <w:snapToGrid w:val="0"/>
        <w:spacing w:before="250" w:beforeLines="50"/>
        <w:ind w:firstLine="422" w:firstLineChars="200"/>
        <w:jc w:val="center"/>
        <w:rPr>
          <w:rFonts w:hint="default" w:ascii="Times New Roman" w:hAnsi="Times New Roman" w:eastAsia="华文中宋" w:cs="Times New Roman"/>
          <w:b/>
          <w:szCs w:val="21"/>
        </w:rPr>
      </w:pPr>
      <w:bookmarkStart w:id="39" w:name="_Ref494789706"/>
      <w:bookmarkStart w:id="40" w:name="_Ref536267224"/>
      <w:r>
        <w:rPr>
          <w:rFonts w:hint="default" w:ascii="Times New Roman" w:hAnsi="Times New Roman" w:eastAsia="华文中宋" w:cs="Times New Roman"/>
          <w:b/>
          <w:szCs w:val="21"/>
        </w:rPr>
        <w:t>表</w:t>
      </w:r>
      <w:bookmarkEnd w:id="39"/>
      <w:r>
        <w:rPr>
          <w:rFonts w:hint="default" w:ascii="Times New Roman" w:hAnsi="Times New Roman" w:eastAsia="华文中宋" w:cs="Times New Roman"/>
          <w:b/>
          <w:szCs w:val="21"/>
          <w:lang w:val="en-US" w:eastAsia="zh-CN"/>
        </w:rPr>
        <w:t xml:space="preserve">2.4-1  </w:t>
      </w:r>
      <w:r>
        <w:rPr>
          <w:rFonts w:hint="default" w:ascii="Times New Roman" w:hAnsi="Times New Roman" w:eastAsia="华文中宋" w:cs="Times New Roman"/>
          <w:b/>
          <w:szCs w:val="21"/>
        </w:rPr>
        <w:t>环境空气质量标准</w:t>
      </w:r>
      <w:bookmarkEnd w:id="40"/>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28" w:type="dxa"/>
          <w:bottom w:w="0" w:type="dxa"/>
          <w:right w:w="28" w:type="dxa"/>
        </w:tblCellMar>
      </w:tblPr>
      <w:tblGrid>
        <w:gridCol w:w="445"/>
        <w:gridCol w:w="733"/>
        <w:gridCol w:w="735"/>
        <w:gridCol w:w="1488"/>
        <w:gridCol w:w="1355"/>
        <w:gridCol w:w="1629"/>
        <w:gridCol w:w="1971"/>
      </w:tblGrid>
      <w:tr w14:paraId="1727F40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445" w:type="dxa"/>
            <w:tcBorders>
              <w:tl2br w:val="nil"/>
              <w:tr2bl w:val="nil"/>
            </w:tcBorders>
            <w:noWrap w:val="0"/>
            <w:vAlign w:val="center"/>
          </w:tcPr>
          <w:p w14:paraId="0E1F0B17">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序号</w:t>
            </w:r>
          </w:p>
        </w:tc>
        <w:tc>
          <w:tcPr>
            <w:tcW w:w="1468" w:type="dxa"/>
            <w:gridSpan w:val="2"/>
            <w:tcBorders>
              <w:tl2br w:val="nil"/>
              <w:tr2bl w:val="nil"/>
            </w:tcBorders>
            <w:noWrap w:val="0"/>
            <w:vAlign w:val="center"/>
          </w:tcPr>
          <w:p w14:paraId="472CE13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污染物名称</w:t>
            </w:r>
          </w:p>
        </w:tc>
        <w:tc>
          <w:tcPr>
            <w:tcW w:w="1488" w:type="dxa"/>
            <w:tcBorders>
              <w:tl2br w:val="nil"/>
              <w:tr2bl w:val="nil"/>
            </w:tcBorders>
            <w:noWrap w:val="0"/>
            <w:vAlign w:val="center"/>
          </w:tcPr>
          <w:p w14:paraId="67DED29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取值时间</w:t>
            </w:r>
          </w:p>
        </w:tc>
        <w:tc>
          <w:tcPr>
            <w:tcW w:w="1355" w:type="dxa"/>
            <w:tcBorders>
              <w:tl2br w:val="nil"/>
              <w:tr2bl w:val="nil"/>
            </w:tcBorders>
            <w:noWrap w:val="0"/>
            <w:vAlign w:val="center"/>
          </w:tcPr>
          <w:p w14:paraId="4E44FD33">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单位</w:t>
            </w:r>
          </w:p>
        </w:tc>
        <w:tc>
          <w:tcPr>
            <w:tcW w:w="1629" w:type="dxa"/>
            <w:tcBorders>
              <w:tl2br w:val="nil"/>
              <w:tr2bl w:val="nil"/>
            </w:tcBorders>
            <w:noWrap w:val="0"/>
            <w:vAlign w:val="center"/>
          </w:tcPr>
          <w:p w14:paraId="34E5D0B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标准限值</w:t>
            </w:r>
          </w:p>
        </w:tc>
        <w:tc>
          <w:tcPr>
            <w:tcW w:w="1971" w:type="dxa"/>
            <w:tcBorders>
              <w:tl2br w:val="nil"/>
              <w:tr2bl w:val="nil"/>
            </w:tcBorders>
            <w:noWrap w:val="0"/>
            <w:vAlign w:val="center"/>
          </w:tcPr>
          <w:p w14:paraId="1B6012E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来源</w:t>
            </w:r>
          </w:p>
        </w:tc>
      </w:tr>
      <w:tr w14:paraId="2DAF315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445" w:type="dxa"/>
            <w:vMerge w:val="restart"/>
            <w:tcBorders>
              <w:tl2br w:val="nil"/>
              <w:tr2bl w:val="nil"/>
            </w:tcBorders>
            <w:noWrap w:val="0"/>
            <w:vAlign w:val="center"/>
          </w:tcPr>
          <w:p w14:paraId="11BF37C7">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1</w:t>
            </w:r>
          </w:p>
        </w:tc>
        <w:tc>
          <w:tcPr>
            <w:tcW w:w="1468" w:type="dxa"/>
            <w:gridSpan w:val="2"/>
            <w:vMerge w:val="restart"/>
            <w:tcBorders>
              <w:tl2br w:val="nil"/>
              <w:tr2bl w:val="nil"/>
            </w:tcBorders>
            <w:noWrap w:val="0"/>
            <w:vAlign w:val="center"/>
          </w:tcPr>
          <w:p w14:paraId="5810E1B1">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二氧化硫</w:t>
            </w:r>
          </w:p>
          <w:p w14:paraId="08286583">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SO</w:t>
            </w:r>
            <w:r>
              <w:rPr>
                <w:rFonts w:hint="default" w:ascii="Times New Roman" w:hAnsi="Times New Roman" w:eastAsia="华文中宋" w:cs="Times New Roman"/>
                <w:szCs w:val="21"/>
                <w:vertAlign w:val="subscript"/>
              </w:rPr>
              <w:t>2</w:t>
            </w:r>
          </w:p>
        </w:tc>
        <w:tc>
          <w:tcPr>
            <w:tcW w:w="1488" w:type="dxa"/>
            <w:tcBorders>
              <w:tl2br w:val="nil"/>
              <w:tr2bl w:val="nil"/>
            </w:tcBorders>
            <w:noWrap w:val="0"/>
            <w:vAlign w:val="center"/>
          </w:tcPr>
          <w:p w14:paraId="42EEC9A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年平均</w:t>
            </w:r>
          </w:p>
        </w:tc>
        <w:tc>
          <w:tcPr>
            <w:tcW w:w="1355" w:type="dxa"/>
            <w:tcBorders>
              <w:tl2br w:val="nil"/>
              <w:tr2bl w:val="nil"/>
            </w:tcBorders>
            <w:noWrap w:val="0"/>
            <w:vAlign w:val="center"/>
          </w:tcPr>
          <w:p w14:paraId="2B0F3BA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μg/m</w:t>
            </w:r>
            <w:r>
              <w:rPr>
                <w:rFonts w:hint="default" w:ascii="Times New Roman" w:hAnsi="Times New Roman" w:eastAsia="华文中宋" w:cs="Times New Roman"/>
                <w:szCs w:val="21"/>
                <w:vertAlign w:val="superscript"/>
              </w:rPr>
              <w:t>3</w:t>
            </w:r>
          </w:p>
        </w:tc>
        <w:tc>
          <w:tcPr>
            <w:tcW w:w="1629" w:type="dxa"/>
            <w:tcBorders>
              <w:tl2br w:val="nil"/>
              <w:tr2bl w:val="nil"/>
            </w:tcBorders>
            <w:noWrap w:val="0"/>
            <w:vAlign w:val="center"/>
          </w:tcPr>
          <w:p w14:paraId="0329EAF7">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60</w:t>
            </w:r>
          </w:p>
        </w:tc>
        <w:tc>
          <w:tcPr>
            <w:tcW w:w="1971" w:type="dxa"/>
            <w:vMerge w:val="restart"/>
            <w:tcBorders>
              <w:tl2br w:val="nil"/>
              <w:tr2bl w:val="nil"/>
            </w:tcBorders>
            <w:noWrap w:val="0"/>
            <w:vAlign w:val="center"/>
          </w:tcPr>
          <w:p w14:paraId="3C61B1E0">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《环境空气质量标准》（GB3095-2012）及其2018年修改单中二级</w:t>
            </w:r>
          </w:p>
        </w:tc>
      </w:tr>
      <w:tr w14:paraId="024CFB5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445" w:type="dxa"/>
            <w:vMerge w:val="continue"/>
            <w:tcBorders>
              <w:tl2br w:val="nil"/>
              <w:tr2bl w:val="nil"/>
            </w:tcBorders>
            <w:noWrap w:val="0"/>
            <w:vAlign w:val="center"/>
          </w:tcPr>
          <w:p w14:paraId="0A69AF1C">
            <w:pPr>
              <w:spacing w:line="300" w:lineRule="exact"/>
              <w:jc w:val="center"/>
              <w:rPr>
                <w:rFonts w:hint="default" w:ascii="Times New Roman" w:hAnsi="Times New Roman" w:eastAsia="华文中宋" w:cs="Times New Roman"/>
                <w:szCs w:val="21"/>
              </w:rPr>
            </w:pPr>
          </w:p>
        </w:tc>
        <w:tc>
          <w:tcPr>
            <w:tcW w:w="1468" w:type="dxa"/>
            <w:gridSpan w:val="2"/>
            <w:vMerge w:val="continue"/>
            <w:tcBorders>
              <w:tl2br w:val="nil"/>
              <w:tr2bl w:val="nil"/>
            </w:tcBorders>
            <w:noWrap w:val="0"/>
            <w:vAlign w:val="center"/>
          </w:tcPr>
          <w:p w14:paraId="138353F1">
            <w:pPr>
              <w:spacing w:line="300" w:lineRule="exact"/>
              <w:jc w:val="center"/>
              <w:rPr>
                <w:rFonts w:hint="default" w:ascii="Times New Roman" w:hAnsi="Times New Roman" w:eastAsia="华文中宋" w:cs="Times New Roman"/>
                <w:szCs w:val="21"/>
              </w:rPr>
            </w:pPr>
          </w:p>
        </w:tc>
        <w:tc>
          <w:tcPr>
            <w:tcW w:w="1488" w:type="dxa"/>
            <w:tcBorders>
              <w:tl2br w:val="nil"/>
              <w:tr2bl w:val="nil"/>
            </w:tcBorders>
            <w:noWrap w:val="0"/>
            <w:vAlign w:val="center"/>
          </w:tcPr>
          <w:p w14:paraId="6D92FBD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24小时平均</w:t>
            </w:r>
          </w:p>
        </w:tc>
        <w:tc>
          <w:tcPr>
            <w:tcW w:w="1355" w:type="dxa"/>
            <w:tcBorders>
              <w:tl2br w:val="nil"/>
              <w:tr2bl w:val="nil"/>
            </w:tcBorders>
            <w:noWrap w:val="0"/>
            <w:vAlign w:val="top"/>
          </w:tcPr>
          <w:p w14:paraId="6BDB8E0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μg/m</w:t>
            </w:r>
            <w:r>
              <w:rPr>
                <w:rFonts w:hint="default" w:ascii="Times New Roman" w:hAnsi="Times New Roman" w:eastAsia="华文中宋" w:cs="Times New Roman"/>
                <w:szCs w:val="21"/>
                <w:vertAlign w:val="superscript"/>
              </w:rPr>
              <w:t>3</w:t>
            </w:r>
          </w:p>
        </w:tc>
        <w:tc>
          <w:tcPr>
            <w:tcW w:w="1629" w:type="dxa"/>
            <w:tcBorders>
              <w:tl2br w:val="nil"/>
              <w:tr2bl w:val="nil"/>
            </w:tcBorders>
            <w:noWrap w:val="0"/>
            <w:vAlign w:val="center"/>
          </w:tcPr>
          <w:p w14:paraId="4AE43C1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150</w:t>
            </w:r>
          </w:p>
        </w:tc>
        <w:tc>
          <w:tcPr>
            <w:tcW w:w="1971" w:type="dxa"/>
            <w:vMerge w:val="continue"/>
            <w:tcBorders>
              <w:tl2br w:val="nil"/>
              <w:tr2bl w:val="nil"/>
            </w:tcBorders>
            <w:noWrap w:val="0"/>
            <w:vAlign w:val="center"/>
          </w:tcPr>
          <w:p w14:paraId="3B58349F">
            <w:pPr>
              <w:snapToGrid w:val="0"/>
              <w:spacing w:line="220" w:lineRule="exact"/>
              <w:jc w:val="center"/>
              <w:rPr>
                <w:rFonts w:hint="default" w:ascii="Times New Roman" w:hAnsi="Times New Roman" w:eastAsia="华文中宋" w:cs="Times New Roman"/>
                <w:snapToGrid w:val="0"/>
                <w:spacing w:val="-2"/>
                <w:szCs w:val="21"/>
              </w:rPr>
            </w:pPr>
          </w:p>
        </w:tc>
      </w:tr>
      <w:tr w14:paraId="0778BC3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445" w:type="dxa"/>
            <w:vMerge w:val="continue"/>
            <w:tcBorders>
              <w:tl2br w:val="nil"/>
              <w:tr2bl w:val="nil"/>
            </w:tcBorders>
            <w:noWrap w:val="0"/>
            <w:vAlign w:val="center"/>
          </w:tcPr>
          <w:p w14:paraId="766F2417">
            <w:pPr>
              <w:spacing w:line="300" w:lineRule="exact"/>
              <w:jc w:val="center"/>
              <w:rPr>
                <w:rFonts w:hint="default" w:ascii="Times New Roman" w:hAnsi="Times New Roman" w:eastAsia="华文中宋" w:cs="Times New Roman"/>
                <w:szCs w:val="21"/>
              </w:rPr>
            </w:pPr>
          </w:p>
        </w:tc>
        <w:tc>
          <w:tcPr>
            <w:tcW w:w="1468" w:type="dxa"/>
            <w:gridSpan w:val="2"/>
            <w:vMerge w:val="continue"/>
            <w:tcBorders>
              <w:tl2br w:val="nil"/>
              <w:tr2bl w:val="nil"/>
            </w:tcBorders>
            <w:noWrap w:val="0"/>
            <w:vAlign w:val="center"/>
          </w:tcPr>
          <w:p w14:paraId="7DF84F52">
            <w:pPr>
              <w:spacing w:line="300" w:lineRule="exact"/>
              <w:jc w:val="center"/>
              <w:rPr>
                <w:rFonts w:hint="default" w:ascii="Times New Roman" w:hAnsi="Times New Roman" w:eastAsia="华文中宋" w:cs="Times New Roman"/>
                <w:szCs w:val="21"/>
              </w:rPr>
            </w:pPr>
          </w:p>
        </w:tc>
        <w:tc>
          <w:tcPr>
            <w:tcW w:w="1488" w:type="dxa"/>
            <w:tcBorders>
              <w:tl2br w:val="nil"/>
              <w:tr2bl w:val="nil"/>
            </w:tcBorders>
            <w:noWrap w:val="0"/>
            <w:vAlign w:val="center"/>
          </w:tcPr>
          <w:p w14:paraId="40C1089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1小时平均</w:t>
            </w:r>
          </w:p>
        </w:tc>
        <w:tc>
          <w:tcPr>
            <w:tcW w:w="1355" w:type="dxa"/>
            <w:tcBorders>
              <w:tl2br w:val="nil"/>
              <w:tr2bl w:val="nil"/>
            </w:tcBorders>
            <w:noWrap w:val="0"/>
            <w:vAlign w:val="top"/>
          </w:tcPr>
          <w:p w14:paraId="66FA68A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μg/m</w:t>
            </w:r>
            <w:r>
              <w:rPr>
                <w:rFonts w:hint="default" w:ascii="Times New Roman" w:hAnsi="Times New Roman" w:eastAsia="华文中宋" w:cs="Times New Roman"/>
                <w:szCs w:val="21"/>
                <w:vertAlign w:val="superscript"/>
              </w:rPr>
              <w:t>3</w:t>
            </w:r>
          </w:p>
        </w:tc>
        <w:tc>
          <w:tcPr>
            <w:tcW w:w="1629" w:type="dxa"/>
            <w:tcBorders>
              <w:tl2br w:val="nil"/>
              <w:tr2bl w:val="nil"/>
            </w:tcBorders>
            <w:noWrap w:val="0"/>
            <w:vAlign w:val="center"/>
          </w:tcPr>
          <w:p w14:paraId="34D75FF3">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500</w:t>
            </w:r>
          </w:p>
        </w:tc>
        <w:tc>
          <w:tcPr>
            <w:tcW w:w="1971" w:type="dxa"/>
            <w:vMerge w:val="continue"/>
            <w:tcBorders>
              <w:tl2br w:val="nil"/>
              <w:tr2bl w:val="nil"/>
            </w:tcBorders>
            <w:noWrap w:val="0"/>
            <w:vAlign w:val="center"/>
          </w:tcPr>
          <w:p w14:paraId="6C39A20E">
            <w:pPr>
              <w:snapToGrid w:val="0"/>
              <w:spacing w:line="220" w:lineRule="exact"/>
              <w:jc w:val="center"/>
              <w:rPr>
                <w:rFonts w:hint="default" w:ascii="Times New Roman" w:hAnsi="Times New Roman" w:eastAsia="华文中宋" w:cs="Times New Roman"/>
                <w:snapToGrid w:val="0"/>
                <w:spacing w:val="-2"/>
                <w:szCs w:val="21"/>
              </w:rPr>
            </w:pPr>
          </w:p>
        </w:tc>
      </w:tr>
      <w:tr w14:paraId="4ACE539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445" w:type="dxa"/>
            <w:vMerge w:val="restart"/>
            <w:tcBorders>
              <w:tl2br w:val="nil"/>
              <w:tr2bl w:val="nil"/>
            </w:tcBorders>
            <w:noWrap w:val="0"/>
            <w:vAlign w:val="center"/>
          </w:tcPr>
          <w:p w14:paraId="6692E47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2</w:t>
            </w:r>
          </w:p>
        </w:tc>
        <w:tc>
          <w:tcPr>
            <w:tcW w:w="1468" w:type="dxa"/>
            <w:gridSpan w:val="2"/>
            <w:vMerge w:val="restart"/>
            <w:tcBorders>
              <w:tl2br w:val="nil"/>
              <w:tr2bl w:val="nil"/>
            </w:tcBorders>
            <w:noWrap w:val="0"/>
            <w:vAlign w:val="center"/>
          </w:tcPr>
          <w:p w14:paraId="0A0BE37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二氧化氮</w:t>
            </w:r>
          </w:p>
          <w:p w14:paraId="213E178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NO</w:t>
            </w:r>
            <w:r>
              <w:rPr>
                <w:rFonts w:hint="default" w:ascii="Times New Roman" w:hAnsi="Times New Roman" w:eastAsia="华文中宋" w:cs="Times New Roman"/>
                <w:szCs w:val="21"/>
                <w:vertAlign w:val="subscript"/>
              </w:rPr>
              <w:t>2</w:t>
            </w:r>
          </w:p>
        </w:tc>
        <w:tc>
          <w:tcPr>
            <w:tcW w:w="1488" w:type="dxa"/>
            <w:tcBorders>
              <w:tl2br w:val="nil"/>
              <w:tr2bl w:val="nil"/>
            </w:tcBorders>
            <w:noWrap w:val="0"/>
            <w:vAlign w:val="center"/>
          </w:tcPr>
          <w:p w14:paraId="0363608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年平均</w:t>
            </w:r>
          </w:p>
        </w:tc>
        <w:tc>
          <w:tcPr>
            <w:tcW w:w="1355" w:type="dxa"/>
            <w:tcBorders>
              <w:tl2br w:val="nil"/>
              <w:tr2bl w:val="nil"/>
            </w:tcBorders>
            <w:noWrap w:val="0"/>
            <w:vAlign w:val="center"/>
          </w:tcPr>
          <w:p w14:paraId="553509D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μg/m</w:t>
            </w:r>
            <w:r>
              <w:rPr>
                <w:rFonts w:hint="default" w:ascii="Times New Roman" w:hAnsi="Times New Roman" w:eastAsia="华文中宋" w:cs="Times New Roman"/>
                <w:szCs w:val="21"/>
                <w:vertAlign w:val="superscript"/>
              </w:rPr>
              <w:t>3</w:t>
            </w:r>
          </w:p>
        </w:tc>
        <w:tc>
          <w:tcPr>
            <w:tcW w:w="1629" w:type="dxa"/>
            <w:tcBorders>
              <w:tl2br w:val="nil"/>
              <w:tr2bl w:val="nil"/>
            </w:tcBorders>
            <w:noWrap w:val="0"/>
            <w:vAlign w:val="center"/>
          </w:tcPr>
          <w:p w14:paraId="036DFFD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40</w:t>
            </w:r>
          </w:p>
        </w:tc>
        <w:tc>
          <w:tcPr>
            <w:tcW w:w="1971" w:type="dxa"/>
            <w:vMerge w:val="continue"/>
            <w:tcBorders>
              <w:tl2br w:val="nil"/>
              <w:tr2bl w:val="nil"/>
            </w:tcBorders>
            <w:noWrap w:val="0"/>
            <w:vAlign w:val="center"/>
          </w:tcPr>
          <w:p w14:paraId="61ACFED9">
            <w:pPr>
              <w:snapToGrid w:val="0"/>
              <w:spacing w:line="220" w:lineRule="exact"/>
              <w:jc w:val="center"/>
              <w:rPr>
                <w:rFonts w:hint="default" w:ascii="Times New Roman" w:hAnsi="Times New Roman" w:eastAsia="华文中宋" w:cs="Times New Roman"/>
                <w:snapToGrid w:val="0"/>
                <w:spacing w:val="-2"/>
                <w:szCs w:val="21"/>
              </w:rPr>
            </w:pPr>
          </w:p>
        </w:tc>
      </w:tr>
      <w:tr w14:paraId="4218E67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445" w:type="dxa"/>
            <w:vMerge w:val="continue"/>
            <w:tcBorders>
              <w:tl2br w:val="nil"/>
              <w:tr2bl w:val="nil"/>
            </w:tcBorders>
            <w:noWrap w:val="0"/>
            <w:vAlign w:val="center"/>
          </w:tcPr>
          <w:p w14:paraId="0652B591">
            <w:pPr>
              <w:spacing w:line="300" w:lineRule="exact"/>
              <w:jc w:val="center"/>
              <w:rPr>
                <w:rFonts w:hint="default" w:ascii="Times New Roman" w:hAnsi="Times New Roman" w:eastAsia="华文中宋" w:cs="Times New Roman"/>
                <w:szCs w:val="21"/>
              </w:rPr>
            </w:pPr>
          </w:p>
        </w:tc>
        <w:tc>
          <w:tcPr>
            <w:tcW w:w="1468" w:type="dxa"/>
            <w:gridSpan w:val="2"/>
            <w:vMerge w:val="continue"/>
            <w:tcBorders>
              <w:tl2br w:val="nil"/>
              <w:tr2bl w:val="nil"/>
            </w:tcBorders>
            <w:noWrap w:val="0"/>
            <w:vAlign w:val="center"/>
          </w:tcPr>
          <w:p w14:paraId="73AF434E">
            <w:pPr>
              <w:spacing w:line="300" w:lineRule="exact"/>
              <w:jc w:val="center"/>
              <w:rPr>
                <w:rFonts w:hint="default" w:ascii="Times New Roman" w:hAnsi="Times New Roman" w:eastAsia="华文中宋" w:cs="Times New Roman"/>
                <w:szCs w:val="21"/>
              </w:rPr>
            </w:pPr>
          </w:p>
        </w:tc>
        <w:tc>
          <w:tcPr>
            <w:tcW w:w="1488" w:type="dxa"/>
            <w:tcBorders>
              <w:tl2br w:val="nil"/>
              <w:tr2bl w:val="nil"/>
            </w:tcBorders>
            <w:noWrap w:val="0"/>
            <w:vAlign w:val="center"/>
          </w:tcPr>
          <w:p w14:paraId="5EDC165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24小时平均</w:t>
            </w:r>
          </w:p>
        </w:tc>
        <w:tc>
          <w:tcPr>
            <w:tcW w:w="1355" w:type="dxa"/>
            <w:tcBorders>
              <w:tl2br w:val="nil"/>
              <w:tr2bl w:val="nil"/>
            </w:tcBorders>
            <w:noWrap w:val="0"/>
            <w:vAlign w:val="top"/>
          </w:tcPr>
          <w:p w14:paraId="47888201">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μg/m</w:t>
            </w:r>
            <w:r>
              <w:rPr>
                <w:rFonts w:hint="default" w:ascii="Times New Roman" w:hAnsi="Times New Roman" w:eastAsia="华文中宋" w:cs="Times New Roman"/>
                <w:szCs w:val="21"/>
                <w:vertAlign w:val="superscript"/>
              </w:rPr>
              <w:t>3</w:t>
            </w:r>
          </w:p>
        </w:tc>
        <w:tc>
          <w:tcPr>
            <w:tcW w:w="1629" w:type="dxa"/>
            <w:tcBorders>
              <w:tl2br w:val="nil"/>
              <w:tr2bl w:val="nil"/>
            </w:tcBorders>
            <w:noWrap w:val="0"/>
            <w:vAlign w:val="center"/>
          </w:tcPr>
          <w:p w14:paraId="01199777">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80</w:t>
            </w:r>
          </w:p>
        </w:tc>
        <w:tc>
          <w:tcPr>
            <w:tcW w:w="1971" w:type="dxa"/>
            <w:vMerge w:val="continue"/>
            <w:tcBorders>
              <w:tl2br w:val="nil"/>
              <w:tr2bl w:val="nil"/>
            </w:tcBorders>
            <w:noWrap w:val="0"/>
            <w:vAlign w:val="center"/>
          </w:tcPr>
          <w:p w14:paraId="026A5B71">
            <w:pPr>
              <w:snapToGrid w:val="0"/>
              <w:spacing w:line="220" w:lineRule="exact"/>
              <w:jc w:val="center"/>
              <w:rPr>
                <w:rFonts w:hint="default" w:ascii="Times New Roman" w:hAnsi="Times New Roman" w:eastAsia="华文中宋" w:cs="Times New Roman"/>
                <w:snapToGrid w:val="0"/>
                <w:spacing w:val="-2"/>
                <w:szCs w:val="21"/>
              </w:rPr>
            </w:pPr>
          </w:p>
        </w:tc>
      </w:tr>
      <w:tr w14:paraId="71FEF4F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445" w:type="dxa"/>
            <w:vMerge w:val="continue"/>
            <w:tcBorders>
              <w:tl2br w:val="nil"/>
              <w:tr2bl w:val="nil"/>
            </w:tcBorders>
            <w:noWrap w:val="0"/>
            <w:vAlign w:val="center"/>
          </w:tcPr>
          <w:p w14:paraId="50DF8AA2">
            <w:pPr>
              <w:spacing w:line="300" w:lineRule="exact"/>
              <w:jc w:val="center"/>
              <w:rPr>
                <w:rFonts w:hint="default" w:ascii="Times New Roman" w:hAnsi="Times New Roman" w:eastAsia="华文中宋" w:cs="Times New Roman"/>
                <w:szCs w:val="21"/>
              </w:rPr>
            </w:pPr>
          </w:p>
        </w:tc>
        <w:tc>
          <w:tcPr>
            <w:tcW w:w="1468" w:type="dxa"/>
            <w:gridSpan w:val="2"/>
            <w:vMerge w:val="continue"/>
            <w:tcBorders>
              <w:tl2br w:val="nil"/>
              <w:tr2bl w:val="nil"/>
            </w:tcBorders>
            <w:noWrap w:val="0"/>
            <w:vAlign w:val="center"/>
          </w:tcPr>
          <w:p w14:paraId="243906E2">
            <w:pPr>
              <w:spacing w:line="300" w:lineRule="exact"/>
              <w:jc w:val="center"/>
              <w:rPr>
                <w:rFonts w:hint="default" w:ascii="Times New Roman" w:hAnsi="Times New Roman" w:eastAsia="华文中宋" w:cs="Times New Roman"/>
                <w:szCs w:val="21"/>
              </w:rPr>
            </w:pPr>
          </w:p>
        </w:tc>
        <w:tc>
          <w:tcPr>
            <w:tcW w:w="1488" w:type="dxa"/>
            <w:tcBorders>
              <w:tl2br w:val="nil"/>
              <w:tr2bl w:val="nil"/>
            </w:tcBorders>
            <w:noWrap w:val="0"/>
            <w:vAlign w:val="center"/>
          </w:tcPr>
          <w:p w14:paraId="4882124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1小时平均</w:t>
            </w:r>
          </w:p>
        </w:tc>
        <w:tc>
          <w:tcPr>
            <w:tcW w:w="1355" w:type="dxa"/>
            <w:tcBorders>
              <w:tl2br w:val="nil"/>
              <w:tr2bl w:val="nil"/>
            </w:tcBorders>
            <w:noWrap w:val="0"/>
            <w:vAlign w:val="top"/>
          </w:tcPr>
          <w:p w14:paraId="4BE3453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μg/m</w:t>
            </w:r>
            <w:r>
              <w:rPr>
                <w:rFonts w:hint="default" w:ascii="Times New Roman" w:hAnsi="Times New Roman" w:eastAsia="华文中宋" w:cs="Times New Roman"/>
                <w:szCs w:val="21"/>
                <w:vertAlign w:val="superscript"/>
              </w:rPr>
              <w:t>3</w:t>
            </w:r>
          </w:p>
        </w:tc>
        <w:tc>
          <w:tcPr>
            <w:tcW w:w="1629" w:type="dxa"/>
            <w:tcBorders>
              <w:tl2br w:val="nil"/>
              <w:tr2bl w:val="nil"/>
            </w:tcBorders>
            <w:noWrap w:val="0"/>
            <w:vAlign w:val="center"/>
          </w:tcPr>
          <w:p w14:paraId="768222E7">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200</w:t>
            </w:r>
          </w:p>
        </w:tc>
        <w:tc>
          <w:tcPr>
            <w:tcW w:w="1971" w:type="dxa"/>
            <w:vMerge w:val="continue"/>
            <w:tcBorders>
              <w:tl2br w:val="nil"/>
              <w:tr2bl w:val="nil"/>
            </w:tcBorders>
            <w:noWrap w:val="0"/>
            <w:vAlign w:val="center"/>
          </w:tcPr>
          <w:p w14:paraId="74D631BE">
            <w:pPr>
              <w:snapToGrid w:val="0"/>
              <w:spacing w:line="220" w:lineRule="exact"/>
              <w:jc w:val="center"/>
              <w:rPr>
                <w:rFonts w:hint="default" w:ascii="Times New Roman" w:hAnsi="Times New Roman" w:eastAsia="华文中宋" w:cs="Times New Roman"/>
                <w:snapToGrid w:val="0"/>
                <w:spacing w:val="-2"/>
                <w:szCs w:val="21"/>
              </w:rPr>
            </w:pPr>
          </w:p>
        </w:tc>
      </w:tr>
      <w:tr w14:paraId="2EEC8D5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445" w:type="dxa"/>
            <w:vMerge w:val="restart"/>
            <w:tcBorders>
              <w:tl2br w:val="nil"/>
              <w:tr2bl w:val="nil"/>
            </w:tcBorders>
            <w:noWrap w:val="0"/>
            <w:vAlign w:val="center"/>
          </w:tcPr>
          <w:p w14:paraId="13C1C303">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3</w:t>
            </w:r>
          </w:p>
        </w:tc>
        <w:tc>
          <w:tcPr>
            <w:tcW w:w="733" w:type="dxa"/>
            <w:vMerge w:val="restart"/>
            <w:tcBorders>
              <w:tl2br w:val="nil"/>
              <w:tr2bl w:val="nil"/>
            </w:tcBorders>
            <w:noWrap w:val="0"/>
            <w:vAlign w:val="center"/>
          </w:tcPr>
          <w:p w14:paraId="45EDB3C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颗粒物</w:t>
            </w:r>
          </w:p>
        </w:tc>
        <w:tc>
          <w:tcPr>
            <w:tcW w:w="735" w:type="dxa"/>
            <w:vMerge w:val="restart"/>
            <w:tcBorders>
              <w:tl2br w:val="nil"/>
              <w:tr2bl w:val="nil"/>
            </w:tcBorders>
            <w:noWrap w:val="0"/>
            <w:vAlign w:val="center"/>
          </w:tcPr>
          <w:p w14:paraId="6B88D8F0">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PM</w:t>
            </w:r>
            <w:r>
              <w:rPr>
                <w:rFonts w:hint="default" w:ascii="Times New Roman" w:hAnsi="Times New Roman" w:eastAsia="华文中宋" w:cs="Times New Roman"/>
                <w:szCs w:val="21"/>
                <w:vertAlign w:val="subscript"/>
              </w:rPr>
              <w:t>10</w:t>
            </w:r>
          </w:p>
        </w:tc>
        <w:tc>
          <w:tcPr>
            <w:tcW w:w="1488" w:type="dxa"/>
            <w:tcBorders>
              <w:tl2br w:val="nil"/>
              <w:tr2bl w:val="nil"/>
            </w:tcBorders>
            <w:noWrap w:val="0"/>
            <w:vAlign w:val="center"/>
          </w:tcPr>
          <w:p w14:paraId="7341E29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年平均</w:t>
            </w:r>
          </w:p>
        </w:tc>
        <w:tc>
          <w:tcPr>
            <w:tcW w:w="1355" w:type="dxa"/>
            <w:tcBorders>
              <w:tl2br w:val="nil"/>
              <w:tr2bl w:val="nil"/>
            </w:tcBorders>
            <w:noWrap w:val="0"/>
            <w:vAlign w:val="center"/>
          </w:tcPr>
          <w:p w14:paraId="4E2B215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μg/m</w:t>
            </w:r>
            <w:r>
              <w:rPr>
                <w:rFonts w:hint="default" w:ascii="Times New Roman" w:hAnsi="Times New Roman" w:eastAsia="华文中宋" w:cs="Times New Roman"/>
                <w:szCs w:val="21"/>
                <w:vertAlign w:val="superscript"/>
              </w:rPr>
              <w:t>3</w:t>
            </w:r>
          </w:p>
        </w:tc>
        <w:tc>
          <w:tcPr>
            <w:tcW w:w="1629" w:type="dxa"/>
            <w:tcBorders>
              <w:tl2br w:val="nil"/>
              <w:tr2bl w:val="nil"/>
            </w:tcBorders>
            <w:noWrap w:val="0"/>
            <w:vAlign w:val="center"/>
          </w:tcPr>
          <w:p w14:paraId="3C087570">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70</w:t>
            </w:r>
          </w:p>
        </w:tc>
        <w:tc>
          <w:tcPr>
            <w:tcW w:w="1971" w:type="dxa"/>
            <w:vMerge w:val="continue"/>
            <w:tcBorders>
              <w:tl2br w:val="nil"/>
              <w:tr2bl w:val="nil"/>
            </w:tcBorders>
            <w:noWrap w:val="0"/>
            <w:vAlign w:val="center"/>
          </w:tcPr>
          <w:p w14:paraId="0B4AEAED">
            <w:pPr>
              <w:snapToGrid w:val="0"/>
              <w:spacing w:line="220" w:lineRule="exact"/>
              <w:jc w:val="center"/>
              <w:rPr>
                <w:rFonts w:hint="default" w:ascii="Times New Roman" w:hAnsi="Times New Roman" w:eastAsia="华文中宋" w:cs="Times New Roman"/>
                <w:snapToGrid w:val="0"/>
                <w:spacing w:val="-2"/>
                <w:szCs w:val="21"/>
              </w:rPr>
            </w:pPr>
          </w:p>
        </w:tc>
      </w:tr>
      <w:tr w14:paraId="3EEA6EF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445" w:type="dxa"/>
            <w:vMerge w:val="continue"/>
            <w:tcBorders>
              <w:tl2br w:val="nil"/>
              <w:tr2bl w:val="nil"/>
            </w:tcBorders>
            <w:noWrap w:val="0"/>
            <w:vAlign w:val="center"/>
          </w:tcPr>
          <w:p w14:paraId="769C193D">
            <w:pPr>
              <w:spacing w:line="300" w:lineRule="exact"/>
              <w:jc w:val="center"/>
              <w:rPr>
                <w:rFonts w:hint="default" w:ascii="Times New Roman" w:hAnsi="Times New Roman" w:eastAsia="华文中宋" w:cs="Times New Roman"/>
                <w:szCs w:val="21"/>
              </w:rPr>
            </w:pPr>
          </w:p>
        </w:tc>
        <w:tc>
          <w:tcPr>
            <w:tcW w:w="733" w:type="dxa"/>
            <w:vMerge w:val="continue"/>
            <w:tcBorders>
              <w:tl2br w:val="nil"/>
              <w:tr2bl w:val="nil"/>
            </w:tcBorders>
            <w:noWrap w:val="0"/>
            <w:vAlign w:val="center"/>
          </w:tcPr>
          <w:p w14:paraId="5AB0FDA8">
            <w:pPr>
              <w:spacing w:line="300" w:lineRule="exact"/>
              <w:jc w:val="center"/>
              <w:rPr>
                <w:rFonts w:hint="default" w:ascii="Times New Roman" w:hAnsi="Times New Roman" w:eastAsia="华文中宋" w:cs="Times New Roman"/>
                <w:szCs w:val="21"/>
              </w:rPr>
            </w:pPr>
          </w:p>
        </w:tc>
        <w:tc>
          <w:tcPr>
            <w:tcW w:w="735" w:type="dxa"/>
            <w:vMerge w:val="continue"/>
            <w:tcBorders>
              <w:tl2br w:val="nil"/>
              <w:tr2bl w:val="nil"/>
            </w:tcBorders>
            <w:noWrap w:val="0"/>
            <w:vAlign w:val="center"/>
          </w:tcPr>
          <w:p w14:paraId="5B9B2561">
            <w:pPr>
              <w:spacing w:line="300" w:lineRule="exact"/>
              <w:jc w:val="center"/>
              <w:rPr>
                <w:rFonts w:hint="default" w:ascii="Times New Roman" w:hAnsi="Times New Roman" w:eastAsia="华文中宋" w:cs="Times New Roman"/>
                <w:szCs w:val="21"/>
              </w:rPr>
            </w:pPr>
          </w:p>
        </w:tc>
        <w:tc>
          <w:tcPr>
            <w:tcW w:w="1488" w:type="dxa"/>
            <w:tcBorders>
              <w:tl2br w:val="nil"/>
              <w:tr2bl w:val="nil"/>
            </w:tcBorders>
            <w:noWrap w:val="0"/>
            <w:vAlign w:val="center"/>
          </w:tcPr>
          <w:p w14:paraId="3948B74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24小时平均</w:t>
            </w:r>
          </w:p>
        </w:tc>
        <w:tc>
          <w:tcPr>
            <w:tcW w:w="1355" w:type="dxa"/>
            <w:tcBorders>
              <w:tl2br w:val="nil"/>
              <w:tr2bl w:val="nil"/>
            </w:tcBorders>
            <w:noWrap w:val="0"/>
            <w:vAlign w:val="top"/>
          </w:tcPr>
          <w:p w14:paraId="1523E357">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μg/m</w:t>
            </w:r>
            <w:r>
              <w:rPr>
                <w:rFonts w:hint="default" w:ascii="Times New Roman" w:hAnsi="Times New Roman" w:eastAsia="华文中宋" w:cs="Times New Roman"/>
                <w:szCs w:val="21"/>
                <w:vertAlign w:val="superscript"/>
              </w:rPr>
              <w:t>3</w:t>
            </w:r>
          </w:p>
        </w:tc>
        <w:tc>
          <w:tcPr>
            <w:tcW w:w="1629" w:type="dxa"/>
            <w:tcBorders>
              <w:tl2br w:val="nil"/>
              <w:tr2bl w:val="nil"/>
            </w:tcBorders>
            <w:noWrap w:val="0"/>
            <w:vAlign w:val="center"/>
          </w:tcPr>
          <w:p w14:paraId="32F1225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150</w:t>
            </w:r>
          </w:p>
        </w:tc>
        <w:tc>
          <w:tcPr>
            <w:tcW w:w="1971" w:type="dxa"/>
            <w:vMerge w:val="continue"/>
            <w:tcBorders>
              <w:tl2br w:val="nil"/>
              <w:tr2bl w:val="nil"/>
            </w:tcBorders>
            <w:noWrap w:val="0"/>
            <w:vAlign w:val="center"/>
          </w:tcPr>
          <w:p w14:paraId="2BC120E6">
            <w:pPr>
              <w:snapToGrid w:val="0"/>
              <w:spacing w:line="220" w:lineRule="exact"/>
              <w:jc w:val="center"/>
              <w:rPr>
                <w:rFonts w:hint="default" w:ascii="Times New Roman" w:hAnsi="Times New Roman" w:eastAsia="华文中宋" w:cs="Times New Roman"/>
                <w:snapToGrid w:val="0"/>
                <w:spacing w:val="-2"/>
                <w:szCs w:val="21"/>
              </w:rPr>
            </w:pPr>
          </w:p>
        </w:tc>
      </w:tr>
      <w:tr w14:paraId="3F7DF5C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445" w:type="dxa"/>
            <w:vMerge w:val="continue"/>
            <w:tcBorders>
              <w:tl2br w:val="nil"/>
              <w:tr2bl w:val="nil"/>
            </w:tcBorders>
            <w:noWrap w:val="0"/>
            <w:vAlign w:val="center"/>
          </w:tcPr>
          <w:p w14:paraId="487F2901">
            <w:pPr>
              <w:spacing w:line="300" w:lineRule="exact"/>
              <w:jc w:val="center"/>
              <w:rPr>
                <w:rFonts w:hint="default" w:ascii="Times New Roman" w:hAnsi="Times New Roman" w:eastAsia="华文中宋" w:cs="Times New Roman"/>
                <w:szCs w:val="21"/>
              </w:rPr>
            </w:pPr>
          </w:p>
        </w:tc>
        <w:tc>
          <w:tcPr>
            <w:tcW w:w="733" w:type="dxa"/>
            <w:vMerge w:val="continue"/>
            <w:tcBorders>
              <w:tl2br w:val="nil"/>
              <w:tr2bl w:val="nil"/>
            </w:tcBorders>
            <w:noWrap w:val="0"/>
            <w:vAlign w:val="center"/>
          </w:tcPr>
          <w:p w14:paraId="126620A8">
            <w:pPr>
              <w:spacing w:line="300" w:lineRule="exact"/>
              <w:jc w:val="center"/>
              <w:rPr>
                <w:rFonts w:hint="default" w:ascii="Times New Roman" w:hAnsi="Times New Roman" w:eastAsia="华文中宋" w:cs="Times New Roman"/>
                <w:szCs w:val="21"/>
              </w:rPr>
            </w:pPr>
          </w:p>
        </w:tc>
        <w:tc>
          <w:tcPr>
            <w:tcW w:w="735" w:type="dxa"/>
            <w:vMerge w:val="restart"/>
            <w:tcBorders>
              <w:tl2br w:val="nil"/>
              <w:tr2bl w:val="nil"/>
            </w:tcBorders>
            <w:noWrap w:val="0"/>
            <w:vAlign w:val="center"/>
          </w:tcPr>
          <w:p w14:paraId="080590E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PM</w:t>
            </w:r>
            <w:r>
              <w:rPr>
                <w:rFonts w:hint="default" w:ascii="Times New Roman" w:hAnsi="Times New Roman" w:eastAsia="华文中宋" w:cs="Times New Roman"/>
                <w:szCs w:val="21"/>
                <w:vertAlign w:val="subscript"/>
              </w:rPr>
              <w:t>2.5</w:t>
            </w:r>
          </w:p>
        </w:tc>
        <w:tc>
          <w:tcPr>
            <w:tcW w:w="1488" w:type="dxa"/>
            <w:tcBorders>
              <w:tl2br w:val="nil"/>
              <w:tr2bl w:val="nil"/>
            </w:tcBorders>
            <w:noWrap w:val="0"/>
            <w:vAlign w:val="center"/>
          </w:tcPr>
          <w:p w14:paraId="48B5DF1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年平均</w:t>
            </w:r>
          </w:p>
        </w:tc>
        <w:tc>
          <w:tcPr>
            <w:tcW w:w="1355" w:type="dxa"/>
            <w:tcBorders>
              <w:tl2br w:val="nil"/>
              <w:tr2bl w:val="nil"/>
            </w:tcBorders>
            <w:noWrap w:val="0"/>
            <w:vAlign w:val="top"/>
          </w:tcPr>
          <w:p w14:paraId="307C933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μg/m</w:t>
            </w:r>
            <w:r>
              <w:rPr>
                <w:rFonts w:hint="default" w:ascii="Times New Roman" w:hAnsi="Times New Roman" w:eastAsia="华文中宋" w:cs="Times New Roman"/>
                <w:szCs w:val="21"/>
                <w:vertAlign w:val="superscript"/>
              </w:rPr>
              <w:t>3</w:t>
            </w:r>
          </w:p>
        </w:tc>
        <w:tc>
          <w:tcPr>
            <w:tcW w:w="1629" w:type="dxa"/>
            <w:tcBorders>
              <w:tl2br w:val="nil"/>
              <w:tr2bl w:val="nil"/>
            </w:tcBorders>
            <w:noWrap w:val="0"/>
            <w:vAlign w:val="center"/>
          </w:tcPr>
          <w:p w14:paraId="6326A83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35</w:t>
            </w:r>
          </w:p>
        </w:tc>
        <w:tc>
          <w:tcPr>
            <w:tcW w:w="1971" w:type="dxa"/>
            <w:vMerge w:val="continue"/>
            <w:tcBorders>
              <w:tl2br w:val="nil"/>
              <w:tr2bl w:val="nil"/>
            </w:tcBorders>
            <w:noWrap w:val="0"/>
            <w:vAlign w:val="center"/>
          </w:tcPr>
          <w:p w14:paraId="251034BC">
            <w:pPr>
              <w:snapToGrid w:val="0"/>
              <w:spacing w:line="220" w:lineRule="exact"/>
              <w:jc w:val="center"/>
              <w:rPr>
                <w:rFonts w:hint="default" w:ascii="Times New Roman" w:hAnsi="Times New Roman" w:eastAsia="华文中宋" w:cs="Times New Roman"/>
                <w:snapToGrid w:val="0"/>
                <w:spacing w:val="-2"/>
                <w:szCs w:val="21"/>
              </w:rPr>
            </w:pPr>
          </w:p>
        </w:tc>
      </w:tr>
      <w:tr w14:paraId="0B7351D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445" w:type="dxa"/>
            <w:vMerge w:val="continue"/>
            <w:tcBorders>
              <w:tl2br w:val="nil"/>
              <w:tr2bl w:val="nil"/>
            </w:tcBorders>
            <w:noWrap w:val="0"/>
            <w:vAlign w:val="center"/>
          </w:tcPr>
          <w:p w14:paraId="4FF1DE1F">
            <w:pPr>
              <w:spacing w:line="300" w:lineRule="exact"/>
              <w:jc w:val="center"/>
              <w:rPr>
                <w:rFonts w:hint="default" w:ascii="Times New Roman" w:hAnsi="Times New Roman" w:eastAsia="华文中宋" w:cs="Times New Roman"/>
                <w:szCs w:val="21"/>
              </w:rPr>
            </w:pPr>
          </w:p>
        </w:tc>
        <w:tc>
          <w:tcPr>
            <w:tcW w:w="733" w:type="dxa"/>
            <w:vMerge w:val="continue"/>
            <w:tcBorders>
              <w:tl2br w:val="nil"/>
              <w:tr2bl w:val="nil"/>
            </w:tcBorders>
            <w:noWrap w:val="0"/>
            <w:vAlign w:val="center"/>
          </w:tcPr>
          <w:p w14:paraId="3675DDFB">
            <w:pPr>
              <w:spacing w:line="300" w:lineRule="exact"/>
              <w:jc w:val="center"/>
              <w:rPr>
                <w:rFonts w:hint="default" w:ascii="Times New Roman" w:hAnsi="Times New Roman" w:eastAsia="华文中宋" w:cs="Times New Roman"/>
                <w:szCs w:val="21"/>
              </w:rPr>
            </w:pPr>
          </w:p>
        </w:tc>
        <w:tc>
          <w:tcPr>
            <w:tcW w:w="735" w:type="dxa"/>
            <w:vMerge w:val="continue"/>
            <w:tcBorders>
              <w:tl2br w:val="nil"/>
              <w:tr2bl w:val="nil"/>
            </w:tcBorders>
            <w:noWrap w:val="0"/>
            <w:vAlign w:val="center"/>
          </w:tcPr>
          <w:p w14:paraId="6E28FF2A">
            <w:pPr>
              <w:spacing w:line="300" w:lineRule="exact"/>
              <w:jc w:val="center"/>
              <w:rPr>
                <w:rFonts w:hint="default" w:ascii="Times New Roman" w:hAnsi="Times New Roman" w:eastAsia="华文中宋" w:cs="Times New Roman"/>
                <w:szCs w:val="21"/>
              </w:rPr>
            </w:pPr>
          </w:p>
        </w:tc>
        <w:tc>
          <w:tcPr>
            <w:tcW w:w="1488" w:type="dxa"/>
            <w:tcBorders>
              <w:tl2br w:val="nil"/>
              <w:tr2bl w:val="nil"/>
            </w:tcBorders>
            <w:noWrap w:val="0"/>
            <w:vAlign w:val="center"/>
          </w:tcPr>
          <w:p w14:paraId="7A71B17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24小时平均</w:t>
            </w:r>
          </w:p>
        </w:tc>
        <w:tc>
          <w:tcPr>
            <w:tcW w:w="1355" w:type="dxa"/>
            <w:tcBorders>
              <w:tl2br w:val="nil"/>
              <w:tr2bl w:val="nil"/>
            </w:tcBorders>
            <w:noWrap w:val="0"/>
            <w:vAlign w:val="center"/>
          </w:tcPr>
          <w:p w14:paraId="2200D0D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μg/m</w:t>
            </w:r>
            <w:r>
              <w:rPr>
                <w:rFonts w:hint="default" w:ascii="Times New Roman" w:hAnsi="Times New Roman" w:eastAsia="华文中宋" w:cs="Times New Roman"/>
                <w:szCs w:val="21"/>
                <w:vertAlign w:val="superscript"/>
              </w:rPr>
              <w:t>3</w:t>
            </w:r>
          </w:p>
        </w:tc>
        <w:tc>
          <w:tcPr>
            <w:tcW w:w="1629" w:type="dxa"/>
            <w:tcBorders>
              <w:tl2br w:val="nil"/>
              <w:tr2bl w:val="nil"/>
            </w:tcBorders>
            <w:noWrap w:val="0"/>
            <w:vAlign w:val="center"/>
          </w:tcPr>
          <w:p w14:paraId="0BEEA6F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75</w:t>
            </w:r>
          </w:p>
        </w:tc>
        <w:tc>
          <w:tcPr>
            <w:tcW w:w="1971" w:type="dxa"/>
            <w:vMerge w:val="continue"/>
            <w:tcBorders>
              <w:tl2br w:val="nil"/>
              <w:tr2bl w:val="nil"/>
            </w:tcBorders>
            <w:noWrap w:val="0"/>
            <w:vAlign w:val="center"/>
          </w:tcPr>
          <w:p w14:paraId="43A61044">
            <w:pPr>
              <w:snapToGrid w:val="0"/>
              <w:spacing w:line="220" w:lineRule="exact"/>
              <w:jc w:val="center"/>
              <w:rPr>
                <w:rFonts w:hint="default" w:ascii="Times New Roman" w:hAnsi="Times New Roman" w:eastAsia="华文中宋" w:cs="Times New Roman"/>
                <w:snapToGrid w:val="0"/>
                <w:spacing w:val="-2"/>
                <w:szCs w:val="21"/>
              </w:rPr>
            </w:pPr>
          </w:p>
        </w:tc>
      </w:tr>
      <w:tr w14:paraId="42ABDFC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445" w:type="dxa"/>
            <w:vMerge w:val="restart"/>
            <w:tcBorders>
              <w:tl2br w:val="nil"/>
              <w:tr2bl w:val="nil"/>
            </w:tcBorders>
            <w:noWrap w:val="0"/>
            <w:vAlign w:val="center"/>
          </w:tcPr>
          <w:p w14:paraId="0C40B6A1">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4</w:t>
            </w:r>
          </w:p>
        </w:tc>
        <w:tc>
          <w:tcPr>
            <w:tcW w:w="1468" w:type="dxa"/>
            <w:gridSpan w:val="2"/>
            <w:vMerge w:val="restart"/>
            <w:tcBorders>
              <w:tl2br w:val="nil"/>
              <w:tr2bl w:val="nil"/>
            </w:tcBorders>
            <w:noWrap w:val="0"/>
            <w:vAlign w:val="center"/>
          </w:tcPr>
          <w:p w14:paraId="3BA417D3">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CO</w:t>
            </w:r>
          </w:p>
        </w:tc>
        <w:tc>
          <w:tcPr>
            <w:tcW w:w="1488" w:type="dxa"/>
            <w:tcBorders>
              <w:tl2br w:val="nil"/>
              <w:tr2bl w:val="nil"/>
            </w:tcBorders>
            <w:noWrap w:val="0"/>
            <w:vAlign w:val="center"/>
          </w:tcPr>
          <w:p w14:paraId="33F2C731">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24小时平均</w:t>
            </w:r>
          </w:p>
        </w:tc>
        <w:tc>
          <w:tcPr>
            <w:tcW w:w="1355" w:type="dxa"/>
            <w:tcBorders>
              <w:tl2br w:val="nil"/>
              <w:tr2bl w:val="nil"/>
            </w:tcBorders>
            <w:noWrap w:val="0"/>
            <w:vAlign w:val="top"/>
          </w:tcPr>
          <w:p w14:paraId="08BCA4F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μg/m</w:t>
            </w:r>
            <w:r>
              <w:rPr>
                <w:rFonts w:hint="default" w:ascii="Times New Roman" w:hAnsi="Times New Roman" w:eastAsia="华文中宋" w:cs="Times New Roman"/>
                <w:szCs w:val="21"/>
                <w:vertAlign w:val="superscript"/>
              </w:rPr>
              <w:t>3</w:t>
            </w:r>
          </w:p>
        </w:tc>
        <w:tc>
          <w:tcPr>
            <w:tcW w:w="1629" w:type="dxa"/>
            <w:tcBorders>
              <w:tl2br w:val="nil"/>
              <w:tr2bl w:val="nil"/>
            </w:tcBorders>
            <w:noWrap w:val="0"/>
            <w:vAlign w:val="center"/>
          </w:tcPr>
          <w:p w14:paraId="04E18BC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4</w:t>
            </w:r>
          </w:p>
        </w:tc>
        <w:tc>
          <w:tcPr>
            <w:tcW w:w="1971" w:type="dxa"/>
            <w:vMerge w:val="continue"/>
            <w:tcBorders>
              <w:tl2br w:val="nil"/>
              <w:tr2bl w:val="nil"/>
            </w:tcBorders>
            <w:noWrap w:val="0"/>
            <w:vAlign w:val="center"/>
          </w:tcPr>
          <w:p w14:paraId="5BBBEF94">
            <w:pPr>
              <w:snapToGrid w:val="0"/>
              <w:spacing w:line="220" w:lineRule="exact"/>
              <w:jc w:val="center"/>
              <w:rPr>
                <w:rFonts w:hint="default" w:ascii="Times New Roman" w:hAnsi="Times New Roman" w:eastAsia="华文中宋" w:cs="Times New Roman"/>
                <w:snapToGrid w:val="0"/>
                <w:spacing w:val="-2"/>
                <w:szCs w:val="21"/>
              </w:rPr>
            </w:pPr>
          </w:p>
        </w:tc>
      </w:tr>
      <w:tr w14:paraId="547028B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445" w:type="dxa"/>
            <w:vMerge w:val="continue"/>
            <w:tcBorders>
              <w:tl2br w:val="nil"/>
              <w:tr2bl w:val="nil"/>
            </w:tcBorders>
            <w:noWrap w:val="0"/>
            <w:vAlign w:val="center"/>
          </w:tcPr>
          <w:p w14:paraId="5F5CEF9E">
            <w:pPr>
              <w:spacing w:line="300" w:lineRule="exact"/>
              <w:jc w:val="center"/>
              <w:rPr>
                <w:rFonts w:hint="default" w:ascii="Times New Roman" w:hAnsi="Times New Roman" w:eastAsia="华文中宋" w:cs="Times New Roman"/>
                <w:szCs w:val="21"/>
              </w:rPr>
            </w:pPr>
          </w:p>
        </w:tc>
        <w:tc>
          <w:tcPr>
            <w:tcW w:w="1468" w:type="dxa"/>
            <w:gridSpan w:val="2"/>
            <w:vMerge w:val="continue"/>
            <w:tcBorders>
              <w:tl2br w:val="nil"/>
              <w:tr2bl w:val="nil"/>
            </w:tcBorders>
            <w:noWrap w:val="0"/>
            <w:vAlign w:val="center"/>
          </w:tcPr>
          <w:p w14:paraId="64027E0B">
            <w:pPr>
              <w:spacing w:line="300" w:lineRule="exact"/>
              <w:jc w:val="center"/>
              <w:rPr>
                <w:rFonts w:hint="default" w:ascii="Times New Roman" w:hAnsi="Times New Roman" w:eastAsia="华文中宋" w:cs="Times New Roman"/>
                <w:szCs w:val="21"/>
              </w:rPr>
            </w:pPr>
          </w:p>
        </w:tc>
        <w:tc>
          <w:tcPr>
            <w:tcW w:w="1488" w:type="dxa"/>
            <w:tcBorders>
              <w:tl2br w:val="nil"/>
              <w:tr2bl w:val="nil"/>
            </w:tcBorders>
            <w:noWrap w:val="0"/>
            <w:vAlign w:val="center"/>
          </w:tcPr>
          <w:p w14:paraId="060C722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1小时平均</w:t>
            </w:r>
          </w:p>
        </w:tc>
        <w:tc>
          <w:tcPr>
            <w:tcW w:w="1355" w:type="dxa"/>
            <w:tcBorders>
              <w:tl2br w:val="nil"/>
              <w:tr2bl w:val="nil"/>
            </w:tcBorders>
            <w:noWrap w:val="0"/>
            <w:vAlign w:val="top"/>
          </w:tcPr>
          <w:p w14:paraId="6C59279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μg/m</w:t>
            </w:r>
            <w:r>
              <w:rPr>
                <w:rFonts w:hint="default" w:ascii="Times New Roman" w:hAnsi="Times New Roman" w:eastAsia="华文中宋" w:cs="Times New Roman"/>
                <w:szCs w:val="21"/>
                <w:vertAlign w:val="superscript"/>
              </w:rPr>
              <w:t>3</w:t>
            </w:r>
          </w:p>
        </w:tc>
        <w:tc>
          <w:tcPr>
            <w:tcW w:w="1629" w:type="dxa"/>
            <w:tcBorders>
              <w:tl2br w:val="nil"/>
              <w:tr2bl w:val="nil"/>
            </w:tcBorders>
            <w:noWrap w:val="0"/>
            <w:vAlign w:val="center"/>
          </w:tcPr>
          <w:p w14:paraId="3B2B17D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10</w:t>
            </w:r>
          </w:p>
        </w:tc>
        <w:tc>
          <w:tcPr>
            <w:tcW w:w="1971" w:type="dxa"/>
            <w:vMerge w:val="continue"/>
            <w:tcBorders>
              <w:tl2br w:val="nil"/>
              <w:tr2bl w:val="nil"/>
            </w:tcBorders>
            <w:noWrap w:val="0"/>
            <w:vAlign w:val="center"/>
          </w:tcPr>
          <w:p w14:paraId="4BC898AD">
            <w:pPr>
              <w:snapToGrid w:val="0"/>
              <w:spacing w:line="220" w:lineRule="exact"/>
              <w:jc w:val="center"/>
              <w:rPr>
                <w:rFonts w:hint="default" w:ascii="Times New Roman" w:hAnsi="Times New Roman" w:eastAsia="华文中宋" w:cs="Times New Roman"/>
                <w:snapToGrid w:val="0"/>
                <w:spacing w:val="-2"/>
                <w:szCs w:val="21"/>
              </w:rPr>
            </w:pPr>
          </w:p>
        </w:tc>
      </w:tr>
      <w:tr w14:paraId="560FB17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445" w:type="dxa"/>
            <w:vMerge w:val="restart"/>
            <w:tcBorders>
              <w:tl2br w:val="nil"/>
              <w:tr2bl w:val="nil"/>
            </w:tcBorders>
            <w:noWrap w:val="0"/>
            <w:vAlign w:val="center"/>
          </w:tcPr>
          <w:p w14:paraId="795E6C83">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5</w:t>
            </w:r>
          </w:p>
        </w:tc>
        <w:tc>
          <w:tcPr>
            <w:tcW w:w="1468" w:type="dxa"/>
            <w:gridSpan w:val="2"/>
            <w:vMerge w:val="restart"/>
            <w:tcBorders>
              <w:tl2br w:val="nil"/>
              <w:tr2bl w:val="nil"/>
            </w:tcBorders>
            <w:noWrap w:val="0"/>
            <w:vAlign w:val="center"/>
          </w:tcPr>
          <w:p w14:paraId="544A868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O</w:t>
            </w:r>
            <w:r>
              <w:rPr>
                <w:rFonts w:hint="default" w:ascii="Times New Roman" w:hAnsi="Times New Roman" w:eastAsia="华文中宋" w:cs="Times New Roman"/>
                <w:szCs w:val="21"/>
                <w:vertAlign w:val="subscript"/>
              </w:rPr>
              <w:t>3</w:t>
            </w:r>
          </w:p>
        </w:tc>
        <w:tc>
          <w:tcPr>
            <w:tcW w:w="1488" w:type="dxa"/>
            <w:tcBorders>
              <w:tl2br w:val="nil"/>
              <w:tr2bl w:val="nil"/>
            </w:tcBorders>
            <w:noWrap w:val="0"/>
            <w:vAlign w:val="center"/>
          </w:tcPr>
          <w:p w14:paraId="5FEBE3C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1小时平均</w:t>
            </w:r>
          </w:p>
        </w:tc>
        <w:tc>
          <w:tcPr>
            <w:tcW w:w="1355" w:type="dxa"/>
            <w:tcBorders>
              <w:tl2br w:val="nil"/>
              <w:tr2bl w:val="nil"/>
            </w:tcBorders>
            <w:noWrap w:val="0"/>
            <w:vAlign w:val="center"/>
          </w:tcPr>
          <w:p w14:paraId="5F0B598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μg/m</w:t>
            </w:r>
            <w:r>
              <w:rPr>
                <w:rFonts w:hint="default" w:ascii="Times New Roman" w:hAnsi="Times New Roman" w:eastAsia="华文中宋" w:cs="Times New Roman"/>
                <w:szCs w:val="21"/>
                <w:vertAlign w:val="superscript"/>
              </w:rPr>
              <w:t>3</w:t>
            </w:r>
          </w:p>
        </w:tc>
        <w:tc>
          <w:tcPr>
            <w:tcW w:w="1629" w:type="dxa"/>
            <w:tcBorders>
              <w:tl2br w:val="nil"/>
              <w:tr2bl w:val="nil"/>
            </w:tcBorders>
            <w:noWrap w:val="0"/>
            <w:vAlign w:val="center"/>
          </w:tcPr>
          <w:p w14:paraId="482F7EB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200</w:t>
            </w:r>
          </w:p>
        </w:tc>
        <w:tc>
          <w:tcPr>
            <w:tcW w:w="1971" w:type="dxa"/>
            <w:vMerge w:val="continue"/>
            <w:tcBorders>
              <w:tl2br w:val="nil"/>
              <w:tr2bl w:val="nil"/>
            </w:tcBorders>
            <w:noWrap w:val="0"/>
            <w:vAlign w:val="center"/>
          </w:tcPr>
          <w:p w14:paraId="21D50009">
            <w:pPr>
              <w:snapToGrid w:val="0"/>
              <w:spacing w:line="220" w:lineRule="exact"/>
              <w:jc w:val="center"/>
              <w:rPr>
                <w:rFonts w:hint="default" w:ascii="Times New Roman" w:hAnsi="Times New Roman" w:eastAsia="华文中宋" w:cs="Times New Roman"/>
                <w:snapToGrid w:val="0"/>
                <w:spacing w:val="-2"/>
                <w:szCs w:val="21"/>
              </w:rPr>
            </w:pPr>
          </w:p>
        </w:tc>
      </w:tr>
      <w:tr w14:paraId="69DD68F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445" w:type="dxa"/>
            <w:vMerge w:val="continue"/>
            <w:tcBorders>
              <w:tl2br w:val="nil"/>
              <w:tr2bl w:val="nil"/>
            </w:tcBorders>
            <w:noWrap w:val="0"/>
            <w:vAlign w:val="center"/>
          </w:tcPr>
          <w:p w14:paraId="004D1D63">
            <w:pPr>
              <w:spacing w:line="300" w:lineRule="exact"/>
              <w:jc w:val="center"/>
              <w:rPr>
                <w:rFonts w:hint="default" w:ascii="Times New Roman" w:hAnsi="Times New Roman" w:eastAsia="华文中宋" w:cs="Times New Roman"/>
                <w:szCs w:val="21"/>
              </w:rPr>
            </w:pPr>
          </w:p>
        </w:tc>
        <w:tc>
          <w:tcPr>
            <w:tcW w:w="1468" w:type="dxa"/>
            <w:gridSpan w:val="2"/>
            <w:vMerge w:val="continue"/>
            <w:tcBorders>
              <w:tl2br w:val="nil"/>
              <w:tr2bl w:val="nil"/>
            </w:tcBorders>
            <w:noWrap w:val="0"/>
            <w:vAlign w:val="center"/>
          </w:tcPr>
          <w:p w14:paraId="33BBC84F">
            <w:pPr>
              <w:spacing w:line="300" w:lineRule="exact"/>
              <w:jc w:val="center"/>
              <w:rPr>
                <w:rFonts w:hint="default" w:ascii="Times New Roman" w:hAnsi="Times New Roman" w:eastAsia="华文中宋" w:cs="Times New Roman"/>
                <w:szCs w:val="21"/>
              </w:rPr>
            </w:pPr>
          </w:p>
        </w:tc>
        <w:tc>
          <w:tcPr>
            <w:tcW w:w="1488" w:type="dxa"/>
            <w:tcBorders>
              <w:tl2br w:val="nil"/>
              <w:tr2bl w:val="nil"/>
            </w:tcBorders>
            <w:noWrap w:val="0"/>
            <w:vAlign w:val="center"/>
          </w:tcPr>
          <w:p w14:paraId="28A9957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日最大8h平均</w:t>
            </w:r>
          </w:p>
        </w:tc>
        <w:tc>
          <w:tcPr>
            <w:tcW w:w="1355" w:type="dxa"/>
            <w:tcBorders>
              <w:tl2br w:val="nil"/>
              <w:tr2bl w:val="nil"/>
            </w:tcBorders>
            <w:noWrap w:val="0"/>
            <w:vAlign w:val="top"/>
          </w:tcPr>
          <w:p w14:paraId="21045227">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μg/m</w:t>
            </w:r>
            <w:r>
              <w:rPr>
                <w:rFonts w:hint="default" w:ascii="Times New Roman" w:hAnsi="Times New Roman" w:eastAsia="华文中宋" w:cs="Times New Roman"/>
                <w:szCs w:val="21"/>
                <w:vertAlign w:val="superscript"/>
              </w:rPr>
              <w:t>3</w:t>
            </w:r>
          </w:p>
        </w:tc>
        <w:tc>
          <w:tcPr>
            <w:tcW w:w="1629" w:type="dxa"/>
            <w:tcBorders>
              <w:tl2br w:val="nil"/>
              <w:tr2bl w:val="nil"/>
            </w:tcBorders>
            <w:noWrap w:val="0"/>
            <w:vAlign w:val="center"/>
          </w:tcPr>
          <w:p w14:paraId="645332D1">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160</w:t>
            </w:r>
          </w:p>
        </w:tc>
        <w:tc>
          <w:tcPr>
            <w:tcW w:w="1971" w:type="dxa"/>
            <w:vMerge w:val="continue"/>
            <w:tcBorders>
              <w:tl2br w:val="nil"/>
              <w:tr2bl w:val="nil"/>
            </w:tcBorders>
            <w:noWrap w:val="0"/>
            <w:vAlign w:val="center"/>
          </w:tcPr>
          <w:p w14:paraId="2B0135EE">
            <w:pPr>
              <w:snapToGrid w:val="0"/>
              <w:spacing w:line="220" w:lineRule="exact"/>
              <w:jc w:val="center"/>
              <w:rPr>
                <w:rFonts w:hint="default" w:ascii="Times New Roman" w:hAnsi="Times New Roman" w:eastAsia="华文中宋" w:cs="Times New Roman"/>
                <w:snapToGrid w:val="0"/>
                <w:spacing w:val="-2"/>
                <w:szCs w:val="21"/>
              </w:rPr>
            </w:pPr>
          </w:p>
        </w:tc>
      </w:tr>
      <w:tr w14:paraId="57818E4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445" w:type="dxa"/>
            <w:vMerge w:val="restart"/>
            <w:tcBorders>
              <w:tl2br w:val="nil"/>
              <w:tr2bl w:val="nil"/>
            </w:tcBorders>
            <w:noWrap w:val="0"/>
            <w:vAlign w:val="center"/>
          </w:tcPr>
          <w:p w14:paraId="4B596DC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w:t>
            </w:r>
          </w:p>
        </w:tc>
        <w:tc>
          <w:tcPr>
            <w:tcW w:w="1468" w:type="dxa"/>
            <w:gridSpan w:val="2"/>
            <w:vMerge w:val="restart"/>
            <w:tcBorders>
              <w:tl2br w:val="nil"/>
              <w:tr2bl w:val="nil"/>
            </w:tcBorders>
            <w:noWrap w:val="0"/>
            <w:vAlign w:val="center"/>
          </w:tcPr>
          <w:p w14:paraId="43A6A3B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TSP</w:t>
            </w:r>
          </w:p>
        </w:tc>
        <w:tc>
          <w:tcPr>
            <w:tcW w:w="1488" w:type="dxa"/>
            <w:tcBorders>
              <w:tl2br w:val="nil"/>
              <w:tr2bl w:val="nil"/>
            </w:tcBorders>
            <w:noWrap w:val="0"/>
            <w:vAlign w:val="center"/>
          </w:tcPr>
          <w:p w14:paraId="4F3E706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年平均</w:t>
            </w:r>
          </w:p>
        </w:tc>
        <w:tc>
          <w:tcPr>
            <w:tcW w:w="1355" w:type="dxa"/>
            <w:tcBorders>
              <w:tl2br w:val="nil"/>
              <w:tr2bl w:val="nil"/>
            </w:tcBorders>
            <w:noWrap w:val="0"/>
            <w:vAlign w:val="top"/>
          </w:tcPr>
          <w:p w14:paraId="70FB81A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μg/m</w:t>
            </w:r>
            <w:r>
              <w:rPr>
                <w:rFonts w:hint="default" w:ascii="Times New Roman" w:hAnsi="Times New Roman" w:eastAsia="华文中宋" w:cs="Times New Roman"/>
                <w:szCs w:val="21"/>
                <w:vertAlign w:val="superscript"/>
              </w:rPr>
              <w:t>3</w:t>
            </w:r>
          </w:p>
        </w:tc>
        <w:tc>
          <w:tcPr>
            <w:tcW w:w="1629" w:type="dxa"/>
            <w:tcBorders>
              <w:tl2br w:val="nil"/>
              <w:tr2bl w:val="nil"/>
            </w:tcBorders>
            <w:noWrap w:val="0"/>
            <w:vAlign w:val="center"/>
          </w:tcPr>
          <w:p w14:paraId="1FB3868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200</w:t>
            </w:r>
          </w:p>
        </w:tc>
        <w:tc>
          <w:tcPr>
            <w:tcW w:w="1971" w:type="dxa"/>
            <w:vMerge w:val="continue"/>
            <w:tcBorders>
              <w:tl2br w:val="nil"/>
              <w:tr2bl w:val="nil"/>
            </w:tcBorders>
            <w:noWrap w:val="0"/>
            <w:vAlign w:val="center"/>
          </w:tcPr>
          <w:p w14:paraId="1AABCC81">
            <w:pPr>
              <w:snapToGrid w:val="0"/>
              <w:spacing w:line="220" w:lineRule="exact"/>
              <w:jc w:val="center"/>
              <w:rPr>
                <w:rFonts w:hint="default" w:ascii="Times New Roman" w:hAnsi="Times New Roman" w:eastAsia="华文中宋" w:cs="Times New Roman"/>
                <w:snapToGrid w:val="0"/>
                <w:spacing w:val="-2"/>
                <w:szCs w:val="21"/>
              </w:rPr>
            </w:pPr>
          </w:p>
        </w:tc>
      </w:tr>
      <w:tr w14:paraId="4A32777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445" w:type="dxa"/>
            <w:vMerge w:val="continue"/>
            <w:tcBorders>
              <w:tl2br w:val="nil"/>
              <w:tr2bl w:val="nil"/>
            </w:tcBorders>
            <w:noWrap w:val="0"/>
            <w:vAlign w:val="center"/>
          </w:tcPr>
          <w:p w14:paraId="052072B8">
            <w:pPr>
              <w:spacing w:line="300" w:lineRule="exact"/>
              <w:jc w:val="center"/>
              <w:rPr>
                <w:rFonts w:hint="default" w:ascii="Times New Roman" w:hAnsi="Times New Roman" w:eastAsia="华文中宋" w:cs="Times New Roman"/>
                <w:szCs w:val="21"/>
                <w:lang w:val="en-US" w:eastAsia="zh-CN"/>
              </w:rPr>
            </w:pPr>
          </w:p>
        </w:tc>
        <w:tc>
          <w:tcPr>
            <w:tcW w:w="1468" w:type="dxa"/>
            <w:gridSpan w:val="2"/>
            <w:vMerge w:val="continue"/>
            <w:tcBorders>
              <w:tl2br w:val="nil"/>
              <w:tr2bl w:val="nil"/>
            </w:tcBorders>
            <w:noWrap w:val="0"/>
            <w:vAlign w:val="center"/>
          </w:tcPr>
          <w:p w14:paraId="63A59B43">
            <w:pPr>
              <w:spacing w:line="300" w:lineRule="exact"/>
              <w:jc w:val="center"/>
              <w:rPr>
                <w:rFonts w:hint="default" w:ascii="Times New Roman" w:hAnsi="Times New Roman" w:eastAsia="华文中宋" w:cs="Times New Roman"/>
                <w:szCs w:val="21"/>
                <w:lang w:val="en-US" w:eastAsia="zh-CN"/>
              </w:rPr>
            </w:pPr>
          </w:p>
        </w:tc>
        <w:tc>
          <w:tcPr>
            <w:tcW w:w="1488" w:type="dxa"/>
            <w:tcBorders>
              <w:tl2br w:val="nil"/>
              <w:tr2bl w:val="nil"/>
            </w:tcBorders>
            <w:noWrap w:val="0"/>
            <w:vAlign w:val="center"/>
          </w:tcPr>
          <w:p w14:paraId="1809C5E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24小时平均</w:t>
            </w:r>
          </w:p>
        </w:tc>
        <w:tc>
          <w:tcPr>
            <w:tcW w:w="1355" w:type="dxa"/>
            <w:tcBorders>
              <w:tl2br w:val="nil"/>
              <w:tr2bl w:val="nil"/>
            </w:tcBorders>
            <w:noWrap w:val="0"/>
            <w:vAlign w:val="center"/>
          </w:tcPr>
          <w:p w14:paraId="184888E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μg/m</w:t>
            </w:r>
            <w:r>
              <w:rPr>
                <w:rFonts w:hint="default" w:ascii="Times New Roman" w:hAnsi="Times New Roman" w:eastAsia="华文中宋" w:cs="Times New Roman"/>
                <w:szCs w:val="21"/>
                <w:vertAlign w:val="superscript"/>
              </w:rPr>
              <w:t>3</w:t>
            </w:r>
          </w:p>
        </w:tc>
        <w:tc>
          <w:tcPr>
            <w:tcW w:w="1629" w:type="dxa"/>
            <w:tcBorders>
              <w:tl2br w:val="nil"/>
              <w:tr2bl w:val="nil"/>
            </w:tcBorders>
            <w:noWrap w:val="0"/>
            <w:vAlign w:val="center"/>
          </w:tcPr>
          <w:p w14:paraId="211EA82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cs="Times New Roman"/>
                <w:snapToGrid w:val="0"/>
                <w:color w:val="auto"/>
                <w:sz w:val="21"/>
                <w:szCs w:val="21"/>
                <w:lang w:val="en-US" w:eastAsia="zh-CN"/>
              </w:rPr>
              <w:t>300</w:t>
            </w:r>
          </w:p>
        </w:tc>
        <w:tc>
          <w:tcPr>
            <w:tcW w:w="1971" w:type="dxa"/>
            <w:vMerge w:val="continue"/>
            <w:tcBorders>
              <w:tl2br w:val="nil"/>
              <w:tr2bl w:val="nil"/>
            </w:tcBorders>
            <w:noWrap w:val="0"/>
            <w:vAlign w:val="center"/>
          </w:tcPr>
          <w:p w14:paraId="1F05FCCD">
            <w:pPr>
              <w:snapToGrid w:val="0"/>
              <w:spacing w:line="220" w:lineRule="exact"/>
              <w:jc w:val="center"/>
              <w:rPr>
                <w:rFonts w:hint="default" w:ascii="Times New Roman" w:hAnsi="Times New Roman" w:eastAsia="华文中宋" w:cs="Times New Roman"/>
                <w:snapToGrid w:val="0"/>
                <w:spacing w:val="-2"/>
                <w:szCs w:val="21"/>
              </w:rPr>
            </w:pPr>
          </w:p>
        </w:tc>
      </w:tr>
      <w:tr w14:paraId="49B9169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445" w:type="dxa"/>
            <w:vMerge w:val="restart"/>
            <w:tcBorders>
              <w:tl2br w:val="nil"/>
              <w:tr2bl w:val="nil"/>
            </w:tcBorders>
            <w:noWrap w:val="0"/>
            <w:vAlign w:val="center"/>
          </w:tcPr>
          <w:p w14:paraId="1D4B4C4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7</w:t>
            </w:r>
          </w:p>
        </w:tc>
        <w:tc>
          <w:tcPr>
            <w:tcW w:w="1468" w:type="dxa"/>
            <w:gridSpan w:val="2"/>
            <w:vMerge w:val="restart"/>
            <w:tcBorders>
              <w:tl2br w:val="nil"/>
              <w:tr2bl w:val="nil"/>
            </w:tcBorders>
            <w:noWrap w:val="0"/>
            <w:vAlign w:val="center"/>
          </w:tcPr>
          <w:p w14:paraId="30DB7F5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铅（Pb）</w:t>
            </w:r>
          </w:p>
        </w:tc>
        <w:tc>
          <w:tcPr>
            <w:tcW w:w="1488" w:type="dxa"/>
            <w:tcBorders>
              <w:tl2br w:val="nil"/>
              <w:tr2bl w:val="nil"/>
            </w:tcBorders>
            <w:noWrap w:val="0"/>
            <w:vAlign w:val="center"/>
          </w:tcPr>
          <w:p w14:paraId="4DE3496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年平均</w:t>
            </w:r>
          </w:p>
        </w:tc>
        <w:tc>
          <w:tcPr>
            <w:tcW w:w="1355" w:type="dxa"/>
            <w:tcBorders>
              <w:tl2br w:val="nil"/>
              <w:tr2bl w:val="nil"/>
            </w:tcBorders>
            <w:noWrap w:val="0"/>
            <w:vAlign w:val="center"/>
          </w:tcPr>
          <w:p w14:paraId="1CB47461">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μg/m</w:t>
            </w:r>
            <w:r>
              <w:rPr>
                <w:rFonts w:hint="default" w:ascii="Times New Roman" w:hAnsi="Times New Roman" w:eastAsia="华文中宋" w:cs="Times New Roman"/>
                <w:szCs w:val="21"/>
                <w:vertAlign w:val="superscript"/>
              </w:rPr>
              <w:t>3</w:t>
            </w:r>
          </w:p>
        </w:tc>
        <w:tc>
          <w:tcPr>
            <w:tcW w:w="1629" w:type="dxa"/>
            <w:tcBorders>
              <w:tl2br w:val="nil"/>
              <w:tr2bl w:val="nil"/>
            </w:tcBorders>
            <w:noWrap w:val="0"/>
            <w:vAlign w:val="center"/>
          </w:tcPr>
          <w:p w14:paraId="749524D8">
            <w:pPr>
              <w:spacing w:line="300" w:lineRule="exact"/>
              <w:jc w:val="center"/>
              <w:rPr>
                <w:rFonts w:hint="default" w:ascii="Times New Roman" w:hAnsi="Times New Roman" w:cs="Times New Roman"/>
                <w:snapToGrid w:val="0"/>
                <w:color w:val="auto"/>
                <w:sz w:val="21"/>
                <w:szCs w:val="21"/>
                <w:lang w:val="en-US" w:eastAsia="zh-CN"/>
              </w:rPr>
            </w:pPr>
            <w:r>
              <w:rPr>
                <w:rFonts w:hint="eastAsia" w:ascii="Times New Roman" w:hAnsi="Times New Roman" w:cs="Times New Roman"/>
                <w:snapToGrid w:val="0"/>
                <w:color w:val="auto"/>
                <w:sz w:val="21"/>
                <w:szCs w:val="21"/>
                <w:lang w:val="en-US" w:eastAsia="zh-CN"/>
              </w:rPr>
              <w:t>0.5</w:t>
            </w:r>
          </w:p>
        </w:tc>
        <w:tc>
          <w:tcPr>
            <w:tcW w:w="1971" w:type="dxa"/>
            <w:vMerge w:val="continue"/>
            <w:tcBorders>
              <w:tl2br w:val="nil"/>
              <w:tr2bl w:val="nil"/>
            </w:tcBorders>
            <w:noWrap w:val="0"/>
            <w:vAlign w:val="center"/>
          </w:tcPr>
          <w:p w14:paraId="6079C23F">
            <w:pPr>
              <w:snapToGrid w:val="0"/>
              <w:spacing w:line="220" w:lineRule="exact"/>
              <w:jc w:val="center"/>
              <w:rPr>
                <w:rFonts w:hint="default" w:ascii="Times New Roman" w:hAnsi="Times New Roman" w:eastAsia="华文中宋" w:cs="Times New Roman"/>
                <w:snapToGrid w:val="0"/>
                <w:spacing w:val="-2"/>
                <w:szCs w:val="21"/>
              </w:rPr>
            </w:pPr>
          </w:p>
        </w:tc>
      </w:tr>
      <w:tr w14:paraId="1A79876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445" w:type="dxa"/>
            <w:vMerge w:val="continue"/>
            <w:tcBorders>
              <w:tl2br w:val="nil"/>
              <w:tr2bl w:val="nil"/>
            </w:tcBorders>
            <w:noWrap w:val="0"/>
            <w:vAlign w:val="center"/>
          </w:tcPr>
          <w:p w14:paraId="4856C47F">
            <w:pPr>
              <w:spacing w:line="300" w:lineRule="exact"/>
              <w:jc w:val="center"/>
              <w:rPr>
                <w:rFonts w:hint="default" w:ascii="Times New Roman" w:hAnsi="Times New Roman" w:eastAsia="华文中宋" w:cs="Times New Roman"/>
                <w:szCs w:val="21"/>
                <w:lang w:val="en-US" w:eastAsia="zh-CN"/>
              </w:rPr>
            </w:pPr>
          </w:p>
        </w:tc>
        <w:tc>
          <w:tcPr>
            <w:tcW w:w="1468" w:type="dxa"/>
            <w:gridSpan w:val="2"/>
            <w:vMerge w:val="continue"/>
            <w:tcBorders>
              <w:tl2br w:val="nil"/>
              <w:tr2bl w:val="nil"/>
            </w:tcBorders>
            <w:noWrap w:val="0"/>
            <w:vAlign w:val="center"/>
          </w:tcPr>
          <w:p w14:paraId="660F1A53">
            <w:pPr>
              <w:spacing w:line="300" w:lineRule="exact"/>
              <w:jc w:val="center"/>
              <w:rPr>
                <w:rFonts w:hint="default" w:ascii="Times New Roman" w:hAnsi="Times New Roman" w:eastAsia="华文中宋" w:cs="Times New Roman"/>
                <w:szCs w:val="21"/>
                <w:lang w:val="en-US" w:eastAsia="zh-CN"/>
              </w:rPr>
            </w:pPr>
          </w:p>
        </w:tc>
        <w:tc>
          <w:tcPr>
            <w:tcW w:w="1488" w:type="dxa"/>
            <w:tcBorders>
              <w:tl2br w:val="nil"/>
              <w:tr2bl w:val="nil"/>
            </w:tcBorders>
            <w:noWrap w:val="0"/>
            <w:vAlign w:val="center"/>
          </w:tcPr>
          <w:p w14:paraId="47CE147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季平均</w:t>
            </w:r>
          </w:p>
        </w:tc>
        <w:tc>
          <w:tcPr>
            <w:tcW w:w="1355" w:type="dxa"/>
            <w:tcBorders>
              <w:tl2br w:val="nil"/>
              <w:tr2bl w:val="nil"/>
            </w:tcBorders>
            <w:noWrap w:val="0"/>
            <w:vAlign w:val="center"/>
          </w:tcPr>
          <w:p w14:paraId="560A8EE7">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μg/m</w:t>
            </w:r>
            <w:r>
              <w:rPr>
                <w:rFonts w:hint="default" w:ascii="Times New Roman" w:hAnsi="Times New Roman" w:eastAsia="华文中宋" w:cs="Times New Roman"/>
                <w:szCs w:val="21"/>
                <w:vertAlign w:val="superscript"/>
              </w:rPr>
              <w:t>3</w:t>
            </w:r>
          </w:p>
        </w:tc>
        <w:tc>
          <w:tcPr>
            <w:tcW w:w="1629" w:type="dxa"/>
            <w:tcBorders>
              <w:tl2br w:val="nil"/>
              <w:tr2bl w:val="nil"/>
            </w:tcBorders>
            <w:noWrap w:val="0"/>
            <w:vAlign w:val="center"/>
          </w:tcPr>
          <w:p w14:paraId="2F25455A">
            <w:pPr>
              <w:spacing w:line="300" w:lineRule="exact"/>
              <w:jc w:val="center"/>
              <w:rPr>
                <w:rFonts w:hint="default" w:ascii="Times New Roman" w:hAnsi="Times New Roman" w:cs="Times New Roman"/>
                <w:snapToGrid w:val="0"/>
                <w:color w:val="auto"/>
                <w:sz w:val="21"/>
                <w:szCs w:val="21"/>
                <w:lang w:val="en-US" w:eastAsia="zh-CN"/>
              </w:rPr>
            </w:pPr>
            <w:r>
              <w:rPr>
                <w:rFonts w:hint="eastAsia" w:ascii="Times New Roman" w:hAnsi="Times New Roman" w:cs="Times New Roman"/>
                <w:snapToGrid w:val="0"/>
                <w:color w:val="auto"/>
                <w:sz w:val="21"/>
                <w:szCs w:val="21"/>
                <w:lang w:val="en-US" w:eastAsia="zh-CN"/>
              </w:rPr>
              <w:t>1</w:t>
            </w:r>
          </w:p>
        </w:tc>
        <w:tc>
          <w:tcPr>
            <w:tcW w:w="1971" w:type="dxa"/>
            <w:vMerge w:val="continue"/>
            <w:tcBorders>
              <w:tl2br w:val="nil"/>
              <w:tr2bl w:val="nil"/>
            </w:tcBorders>
            <w:noWrap w:val="0"/>
            <w:vAlign w:val="center"/>
          </w:tcPr>
          <w:p w14:paraId="396D700C">
            <w:pPr>
              <w:snapToGrid w:val="0"/>
              <w:spacing w:line="220" w:lineRule="exact"/>
              <w:jc w:val="center"/>
              <w:rPr>
                <w:rFonts w:hint="default" w:ascii="Times New Roman" w:hAnsi="Times New Roman" w:eastAsia="华文中宋" w:cs="Times New Roman"/>
                <w:snapToGrid w:val="0"/>
                <w:spacing w:val="-2"/>
                <w:szCs w:val="21"/>
              </w:rPr>
            </w:pPr>
          </w:p>
        </w:tc>
      </w:tr>
    </w:tbl>
    <w:p w14:paraId="21C77C6C">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（2）地表水环境</w:t>
      </w:r>
    </w:p>
    <w:p w14:paraId="44F837B8">
      <w:pPr>
        <w:pStyle w:val="24"/>
        <w:snapToGrid w:val="0"/>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项目区不</w:t>
      </w:r>
      <w:r>
        <w:rPr>
          <w:rFonts w:hint="eastAsia" w:ascii="Times New Roman" w:hAnsi="Times New Roman" w:cs="Times New Roman"/>
          <w:color w:val="auto"/>
          <w:highlight w:val="none"/>
          <w:lang w:val="en-US" w:eastAsia="zh-CN"/>
        </w:rPr>
        <w:t>涉及</w:t>
      </w:r>
      <w:r>
        <w:rPr>
          <w:rFonts w:hint="default" w:ascii="Times New Roman" w:hAnsi="Times New Roman" w:cs="Times New Roman"/>
          <w:color w:val="auto"/>
          <w:highlight w:val="none"/>
          <w:lang w:val="en-US" w:eastAsia="zh-CN"/>
        </w:rPr>
        <w:t>水源地，项目东侧</w:t>
      </w:r>
      <w:r>
        <w:rPr>
          <w:rFonts w:hint="eastAsia" w:ascii="Times New Roman" w:hAnsi="Times New Roman" w:cs="Times New Roman"/>
          <w:color w:val="auto"/>
          <w:highlight w:val="none"/>
          <w:lang w:val="en-US" w:eastAsia="zh-CN"/>
        </w:rPr>
        <w:t>600m处为</w:t>
      </w:r>
      <w:r>
        <w:rPr>
          <w:rFonts w:hint="default" w:ascii="Times New Roman" w:hAnsi="Times New Roman" w:cs="Times New Roman"/>
          <w:color w:val="auto"/>
          <w:highlight w:val="none"/>
          <w:lang w:val="en-US" w:eastAsia="zh-CN"/>
        </w:rPr>
        <w:t>盼水河</w:t>
      </w:r>
      <w:r>
        <w:rPr>
          <w:rFonts w:hint="eastAsia" w:ascii="Times New Roman" w:hAnsi="Times New Roman" w:cs="Times New Roman"/>
          <w:color w:val="auto"/>
          <w:highlight w:val="none"/>
          <w:lang w:val="en-US" w:eastAsia="zh-CN"/>
        </w:rPr>
        <w:t>支流，</w:t>
      </w:r>
      <w:r>
        <w:rPr>
          <w:rFonts w:hint="default" w:ascii="Times New Roman" w:hAnsi="Times New Roman" w:cs="Times New Roman"/>
          <w:color w:val="auto"/>
          <w:highlight w:val="none"/>
          <w:lang w:val="en-US" w:eastAsia="zh-CN"/>
        </w:rPr>
        <w:t>未规划水环境功能区</w:t>
      </w:r>
      <w:r>
        <w:rPr>
          <w:rFonts w:hint="eastAsia" w:ascii="Times New Roman" w:hAnsi="Times New Roman" w:cs="Times New Roman"/>
          <w:color w:val="auto"/>
          <w:highlight w:val="none"/>
          <w:lang w:val="en-US" w:eastAsia="zh-CN"/>
        </w:rPr>
        <w:t>，该支流水源主要来自</w:t>
      </w:r>
      <w:r>
        <w:rPr>
          <w:rFonts w:hint="default" w:ascii="Times New Roman" w:hAnsi="Times New Roman" w:cs="Times New Roman"/>
          <w:color w:val="auto"/>
          <w:highlight w:val="none"/>
          <w:lang w:val="en-US" w:eastAsia="zh-CN"/>
        </w:rPr>
        <w:t>雪山融水，</w:t>
      </w:r>
      <w:r>
        <w:rPr>
          <w:rFonts w:hint="eastAsia" w:ascii="Times New Roman" w:hAnsi="Times New Roman" w:cs="Times New Roman"/>
          <w:color w:val="auto"/>
          <w:highlight w:val="none"/>
          <w:lang w:val="en-US" w:eastAsia="zh-CN"/>
        </w:rPr>
        <w:t>最终汇入项目区南侧约5.7km处盼水河</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考虑到该支流下游可能会用于农田灌溉或作饮用水水源，</w:t>
      </w:r>
      <w:r>
        <w:rPr>
          <w:rFonts w:hint="default" w:ascii="Times New Roman" w:hAnsi="Times New Roman" w:cs="Times New Roman"/>
          <w:color w:val="auto"/>
          <w:highlight w:val="none"/>
          <w:lang w:val="en-US" w:eastAsia="zh-CN"/>
        </w:rPr>
        <w:t>因此参照《地表水环境质量标准》（GB3838-2002）中的</w:t>
      </w:r>
      <w:r>
        <w:rPr>
          <w:rFonts w:hint="eastAsia" w:ascii="Times New Roman" w:hAnsi="Times New Roman" w:cs="Times New Roman"/>
          <w:color w:val="auto"/>
          <w:highlight w:val="none"/>
          <w:lang w:val="en-US" w:eastAsia="zh-CN"/>
        </w:rPr>
        <w:t>Ⅱ</w:t>
      </w:r>
      <w:r>
        <w:rPr>
          <w:rFonts w:hint="default" w:ascii="Times New Roman" w:hAnsi="Times New Roman" w:cs="Times New Roman"/>
          <w:color w:val="auto"/>
          <w:highlight w:val="none"/>
          <w:lang w:val="en-US" w:eastAsia="zh-CN"/>
        </w:rPr>
        <w:t>类标准执行。</w:t>
      </w:r>
    </w:p>
    <w:p w14:paraId="46A452A9">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表2.4-2  地表水环境质量标准</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2467"/>
        <w:gridCol w:w="933"/>
        <w:gridCol w:w="4413"/>
      </w:tblGrid>
      <w:tr w14:paraId="00169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7707D73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序号</w:t>
            </w:r>
          </w:p>
        </w:tc>
        <w:tc>
          <w:tcPr>
            <w:tcW w:w="2467" w:type="dxa"/>
            <w:vAlign w:val="center"/>
          </w:tcPr>
          <w:p w14:paraId="1DBE66D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项目</w:t>
            </w:r>
          </w:p>
        </w:tc>
        <w:tc>
          <w:tcPr>
            <w:tcW w:w="933" w:type="dxa"/>
            <w:vAlign w:val="center"/>
          </w:tcPr>
          <w:p w14:paraId="30929B0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单位</w:t>
            </w:r>
          </w:p>
        </w:tc>
        <w:tc>
          <w:tcPr>
            <w:tcW w:w="4413" w:type="dxa"/>
            <w:vAlign w:val="center"/>
          </w:tcPr>
          <w:p w14:paraId="121609A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标准值</w:t>
            </w:r>
          </w:p>
        </w:tc>
      </w:tr>
      <w:tr w14:paraId="13A6D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0881AF2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w:t>
            </w:r>
          </w:p>
        </w:tc>
        <w:tc>
          <w:tcPr>
            <w:tcW w:w="2467" w:type="dxa"/>
            <w:vAlign w:val="center"/>
          </w:tcPr>
          <w:p w14:paraId="32CEA94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水温</w:t>
            </w:r>
          </w:p>
        </w:tc>
        <w:tc>
          <w:tcPr>
            <w:tcW w:w="933" w:type="dxa"/>
            <w:vAlign w:val="center"/>
          </w:tcPr>
          <w:p w14:paraId="44EF8A3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w:t>
            </w:r>
          </w:p>
        </w:tc>
        <w:tc>
          <w:tcPr>
            <w:tcW w:w="4413" w:type="dxa"/>
            <w:vAlign w:val="center"/>
          </w:tcPr>
          <w:p w14:paraId="252436F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人为造成的环境水温变化应限制在：</w:t>
            </w:r>
          </w:p>
          <w:p w14:paraId="3D41D06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周平均最大温升≤1</w:t>
            </w:r>
          </w:p>
          <w:p w14:paraId="29E3707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周平均最大温降≤2</w:t>
            </w:r>
          </w:p>
        </w:tc>
      </w:tr>
      <w:tr w14:paraId="2AC93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7BF1E9B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w:t>
            </w:r>
          </w:p>
        </w:tc>
        <w:tc>
          <w:tcPr>
            <w:tcW w:w="2467" w:type="dxa"/>
            <w:vAlign w:val="center"/>
          </w:tcPr>
          <w:p w14:paraId="1774BD4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pH</w:t>
            </w:r>
          </w:p>
        </w:tc>
        <w:tc>
          <w:tcPr>
            <w:tcW w:w="933" w:type="dxa"/>
            <w:vAlign w:val="center"/>
          </w:tcPr>
          <w:p w14:paraId="513CBF5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无量纲</w:t>
            </w:r>
          </w:p>
        </w:tc>
        <w:tc>
          <w:tcPr>
            <w:tcW w:w="4413" w:type="dxa"/>
            <w:vAlign w:val="center"/>
          </w:tcPr>
          <w:p w14:paraId="39FE858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6-9</w:t>
            </w:r>
          </w:p>
        </w:tc>
      </w:tr>
      <w:tr w14:paraId="34D2B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479B0CD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w:t>
            </w:r>
          </w:p>
        </w:tc>
        <w:tc>
          <w:tcPr>
            <w:tcW w:w="2467" w:type="dxa"/>
            <w:vAlign w:val="center"/>
          </w:tcPr>
          <w:p w14:paraId="656D4F0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溶解氧</w:t>
            </w:r>
          </w:p>
        </w:tc>
        <w:tc>
          <w:tcPr>
            <w:tcW w:w="933" w:type="dxa"/>
            <w:vAlign w:val="center"/>
          </w:tcPr>
          <w:p w14:paraId="109D17F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mg/L</w:t>
            </w:r>
          </w:p>
        </w:tc>
        <w:tc>
          <w:tcPr>
            <w:tcW w:w="4413" w:type="dxa"/>
            <w:vAlign w:val="center"/>
          </w:tcPr>
          <w:p w14:paraId="49BBDEC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w:t>
            </w:r>
            <w:r>
              <w:rPr>
                <w:rFonts w:hint="eastAsia" w:ascii="Times New Roman" w:hAnsi="Times New Roman" w:eastAsia="华文中宋" w:cs="Times New Roman"/>
                <w:szCs w:val="21"/>
                <w:lang w:val="en-US" w:eastAsia="zh-CN"/>
              </w:rPr>
              <w:t>6</w:t>
            </w:r>
          </w:p>
        </w:tc>
      </w:tr>
      <w:tr w14:paraId="592CA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2D6A157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w:t>
            </w:r>
          </w:p>
        </w:tc>
        <w:tc>
          <w:tcPr>
            <w:tcW w:w="2467" w:type="dxa"/>
            <w:vAlign w:val="center"/>
          </w:tcPr>
          <w:p w14:paraId="1694097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高锰酸钾指数</w:t>
            </w:r>
          </w:p>
        </w:tc>
        <w:tc>
          <w:tcPr>
            <w:tcW w:w="933" w:type="dxa"/>
            <w:vAlign w:val="center"/>
          </w:tcPr>
          <w:p w14:paraId="151E009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mg/L</w:t>
            </w:r>
          </w:p>
        </w:tc>
        <w:tc>
          <w:tcPr>
            <w:tcW w:w="4413" w:type="dxa"/>
            <w:vAlign w:val="center"/>
          </w:tcPr>
          <w:p w14:paraId="66A6862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w:t>
            </w:r>
            <w:r>
              <w:rPr>
                <w:rFonts w:hint="eastAsia" w:ascii="Times New Roman" w:hAnsi="Times New Roman" w:eastAsia="华文中宋" w:cs="Times New Roman"/>
                <w:szCs w:val="21"/>
                <w:lang w:val="en-US" w:eastAsia="zh-CN"/>
              </w:rPr>
              <w:t>4</w:t>
            </w:r>
          </w:p>
        </w:tc>
      </w:tr>
      <w:tr w14:paraId="73DE5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7D016CC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w:t>
            </w:r>
          </w:p>
        </w:tc>
        <w:tc>
          <w:tcPr>
            <w:tcW w:w="2467" w:type="dxa"/>
            <w:vAlign w:val="center"/>
          </w:tcPr>
          <w:p w14:paraId="5C8211B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化学需氧量（COD）</w:t>
            </w:r>
          </w:p>
        </w:tc>
        <w:tc>
          <w:tcPr>
            <w:tcW w:w="933" w:type="dxa"/>
            <w:vAlign w:val="center"/>
          </w:tcPr>
          <w:p w14:paraId="45B3873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mg/L</w:t>
            </w:r>
          </w:p>
        </w:tc>
        <w:tc>
          <w:tcPr>
            <w:tcW w:w="4413" w:type="dxa"/>
            <w:vAlign w:val="center"/>
          </w:tcPr>
          <w:p w14:paraId="068A1A5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≤15</w:t>
            </w:r>
          </w:p>
        </w:tc>
      </w:tr>
      <w:tr w14:paraId="6B09B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vAlign w:val="center"/>
          </w:tcPr>
          <w:p w14:paraId="2140228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w:t>
            </w:r>
          </w:p>
        </w:tc>
        <w:tc>
          <w:tcPr>
            <w:tcW w:w="2467" w:type="dxa"/>
            <w:vAlign w:val="center"/>
          </w:tcPr>
          <w:p w14:paraId="49BC028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五日生化需氧量（BOD</w:t>
            </w:r>
            <w:r>
              <w:rPr>
                <w:rFonts w:hint="default" w:ascii="Times New Roman" w:hAnsi="Times New Roman" w:eastAsia="华文中宋" w:cs="Times New Roman"/>
                <w:szCs w:val="21"/>
                <w:vertAlign w:val="subscript"/>
                <w:lang w:val="en-US" w:eastAsia="zh-CN"/>
              </w:rPr>
              <w:t>5</w:t>
            </w:r>
            <w:r>
              <w:rPr>
                <w:rFonts w:hint="default" w:ascii="Times New Roman" w:hAnsi="Times New Roman" w:eastAsia="华文中宋" w:cs="Times New Roman"/>
                <w:szCs w:val="21"/>
                <w:lang w:val="en-US" w:eastAsia="zh-CN"/>
              </w:rPr>
              <w:t>）</w:t>
            </w:r>
          </w:p>
        </w:tc>
        <w:tc>
          <w:tcPr>
            <w:tcW w:w="933" w:type="dxa"/>
            <w:vAlign w:val="center"/>
          </w:tcPr>
          <w:p w14:paraId="482D960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mg/L</w:t>
            </w:r>
          </w:p>
        </w:tc>
        <w:tc>
          <w:tcPr>
            <w:tcW w:w="4413" w:type="dxa"/>
            <w:vAlign w:val="center"/>
          </w:tcPr>
          <w:p w14:paraId="22F3F04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w:t>
            </w:r>
          </w:p>
        </w:tc>
      </w:tr>
      <w:tr w14:paraId="20A81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067EBE2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7</w:t>
            </w:r>
          </w:p>
        </w:tc>
        <w:tc>
          <w:tcPr>
            <w:tcW w:w="2467" w:type="dxa"/>
            <w:vAlign w:val="center"/>
          </w:tcPr>
          <w:p w14:paraId="5F93118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氨氮（NH</w:t>
            </w:r>
            <w:r>
              <w:rPr>
                <w:rFonts w:hint="default" w:ascii="Times New Roman" w:hAnsi="Times New Roman" w:eastAsia="华文中宋" w:cs="Times New Roman"/>
                <w:szCs w:val="21"/>
                <w:vertAlign w:val="subscript"/>
                <w:lang w:val="en-US" w:eastAsia="zh-CN"/>
              </w:rPr>
              <w:t>3</w:t>
            </w:r>
            <w:r>
              <w:rPr>
                <w:rFonts w:hint="default" w:ascii="Times New Roman" w:hAnsi="Times New Roman" w:eastAsia="华文中宋" w:cs="Times New Roman"/>
                <w:szCs w:val="21"/>
                <w:vertAlign w:val="baseline"/>
                <w:lang w:val="en-US" w:eastAsia="zh-CN"/>
              </w:rPr>
              <w:t>-</w:t>
            </w:r>
            <w:r>
              <w:rPr>
                <w:rFonts w:hint="default" w:ascii="Times New Roman" w:hAnsi="Times New Roman" w:eastAsia="华文中宋" w:cs="Times New Roman"/>
                <w:szCs w:val="21"/>
                <w:lang w:val="en-US" w:eastAsia="zh-CN"/>
              </w:rPr>
              <w:t>N）</w:t>
            </w:r>
          </w:p>
        </w:tc>
        <w:tc>
          <w:tcPr>
            <w:tcW w:w="933" w:type="dxa"/>
            <w:vAlign w:val="center"/>
          </w:tcPr>
          <w:p w14:paraId="51CA2B0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mg/L</w:t>
            </w:r>
          </w:p>
        </w:tc>
        <w:tc>
          <w:tcPr>
            <w:tcW w:w="4413" w:type="dxa"/>
            <w:vAlign w:val="center"/>
          </w:tcPr>
          <w:p w14:paraId="79AD8BD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w:t>
            </w:r>
            <w:r>
              <w:rPr>
                <w:rFonts w:hint="eastAsia" w:ascii="Times New Roman" w:hAnsi="Times New Roman" w:eastAsia="华文中宋" w:cs="Times New Roman"/>
                <w:szCs w:val="21"/>
                <w:lang w:val="en-US" w:eastAsia="zh-CN"/>
              </w:rPr>
              <w:t>5</w:t>
            </w:r>
          </w:p>
        </w:tc>
      </w:tr>
      <w:tr w14:paraId="54E8F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73FDA2A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w:t>
            </w:r>
          </w:p>
        </w:tc>
        <w:tc>
          <w:tcPr>
            <w:tcW w:w="2467" w:type="dxa"/>
            <w:vAlign w:val="center"/>
          </w:tcPr>
          <w:p w14:paraId="336F946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总磷（以P计）</w:t>
            </w:r>
          </w:p>
        </w:tc>
        <w:tc>
          <w:tcPr>
            <w:tcW w:w="933" w:type="dxa"/>
            <w:vAlign w:val="center"/>
          </w:tcPr>
          <w:p w14:paraId="473D428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mg/L</w:t>
            </w:r>
          </w:p>
        </w:tc>
        <w:tc>
          <w:tcPr>
            <w:tcW w:w="4413" w:type="dxa"/>
            <w:vAlign w:val="center"/>
          </w:tcPr>
          <w:p w14:paraId="77A9E40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w:t>
            </w:r>
            <w:r>
              <w:rPr>
                <w:rFonts w:hint="eastAsia" w:ascii="Times New Roman" w:hAnsi="Times New Roman" w:eastAsia="华文中宋" w:cs="Times New Roman"/>
                <w:szCs w:val="21"/>
                <w:lang w:val="en-US" w:eastAsia="zh-CN"/>
              </w:rPr>
              <w:t>1</w:t>
            </w:r>
            <w:r>
              <w:rPr>
                <w:rFonts w:hint="default" w:ascii="Times New Roman" w:hAnsi="Times New Roman" w:eastAsia="华文中宋" w:cs="Times New Roman"/>
                <w:szCs w:val="21"/>
                <w:lang w:val="en-US" w:eastAsia="zh-CN"/>
              </w:rPr>
              <w:t>（湖、库0.0</w:t>
            </w:r>
            <w:r>
              <w:rPr>
                <w:rFonts w:hint="eastAsia" w:ascii="Times New Roman" w:hAnsi="Times New Roman" w:eastAsia="华文中宋" w:cs="Times New Roman"/>
                <w:szCs w:val="21"/>
                <w:lang w:val="en-US" w:eastAsia="zh-CN"/>
              </w:rPr>
              <w:t>25</w:t>
            </w:r>
            <w:r>
              <w:rPr>
                <w:rFonts w:hint="default" w:ascii="Times New Roman" w:hAnsi="Times New Roman" w:eastAsia="华文中宋" w:cs="Times New Roman"/>
                <w:szCs w:val="21"/>
                <w:lang w:val="en-US" w:eastAsia="zh-CN"/>
              </w:rPr>
              <w:t>）</w:t>
            </w:r>
          </w:p>
        </w:tc>
      </w:tr>
      <w:tr w14:paraId="371A6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6DF102F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9</w:t>
            </w:r>
          </w:p>
        </w:tc>
        <w:tc>
          <w:tcPr>
            <w:tcW w:w="2467" w:type="dxa"/>
            <w:vAlign w:val="center"/>
          </w:tcPr>
          <w:p w14:paraId="16DC3C4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总氮（湖、库，以N计）</w:t>
            </w:r>
          </w:p>
        </w:tc>
        <w:tc>
          <w:tcPr>
            <w:tcW w:w="933" w:type="dxa"/>
            <w:vAlign w:val="center"/>
          </w:tcPr>
          <w:p w14:paraId="1B136C9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mg/L</w:t>
            </w:r>
          </w:p>
        </w:tc>
        <w:tc>
          <w:tcPr>
            <w:tcW w:w="4413" w:type="dxa"/>
            <w:vAlign w:val="center"/>
          </w:tcPr>
          <w:p w14:paraId="2D46BC8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w:t>
            </w:r>
            <w:r>
              <w:rPr>
                <w:rFonts w:hint="eastAsia" w:ascii="Times New Roman" w:hAnsi="Times New Roman" w:eastAsia="华文中宋" w:cs="Times New Roman"/>
                <w:szCs w:val="21"/>
                <w:lang w:val="en-US" w:eastAsia="zh-CN"/>
              </w:rPr>
              <w:t>5</w:t>
            </w:r>
          </w:p>
        </w:tc>
      </w:tr>
      <w:tr w14:paraId="0CA9B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7FAE31D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w:t>
            </w:r>
          </w:p>
        </w:tc>
        <w:tc>
          <w:tcPr>
            <w:tcW w:w="2467" w:type="dxa"/>
            <w:vAlign w:val="center"/>
          </w:tcPr>
          <w:p w14:paraId="330F93E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铜</w:t>
            </w:r>
          </w:p>
        </w:tc>
        <w:tc>
          <w:tcPr>
            <w:tcW w:w="933" w:type="dxa"/>
            <w:vAlign w:val="center"/>
          </w:tcPr>
          <w:p w14:paraId="4F43E67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mg/L</w:t>
            </w:r>
          </w:p>
        </w:tc>
        <w:tc>
          <w:tcPr>
            <w:tcW w:w="4413" w:type="dxa"/>
            <w:shd w:val="clear" w:color="auto" w:fill="auto"/>
            <w:vAlign w:val="center"/>
          </w:tcPr>
          <w:p w14:paraId="49E5F1C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w:t>
            </w:r>
          </w:p>
        </w:tc>
      </w:tr>
      <w:tr w14:paraId="03FA0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054F53B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11</w:t>
            </w:r>
          </w:p>
        </w:tc>
        <w:tc>
          <w:tcPr>
            <w:tcW w:w="2467" w:type="dxa"/>
            <w:vAlign w:val="center"/>
          </w:tcPr>
          <w:p w14:paraId="5BDAE67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锌</w:t>
            </w:r>
          </w:p>
        </w:tc>
        <w:tc>
          <w:tcPr>
            <w:tcW w:w="933" w:type="dxa"/>
            <w:vAlign w:val="center"/>
          </w:tcPr>
          <w:p w14:paraId="23BD03C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mg/L</w:t>
            </w:r>
          </w:p>
        </w:tc>
        <w:tc>
          <w:tcPr>
            <w:tcW w:w="4413" w:type="dxa"/>
            <w:shd w:val="clear" w:color="auto" w:fill="auto"/>
            <w:vAlign w:val="center"/>
          </w:tcPr>
          <w:p w14:paraId="71D6ED4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w:t>
            </w:r>
            <w:r>
              <w:rPr>
                <w:rFonts w:hint="eastAsia" w:ascii="Times New Roman" w:hAnsi="Times New Roman" w:eastAsia="华文中宋" w:cs="Times New Roman"/>
                <w:szCs w:val="21"/>
                <w:lang w:val="en-US" w:eastAsia="zh-CN"/>
              </w:rPr>
              <w:t>1</w:t>
            </w:r>
          </w:p>
        </w:tc>
      </w:tr>
      <w:tr w14:paraId="16A37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28547AE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12</w:t>
            </w:r>
          </w:p>
        </w:tc>
        <w:tc>
          <w:tcPr>
            <w:tcW w:w="2467" w:type="dxa"/>
            <w:vAlign w:val="center"/>
          </w:tcPr>
          <w:p w14:paraId="5508C91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氟化物（以F</w:t>
            </w:r>
            <w:r>
              <w:rPr>
                <w:rFonts w:hint="default" w:ascii="Times New Roman" w:hAnsi="Times New Roman" w:eastAsia="华文中宋" w:cs="Times New Roman"/>
                <w:szCs w:val="21"/>
                <w:vertAlign w:val="superscript"/>
                <w:lang w:val="en-US" w:eastAsia="zh-CN"/>
              </w:rPr>
              <w:t>-</w:t>
            </w:r>
            <w:r>
              <w:rPr>
                <w:rFonts w:hint="default" w:ascii="Times New Roman" w:hAnsi="Times New Roman" w:eastAsia="华文中宋" w:cs="Times New Roman"/>
                <w:szCs w:val="21"/>
                <w:lang w:val="en-US" w:eastAsia="zh-CN"/>
              </w:rPr>
              <w:t>计）</w:t>
            </w:r>
          </w:p>
        </w:tc>
        <w:tc>
          <w:tcPr>
            <w:tcW w:w="933" w:type="dxa"/>
            <w:vAlign w:val="center"/>
          </w:tcPr>
          <w:p w14:paraId="1B228D6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mg/L</w:t>
            </w:r>
          </w:p>
        </w:tc>
        <w:tc>
          <w:tcPr>
            <w:tcW w:w="4413" w:type="dxa"/>
            <w:shd w:val="clear" w:color="auto" w:fill="auto"/>
            <w:vAlign w:val="center"/>
          </w:tcPr>
          <w:p w14:paraId="2071726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w:t>
            </w:r>
          </w:p>
        </w:tc>
      </w:tr>
      <w:tr w14:paraId="02C03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08E26F4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13</w:t>
            </w:r>
          </w:p>
        </w:tc>
        <w:tc>
          <w:tcPr>
            <w:tcW w:w="2467" w:type="dxa"/>
            <w:vAlign w:val="center"/>
          </w:tcPr>
          <w:p w14:paraId="36698A8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硒</w:t>
            </w:r>
          </w:p>
        </w:tc>
        <w:tc>
          <w:tcPr>
            <w:tcW w:w="933" w:type="dxa"/>
            <w:vAlign w:val="center"/>
          </w:tcPr>
          <w:p w14:paraId="47A329D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mg/L</w:t>
            </w:r>
          </w:p>
        </w:tc>
        <w:tc>
          <w:tcPr>
            <w:tcW w:w="4413" w:type="dxa"/>
            <w:shd w:val="clear" w:color="auto" w:fill="auto"/>
            <w:vAlign w:val="center"/>
          </w:tcPr>
          <w:p w14:paraId="39A5EE2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≤0.01</w:t>
            </w:r>
          </w:p>
        </w:tc>
      </w:tr>
      <w:tr w14:paraId="7A584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4792E7D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14</w:t>
            </w:r>
          </w:p>
        </w:tc>
        <w:tc>
          <w:tcPr>
            <w:tcW w:w="2467" w:type="dxa"/>
            <w:vAlign w:val="center"/>
          </w:tcPr>
          <w:p w14:paraId="35DA64E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砷</w:t>
            </w:r>
          </w:p>
        </w:tc>
        <w:tc>
          <w:tcPr>
            <w:tcW w:w="933" w:type="dxa"/>
            <w:vAlign w:val="center"/>
          </w:tcPr>
          <w:p w14:paraId="713615E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mg/L</w:t>
            </w:r>
          </w:p>
        </w:tc>
        <w:tc>
          <w:tcPr>
            <w:tcW w:w="4413" w:type="dxa"/>
            <w:shd w:val="clear" w:color="auto" w:fill="auto"/>
            <w:vAlign w:val="center"/>
          </w:tcPr>
          <w:p w14:paraId="0181D10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≤0.05</w:t>
            </w:r>
          </w:p>
        </w:tc>
      </w:tr>
      <w:tr w14:paraId="1EA06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7F11E76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15</w:t>
            </w:r>
          </w:p>
        </w:tc>
        <w:tc>
          <w:tcPr>
            <w:tcW w:w="2467" w:type="dxa"/>
            <w:vAlign w:val="center"/>
          </w:tcPr>
          <w:p w14:paraId="704BD5A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汞</w:t>
            </w:r>
          </w:p>
        </w:tc>
        <w:tc>
          <w:tcPr>
            <w:tcW w:w="933" w:type="dxa"/>
            <w:vAlign w:val="center"/>
          </w:tcPr>
          <w:p w14:paraId="7B37389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mg/L</w:t>
            </w:r>
          </w:p>
        </w:tc>
        <w:tc>
          <w:tcPr>
            <w:tcW w:w="4413" w:type="dxa"/>
            <w:shd w:val="clear" w:color="auto" w:fill="auto"/>
            <w:vAlign w:val="center"/>
          </w:tcPr>
          <w:p w14:paraId="200944A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≤0.00005</w:t>
            </w:r>
          </w:p>
        </w:tc>
      </w:tr>
      <w:tr w14:paraId="38CB6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4F0761F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16</w:t>
            </w:r>
          </w:p>
        </w:tc>
        <w:tc>
          <w:tcPr>
            <w:tcW w:w="2467" w:type="dxa"/>
            <w:vAlign w:val="center"/>
          </w:tcPr>
          <w:p w14:paraId="262BE01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镉</w:t>
            </w:r>
          </w:p>
        </w:tc>
        <w:tc>
          <w:tcPr>
            <w:tcW w:w="933" w:type="dxa"/>
            <w:vAlign w:val="center"/>
          </w:tcPr>
          <w:p w14:paraId="2F86260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mg/L</w:t>
            </w:r>
          </w:p>
        </w:tc>
        <w:tc>
          <w:tcPr>
            <w:tcW w:w="4413" w:type="dxa"/>
            <w:shd w:val="clear" w:color="auto" w:fill="auto"/>
            <w:vAlign w:val="center"/>
          </w:tcPr>
          <w:p w14:paraId="68C7B53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≤0.00</w:t>
            </w:r>
            <w:r>
              <w:rPr>
                <w:rFonts w:hint="eastAsia" w:ascii="Times New Roman" w:hAnsi="Times New Roman" w:eastAsia="华文中宋" w:cs="Times New Roman"/>
                <w:szCs w:val="21"/>
                <w:lang w:val="en-US" w:eastAsia="zh-CN"/>
              </w:rPr>
              <w:t>5</w:t>
            </w:r>
          </w:p>
        </w:tc>
      </w:tr>
      <w:tr w14:paraId="211A4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67595C3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17</w:t>
            </w:r>
          </w:p>
        </w:tc>
        <w:tc>
          <w:tcPr>
            <w:tcW w:w="2467" w:type="dxa"/>
            <w:vAlign w:val="center"/>
          </w:tcPr>
          <w:p w14:paraId="68A4A1B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铬（六价）</w:t>
            </w:r>
          </w:p>
        </w:tc>
        <w:tc>
          <w:tcPr>
            <w:tcW w:w="933" w:type="dxa"/>
            <w:vAlign w:val="center"/>
          </w:tcPr>
          <w:p w14:paraId="605FE6B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mg/L</w:t>
            </w:r>
          </w:p>
        </w:tc>
        <w:tc>
          <w:tcPr>
            <w:tcW w:w="4413" w:type="dxa"/>
            <w:shd w:val="clear" w:color="auto" w:fill="auto"/>
            <w:vAlign w:val="center"/>
          </w:tcPr>
          <w:p w14:paraId="4EE7EB4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w:t>
            </w:r>
            <w:r>
              <w:rPr>
                <w:rFonts w:hint="eastAsia" w:ascii="Times New Roman" w:hAnsi="Times New Roman" w:eastAsia="华文中宋" w:cs="Times New Roman"/>
                <w:szCs w:val="21"/>
                <w:lang w:val="en-US" w:eastAsia="zh-CN"/>
              </w:rPr>
              <w:t>5</w:t>
            </w:r>
          </w:p>
        </w:tc>
      </w:tr>
      <w:tr w14:paraId="73834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3572678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18</w:t>
            </w:r>
          </w:p>
        </w:tc>
        <w:tc>
          <w:tcPr>
            <w:tcW w:w="2467" w:type="dxa"/>
            <w:vAlign w:val="center"/>
          </w:tcPr>
          <w:p w14:paraId="7983611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铅</w:t>
            </w:r>
          </w:p>
        </w:tc>
        <w:tc>
          <w:tcPr>
            <w:tcW w:w="933" w:type="dxa"/>
            <w:vAlign w:val="center"/>
          </w:tcPr>
          <w:p w14:paraId="5D7D662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mg/L</w:t>
            </w:r>
          </w:p>
        </w:tc>
        <w:tc>
          <w:tcPr>
            <w:tcW w:w="4413" w:type="dxa"/>
            <w:shd w:val="clear" w:color="auto" w:fill="auto"/>
            <w:vAlign w:val="center"/>
          </w:tcPr>
          <w:p w14:paraId="71D61EB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≤0.01</w:t>
            </w:r>
          </w:p>
        </w:tc>
      </w:tr>
      <w:tr w14:paraId="17EA7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509CAA3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19</w:t>
            </w:r>
          </w:p>
        </w:tc>
        <w:tc>
          <w:tcPr>
            <w:tcW w:w="2467" w:type="dxa"/>
            <w:vAlign w:val="center"/>
          </w:tcPr>
          <w:p w14:paraId="100CBF9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氰化物</w:t>
            </w:r>
          </w:p>
        </w:tc>
        <w:tc>
          <w:tcPr>
            <w:tcW w:w="933" w:type="dxa"/>
            <w:vAlign w:val="center"/>
          </w:tcPr>
          <w:p w14:paraId="0341BF1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mg/L</w:t>
            </w:r>
          </w:p>
        </w:tc>
        <w:tc>
          <w:tcPr>
            <w:tcW w:w="4413" w:type="dxa"/>
            <w:shd w:val="clear" w:color="auto" w:fill="auto"/>
            <w:vAlign w:val="center"/>
          </w:tcPr>
          <w:p w14:paraId="6DB8C77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≤0.05</w:t>
            </w:r>
          </w:p>
        </w:tc>
      </w:tr>
      <w:tr w14:paraId="2E19D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6CE4B19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w:t>
            </w:r>
          </w:p>
        </w:tc>
        <w:tc>
          <w:tcPr>
            <w:tcW w:w="2467" w:type="dxa"/>
            <w:vAlign w:val="center"/>
          </w:tcPr>
          <w:p w14:paraId="2B12E42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挥发酚</w:t>
            </w:r>
          </w:p>
        </w:tc>
        <w:tc>
          <w:tcPr>
            <w:tcW w:w="933" w:type="dxa"/>
            <w:vAlign w:val="center"/>
          </w:tcPr>
          <w:p w14:paraId="28448C7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mg/L</w:t>
            </w:r>
          </w:p>
        </w:tc>
        <w:tc>
          <w:tcPr>
            <w:tcW w:w="4413" w:type="dxa"/>
            <w:shd w:val="clear" w:color="auto" w:fill="auto"/>
            <w:vAlign w:val="center"/>
          </w:tcPr>
          <w:p w14:paraId="0C2C798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≤0.002</w:t>
            </w:r>
          </w:p>
        </w:tc>
      </w:tr>
      <w:tr w14:paraId="4571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499E83C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21</w:t>
            </w:r>
          </w:p>
        </w:tc>
        <w:tc>
          <w:tcPr>
            <w:tcW w:w="2467" w:type="dxa"/>
            <w:vAlign w:val="center"/>
          </w:tcPr>
          <w:p w14:paraId="3898AAA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石油类</w:t>
            </w:r>
          </w:p>
        </w:tc>
        <w:tc>
          <w:tcPr>
            <w:tcW w:w="933" w:type="dxa"/>
            <w:vAlign w:val="center"/>
          </w:tcPr>
          <w:p w14:paraId="1E8434E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mg/L</w:t>
            </w:r>
          </w:p>
        </w:tc>
        <w:tc>
          <w:tcPr>
            <w:tcW w:w="4413" w:type="dxa"/>
            <w:shd w:val="clear" w:color="auto" w:fill="auto"/>
            <w:vAlign w:val="center"/>
          </w:tcPr>
          <w:p w14:paraId="31D047E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≤0.05</w:t>
            </w:r>
          </w:p>
        </w:tc>
      </w:tr>
      <w:tr w14:paraId="70687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3E5AE1F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22</w:t>
            </w:r>
          </w:p>
        </w:tc>
        <w:tc>
          <w:tcPr>
            <w:tcW w:w="2467" w:type="dxa"/>
            <w:vAlign w:val="center"/>
          </w:tcPr>
          <w:p w14:paraId="0D2AE8E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阴离子表面活性剂</w:t>
            </w:r>
          </w:p>
        </w:tc>
        <w:tc>
          <w:tcPr>
            <w:tcW w:w="933" w:type="dxa"/>
            <w:vAlign w:val="center"/>
          </w:tcPr>
          <w:p w14:paraId="007D4BC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mg/L</w:t>
            </w:r>
          </w:p>
        </w:tc>
        <w:tc>
          <w:tcPr>
            <w:tcW w:w="4413" w:type="dxa"/>
            <w:shd w:val="clear" w:color="auto" w:fill="auto"/>
            <w:vAlign w:val="center"/>
          </w:tcPr>
          <w:p w14:paraId="3619E74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≤0.2</w:t>
            </w:r>
          </w:p>
        </w:tc>
      </w:tr>
      <w:tr w14:paraId="68A65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1056144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23</w:t>
            </w:r>
          </w:p>
        </w:tc>
        <w:tc>
          <w:tcPr>
            <w:tcW w:w="2467" w:type="dxa"/>
            <w:vAlign w:val="center"/>
          </w:tcPr>
          <w:p w14:paraId="1032663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硫化物</w:t>
            </w:r>
          </w:p>
        </w:tc>
        <w:tc>
          <w:tcPr>
            <w:tcW w:w="933" w:type="dxa"/>
            <w:vAlign w:val="center"/>
          </w:tcPr>
          <w:p w14:paraId="693FA29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mg/L</w:t>
            </w:r>
          </w:p>
        </w:tc>
        <w:tc>
          <w:tcPr>
            <w:tcW w:w="4413" w:type="dxa"/>
            <w:shd w:val="clear" w:color="auto" w:fill="auto"/>
            <w:vAlign w:val="center"/>
          </w:tcPr>
          <w:p w14:paraId="6E6FF00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w:t>
            </w:r>
            <w:r>
              <w:rPr>
                <w:rFonts w:hint="eastAsia" w:ascii="Times New Roman" w:hAnsi="Times New Roman" w:eastAsia="华文中宋" w:cs="Times New Roman"/>
                <w:szCs w:val="21"/>
                <w:lang w:val="en-US" w:eastAsia="zh-CN"/>
              </w:rPr>
              <w:t>1</w:t>
            </w:r>
          </w:p>
        </w:tc>
      </w:tr>
      <w:tr w14:paraId="1D01F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2002CE7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24</w:t>
            </w:r>
          </w:p>
        </w:tc>
        <w:tc>
          <w:tcPr>
            <w:tcW w:w="2467" w:type="dxa"/>
            <w:vAlign w:val="center"/>
          </w:tcPr>
          <w:p w14:paraId="780278D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粪大肠菌群（个/L）</w:t>
            </w:r>
          </w:p>
        </w:tc>
        <w:tc>
          <w:tcPr>
            <w:tcW w:w="933" w:type="dxa"/>
            <w:vAlign w:val="center"/>
          </w:tcPr>
          <w:p w14:paraId="6A2F78B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mg/L</w:t>
            </w:r>
          </w:p>
        </w:tc>
        <w:tc>
          <w:tcPr>
            <w:tcW w:w="4413" w:type="dxa"/>
            <w:shd w:val="clear" w:color="auto" w:fill="auto"/>
            <w:vAlign w:val="center"/>
          </w:tcPr>
          <w:p w14:paraId="035B61D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≤200</w:t>
            </w:r>
            <w:r>
              <w:rPr>
                <w:rFonts w:hint="eastAsia" w:ascii="Times New Roman" w:hAnsi="Times New Roman" w:eastAsia="华文中宋" w:cs="Times New Roman"/>
                <w:szCs w:val="21"/>
                <w:lang w:val="en-US" w:eastAsia="zh-CN"/>
              </w:rPr>
              <w:t>0</w:t>
            </w:r>
          </w:p>
        </w:tc>
      </w:tr>
    </w:tbl>
    <w:p w14:paraId="7A7FA308">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（3）地下水环境</w:t>
      </w:r>
    </w:p>
    <w:p w14:paraId="62FA0260">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本项目区地下水执行《地下水质量标准》（GB/T14848-2017）中的Ⅲ类标准，见表2.4-3。</w:t>
      </w:r>
    </w:p>
    <w:p w14:paraId="12ACDF39">
      <w:pPr>
        <w:adjustRightInd w:val="0"/>
        <w:snapToGrid w:val="0"/>
        <w:spacing w:before="250" w:beforeLines="50"/>
        <w:ind w:firstLine="422" w:firstLineChars="200"/>
        <w:jc w:val="center"/>
        <w:rPr>
          <w:rFonts w:hint="default" w:ascii="Times New Roman" w:hAnsi="Times New Roman" w:eastAsia="华文中宋" w:cs="Times New Roman"/>
          <w:b/>
          <w:szCs w:val="21"/>
        </w:rPr>
      </w:pPr>
      <w:bookmarkStart w:id="41" w:name="_Ref494789760"/>
      <w:r>
        <w:rPr>
          <w:rFonts w:hint="default" w:ascii="Times New Roman" w:hAnsi="Times New Roman" w:eastAsia="华文中宋" w:cs="Times New Roman"/>
          <w:b/>
          <w:szCs w:val="21"/>
        </w:rPr>
        <w:t>表</w:t>
      </w:r>
      <w:bookmarkEnd w:id="41"/>
      <w:r>
        <w:rPr>
          <w:rFonts w:hint="default" w:ascii="Times New Roman" w:hAnsi="Times New Roman" w:eastAsia="华文中宋" w:cs="Times New Roman"/>
          <w:b/>
          <w:szCs w:val="21"/>
          <w:lang w:val="en-US" w:eastAsia="zh-CN"/>
        </w:rPr>
        <w:t>2</w:t>
      </w:r>
      <w:r>
        <w:rPr>
          <w:rFonts w:hint="default" w:ascii="Times New Roman" w:hAnsi="Times New Roman" w:eastAsia="华文中宋" w:cs="Times New Roman"/>
          <w:b/>
          <w:szCs w:val="21"/>
        </w:rPr>
        <w:t>.</w:t>
      </w:r>
      <w:r>
        <w:rPr>
          <w:rFonts w:hint="default" w:ascii="Times New Roman" w:hAnsi="Times New Roman" w:eastAsia="华文中宋" w:cs="Times New Roman"/>
          <w:b/>
          <w:szCs w:val="21"/>
          <w:lang w:val="en-US" w:eastAsia="zh-CN"/>
        </w:rPr>
        <w:t xml:space="preserve">4-3  </w:t>
      </w:r>
      <w:r>
        <w:rPr>
          <w:rFonts w:hint="default" w:ascii="Times New Roman" w:hAnsi="Times New Roman" w:eastAsia="华文中宋" w:cs="Times New Roman"/>
          <w:b/>
          <w:szCs w:val="21"/>
        </w:rPr>
        <w:t>地下水质量标准</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2935"/>
        <w:gridCol w:w="1548"/>
        <w:gridCol w:w="2959"/>
      </w:tblGrid>
      <w:tr w14:paraId="158A3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4" w:hRule="atLeast"/>
          <w:tblHeader/>
          <w:jc w:val="center"/>
        </w:trPr>
        <w:tc>
          <w:tcPr>
            <w:tcW w:w="632" w:type="pct"/>
            <w:tcBorders>
              <w:tl2br w:val="nil"/>
              <w:tr2bl w:val="nil"/>
            </w:tcBorders>
            <w:noWrap w:val="0"/>
            <w:vAlign w:val="center"/>
          </w:tcPr>
          <w:p w14:paraId="300E08C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序号</w:t>
            </w:r>
          </w:p>
        </w:tc>
        <w:tc>
          <w:tcPr>
            <w:tcW w:w="1722" w:type="pct"/>
            <w:tcBorders>
              <w:tl2br w:val="nil"/>
              <w:tr2bl w:val="nil"/>
            </w:tcBorders>
            <w:noWrap w:val="0"/>
            <w:vAlign w:val="center"/>
          </w:tcPr>
          <w:p w14:paraId="0BA5FA91">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监测项目</w:t>
            </w:r>
          </w:p>
        </w:tc>
        <w:tc>
          <w:tcPr>
            <w:tcW w:w="908" w:type="pct"/>
            <w:tcBorders>
              <w:tl2br w:val="nil"/>
              <w:tr2bl w:val="nil"/>
            </w:tcBorders>
            <w:noWrap w:val="0"/>
            <w:vAlign w:val="center"/>
          </w:tcPr>
          <w:p w14:paraId="79BD7850">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单位</w:t>
            </w:r>
          </w:p>
        </w:tc>
        <w:tc>
          <w:tcPr>
            <w:tcW w:w="1736" w:type="pct"/>
            <w:tcBorders>
              <w:tl2br w:val="nil"/>
              <w:tr2bl w:val="nil"/>
            </w:tcBorders>
            <w:noWrap w:val="0"/>
            <w:vAlign w:val="center"/>
          </w:tcPr>
          <w:p w14:paraId="4D77E695">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rPr>
              <w:t>标准值</w:t>
            </w:r>
            <w:r>
              <w:rPr>
                <w:rFonts w:hint="default" w:ascii="Times New Roman" w:hAnsi="Times New Roman" w:eastAsia="华文中宋" w:cs="Times New Roman"/>
                <w:szCs w:val="21"/>
                <w:lang w:eastAsia="zh-CN"/>
              </w:rPr>
              <w:t>≤</w:t>
            </w:r>
          </w:p>
        </w:tc>
      </w:tr>
      <w:tr w14:paraId="1C438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tblHeader/>
          <w:jc w:val="center"/>
        </w:trPr>
        <w:tc>
          <w:tcPr>
            <w:tcW w:w="632" w:type="pct"/>
            <w:tcBorders>
              <w:tl2br w:val="nil"/>
              <w:tr2bl w:val="nil"/>
            </w:tcBorders>
            <w:noWrap w:val="0"/>
            <w:vAlign w:val="center"/>
          </w:tcPr>
          <w:p w14:paraId="0451C16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1</w:t>
            </w:r>
          </w:p>
        </w:tc>
        <w:tc>
          <w:tcPr>
            <w:tcW w:w="1722" w:type="pct"/>
            <w:tcBorders>
              <w:tl2br w:val="nil"/>
              <w:tr2bl w:val="nil"/>
            </w:tcBorders>
            <w:noWrap w:val="0"/>
            <w:vAlign w:val="center"/>
          </w:tcPr>
          <w:p w14:paraId="7E96155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pH</w:t>
            </w:r>
          </w:p>
        </w:tc>
        <w:tc>
          <w:tcPr>
            <w:tcW w:w="908" w:type="pct"/>
            <w:tcBorders>
              <w:tl2br w:val="nil"/>
              <w:tr2bl w:val="nil"/>
            </w:tcBorders>
            <w:noWrap w:val="0"/>
            <w:vAlign w:val="center"/>
          </w:tcPr>
          <w:p w14:paraId="10F70DD7">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无量纲</w:t>
            </w:r>
          </w:p>
        </w:tc>
        <w:tc>
          <w:tcPr>
            <w:tcW w:w="1736" w:type="pct"/>
            <w:tcBorders>
              <w:tl2br w:val="nil"/>
              <w:tr2bl w:val="nil"/>
            </w:tcBorders>
            <w:noWrap w:val="0"/>
            <w:vAlign w:val="center"/>
          </w:tcPr>
          <w:p w14:paraId="10D538B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6.5~8.5</w:t>
            </w:r>
          </w:p>
        </w:tc>
      </w:tr>
      <w:tr w14:paraId="42EB2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tblHeader/>
          <w:jc w:val="center"/>
        </w:trPr>
        <w:tc>
          <w:tcPr>
            <w:tcW w:w="632" w:type="pct"/>
            <w:tcBorders>
              <w:tl2br w:val="nil"/>
              <w:tr2bl w:val="nil"/>
            </w:tcBorders>
            <w:noWrap w:val="0"/>
            <w:vAlign w:val="center"/>
          </w:tcPr>
          <w:p w14:paraId="6ECC8F2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2</w:t>
            </w:r>
          </w:p>
        </w:tc>
        <w:tc>
          <w:tcPr>
            <w:tcW w:w="1722" w:type="pct"/>
            <w:tcBorders>
              <w:tl2br w:val="nil"/>
              <w:tr2bl w:val="nil"/>
            </w:tcBorders>
            <w:noWrap w:val="0"/>
            <w:vAlign w:val="center"/>
          </w:tcPr>
          <w:p w14:paraId="1219DC40">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总硬度</w:t>
            </w:r>
          </w:p>
        </w:tc>
        <w:tc>
          <w:tcPr>
            <w:tcW w:w="908" w:type="pct"/>
            <w:tcBorders>
              <w:tl2br w:val="nil"/>
              <w:tr2bl w:val="nil"/>
            </w:tcBorders>
            <w:noWrap w:val="0"/>
            <w:vAlign w:val="center"/>
          </w:tcPr>
          <w:p w14:paraId="51C45BB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mg/L</w:t>
            </w:r>
          </w:p>
        </w:tc>
        <w:tc>
          <w:tcPr>
            <w:tcW w:w="1736" w:type="pct"/>
            <w:tcBorders>
              <w:tl2br w:val="nil"/>
              <w:tr2bl w:val="nil"/>
            </w:tcBorders>
            <w:noWrap w:val="0"/>
            <w:vAlign w:val="center"/>
          </w:tcPr>
          <w:p w14:paraId="5E9371A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450</w:t>
            </w:r>
          </w:p>
        </w:tc>
      </w:tr>
      <w:tr w14:paraId="3D0E4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tblHeader/>
          <w:jc w:val="center"/>
        </w:trPr>
        <w:tc>
          <w:tcPr>
            <w:tcW w:w="632" w:type="pct"/>
            <w:tcBorders>
              <w:tl2br w:val="nil"/>
              <w:tr2bl w:val="nil"/>
            </w:tcBorders>
            <w:noWrap w:val="0"/>
            <w:vAlign w:val="center"/>
          </w:tcPr>
          <w:p w14:paraId="3C0F138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3</w:t>
            </w:r>
          </w:p>
        </w:tc>
        <w:tc>
          <w:tcPr>
            <w:tcW w:w="1722" w:type="pct"/>
            <w:tcBorders>
              <w:tl2br w:val="nil"/>
              <w:tr2bl w:val="nil"/>
            </w:tcBorders>
            <w:noWrap w:val="0"/>
            <w:vAlign w:val="center"/>
          </w:tcPr>
          <w:p w14:paraId="41B426D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溶解性总固体</w:t>
            </w:r>
          </w:p>
        </w:tc>
        <w:tc>
          <w:tcPr>
            <w:tcW w:w="908" w:type="pct"/>
            <w:tcBorders>
              <w:tl2br w:val="nil"/>
              <w:tr2bl w:val="nil"/>
            </w:tcBorders>
            <w:noWrap w:val="0"/>
            <w:vAlign w:val="center"/>
          </w:tcPr>
          <w:p w14:paraId="7E1198A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mg/L</w:t>
            </w:r>
          </w:p>
        </w:tc>
        <w:tc>
          <w:tcPr>
            <w:tcW w:w="1736" w:type="pct"/>
            <w:tcBorders>
              <w:tl2br w:val="nil"/>
              <w:tr2bl w:val="nil"/>
            </w:tcBorders>
            <w:noWrap w:val="0"/>
            <w:vAlign w:val="center"/>
          </w:tcPr>
          <w:p w14:paraId="3E021F31">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1000</w:t>
            </w:r>
          </w:p>
        </w:tc>
      </w:tr>
      <w:tr w14:paraId="49EAF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tblHeader/>
          <w:jc w:val="center"/>
        </w:trPr>
        <w:tc>
          <w:tcPr>
            <w:tcW w:w="632" w:type="pct"/>
            <w:tcBorders>
              <w:tl2br w:val="nil"/>
              <w:tr2bl w:val="nil"/>
            </w:tcBorders>
            <w:noWrap w:val="0"/>
            <w:vAlign w:val="center"/>
          </w:tcPr>
          <w:p w14:paraId="56F423F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w:t>
            </w:r>
          </w:p>
        </w:tc>
        <w:tc>
          <w:tcPr>
            <w:tcW w:w="1722" w:type="pct"/>
            <w:tcBorders>
              <w:tl2br w:val="nil"/>
              <w:tr2bl w:val="nil"/>
            </w:tcBorders>
            <w:noWrap w:val="0"/>
            <w:vAlign w:val="center"/>
          </w:tcPr>
          <w:p w14:paraId="78A3169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镍</w:t>
            </w:r>
          </w:p>
        </w:tc>
        <w:tc>
          <w:tcPr>
            <w:tcW w:w="908" w:type="pct"/>
            <w:tcBorders>
              <w:tl2br w:val="nil"/>
              <w:tr2bl w:val="nil"/>
            </w:tcBorders>
            <w:noWrap w:val="0"/>
            <w:vAlign w:val="center"/>
          </w:tcPr>
          <w:p w14:paraId="65CB3F7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mg/L</w:t>
            </w:r>
          </w:p>
        </w:tc>
        <w:tc>
          <w:tcPr>
            <w:tcW w:w="1736" w:type="pct"/>
            <w:tcBorders>
              <w:tl2br w:val="nil"/>
              <w:tr2bl w:val="nil"/>
            </w:tcBorders>
            <w:noWrap w:val="0"/>
            <w:vAlign w:val="center"/>
          </w:tcPr>
          <w:p w14:paraId="4702363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≤0.05</w:t>
            </w:r>
          </w:p>
        </w:tc>
      </w:tr>
      <w:tr w14:paraId="4FE7F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tblHeader/>
          <w:jc w:val="center"/>
        </w:trPr>
        <w:tc>
          <w:tcPr>
            <w:tcW w:w="632" w:type="pct"/>
            <w:tcBorders>
              <w:tl2br w:val="nil"/>
              <w:tr2bl w:val="nil"/>
            </w:tcBorders>
            <w:noWrap w:val="0"/>
            <w:vAlign w:val="center"/>
          </w:tcPr>
          <w:p w14:paraId="74E0D96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5</w:t>
            </w:r>
          </w:p>
        </w:tc>
        <w:tc>
          <w:tcPr>
            <w:tcW w:w="1722" w:type="pct"/>
            <w:tcBorders>
              <w:tl2br w:val="nil"/>
              <w:tr2bl w:val="nil"/>
            </w:tcBorders>
            <w:noWrap w:val="0"/>
            <w:vAlign w:val="center"/>
          </w:tcPr>
          <w:p w14:paraId="0ECC764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氯化物</w:t>
            </w:r>
          </w:p>
        </w:tc>
        <w:tc>
          <w:tcPr>
            <w:tcW w:w="908" w:type="pct"/>
            <w:tcBorders>
              <w:tl2br w:val="nil"/>
              <w:tr2bl w:val="nil"/>
            </w:tcBorders>
            <w:noWrap w:val="0"/>
            <w:vAlign w:val="center"/>
          </w:tcPr>
          <w:p w14:paraId="1894C64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mg/L</w:t>
            </w:r>
          </w:p>
        </w:tc>
        <w:tc>
          <w:tcPr>
            <w:tcW w:w="1736" w:type="pct"/>
            <w:tcBorders>
              <w:tl2br w:val="nil"/>
              <w:tr2bl w:val="nil"/>
            </w:tcBorders>
            <w:noWrap w:val="0"/>
            <w:vAlign w:val="center"/>
          </w:tcPr>
          <w:p w14:paraId="702D4F7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250</w:t>
            </w:r>
          </w:p>
        </w:tc>
      </w:tr>
      <w:tr w14:paraId="1BD5F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tblHeader/>
          <w:jc w:val="center"/>
        </w:trPr>
        <w:tc>
          <w:tcPr>
            <w:tcW w:w="632" w:type="pct"/>
            <w:tcBorders>
              <w:tl2br w:val="nil"/>
              <w:tr2bl w:val="nil"/>
            </w:tcBorders>
            <w:noWrap w:val="0"/>
            <w:vAlign w:val="center"/>
          </w:tcPr>
          <w:p w14:paraId="7CEC939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6</w:t>
            </w:r>
          </w:p>
        </w:tc>
        <w:tc>
          <w:tcPr>
            <w:tcW w:w="1722" w:type="pct"/>
            <w:tcBorders>
              <w:tl2br w:val="nil"/>
              <w:tr2bl w:val="nil"/>
            </w:tcBorders>
            <w:noWrap w:val="0"/>
            <w:vAlign w:val="center"/>
          </w:tcPr>
          <w:p w14:paraId="4E4E681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总大肠菌群</w:t>
            </w:r>
          </w:p>
        </w:tc>
        <w:tc>
          <w:tcPr>
            <w:tcW w:w="908" w:type="pct"/>
            <w:tcBorders>
              <w:tl2br w:val="nil"/>
              <w:tr2bl w:val="nil"/>
            </w:tcBorders>
            <w:noWrap w:val="0"/>
            <w:vAlign w:val="center"/>
          </w:tcPr>
          <w:p w14:paraId="4D54103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MPN/100ml</w:t>
            </w:r>
          </w:p>
        </w:tc>
        <w:tc>
          <w:tcPr>
            <w:tcW w:w="1736" w:type="pct"/>
            <w:tcBorders>
              <w:tl2br w:val="nil"/>
              <w:tr2bl w:val="nil"/>
            </w:tcBorders>
            <w:noWrap w:val="0"/>
            <w:vAlign w:val="center"/>
          </w:tcPr>
          <w:p w14:paraId="57AEC41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3.0</w:t>
            </w:r>
          </w:p>
        </w:tc>
      </w:tr>
      <w:tr w14:paraId="37B8F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tblHeader/>
          <w:jc w:val="center"/>
        </w:trPr>
        <w:tc>
          <w:tcPr>
            <w:tcW w:w="632" w:type="pct"/>
            <w:tcBorders>
              <w:tl2br w:val="nil"/>
              <w:tr2bl w:val="nil"/>
            </w:tcBorders>
            <w:noWrap w:val="0"/>
            <w:vAlign w:val="center"/>
          </w:tcPr>
          <w:p w14:paraId="6C08E57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7</w:t>
            </w:r>
          </w:p>
        </w:tc>
        <w:tc>
          <w:tcPr>
            <w:tcW w:w="1722" w:type="pct"/>
            <w:tcBorders>
              <w:tl2br w:val="nil"/>
              <w:tr2bl w:val="nil"/>
            </w:tcBorders>
            <w:noWrap w:val="0"/>
            <w:vAlign w:val="center"/>
          </w:tcPr>
          <w:p w14:paraId="62B4336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氨氮</w:t>
            </w:r>
          </w:p>
        </w:tc>
        <w:tc>
          <w:tcPr>
            <w:tcW w:w="908" w:type="pct"/>
            <w:tcBorders>
              <w:tl2br w:val="nil"/>
              <w:tr2bl w:val="nil"/>
            </w:tcBorders>
            <w:noWrap w:val="0"/>
            <w:vAlign w:val="center"/>
          </w:tcPr>
          <w:p w14:paraId="28F4142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mg/L</w:t>
            </w:r>
          </w:p>
        </w:tc>
        <w:tc>
          <w:tcPr>
            <w:tcW w:w="1736" w:type="pct"/>
            <w:tcBorders>
              <w:tl2br w:val="nil"/>
              <w:tr2bl w:val="nil"/>
            </w:tcBorders>
            <w:noWrap w:val="0"/>
            <w:vAlign w:val="center"/>
          </w:tcPr>
          <w:p w14:paraId="3A999AD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0.5</w:t>
            </w:r>
          </w:p>
        </w:tc>
      </w:tr>
      <w:tr w14:paraId="56A88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tblHeader/>
          <w:jc w:val="center"/>
        </w:trPr>
        <w:tc>
          <w:tcPr>
            <w:tcW w:w="632" w:type="pct"/>
            <w:tcBorders>
              <w:tl2br w:val="nil"/>
              <w:tr2bl w:val="nil"/>
            </w:tcBorders>
            <w:noWrap w:val="0"/>
            <w:vAlign w:val="center"/>
          </w:tcPr>
          <w:p w14:paraId="1AE2543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8</w:t>
            </w:r>
          </w:p>
        </w:tc>
        <w:tc>
          <w:tcPr>
            <w:tcW w:w="1722" w:type="pct"/>
            <w:tcBorders>
              <w:tl2br w:val="nil"/>
              <w:tr2bl w:val="nil"/>
            </w:tcBorders>
            <w:noWrap w:val="0"/>
            <w:vAlign w:val="center"/>
          </w:tcPr>
          <w:p w14:paraId="439FEE1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硝酸盐</w:t>
            </w:r>
          </w:p>
        </w:tc>
        <w:tc>
          <w:tcPr>
            <w:tcW w:w="908" w:type="pct"/>
            <w:tcBorders>
              <w:tl2br w:val="nil"/>
              <w:tr2bl w:val="nil"/>
            </w:tcBorders>
            <w:noWrap w:val="0"/>
            <w:vAlign w:val="center"/>
          </w:tcPr>
          <w:p w14:paraId="3E7AF5F3">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mg/L</w:t>
            </w:r>
          </w:p>
        </w:tc>
        <w:tc>
          <w:tcPr>
            <w:tcW w:w="1736" w:type="pct"/>
            <w:tcBorders>
              <w:tl2br w:val="nil"/>
              <w:tr2bl w:val="nil"/>
            </w:tcBorders>
            <w:noWrap w:val="0"/>
            <w:vAlign w:val="center"/>
          </w:tcPr>
          <w:p w14:paraId="7EE5648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20</w:t>
            </w:r>
          </w:p>
        </w:tc>
      </w:tr>
      <w:tr w14:paraId="4CC17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tblHeader/>
          <w:jc w:val="center"/>
        </w:trPr>
        <w:tc>
          <w:tcPr>
            <w:tcW w:w="632" w:type="pct"/>
            <w:tcBorders>
              <w:tl2br w:val="nil"/>
              <w:tr2bl w:val="nil"/>
            </w:tcBorders>
            <w:noWrap w:val="0"/>
            <w:vAlign w:val="center"/>
          </w:tcPr>
          <w:p w14:paraId="1F32D9A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9</w:t>
            </w:r>
          </w:p>
        </w:tc>
        <w:tc>
          <w:tcPr>
            <w:tcW w:w="1722" w:type="pct"/>
            <w:tcBorders>
              <w:tl2br w:val="nil"/>
              <w:tr2bl w:val="nil"/>
            </w:tcBorders>
            <w:noWrap w:val="0"/>
            <w:vAlign w:val="center"/>
          </w:tcPr>
          <w:p w14:paraId="2F4E990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eastAsia="zh-CN"/>
              </w:rPr>
              <w:t>亚</w:t>
            </w:r>
            <w:r>
              <w:rPr>
                <w:rFonts w:hint="default" w:ascii="Times New Roman" w:hAnsi="Times New Roman" w:eastAsia="华文中宋" w:cs="Times New Roman"/>
                <w:szCs w:val="21"/>
              </w:rPr>
              <w:t>硝酸盐</w:t>
            </w:r>
          </w:p>
        </w:tc>
        <w:tc>
          <w:tcPr>
            <w:tcW w:w="908" w:type="pct"/>
            <w:tcBorders>
              <w:tl2br w:val="nil"/>
              <w:tr2bl w:val="nil"/>
            </w:tcBorders>
            <w:noWrap w:val="0"/>
            <w:vAlign w:val="center"/>
          </w:tcPr>
          <w:p w14:paraId="0A78ED01">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mg/L</w:t>
            </w:r>
          </w:p>
        </w:tc>
        <w:tc>
          <w:tcPr>
            <w:tcW w:w="1736" w:type="pct"/>
            <w:tcBorders>
              <w:tl2br w:val="nil"/>
              <w:tr2bl w:val="nil"/>
            </w:tcBorders>
            <w:noWrap w:val="0"/>
            <w:vAlign w:val="center"/>
          </w:tcPr>
          <w:p w14:paraId="495F10F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1.00</w:t>
            </w:r>
          </w:p>
        </w:tc>
      </w:tr>
      <w:tr w14:paraId="7B11D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tblHeader/>
          <w:jc w:val="center"/>
        </w:trPr>
        <w:tc>
          <w:tcPr>
            <w:tcW w:w="632" w:type="pct"/>
            <w:tcBorders>
              <w:tl2br w:val="nil"/>
              <w:tr2bl w:val="nil"/>
            </w:tcBorders>
            <w:noWrap w:val="0"/>
            <w:vAlign w:val="center"/>
          </w:tcPr>
          <w:p w14:paraId="14A2A407">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10</w:t>
            </w:r>
          </w:p>
        </w:tc>
        <w:tc>
          <w:tcPr>
            <w:tcW w:w="1722" w:type="pct"/>
            <w:tcBorders>
              <w:tl2br w:val="nil"/>
              <w:tr2bl w:val="nil"/>
            </w:tcBorders>
            <w:noWrap w:val="0"/>
            <w:vAlign w:val="center"/>
          </w:tcPr>
          <w:p w14:paraId="017902E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eastAsia="zh-CN"/>
              </w:rPr>
              <w:t>挥发酚</w:t>
            </w:r>
          </w:p>
        </w:tc>
        <w:tc>
          <w:tcPr>
            <w:tcW w:w="908" w:type="pct"/>
            <w:tcBorders>
              <w:tl2br w:val="nil"/>
              <w:tr2bl w:val="nil"/>
            </w:tcBorders>
            <w:noWrap w:val="0"/>
            <w:vAlign w:val="center"/>
          </w:tcPr>
          <w:p w14:paraId="0183422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mg/L</w:t>
            </w:r>
          </w:p>
        </w:tc>
        <w:tc>
          <w:tcPr>
            <w:tcW w:w="1736" w:type="pct"/>
            <w:tcBorders>
              <w:tl2br w:val="nil"/>
              <w:tr2bl w:val="nil"/>
            </w:tcBorders>
            <w:noWrap w:val="0"/>
            <w:vAlign w:val="center"/>
          </w:tcPr>
          <w:p w14:paraId="0834F62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0.002</w:t>
            </w:r>
          </w:p>
        </w:tc>
      </w:tr>
      <w:tr w14:paraId="5E369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tblHeader/>
          <w:jc w:val="center"/>
        </w:trPr>
        <w:tc>
          <w:tcPr>
            <w:tcW w:w="632" w:type="pct"/>
            <w:tcBorders>
              <w:tl2br w:val="nil"/>
              <w:tr2bl w:val="nil"/>
            </w:tcBorders>
            <w:noWrap w:val="0"/>
            <w:vAlign w:val="center"/>
          </w:tcPr>
          <w:p w14:paraId="4DB8F3B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11</w:t>
            </w:r>
          </w:p>
        </w:tc>
        <w:tc>
          <w:tcPr>
            <w:tcW w:w="1722" w:type="pct"/>
            <w:tcBorders>
              <w:tl2br w:val="nil"/>
              <w:tr2bl w:val="nil"/>
            </w:tcBorders>
            <w:noWrap w:val="0"/>
            <w:vAlign w:val="center"/>
          </w:tcPr>
          <w:p w14:paraId="58CE26E7">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eastAsia="zh-CN"/>
              </w:rPr>
              <w:t>氰化物</w:t>
            </w:r>
          </w:p>
        </w:tc>
        <w:tc>
          <w:tcPr>
            <w:tcW w:w="908" w:type="pct"/>
            <w:tcBorders>
              <w:tl2br w:val="nil"/>
              <w:tr2bl w:val="nil"/>
            </w:tcBorders>
            <w:noWrap w:val="0"/>
            <w:vAlign w:val="center"/>
          </w:tcPr>
          <w:p w14:paraId="2B7A803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mg/L</w:t>
            </w:r>
          </w:p>
        </w:tc>
        <w:tc>
          <w:tcPr>
            <w:tcW w:w="1736" w:type="pct"/>
            <w:tcBorders>
              <w:tl2br w:val="nil"/>
              <w:tr2bl w:val="nil"/>
            </w:tcBorders>
            <w:noWrap w:val="0"/>
            <w:vAlign w:val="center"/>
          </w:tcPr>
          <w:p w14:paraId="4DA356A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0.05</w:t>
            </w:r>
          </w:p>
        </w:tc>
      </w:tr>
      <w:tr w14:paraId="005DB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tblHeader/>
          <w:jc w:val="center"/>
        </w:trPr>
        <w:tc>
          <w:tcPr>
            <w:tcW w:w="632" w:type="pct"/>
            <w:tcBorders>
              <w:tl2br w:val="nil"/>
              <w:tr2bl w:val="nil"/>
            </w:tcBorders>
            <w:noWrap w:val="0"/>
            <w:vAlign w:val="center"/>
          </w:tcPr>
          <w:p w14:paraId="7EDEA321">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12</w:t>
            </w:r>
          </w:p>
        </w:tc>
        <w:tc>
          <w:tcPr>
            <w:tcW w:w="1722" w:type="pct"/>
            <w:tcBorders>
              <w:tl2br w:val="nil"/>
              <w:tr2bl w:val="nil"/>
            </w:tcBorders>
            <w:noWrap w:val="0"/>
            <w:vAlign w:val="center"/>
          </w:tcPr>
          <w:p w14:paraId="0297367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六价铬</w:t>
            </w:r>
          </w:p>
        </w:tc>
        <w:tc>
          <w:tcPr>
            <w:tcW w:w="908" w:type="pct"/>
            <w:tcBorders>
              <w:tl2br w:val="nil"/>
              <w:tr2bl w:val="nil"/>
            </w:tcBorders>
            <w:noWrap w:val="0"/>
            <w:vAlign w:val="center"/>
          </w:tcPr>
          <w:p w14:paraId="6D6A27F7">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mg/L</w:t>
            </w:r>
          </w:p>
        </w:tc>
        <w:tc>
          <w:tcPr>
            <w:tcW w:w="1736" w:type="pct"/>
            <w:tcBorders>
              <w:tl2br w:val="nil"/>
              <w:tr2bl w:val="nil"/>
            </w:tcBorders>
            <w:noWrap w:val="0"/>
            <w:vAlign w:val="center"/>
          </w:tcPr>
          <w:p w14:paraId="0C07D34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0.05</w:t>
            </w:r>
          </w:p>
        </w:tc>
      </w:tr>
      <w:tr w14:paraId="7B70A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tblHeader/>
          <w:jc w:val="center"/>
        </w:trPr>
        <w:tc>
          <w:tcPr>
            <w:tcW w:w="632" w:type="pct"/>
            <w:tcBorders>
              <w:tl2br w:val="nil"/>
              <w:tr2bl w:val="nil"/>
            </w:tcBorders>
            <w:noWrap w:val="0"/>
            <w:vAlign w:val="center"/>
          </w:tcPr>
          <w:p w14:paraId="6D99421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13</w:t>
            </w:r>
          </w:p>
        </w:tc>
        <w:tc>
          <w:tcPr>
            <w:tcW w:w="1722" w:type="pct"/>
            <w:tcBorders>
              <w:tl2br w:val="nil"/>
              <w:tr2bl w:val="nil"/>
            </w:tcBorders>
            <w:noWrap w:val="0"/>
            <w:vAlign w:val="center"/>
          </w:tcPr>
          <w:p w14:paraId="5759281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eastAsia="zh-CN"/>
              </w:rPr>
              <w:t>硫酸盐</w:t>
            </w:r>
          </w:p>
        </w:tc>
        <w:tc>
          <w:tcPr>
            <w:tcW w:w="908" w:type="pct"/>
            <w:tcBorders>
              <w:tl2br w:val="nil"/>
              <w:tr2bl w:val="nil"/>
            </w:tcBorders>
            <w:noWrap w:val="0"/>
            <w:vAlign w:val="center"/>
          </w:tcPr>
          <w:p w14:paraId="2A32177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mg/L</w:t>
            </w:r>
          </w:p>
        </w:tc>
        <w:tc>
          <w:tcPr>
            <w:tcW w:w="1736" w:type="pct"/>
            <w:tcBorders>
              <w:tl2br w:val="nil"/>
              <w:tr2bl w:val="nil"/>
            </w:tcBorders>
            <w:noWrap w:val="0"/>
            <w:vAlign w:val="center"/>
          </w:tcPr>
          <w:p w14:paraId="49FC75D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250</w:t>
            </w:r>
          </w:p>
        </w:tc>
      </w:tr>
      <w:tr w14:paraId="443D0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tblHeader/>
          <w:jc w:val="center"/>
        </w:trPr>
        <w:tc>
          <w:tcPr>
            <w:tcW w:w="632" w:type="pct"/>
            <w:tcBorders>
              <w:tl2br w:val="nil"/>
              <w:tr2bl w:val="nil"/>
            </w:tcBorders>
            <w:noWrap w:val="0"/>
            <w:vAlign w:val="center"/>
          </w:tcPr>
          <w:p w14:paraId="217CB54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14</w:t>
            </w:r>
          </w:p>
        </w:tc>
        <w:tc>
          <w:tcPr>
            <w:tcW w:w="1722" w:type="pct"/>
            <w:tcBorders>
              <w:tl2br w:val="nil"/>
              <w:tr2bl w:val="nil"/>
            </w:tcBorders>
            <w:noWrap w:val="0"/>
            <w:vAlign w:val="center"/>
          </w:tcPr>
          <w:p w14:paraId="4DC2776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氟化物</w:t>
            </w:r>
          </w:p>
        </w:tc>
        <w:tc>
          <w:tcPr>
            <w:tcW w:w="908" w:type="pct"/>
            <w:tcBorders>
              <w:tl2br w:val="nil"/>
              <w:tr2bl w:val="nil"/>
            </w:tcBorders>
            <w:noWrap w:val="0"/>
            <w:vAlign w:val="center"/>
          </w:tcPr>
          <w:p w14:paraId="6D8065F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mg/L</w:t>
            </w:r>
          </w:p>
        </w:tc>
        <w:tc>
          <w:tcPr>
            <w:tcW w:w="1736" w:type="pct"/>
            <w:tcBorders>
              <w:tl2br w:val="nil"/>
              <w:tr2bl w:val="nil"/>
            </w:tcBorders>
            <w:noWrap w:val="0"/>
            <w:vAlign w:val="center"/>
          </w:tcPr>
          <w:p w14:paraId="0F011F3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1.0</w:t>
            </w:r>
          </w:p>
        </w:tc>
      </w:tr>
      <w:tr w14:paraId="68CCB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tblHeader/>
          <w:jc w:val="center"/>
        </w:trPr>
        <w:tc>
          <w:tcPr>
            <w:tcW w:w="632" w:type="pct"/>
            <w:tcBorders>
              <w:tl2br w:val="nil"/>
              <w:tr2bl w:val="nil"/>
            </w:tcBorders>
            <w:noWrap w:val="0"/>
            <w:vAlign w:val="center"/>
          </w:tcPr>
          <w:p w14:paraId="188A232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15</w:t>
            </w:r>
          </w:p>
        </w:tc>
        <w:tc>
          <w:tcPr>
            <w:tcW w:w="1722" w:type="pct"/>
            <w:tcBorders>
              <w:tl2br w:val="nil"/>
              <w:tr2bl w:val="nil"/>
            </w:tcBorders>
            <w:noWrap w:val="0"/>
            <w:vAlign w:val="center"/>
          </w:tcPr>
          <w:p w14:paraId="143DE1D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铜</w:t>
            </w:r>
          </w:p>
        </w:tc>
        <w:tc>
          <w:tcPr>
            <w:tcW w:w="908" w:type="pct"/>
            <w:tcBorders>
              <w:tl2br w:val="nil"/>
              <w:tr2bl w:val="nil"/>
            </w:tcBorders>
            <w:noWrap w:val="0"/>
            <w:vAlign w:val="center"/>
          </w:tcPr>
          <w:p w14:paraId="4EE21A6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mg/L</w:t>
            </w:r>
          </w:p>
        </w:tc>
        <w:tc>
          <w:tcPr>
            <w:tcW w:w="1736" w:type="pct"/>
            <w:tcBorders>
              <w:tl2br w:val="nil"/>
              <w:tr2bl w:val="nil"/>
            </w:tcBorders>
            <w:noWrap w:val="0"/>
            <w:vAlign w:val="center"/>
          </w:tcPr>
          <w:p w14:paraId="243F31C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1.0</w:t>
            </w:r>
          </w:p>
        </w:tc>
      </w:tr>
      <w:tr w14:paraId="37BB6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tblHeader/>
          <w:jc w:val="center"/>
        </w:trPr>
        <w:tc>
          <w:tcPr>
            <w:tcW w:w="632" w:type="pct"/>
            <w:tcBorders>
              <w:tl2br w:val="nil"/>
              <w:tr2bl w:val="nil"/>
            </w:tcBorders>
            <w:noWrap w:val="0"/>
            <w:vAlign w:val="center"/>
          </w:tcPr>
          <w:p w14:paraId="76E1C9D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16</w:t>
            </w:r>
          </w:p>
        </w:tc>
        <w:tc>
          <w:tcPr>
            <w:tcW w:w="1722" w:type="pct"/>
            <w:tcBorders>
              <w:tl2br w:val="nil"/>
              <w:tr2bl w:val="nil"/>
            </w:tcBorders>
            <w:noWrap w:val="0"/>
            <w:vAlign w:val="center"/>
          </w:tcPr>
          <w:p w14:paraId="0AA34CD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eastAsia="zh-CN"/>
              </w:rPr>
              <w:t>锌</w:t>
            </w:r>
          </w:p>
        </w:tc>
        <w:tc>
          <w:tcPr>
            <w:tcW w:w="908" w:type="pct"/>
            <w:tcBorders>
              <w:tl2br w:val="nil"/>
              <w:tr2bl w:val="nil"/>
            </w:tcBorders>
            <w:noWrap w:val="0"/>
            <w:vAlign w:val="center"/>
          </w:tcPr>
          <w:p w14:paraId="1A879D6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mg/L</w:t>
            </w:r>
          </w:p>
        </w:tc>
        <w:tc>
          <w:tcPr>
            <w:tcW w:w="1736" w:type="pct"/>
            <w:tcBorders>
              <w:tl2br w:val="nil"/>
              <w:tr2bl w:val="nil"/>
            </w:tcBorders>
            <w:noWrap w:val="0"/>
            <w:vAlign w:val="center"/>
          </w:tcPr>
          <w:p w14:paraId="2B98EA1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1.0</w:t>
            </w:r>
          </w:p>
        </w:tc>
      </w:tr>
      <w:tr w14:paraId="551B5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tblHeader/>
          <w:jc w:val="center"/>
        </w:trPr>
        <w:tc>
          <w:tcPr>
            <w:tcW w:w="632" w:type="pct"/>
            <w:tcBorders>
              <w:tl2br w:val="nil"/>
              <w:tr2bl w:val="nil"/>
            </w:tcBorders>
            <w:noWrap w:val="0"/>
            <w:vAlign w:val="center"/>
          </w:tcPr>
          <w:p w14:paraId="3E10B35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17</w:t>
            </w:r>
          </w:p>
        </w:tc>
        <w:tc>
          <w:tcPr>
            <w:tcW w:w="1722" w:type="pct"/>
            <w:tcBorders>
              <w:tl2br w:val="nil"/>
              <w:tr2bl w:val="nil"/>
            </w:tcBorders>
            <w:noWrap w:val="0"/>
            <w:vAlign w:val="center"/>
          </w:tcPr>
          <w:p w14:paraId="4651EF8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铅</w:t>
            </w:r>
          </w:p>
        </w:tc>
        <w:tc>
          <w:tcPr>
            <w:tcW w:w="908" w:type="pct"/>
            <w:tcBorders>
              <w:tl2br w:val="nil"/>
              <w:tr2bl w:val="nil"/>
            </w:tcBorders>
            <w:noWrap w:val="0"/>
            <w:vAlign w:val="center"/>
          </w:tcPr>
          <w:p w14:paraId="636C9D8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mg/L</w:t>
            </w:r>
          </w:p>
        </w:tc>
        <w:tc>
          <w:tcPr>
            <w:tcW w:w="1736" w:type="pct"/>
            <w:tcBorders>
              <w:tl2br w:val="nil"/>
              <w:tr2bl w:val="nil"/>
            </w:tcBorders>
            <w:noWrap w:val="0"/>
            <w:vAlign w:val="center"/>
          </w:tcPr>
          <w:p w14:paraId="748B518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0.01</w:t>
            </w:r>
          </w:p>
        </w:tc>
      </w:tr>
      <w:tr w14:paraId="358EE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tblHeader/>
          <w:jc w:val="center"/>
        </w:trPr>
        <w:tc>
          <w:tcPr>
            <w:tcW w:w="632" w:type="pct"/>
            <w:tcBorders>
              <w:tl2br w:val="nil"/>
              <w:tr2bl w:val="nil"/>
            </w:tcBorders>
            <w:noWrap w:val="0"/>
            <w:vAlign w:val="center"/>
          </w:tcPr>
          <w:p w14:paraId="3899CC8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18</w:t>
            </w:r>
          </w:p>
        </w:tc>
        <w:tc>
          <w:tcPr>
            <w:tcW w:w="1722" w:type="pct"/>
            <w:tcBorders>
              <w:tl2br w:val="nil"/>
              <w:tr2bl w:val="nil"/>
            </w:tcBorders>
            <w:noWrap w:val="0"/>
            <w:vAlign w:val="center"/>
          </w:tcPr>
          <w:p w14:paraId="289C7C1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镉</w:t>
            </w:r>
          </w:p>
        </w:tc>
        <w:tc>
          <w:tcPr>
            <w:tcW w:w="908" w:type="pct"/>
            <w:tcBorders>
              <w:tl2br w:val="nil"/>
              <w:tr2bl w:val="nil"/>
            </w:tcBorders>
            <w:noWrap w:val="0"/>
            <w:vAlign w:val="center"/>
          </w:tcPr>
          <w:p w14:paraId="59B7C64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mg/L</w:t>
            </w:r>
          </w:p>
        </w:tc>
        <w:tc>
          <w:tcPr>
            <w:tcW w:w="1736" w:type="pct"/>
            <w:tcBorders>
              <w:tl2br w:val="nil"/>
              <w:tr2bl w:val="nil"/>
            </w:tcBorders>
            <w:noWrap w:val="0"/>
            <w:vAlign w:val="center"/>
          </w:tcPr>
          <w:p w14:paraId="0DAC358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0.005</w:t>
            </w:r>
          </w:p>
        </w:tc>
      </w:tr>
      <w:tr w14:paraId="5840A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tblHeader/>
          <w:jc w:val="center"/>
        </w:trPr>
        <w:tc>
          <w:tcPr>
            <w:tcW w:w="632" w:type="pct"/>
            <w:tcBorders>
              <w:tl2br w:val="nil"/>
              <w:tr2bl w:val="nil"/>
            </w:tcBorders>
            <w:noWrap w:val="0"/>
            <w:vAlign w:val="center"/>
          </w:tcPr>
          <w:p w14:paraId="63D1775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19</w:t>
            </w:r>
          </w:p>
        </w:tc>
        <w:tc>
          <w:tcPr>
            <w:tcW w:w="1722" w:type="pct"/>
            <w:tcBorders>
              <w:tl2br w:val="nil"/>
              <w:tr2bl w:val="nil"/>
            </w:tcBorders>
            <w:noWrap w:val="0"/>
            <w:vAlign w:val="center"/>
          </w:tcPr>
          <w:p w14:paraId="7B6C2CA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eastAsia="zh-CN"/>
              </w:rPr>
              <w:t>锰</w:t>
            </w:r>
          </w:p>
        </w:tc>
        <w:tc>
          <w:tcPr>
            <w:tcW w:w="908" w:type="pct"/>
            <w:tcBorders>
              <w:tl2br w:val="nil"/>
              <w:tr2bl w:val="nil"/>
            </w:tcBorders>
            <w:noWrap w:val="0"/>
            <w:vAlign w:val="center"/>
          </w:tcPr>
          <w:p w14:paraId="0447991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mg/L</w:t>
            </w:r>
          </w:p>
        </w:tc>
        <w:tc>
          <w:tcPr>
            <w:tcW w:w="1736" w:type="pct"/>
            <w:tcBorders>
              <w:tl2br w:val="nil"/>
              <w:tr2bl w:val="nil"/>
            </w:tcBorders>
            <w:noWrap w:val="0"/>
            <w:vAlign w:val="center"/>
          </w:tcPr>
          <w:p w14:paraId="6AEE24E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0.1</w:t>
            </w:r>
          </w:p>
        </w:tc>
      </w:tr>
      <w:tr w14:paraId="40864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tblHeader/>
          <w:jc w:val="center"/>
        </w:trPr>
        <w:tc>
          <w:tcPr>
            <w:tcW w:w="632" w:type="pct"/>
            <w:tcBorders>
              <w:tl2br w:val="nil"/>
              <w:tr2bl w:val="nil"/>
            </w:tcBorders>
            <w:noWrap w:val="0"/>
            <w:vAlign w:val="center"/>
          </w:tcPr>
          <w:p w14:paraId="49E74571">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20</w:t>
            </w:r>
          </w:p>
        </w:tc>
        <w:tc>
          <w:tcPr>
            <w:tcW w:w="1722" w:type="pct"/>
            <w:tcBorders>
              <w:tl2br w:val="nil"/>
              <w:tr2bl w:val="nil"/>
            </w:tcBorders>
            <w:noWrap w:val="0"/>
            <w:vAlign w:val="center"/>
          </w:tcPr>
          <w:p w14:paraId="1819F2E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汞</w:t>
            </w:r>
          </w:p>
        </w:tc>
        <w:tc>
          <w:tcPr>
            <w:tcW w:w="908" w:type="pct"/>
            <w:tcBorders>
              <w:tl2br w:val="nil"/>
              <w:tr2bl w:val="nil"/>
            </w:tcBorders>
            <w:noWrap w:val="0"/>
            <w:vAlign w:val="center"/>
          </w:tcPr>
          <w:p w14:paraId="2C9AA92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mg/L</w:t>
            </w:r>
          </w:p>
        </w:tc>
        <w:tc>
          <w:tcPr>
            <w:tcW w:w="1736" w:type="pct"/>
            <w:tcBorders>
              <w:tl2br w:val="nil"/>
              <w:tr2bl w:val="nil"/>
            </w:tcBorders>
            <w:noWrap w:val="0"/>
            <w:vAlign w:val="center"/>
          </w:tcPr>
          <w:p w14:paraId="481E5E5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0.001</w:t>
            </w:r>
          </w:p>
        </w:tc>
      </w:tr>
      <w:tr w14:paraId="3820B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9" w:hRule="atLeast"/>
          <w:tblHeader/>
          <w:jc w:val="center"/>
        </w:trPr>
        <w:tc>
          <w:tcPr>
            <w:tcW w:w="632" w:type="pct"/>
            <w:tcBorders>
              <w:tl2br w:val="nil"/>
              <w:tr2bl w:val="nil"/>
            </w:tcBorders>
            <w:noWrap w:val="0"/>
            <w:vAlign w:val="center"/>
          </w:tcPr>
          <w:p w14:paraId="4AC9CDC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21</w:t>
            </w:r>
          </w:p>
        </w:tc>
        <w:tc>
          <w:tcPr>
            <w:tcW w:w="1722" w:type="pct"/>
            <w:tcBorders>
              <w:tl2br w:val="nil"/>
              <w:tr2bl w:val="nil"/>
            </w:tcBorders>
            <w:noWrap w:val="0"/>
            <w:vAlign w:val="center"/>
          </w:tcPr>
          <w:p w14:paraId="2DD0F51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砷</w:t>
            </w:r>
          </w:p>
        </w:tc>
        <w:tc>
          <w:tcPr>
            <w:tcW w:w="908" w:type="pct"/>
            <w:tcBorders>
              <w:tl2br w:val="nil"/>
              <w:tr2bl w:val="nil"/>
            </w:tcBorders>
            <w:noWrap w:val="0"/>
            <w:vAlign w:val="center"/>
          </w:tcPr>
          <w:p w14:paraId="4A2B262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mg/L</w:t>
            </w:r>
          </w:p>
        </w:tc>
        <w:tc>
          <w:tcPr>
            <w:tcW w:w="1736" w:type="pct"/>
            <w:tcBorders>
              <w:tl2br w:val="nil"/>
              <w:tr2bl w:val="nil"/>
            </w:tcBorders>
            <w:noWrap w:val="0"/>
            <w:vAlign w:val="center"/>
          </w:tcPr>
          <w:p w14:paraId="0B876D5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0.001</w:t>
            </w:r>
          </w:p>
        </w:tc>
      </w:tr>
      <w:tr w14:paraId="374B8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9" w:hRule="atLeast"/>
          <w:tblHeader/>
          <w:jc w:val="center"/>
        </w:trPr>
        <w:tc>
          <w:tcPr>
            <w:tcW w:w="632" w:type="pct"/>
            <w:tcBorders>
              <w:tl2br w:val="nil"/>
              <w:tr2bl w:val="nil"/>
            </w:tcBorders>
            <w:noWrap w:val="0"/>
            <w:vAlign w:val="center"/>
          </w:tcPr>
          <w:p w14:paraId="1E48503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22</w:t>
            </w:r>
          </w:p>
        </w:tc>
        <w:tc>
          <w:tcPr>
            <w:tcW w:w="1722" w:type="pct"/>
            <w:tcBorders>
              <w:tl2br w:val="nil"/>
              <w:tr2bl w:val="nil"/>
            </w:tcBorders>
            <w:noWrap w:val="0"/>
            <w:vAlign w:val="center"/>
          </w:tcPr>
          <w:p w14:paraId="1DCEB5B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高锰酸盐指数</w:t>
            </w:r>
          </w:p>
        </w:tc>
        <w:tc>
          <w:tcPr>
            <w:tcW w:w="908" w:type="pct"/>
            <w:tcBorders>
              <w:tl2br w:val="nil"/>
              <w:tr2bl w:val="nil"/>
            </w:tcBorders>
            <w:noWrap w:val="0"/>
            <w:vAlign w:val="center"/>
          </w:tcPr>
          <w:p w14:paraId="7F8D4BC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mg/L</w:t>
            </w:r>
          </w:p>
        </w:tc>
        <w:tc>
          <w:tcPr>
            <w:tcW w:w="1736" w:type="pct"/>
            <w:tcBorders>
              <w:tl2br w:val="nil"/>
              <w:tr2bl w:val="nil"/>
            </w:tcBorders>
            <w:noWrap w:val="0"/>
            <w:vAlign w:val="center"/>
          </w:tcPr>
          <w:p w14:paraId="5373631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≤3.0</w:t>
            </w:r>
          </w:p>
        </w:tc>
      </w:tr>
    </w:tbl>
    <w:p w14:paraId="4A46A7AF">
      <w:pPr>
        <w:pStyle w:val="26"/>
        <w:keepNext w:val="0"/>
        <w:keepLines w:val="0"/>
        <w:pageBreakBefore w:val="0"/>
        <w:widowControl w:val="0"/>
        <w:kinsoku/>
        <w:wordWrap/>
        <w:overflowPunct/>
        <w:topLinePunct w:val="0"/>
        <w:autoSpaceDE/>
        <w:autoSpaceDN/>
        <w:bidi w:val="0"/>
        <w:adjustRightInd/>
        <w:snapToGrid/>
        <w:spacing w:after="0" w:afterLines="0" w:line="360" w:lineRule="auto"/>
        <w:textAlignment w:val="auto"/>
        <w:rPr>
          <w:rFonts w:hint="default" w:ascii="Times New Roman" w:hAnsi="Times New Roman" w:eastAsia="华文中宋" w:cs="Times New Roman"/>
          <w:snapToGrid w:val="0"/>
          <w:color w:val="auto"/>
          <w:kern w:val="0"/>
          <w:sz w:val="24"/>
          <w:szCs w:val="24"/>
          <w:lang w:val="en-US" w:eastAsia="zh-CN" w:bidi="ar-SA"/>
        </w:rPr>
      </w:pPr>
      <w:r>
        <w:rPr>
          <w:rFonts w:hint="default" w:ascii="Times New Roman" w:hAnsi="Times New Roman" w:eastAsia="华文中宋" w:cs="Times New Roman"/>
          <w:snapToGrid w:val="0"/>
          <w:color w:val="auto"/>
          <w:kern w:val="0"/>
          <w:sz w:val="24"/>
          <w:szCs w:val="24"/>
          <w:lang w:val="en-US" w:eastAsia="zh-CN" w:bidi="ar-SA"/>
        </w:rPr>
        <w:t>（4）声环境</w:t>
      </w:r>
    </w:p>
    <w:p w14:paraId="68F5EFDA">
      <w:pPr>
        <w:spacing w:line="360" w:lineRule="auto"/>
        <w:ind w:firstLine="480" w:firstLineChars="200"/>
        <w:rPr>
          <w:rFonts w:hint="default" w:ascii="Times New Roman" w:hAnsi="Times New Roman" w:eastAsia="华文中宋" w:cs="Times New Roman"/>
          <w:snapToGrid w:val="0"/>
          <w:color w:val="auto"/>
          <w:kern w:val="0"/>
          <w:sz w:val="24"/>
          <w:szCs w:val="24"/>
          <w:lang w:val="en-US" w:eastAsia="zh-CN" w:bidi="ar-SA"/>
        </w:rPr>
      </w:pPr>
      <w:r>
        <w:rPr>
          <w:rFonts w:hint="default" w:ascii="Times New Roman" w:hAnsi="Times New Roman" w:eastAsia="华文中宋" w:cs="Times New Roman"/>
          <w:snapToGrid w:val="0"/>
          <w:color w:val="auto"/>
          <w:kern w:val="0"/>
          <w:sz w:val="24"/>
          <w:szCs w:val="24"/>
          <w:lang w:val="en-US" w:eastAsia="zh-CN" w:bidi="ar-SA"/>
        </w:rPr>
        <w:t>矿区位于民丰县城170°方向、直距约140千米处</w:t>
      </w:r>
      <w:r>
        <w:rPr>
          <w:rFonts w:hint="eastAsia" w:ascii="Times New Roman" w:hAnsi="Times New Roman" w:eastAsia="华文中宋" w:cs="Times New Roman"/>
          <w:snapToGrid w:val="0"/>
          <w:color w:val="auto"/>
          <w:kern w:val="0"/>
          <w:sz w:val="24"/>
          <w:szCs w:val="24"/>
          <w:lang w:val="en-US" w:eastAsia="zh-CN" w:bidi="ar-SA"/>
        </w:rPr>
        <w:t>。项目区</w:t>
      </w:r>
      <w:r>
        <w:rPr>
          <w:rFonts w:hint="default" w:ascii="Times New Roman" w:hAnsi="Times New Roman" w:eastAsia="华文中宋" w:cs="Times New Roman"/>
          <w:snapToGrid w:val="0"/>
          <w:color w:val="auto"/>
          <w:kern w:val="0"/>
          <w:sz w:val="24"/>
          <w:szCs w:val="24"/>
          <w:lang w:val="en-US" w:eastAsia="zh-CN" w:bidi="ar-SA"/>
        </w:rPr>
        <w:t>执行《声环境质量标准》（GB3096-2008）中的2类标准，见表2.4-4。</w:t>
      </w:r>
    </w:p>
    <w:p w14:paraId="1F2D2B90">
      <w:pPr>
        <w:adjustRightInd w:val="0"/>
        <w:snapToGrid w:val="0"/>
        <w:spacing w:before="250" w:beforeLines="50"/>
        <w:ind w:firstLine="422" w:firstLineChars="200"/>
        <w:jc w:val="center"/>
        <w:rPr>
          <w:rFonts w:hint="default" w:ascii="Times New Roman" w:hAnsi="Times New Roman" w:eastAsia="华文中宋" w:cs="Times New Roman"/>
          <w:b/>
          <w:szCs w:val="21"/>
        </w:rPr>
      </w:pPr>
      <w:bookmarkStart w:id="42" w:name="_Ref494789764"/>
      <w:r>
        <w:rPr>
          <w:rFonts w:hint="default" w:ascii="Times New Roman" w:hAnsi="Times New Roman" w:eastAsia="华文中宋" w:cs="Times New Roman"/>
          <w:b/>
          <w:szCs w:val="21"/>
        </w:rPr>
        <w:t>表</w:t>
      </w:r>
      <w:bookmarkEnd w:id="42"/>
      <w:r>
        <w:rPr>
          <w:rFonts w:hint="default" w:ascii="Times New Roman" w:hAnsi="Times New Roman" w:eastAsia="华文中宋" w:cs="Times New Roman"/>
          <w:b/>
          <w:szCs w:val="21"/>
          <w:lang w:val="en-US" w:eastAsia="zh-CN"/>
        </w:rPr>
        <w:t>2</w:t>
      </w:r>
      <w:r>
        <w:rPr>
          <w:rFonts w:hint="default" w:ascii="Times New Roman" w:hAnsi="Times New Roman" w:eastAsia="华文中宋" w:cs="Times New Roman"/>
          <w:b/>
          <w:szCs w:val="21"/>
        </w:rPr>
        <w:t>.</w:t>
      </w:r>
      <w:r>
        <w:rPr>
          <w:rFonts w:hint="default" w:ascii="Times New Roman" w:hAnsi="Times New Roman" w:eastAsia="华文中宋" w:cs="Times New Roman"/>
          <w:b/>
          <w:szCs w:val="21"/>
          <w:lang w:val="en-US" w:eastAsia="zh-CN"/>
        </w:rPr>
        <w:t>4</w:t>
      </w:r>
      <w:r>
        <w:rPr>
          <w:rFonts w:hint="default" w:ascii="Times New Roman" w:hAnsi="Times New Roman" w:eastAsia="华文中宋" w:cs="Times New Roman"/>
          <w:b/>
          <w:szCs w:val="21"/>
        </w:rPr>
        <w:t>-</w:t>
      </w:r>
      <w:r>
        <w:rPr>
          <w:rFonts w:hint="default" w:ascii="Times New Roman" w:hAnsi="Times New Roman" w:eastAsia="华文中宋" w:cs="Times New Roman"/>
          <w:b/>
          <w:szCs w:val="21"/>
          <w:lang w:val="en-US" w:eastAsia="zh-CN"/>
        </w:rPr>
        <w:t xml:space="preserve">4  </w:t>
      </w:r>
      <w:r>
        <w:rPr>
          <w:rFonts w:hint="default" w:ascii="Times New Roman" w:hAnsi="Times New Roman" w:eastAsia="华文中宋" w:cs="Times New Roman"/>
          <w:b/>
          <w:szCs w:val="21"/>
        </w:rPr>
        <w:t>声环境质量标准单位：dB（A）</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5"/>
        <w:gridCol w:w="1083"/>
        <w:gridCol w:w="1055"/>
        <w:gridCol w:w="4386"/>
      </w:tblGrid>
      <w:tr w14:paraId="78465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170" w:type="pct"/>
            <w:tcBorders>
              <w:tl2br w:val="nil"/>
              <w:tr2bl w:val="nil"/>
            </w:tcBorders>
            <w:noWrap w:val="0"/>
            <w:vAlign w:val="center"/>
          </w:tcPr>
          <w:p w14:paraId="609F84A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声功能区类别</w:t>
            </w:r>
          </w:p>
        </w:tc>
        <w:tc>
          <w:tcPr>
            <w:tcW w:w="635" w:type="pct"/>
            <w:tcBorders>
              <w:tl2br w:val="nil"/>
              <w:tr2bl w:val="nil"/>
            </w:tcBorders>
            <w:noWrap w:val="0"/>
            <w:vAlign w:val="center"/>
          </w:tcPr>
          <w:p w14:paraId="6B8CF45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昼间</w:t>
            </w:r>
          </w:p>
        </w:tc>
        <w:tc>
          <w:tcPr>
            <w:tcW w:w="619" w:type="pct"/>
            <w:tcBorders>
              <w:tl2br w:val="nil"/>
              <w:tr2bl w:val="nil"/>
            </w:tcBorders>
            <w:noWrap w:val="0"/>
            <w:vAlign w:val="center"/>
          </w:tcPr>
          <w:p w14:paraId="019ED18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夜间</w:t>
            </w:r>
          </w:p>
        </w:tc>
        <w:tc>
          <w:tcPr>
            <w:tcW w:w="2573" w:type="pct"/>
            <w:tcBorders>
              <w:tl2br w:val="nil"/>
              <w:tr2bl w:val="nil"/>
            </w:tcBorders>
            <w:noWrap w:val="0"/>
            <w:vAlign w:val="center"/>
          </w:tcPr>
          <w:p w14:paraId="19506B7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标准来源</w:t>
            </w:r>
          </w:p>
        </w:tc>
      </w:tr>
      <w:tr w14:paraId="7E492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170" w:type="pct"/>
            <w:tcBorders>
              <w:tl2br w:val="nil"/>
              <w:tr2bl w:val="nil"/>
            </w:tcBorders>
            <w:noWrap w:val="0"/>
            <w:vAlign w:val="center"/>
          </w:tcPr>
          <w:p w14:paraId="0E34E5DD">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val="en-US" w:eastAsia="zh-CN"/>
              </w:rPr>
              <w:t>2</w:t>
            </w:r>
          </w:p>
        </w:tc>
        <w:tc>
          <w:tcPr>
            <w:tcW w:w="635" w:type="pct"/>
            <w:tcBorders>
              <w:tl2br w:val="nil"/>
              <w:tr2bl w:val="nil"/>
            </w:tcBorders>
            <w:noWrap w:val="0"/>
            <w:vAlign w:val="center"/>
          </w:tcPr>
          <w:p w14:paraId="1C979DE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60</w:t>
            </w:r>
          </w:p>
        </w:tc>
        <w:tc>
          <w:tcPr>
            <w:tcW w:w="619" w:type="pct"/>
            <w:tcBorders>
              <w:tl2br w:val="nil"/>
              <w:tr2bl w:val="nil"/>
            </w:tcBorders>
            <w:noWrap w:val="0"/>
            <w:vAlign w:val="center"/>
          </w:tcPr>
          <w:p w14:paraId="3BBCC46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50</w:t>
            </w:r>
          </w:p>
        </w:tc>
        <w:tc>
          <w:tcPr>
            <w:tcW w:w="2573" w:type="pct"/>
            <w:tcBorders>
              <w:tl2br w:val="nil"/>
              <w:tr2bl w:val="nil"/>
            </w:tcBorders>
            <w:noWrap w:val="0"/>
            <w:vAlign w:val="center"/>
          </w:tcPr>
          <w:p w14:paraId="26C17A9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《声环境质量标准》（GB3096-2008）</w:t>
            </w:r>
          </w:p>
        </w:tc>
      </w:tr>
    </w:tbl>
    <w:p w14:paraId="17523A2D">
      <w:pPr>
        <w:pStyle w:val="26"/>
        <w:keepNext w:val="0"/>
        <w:keepLines w:val="0"/>
        <w:pageBreakBefore w:val="0"/>
        <w:widowControl w:val="0"/>
        <w:kinsoku/>
        <w:wordWrap/>
        <w:overflowPunct/>
        <w:topLinePunct w:val="0"/>
        <w:autoSpaceDE/>
        <w:autoSpaceDN/>
        <w:bidi w:val="0"/>
        <w:adjustRightInd/>
        <w:snapToGrid/>
        <w:spacing w:after="0" w:afterLines="0" w:line="360" w:lineRule="auto"/>
        <w:textAlignment w:val="auto"/>
        <w:rPr>
          <w:rFonts w:hint="default" w:ascii="Times New Roman" w:hAnsi="Times New Roman" w:eastAsia="华文中宋" w:cs="Times New Roman"/>
          <w:snapToGrid w:val="0"/>
          <w:color w:val="auto"/>
          <w:kern w:val="0"/>
          <w:sz w:val="24"/>
          <w:szCs w:val="24"/>
          <w:lang w:val="en-US" w:eastAsia="zh-CN" w:bidi="ar-SA"/>
        </w:rPr>
      </w:pPr>
      <w:r>
        <w:rPr>
          <w:rFonts w:hint="default" w:ascii="Times New Roman" w:hAnsi="Times New Roman" w:eastAsia="华文中宋" w:cs="Times New Roman"/>
          <w:snapToGrid w:val="0"/>
          <w:color w:val="auto"/>
          <w:kern w:val="0"/>
          <w:sz w:val="24"/>
          <w:szCs w:val="24"/>
          <w:lang w:val="en-US" w:eastAsia="zh-CN" w:bidi="ar-SA"/>
        </w:rPr>
        <w:t>（5）土壤环境</w:t>
      </w:r>
    </w:p>
    <w:p w14:paraId="16D3ACA2">
      <w:pPr>
        <w:pStyle w:val="26"/>
        <w:keepNext w:val="0"/>
        <w:keepLines w:val="0"/>
        <w:pageBreakBefore w:val="0"/>
        <w:widowControl w:val="0"/>
        <w:kinsoku/>
        <w:wordWrap/>
        <w:overflowPunct/>
        <w:topLinePunct w:val="0"/>
        <w:autoSpaceDE/>
        <w:autoSpaceDN/>
        <w:bidi w:val="0"/>
        <w:adjustRightInd/>
        <w:snapToGrid/>
        <w:spacing w:after="0" w:afterLines="0" w:line="360" w:lineRule="auto"/>
        <w:textAlignment w:val="auto"/>
        <w:rPr>
          <w:rFonts w:hint="default" w:ascii="Times New Roman" w:hAnsi="Times New Roman" w:eastAsia="华文中宋" w:cs="Times New Roman"/>
          <w:snapToGrid w:val="0"/>
          <w:color w:val="auto"/>
          <w:kern w:val="0"/>
          <w:sz w:val="24"/>
          <w:szCs w:val="24"/>
          <w:lang w:val="en-US" w:eastAsia="zh-CN" w:bidi="ar-SA"/>
        </w:rPr>
      </w:pPr>
      <w:r>
        <w:rPr>
          <w:rFonts w:hint="default" w:ascii="Times New Roman" w:hAnsi="Times New Roman" w:eastAsia="华文中宋" w:cs="Times New Roman"/>
          <w:snapToGrid w:val="0"/>
          <w:color w:val="auto"/>
          <w:kern w:val="0"/>
          <w:sz w:val="24"/>
          <w:szCs w:val="24"/>
          <w:lang w:val="en-US" w:eastAsia="zh-CN" w:bidi="ar-SA"/>
        </w:rPr>
        <w:t>本项目位于矿产用地区域，项目区</w:t>
      </w:r>
      <w:r>
        <w:rPr>
          <w:rFonts w:hint="eastAsia" w:ascii="Times New Roman" w:hAnsi="Times New Roman" w:eastAsia="华文中宋" w:cs="Times New Roman"/>
          <w:snapToGrid w:val="0"/>
          <w:color w:val="auto"/>
          <w:kern w:val="0"/>
          <w:sz w:val="24"/>
          <w:szCs w:val="24"/>
          <w:lang w:val="en-US" w:eastAsia="zh-CN" w:bidi="ar-SA"/>
        </w:rPr>
        <w:t>内</w:t>
      </w:r>
      <w:r>
        <w:rPr>
          <w:rFonts w:hint="default" w:ascii="Times New Roman" w:hAnsi="Times New Roman" w:eastAsia="华文中宋" w:cs="Times New Roman"/>
          <w:snapToGrid w:val="0"/>
          <w:color w:val="auto"/>
          <w:kern w:val="0"/>
          <w:sz w:val="24"/>
          <w:szCs w:val="24"/>
          <w:lang w:val="en-US" w:eastAsia="zh-CN" w:bidi="ar-SA"/>
        </w:rPr>
        <w:t>土壤环境质量执行《土壤环境质量 建设用地土壤污染风险管控标准（试行）》</w:t>
      </w:r>
      <w:r>
        <w:rPr>
          <w:rFonts w:hint="eastAsia" w:eastAsia="华文中宋" w:cs="Times New Roman"/>
          <w:snapToGrid w:val="0"/>
          <w:color w:val="auto"/>
          <w:kern w:val="0"/>
          <w:sz w:val="24"/>
          <w:szCs w:val="24"/>
          <w:lang w:val="en-US" w:eastAsia="zh-CN" w:bidi="ar-SA"/>
        </w:rPr>
        <w:t>（</w:t>
      </w:r>
      <w:r>
        <w:rPr>
          <w:rFonts w:hint="default" w:ascii="Times New Roman" w:hAnsi="Times New Roman" w:eastAsia="华文中宋" w:cs="Times New Roman"/>
          <w:snapToGrid w:val="0"/>
          <w:color w:val="auto"/>
          <w:kern w:val="0"/>
          <w:sz w:val="24"/>
          <w:szCs w:val="24"/>
          <w:lang w:val="en-US" w:eastAsia="zh-CN" w:bidi="ar-SA"/>
        </w:rPr>
        <w:t>GB36600-2018</w:t>
      </w:r>
      <w:r>
        <w:rPr>
          <w:rFonts w:hint="eastAsia" w:eastAsia="华文中宋" w:cs="Times New Roman"/>
          <w:snapToGrid w:val="0"/>
          <w:color w:val="auto"/>
          <w:kern w:val="0"/>
          <w:sz w:val="24"/>
          <w:szCs w:val="24"/>
          <w:lang w:val="en-US" w:eastAsia="zh-CN" w:bidi="ar-SA"/>
        </w:rPr>
        <w:t>）</w:t>
      </w:r>
      <w:r>
        <w:rPr>
          <w:rFonts w:hint="default" w:ascii="Times New Roman" w:hAnsi="Times New Roman" w:eastAsia="华文中宋" w:cs="Times New Roman"/>
          <w:snapToGrid w:val="0"/>
          <w:color w:val="auto"/>
          <w:kern w:val="0"/>
          <w:sz w:val="24"/>
          <w:szCs w:val="24"/>
          <w:lang w:val="en-US" w:eastAsia="zh-CN" w:bidi="ar-SA"/>
        </w:rPr>
        <w:t>，具体见表2.4-5。</w:t>
      </w:r>
      <w:r>
        <w:rPr>
          <w:rFonts w:hint="eastAsia" w:ascii="Times New Roman" w:hAnsi="Times New Roman" w:eastAsia="华文中宋" w:cs="Times New Roman"/>
          <w:snapToGrid w:val="0"/>
          <w:color w:val="auto"/>
          <w:kern w:val="0"/>
          <w:sz w:val="24"/>
          <w:szCs w:val="24"/>
          <w:lang w:val="en-US" w:eastAsia="zh-CN" w:bidi="ar-SA"/>
        </w:rPr>
        <w:t>项目区外执行《土壤环境质量 农用地土壤污染风险管控标准（试行）》（GB15618-2018）见表2.4-</w:t>
      </w:r>
      <w:r>
        <w:rPr>
          <w:rFonts w:hint="eastAsia" w:eastAsia="华文中宋" w:cs="Times New Roman"/>
          <w:snapToGrid w:val="0"/>
          <w:color w:val="auto"/>
          <w:kern w:val="0"/>
          <w:sz w:val="24"/>
          <w:szCs w:val="24"/>
          <w:lang w:val="en-US" w:eastAsia="zh-CN" w:bidi="ar-SA"/>
        </w:rPr>
        <w:t>6</w:t>
      </w:r>
      <w:r>
        <w:rPr>
          <w:rFonts w:hint="eastAsia" w:ascii="Times New Roman" w:hAnsi="Times New Roman" w:eastAsia="华文中宋" w:cs="Times New Roman"/>
          <w:snapToGrid w:val="0"/>
          <w:color w:val="auto"/>
          <w:kern w:val="0"/>
          <w:sz w:val="24"/>
          <w:szCs w:val="24"/>
          <w:lang w:val="en-US" w:eastAsia="zh-CN" w:bidi="ar-SA"/>
        </w:rPr>
        <w:t>。</w:t>
      </w:r>
    </w:p>
    <w:p w14:paraId="7C51F2CD">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表2.4-5  建设用地土壤污染风险筛选值和管制值（基本项目）</w:t>
      </w:r>
    </w:p>
    <w:p w14:paraId="444D3320">
      <w:pPr>
        <w:adjustRightInd w:val="0"/>
        <w:snapToGrid w:val="0"/>
        <w:spacing w:before="250" w:beforeLines="50"/>
        <w:ind w:firstLine="422" w:firstLineChars="200"/>
        <w:jc w:val="right"/>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单位：mg/kg</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3125"/>
        <w:gridCol w:w="1947"/>
        <w:gridCol w:w="2002"/>
      </w:tblGrid>
      <w:tr w14:paraId="1C5F6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848" w:type="pct"/>
            <w:vMerge w:val="restart"/>
            <w:vAlign w:val="center"/>
          </w:tcPr>
          <w:p w14:paraId="0EA91F2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序号</w:t>
            </w:r>
          </w:p>
        </w:tc>
        <w:tc>
          <w:tcPr>
            <w:tcW w:w="1834" w:type="pct"/>
            <w:vMerge w:val="restart"/>
            <w:vAlign w:val="center"/>
          </w:tcPr>
          <w:p w14:paraId="73DBCC6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污染物项目</w:t>
            </w:r>
          </w:p>
        </w:tc>
        <w:tc>
          <w:tcPr>
            <w:tcW w:w="1143" w:type="pct"/>
            <w:vAlign w:val="center"/>
          </w:tcPr>
          <w:p w14:paraId="5116548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筛选值</w:t>
            </w:r>
          </w:p>
        </w:tc>
        <w:tc>
          <w:tcPr>
            <w:tcW w:w="1173" w:type="pct"/>
            <w:vAlign w:val="center"/>
          </w:tcPr>
          <w:p w14:paraId="01012EF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管制值</w:t>
            </w:r>
          </w:p>
        </w:tc>
      </w:tr>
      <w:tr w14:paraId="0BD2D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8" w:type="pct"/>
            <w:vMerge w:val="continue"/>
            <w:vAlign w:val="center"/>
          </w:tcPr>
          <w:p w14:paraId="0140FFD0">
            <w:pPr>
              <w:spacing w:line="300" w:lineRule="exact"/>
              <w:jc w:val="center"/>
              <w:rPr>
                <w:rFonts w:hint="default" w:ascii="Times New Roman" w:hAnsi="Times New Roman" w:eastAsia="华文中宋" w:cs="Times New Roman"/>
                <w:szCs w:val="21"/>
              </w:rPr>
            </w:pPr>
          </w:p>
        </w:tc>
        <w:tc>
          <w:tcPr>
            <w:tcW w:w="1834" w:type="pct"/>
            <w:vMerge w:val="continue"/>
            <w:vAlign w:val="center"/>
          </w:tcPr>
          <w:p w14:paraId="1FC9C1A0">
            <w:pPr>
              <w:spacing w:line="300" w:lineRule="exact"/>
              <w:jc w:val="center"/>
              <w:rPr>
                <w:rFonts w:hint="default" w:ascii="Times New Roman" w:hAnsi="Times New Roman" w:eastAsia="华文中宋" w:cs="Times New Roman"/>
                <w:szCs w:val="21"/>
              </w:rPr>
            </w:pPr>
          </w:p>
        </w:tc>
        <w:tc>
          <w:tcPr>
            <w:tcW w:w="1143" w:type="pct"/>
            <w:vAlign w:val="center"/>
          </w:tcPr>
          <w:p w14:paraId="6A6B50A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第二类用地</w:t>
            </w:r>
          </w:p>
        </w:tc>
        <w:tc>
          <w:tcPr>
            <w:tcW w:w="1173" w:type="pct"/>
            <w:vAlign w:val="center"/>
          </w:tcPr>
          <w:p w14:paraId="0BAE17E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第二类用地</w:t>
            </w:r>
          </w:p>
        </w:tc>
      </w:tr>
      <w:tr w14:paraId="7C741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6529A12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重金属和无机物</w:t>
            </w:r>
          </w:p>
        </w:tc>
      </w:tr>
      <w:tr w14:paraId="26CDC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vAlign w:val="center"/>
          </w:tcPr>
          <w:p w14:paraId="0460A72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w:t>
            </w:r>
          </w:p>
        </w:tc>
        <w:tc>
          <w:tcPr>
            <w:tcW w:w="1834" w:type="pct"/>
            <w:vAlign w:val="center"/>
          </w:tcPr>
          <w:p w14:paraId="5BD91CA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砷</w:t>
            </w:r>
          </w:p>
        </w:tc>
        <w:tc>
          <w:tcPr>
            <w:tcW w:w="1143" w:type="pct"/>
            <w:vAlign w:val="center"/>
          </w:tcPr>
          <w:p w14:paraId="387ADDB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60a</w:t>
            </w:r>
          </w:p>
        </w:tc>
        <w:tc>
          <w:tcPr>
            <w:tcW w:w="1173" w:type="pct"/>
            <w:vAlign w:val="center"/>
          </w:tcPr>
          <w:p w14:paraId="629E7DE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140</w:t>
            </w:r>
          </w:p>
        </w:tc>
      </w:tr>
      <w:tr w14:paraId="5BC6A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vAlign w:val="center"/>
          </w:tcPr>
          <w:p w14:paraId="556B9FD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w:t>
            </w:r>
          </w:p>
        </w:tc>
        <w:tc>
          <w:tcPr>
            <w:tcW w:w="1834" w:type="pct"/>
            <w:vAlign w:val="center"/>
          </w:tcPr>
          <w:p w14:paraId="39D08CF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镉</w:t>
            </w:r>
          </w:p>
        </w:tc>
        <w:tc>
          <w:tcPr>
            <w:tcW w:w="1143" w:type="pct"/>
            <w:vAlign w:val="center"/>
          </w:tcPr>
          <w:p w14:paraId="003AEBE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65</w:t>
            </w:r>
          </w:p>
        </w:tc>
        <w:tc>
          <w:tcPr>
            <w:tcW w:w="1173" w:type="pct"/>
            <w:vAlign w:val="center"/>
          </w:tcPr>
          <w:p w14:paraId="13D4E0E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172</w:t>
            </w:r>
          </w:p>
        </w:tc>
      </w:tr>
      <w:tr w14:paraId="3BCB2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vAlign w:val="center"/>
          </w:tcPr>
          <w:p w14:paraId="467230B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w:t>
            </w:r>
          </w:p>
        </w:tc>
        <w:tc>
          <w:tcPr>
            <w:tcW w:w="1834" w:type="pct"/>
            <w:vAlign w:val="center"/>
          </w:tcPr>
          <w:p w14:paraId="3B80CC2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铬（六价）</w:t>
            </w:r>
          </w:p>
        </w:tc>
        <w:tc>
          <w:tcPr>
            <w:tcW w:w="1143" w:type="pct"/>
            <w:vAlign w:val="center"/>
          </w:tcPr>
          <w:p w14:paraId="215912F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5.7</w:t>
            </w:r>
          </w:p>
        </w:tc>
        <w:tc>
          <w:tcPr>
            <w:tcW w:w="1173" w:type="pct"/>
            <w:vAlign w:val="center"/>
          </w:tcPr>
          <w:p w14:paraId="7EC0771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78</w:t>
            </w:r>
          </w:p>
        </w:tc>
      </w:tr>
      <w:tr w14:paraId="0558E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vAlign w:val="center"/>
          </w:tcPr>
          <w:p w14:paraId="5FB8330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w:t>
            </w:r>
          </w:p>
        </w:tc>
        <w:tc>
          <w:tcPr>
            <w:tcW w:w="1834" w:type="pct"/>
            <w:vAlign w:val="center"/>
          </w:tcPr>
          <w:p w14:paraId="49402FA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铜</w:t>
            </w:r>
          </w:p>
        </w:tc>
        <w:tc>
          <w:tcPr>
            <w:tcW w:w="1143" w:type="pct"/>
            <w:vAlign w:val="center"/>
          </w:tcPr>
          <w:p w14:paraId="72253C7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18000</w:t>
            </w:r>
          </w:p>
        </w:tc>
        <w:tc>
          <w:tcPr>
            <w:tcW w:w="1173" w:type="pct"/>
            <w:vAlign w:val="center"/>
          </w:tcPr>
          <w:p w14:paraId="48FA5EB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36000</w:t>
            </w:r>
          </w:p>
        </w:tc>
      </w:tr>
      <w:tr w14:paraId="296FE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vAlign w:val="center"/>
          </w:tcPr>
          <w:p w14:paraId="765B9C8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w:t>
            </w:r>
          </w:p>
        </w:tc>
        <w:tc>
          <w:tcPr>
            <w:tcW w:w="1834" w:type="pct"/>
            <w:vAlign w:val="center"/>
          </w:tcPr>
          <w:p w14:paraId="42B0746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铅</w:t>
            </w:r>
          </w:p>
        </w:tc>
        <w:tc>
          <w:tcPr>
            <w:tcW w:w="1143" w:type="pct"/>
            <w:vAlign w:val="center"/>
          </w:tcPr>
          <w:p w14:paraId="60D2CFD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800</w:t>
            </w:r>
          </w:p>
        </w:tc>
        <w:tc>
          <w:tcPr>
            <w:tcW w:w="1173" w:type="pct"/>
            <w:vAlign w:val="center"/>
          </w:tcPr>
          <w:p w14:paraId="73F8AC6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2500</w:t>
            </w:r>
          </w:p>
        </w:tc>
      </w:tr>
      <w:tr w14:paraId="30903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vAlign w:val="center"/>
          </w:tcPr>
          <w:p w14:paraId="4AFF3DF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w:t>
            </w:r>
          </w:p>
        </w:tc>
        <w:tc>
          <w:tcPr>
            <w:tcW w:w="1834" w:type="pct"/>
            <w:vAlign w:val="center"/>
          </w:tcPr>
          <w:p w14:paraId="4C4D1EE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汞</w:t>
            </w:r>
          </w:p>
        </w:tc>
        <w:tc>
          <w:tcPr>
            <w:tcW w:w="1143" w:type="pct"/>
            <w:vAlign w:val="center"/>
          </w:tcPr>
          <w:p w14:paraId="22EBF94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38</w:t>
            </w:r>
          </w:p>
        </w:tc>
        <w:tc>
          <w:tcPr>
            <w:tcW w:w="1173" w:type="pct"/>
            <w:vAlign w:val="center"/>
          </w:tcPr>
          <w:p w14:paraId="3CA9CC1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82</w:t>
            </w:r>
          </w:p>
        </w:tc>
      </w:tr>
      <w:tr w14:paraId="5C042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vAlign w:val="center"/>
          </w:tcPr>
          <w:p w14:paraId="22665ED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7</w:t>
            </w:r>
          </w:p>
        </w:tc>
        <w:tc>
          <w:tcPr>
            <w:tcW w:w="1834" w:type="pct"/>
            <w:vAlign w:val="center"/>
          </w:tcPr>
          <w:p w14:paraId="63E60C8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镍</w:t>
            </w:r>
          </w:p>
        </w:tc>
        <w:tc>
          <w:tcPr>
            <w:tcW w:w="1143" w:type="pct"/>
            <w:vAlign w:val="center"/>
          </w:tcPr>
          <w:p w14:paraId="4431104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900</w:t>
            </w:r>
          </w:p>
        </w:tc>
        <w:tc>
          <w:tcPr>
            <w:tcW w:w="1173" w:type="pct"/>
            <w:vAlign w:val="center"/>
          </w:tcPr>
          <w:p w14:paraId="35DE12F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2000</w:t>
            </w:r>
          </w:p>
        </w:tc>
      </w:tr>
      <w:tr w14:paraId="7431B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4968DA8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挥发性有机物</w:t>
            </w:r>
          </w:p>
        </w:tc>
      </w:tr>
      <w:tr w14:paraId="05607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vAlign w:val="center"/>
          </w:tcPr>
          <w:p w14:paraId="0F11824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w:t>
            </w:r>
          </w:p>
        </w:tc>
        <w:tc>
          <w:tcPr>
            <w:tcW w:w="1834" w:type="pct"/>
            <w:vAlign w:val="center"/>
          </w:tcPr>
          <w:p w14:paraId="4314785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四氯化碳</w:t>
            </w:r>
          </w:p>
        </w:tc>
        <w:tc>
          <w:tcPr>
            <w:tcW w:w="1143" w:type="pct"/>
            <w:vAlign w:val="center"/>
          </w:tcPr>
          <w:p w14:paraId="63B78B6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2.8</w:t>
            </w:r>
          </w:p>
        </w:tc>
        <w:tc>
          <w:tcPr>
            <w:tcW w:w="1173" w:type="pct"/>
            <w:vAlign w:val="center"/>
          </w:tcPr>
          <w:p w14:paraId="753D7A9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36</w:t>
            </w:r>
          </w:p>
        </w:tc>
      </w:tr>
      <w:tr w14:paraId="79880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vAlign w:val="center"/>
          </w:tcPr>
          <w:p w14:paraId="2E8449C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9</w:t>
            </w:r>
          </w:p>
        </w:tc>
        <w:tc>
          <w:tcPr>
            <w:tcW w:w="1834" w:type="pct"/>
            <w:vAlign w:val="center"/>
          </w:tcPr>
          <w:p w14:paraId="5ABAC56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氯仿</w:t>
            </w:r>
          </w:p>
        </w:tc>
        <w:tc>
          <w:tcPr>
            <w:tcW w:w="1143" w:type="pct"/>
            <w:vAlign w:val="center"/>
          </w:tcPr>
          <w:p w14:paraId="56D1EA5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0.9</w:t>
            </w:r>
          </w:p>
        </w:tc>
        <w:tc>
          <w:tcPr>
            <w:tcW w:w="1173" w:type="pct"/>
            <w:vAlign w:val="center"/>
          </w:tcPr>
          <w:p w14:paraId="34CA0FA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w:t>
            </w:r>
          </w:p>
        </w:tc>
      </w:tr>
      <w:tr w14:paraId="3570A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vAlign w:val="center"/>
          </w:tcPr>
          <w:p w14:paraId="2D47089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w:t>
            </w:r>
          </w:p>
        </w:tc>
        <w:tc>
          <w:tcPr>
            <w:tcW w:w="1834" w:type="pct"/>
            <w:vAlign w:val="center"/>
          </w:tcPr>
          <w:p w14:paraId="22915FB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氯甲烷</w:t>
            </w:r>
          </w:p>
        </w:tc>
        <w:tc>
          <w:tcPr>
            <w:tcW w:w="1143" w:type="pct"/>
            <w:vAlign w:val="center"/>
          </w:tcPr>
          <w:p w14:paraId="613F53D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37</w:t>
            </w:r>
          </w:p>
        </w:tc>
        <w:tc>
          <w:tcPr>
            <w:tcW w:w="1173" w:type="pct"/>
            <w:vAlign w:val="center"/>
          </w:tcPr>
          <w:p w14:paraId="5257CBE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120</w:t>
            </w:r>
          </w:p>
        </w:tc>
      </w:tr>
      <w:tr w14:paraId="48C00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vAlign w:val="center"/>
          </w:tcPr>
          <w:p w14:paraId="7C22E98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11</w:t>
            </w:r>
          </w:p>
        </w:tc>
        <w:tc>
          <w:tcPr>
            <w:tcW w:w="1834" w:type="pct"/>
            <w:vAlign w:val="center"/>
          </w:tcPr>
          <w:p w14:paraId="75EF4AE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1,1-二氯乙烷</w:t>
            </w:r>
          </w:p>
        </w:tc>
        <w:tc>
          <w:tcPr>
            <w:tcW w:w="1143" w:type="pct"/>
            <w:vAlign w:val="center"/>
          </w:tcPr>
          <w:p w14:paraId="25D2146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9</w:t>
            </w:r>
          </w:p>
        </w:tc>
        <w:tc>
          <w:tcPr>
            <w:tcW w:w="1173" w:type="pct"/>
            <w:vAlign w:val="center"/>
          </w:tcPr>
          <w:p w14:paraId="6233173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100</w:t>
            </w:r>
          </w:p>
        </w:tc>
      </w:tr>
      <w:tr w14:paraId="17CC1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vAlign w:val="center"/>
          </w:tcPr>
          <w:p w14:paraId="48322EC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12</w:t>
            </w:r>
          </w:p>
        </w:tc>
        <w:tc>
          <w:tcPr>
            <w:tcW w:w="1834" w:type="pct"/>
            <w:vAlign w:val="center"/>
          </w:tcPr>
          <w:p w14:paraId="1528B0D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1,2-二氯乙烷</w:t>
            </w:r>
          </w:p>
        </w:tc>
        <w:tc>
          <w:tcPr>
            <w:tcW w:w="1143" w:type="pct"/>
            <w:vAlign w:val="center"/>
          </w:tcPr>
          <w:p w14:paraId="3025153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w:t>
            </w:r>
          </w:p>
        </w:tc>
        <w:tc>
          <w:tcPr>
            <w:tcW w:w="1173" w:type="pct"/>
            <w:vAlign w:val="center"/>
          </w:tcPr>
          <w:p w14:paraId="7328E9D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21</w:t>
            </w:r>
          </w:p>
        </w:tc>
      </w:tr>
      <w:tr w14:paraId="12604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vAlign w:val="center"/>
          </w:tcPr>
          <w:p w14:paraId="010C9B6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13</w:t>
            </w:r>
          </w:p>
        </w:tc>
        <w:tc>
          <w:tcPr>
            <w:tcW w:w="1834" w:type="pct"/>
            <w:vAlign w:val="center"/>
          </w:tcPr>
          <w:p w14:paraId="655315A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1,1二氯乙烯</w:t>
            </w:r>
          </w:p>
        </w:tc>
        <w:tc>
          <w:tcPr>
            <w:tcW w:w="1143" w:type="pct"/>
            <w:vAlign w:val="center"/>
          </w:tcPr>
          <w:p w14:paraId="08A3859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66</w:t>
            </w:r>
          </w:p>
        </w:tc>
        <w:tc>
          <w:tcPr>
            <w:tcW w:w="1173" w:type="pct"/>
            <w:vAlign w:val="center"/>
          </w:tcPr>
          <w:p w14:paraId="4245DC2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200</w:t>
            </w:r>
          </w:p>
        </w:tc>
      </w:tr>
      <w:tr w14:paraId="7E77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vAlign w:val="center"/>
          </w:tcPr>
          <w:p w14:paraId="16D244D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14</w:t>
            </w:r>
          </w:p>
        </w:tc>
        <w:tc>
          <w:tcPr>
            <w:tcW w:w="1834" w:type="pct"/>
            <w:vAlign w:val="center"/>
          </w:tcPr>
          <w:p w14:paraId="260D252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顺-1,2-二氯乙烯</w:t>
            </w:r>
          </w:p>
        </w:tc>
        <w:tc>
          <w:tcPr>
            <w:tcW w:w="1143" w:type="pct"/>
            <w:vAlign w:val="center"/>
          </w:tcPr>
          <w:p w14:paraId="2B63EA0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596</w:t>
            </w:r>
          </w:p>
        </w:tc>
        <w:tc>
          <w:tcPr>
            <w:tcW w:w="1173" w:type="pct"/>
            <w:vAlign w:val="center"/>
          </w:tcPr>
          <w:p w14:paraId="4EE412F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2000</w:t>
            </w:r>
          </w:p>
        </w:tc>
      </w:tr>
      <w:tr w14:paraId="33793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vAlign w:val="center"/>
          </w:tcPr>
          <w:p w14:paraId="7C1C0AC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15</w:t>
            </w:r>
          </w:p>
        </w:tc>
        <w:tc>
          <w:tcPr>
            <w:tcW w:w="1834" w:type="pct"/>
            <w:vAlign w:val="center"/>
          </w:tcPr>
          <w:p w14:paraId="45271D2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反</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-1,2-二氯乙烯</w:t>
            </w:r>
          </w:p>
        </w:tc>
        <w:tc>
          <w:tcPr>
            <w:tcW w:w="1143" w:type="pct"/>
            <w:vAlign w:val="center"/>
          </w:tcPr>
          <w:p w14:paraId="48665D6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54</w:t>
            </w:r>
          </w:p>
        </w:tc>
        <w:tc>
          <w:tcPr>
            <w:tcW w:w="1173" w:type="pct"/>
            <w:vAlign w:val="center"/>
          </w:tcPr>
          <w:p w14:paraId="2567D62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163</w:t>
            </w:r>
          </w:p>
        </w:tc>
      </w:tr>
      <w:tr w14:paraId="45D4C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vAlign w:val="center"/>
          </w:tcPr>
          <w:p w14:paraId="4DBA48D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16</w:t>
            </w:r>
          </w:p>
        </w:tc>
        <w:tc>
          <w:tcPr>
            <w:tcW w:w="1834" w:type="pct"/>
            <w:vAlign w:val="center"/>
          </w:tcPr>
          <w:p w14:paraId="5755EAF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二氯甲烷</w:t>
            </w:r>
          </w:p>
        </w:tc>
        <w:tc>
          <w:tcPr>
            <w:tcW w:w="1143" w:type="pct"/>
            <w:vAlign w:val="center"/>
          </w:tcPr>
          <w:p w14:paraId="2E3F058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616</w:t>
            </w:r>
          </w:p>
        </w:tc>
        <w:tc>
          <w:tcPr>
            <w:tcW w:w="1173" w:type="pct"/>
            <w:vAlign w:val="center"/>
          </w:tcPr>
          <w:p w14:paraId="5A69B03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2000</w:t>
            </w:r>
          </w:p>
        </w:tc>
      </w:tr>
      <w:tr w14:paraId="30AD3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vAlign w:val="center"/>
          </w:tcPr>
          <w:p w14:paraId="5087DA5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17</w:t>
            </w:r>
          </w:p>
        </w:tc>
        <w:tc>
          <w:tcPr>
            <w:tcW w:w="1834" w:type="pct"/>
            <w:vAlign w:val="center"/>
          </w:tcPr>
          <w:p w14:paraId="7F9FE89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1,2-二氯丙烷</w:t>
            </w:r>
          </w:p>
        </w:tc>
        <w:tc>
          <w:tcPr>
            <w:tcW w:w="1143" w:type="pct"/>
            <w:vAlign w:val="center"/>
          </w:tcPr>
          <w:p w14:paraId="1F7C7ED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w:t>
            </w:r>
          </w:p>
        </w:tc>
        <w:tc>
          <w:tcPr>
            <w:tcW w:w="1173" w:type="pct"/>
            <w:vAlign w:val="center"/>
          </w:tcPr>
          <w:p w14:paraId="64FAEB5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47</w:t>
            </w:r>
          </w:p>
        </w:tc>
      </w:tr>
      <w:tr w14:paraId="2F8C3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vAlign w:val="center"/>
          </w:tcPr>
          <w:p w14:paraId="7C93C9F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18</w:t>
            </w:r>
          </w:p>
        </w:tc>
        <w:tc>
          <w:tcPr>
            <w:tcW w:w="1834" w:type="pct"/>
            <w:vAlign w:val="center"/>
          </w:tcPr>
          <w:p w14:paraId="58F452D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1,1,1,2-四氯乙烷</w:t>
            </w:r>
          </w:p>
        </w:tc>
        <w:tc>
          <w:tcPr>
            <w:tcW w:w="1143" w:type="pct"/>
            <w:vAlign w:val="center"/>
          </w:tcPr>
          <w:p w14:paraId="64D3D8A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w:t>
            </w:r>
          </w:p>
        </w:tc>
        <w:tc>
          <w:tcPr>
            <w:tcW w:w="1173" w:type="pct"/>
            <w:vAlign w:val="center"/>
          </w:tcPr>
          <w:p w14:paraId="208E5DA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100</w:t>
            </w:r>
          </w:p>
        </w:tc>
      </w:tr>
      <w:tr w14:paraId="2C4DF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vAlign w:val="center"/>
          </w:tcPr>
          <w:p w14:paraId="6BFCA8E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19</w:t>
            </w:r>
          </w:p>
        </w:tc>
        <w:tc>
          <w:tcPr>
            <w:tcW w:w="1834" w:type="pct"/>
            <w:vAlign w:val="center"/>
          </w:tcPr>
          <w:p w14:paraId="52F5E0E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1,1,2,2-四氯乙烷</w:t>
            </w:r>
          </w:p>
        </w:tc>
        <w:tc>
          <w:tcPr>
            <w:tcW w:w="1143" w:type="pct"/>
            <w:vAlign w:val="center"/>
          </w:tcPr>
          <w:p w14:paraId="7F9798A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6.8</w:t>
            </w:r>
          </w:p>
        </w:tc>
        <w:tc>
          <w:tcPr>
            <w:tcW w:w="1173" w:type="pct"/>
            <w:vAlign w:val="center"/>
          </w:tcPr>
          <w:p w14:paraId="26DAADD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50</w:t>
            </w:r>
          </w:p>
        </w:tc>
      </w:tr>
      <w:tr w14:paraId="37700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vAlign w:val="center"/>
          </w:tcPr>
          <w:p w14:paraId="3CFAD41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w:t>
            </w:r>
          </w:p>
        </w:tc>
        <w:tc>
          <w:tcPr>
            <w:tcW w:w="1834" w:type="pct"/>
            <w:vAlign w:val="center"/>
          </w:tcPr>
          <w:p w14:paraId="5D3C448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四氯乙烯</w:t>
            </w:r>
          </w:p>
        </w:tc>
        <w:tc>
          <w:tcPr>
            <w:tcW w:w="1143" w:type="pct"/>
            <w:vAlign w:val="center"/>
          </w:tcPr>
          <w:p w14:paraId="0AFAE58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53</w:t>
            </w:r>
          </w:p>
        </w:tc>
        <w:tc>
          <w:tcPr>
            <w:tcW w:w="1173" w:type="pct"/>
            <w:vAlign w:val="center"/>
          </w:tcPr>
          <w:p w14:paraId="58FA3DE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183</w:t>
            </w:r>
          </w:p>
        </w:tc>
      </w:tr>
      <w:tr w14:paraId="58634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vAlign w:val="center"/>
          </w:tcPr>
          <w:p w14:paraId="098FC42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21</w:t>
            </w:r>
          </w:p>
        </w:tc>
        <w:tc>
          <w:tcPr>
            <w:tcW w:w="1834" w:type="pct"/>
            <w:vAlign w:val="center"/>
          </w:tcPr>
          <w:p w14:paraId="3A3ED9F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1,1,1-三氯乙烷</w:t>
            </w:r>
          </w:p>
        </w:tc>
        <w:tc>
          <w:tcPr>
            <w:tcW w:w="1143" w:type="pct"/>
            <w:vAlign w:val="center"/>
          </w:tcPr>
          <w:p w14:paraId="7D15D7B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840</w:t>
            </w:r>
          </w:p>
        </w:tc>
        <w:tc>
          <w:tcPr>
            <w:tcW w:w="1173" w:type="pct"/>
            <w:vAlign w:val="center"/>
          </w:tcPr>
          <w:p w14:paraId="5B32D4D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840</w:t>
            </w:r>
          </w:p>
        </w:tc>
      </w:tr>
      <w:tr w14:paraId="2B12F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vAlign w:val="center"/>
          </w:tcPr>
          <w:p w14:paraId="5353253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22</w:t>
            </w:r>
          </w:p>
        </w:tc>
        <w:tc>
          <w:tcPr>
            <w:tcW w:w="1834" w:type="pct"/>
            <w:vAlign w:val="center"/>
          </w:tcPr>
          <w:p w14:paraId="2EDE16C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1,1,2-三氯乙烷</w:t>
            </w:r>
          </w:p>
        </w:tc>
        <w:tc>
          <w:tcPr>
            <w:tcW w:w="1143" w:type="pct"/>
            <w:vAlign w:val="center"/>
          </w:tcPr>
          <w:p w14:paraId="5760054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2.8</w:t>
            </w:r>
          </w:p>
        </w:tc>
        <w:tc>
          <w:tcPr>
            <w:tcW w:w="1173" w:type="pct"/>
            <w:vAlign w:val="center"/>
          </w:tcPr>
          <w:p w14:paraId="6F696B0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15</w:t>
            </w:r>
          </w:p>
        </w:tc>
      </w:tr>
      <w:tr w14:paraId="317B5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vAlign w:val="center"/>
          </w:tcPr>
          <w:p w14:paraId="15D014D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23</w:t>
            </w:r>
          </w:p>
        </w:tc>
        <w:tc>
          <w:tcPr>
            <w:tcW w:w="1834" w:type="pct"/>
            <w:vAlign w:val="center"/>
          </w:tcPr>
          <w:p w14:paraId="3C20357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三氯乙烯</w:t>
            </w:r>
          </w:p>
        </w:tc>
        <w:tc>
          <w:tcPr>
            <w:tcW w:w="1143" w:type="pct"/>
            <w:vAlign w:val="center"/>
          </w:tcPr>
          <w:p w14:paraId="269F5A1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2.8</w:t>
            </w:r>
          </w:p>
        </w:tc>
        <w:tc>
          <w:tcPr>
            <w:tcW w:w="1173" w:type="pct"/>
            <w:vAlign w:val="center"/>
          </w:tcPr>
          <w:p w14:paraId="4859A37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w:t>
            </w:r>
          </w:p>
        </w:tc>
      </w:tr>
      <w:tr w14:paraId="491BE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vAlign w:val="center"/>
          </w:tcPr>
          <w:p w14:paraId="221D95B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24</w:t>
            </w:r>
          </w:p>
        </w:tc>
        <w:tc>
          <w:tcPr>
            <w:tcW w:w="1834" w:type="pct"/>
            <w:vAlign w:val="center"/>
          </w:tcPr>
          <w:p w14:paraId="4871973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1,2,3-三氯丙烷</w:t>
            </w:r>
          </w:p>
        </w:tc>
        <w:tc>
          <w:tcPr>
            <w:tcW w:w="1143" w:type="pct"/>
            <w:vAlign w:val="center"/>
          </w:tcPr>
          <w:p w14:paraId="496476E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0.5</w:t>
            </w:r>
          </w:p>
        </w:tc>
        <w:tc>
          <w:tcPr>
            <w:tcW w:w="1173" w:type="pct"/>
            <w:vAlign w:val="center"/>
          </w:tcPr>
          <w:p w14:paraId="57E9E1C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w:t>
            </w:r>
          </w:p>
        </w:tc>
      </w:tr>
      <w:tr w14:paraId="25EE7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vAlign w:val="center"/>
          </w:tcPr>
          <w:p w14:paraId="779323F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25</w:t>
            </w:r>
          </w:p>
        </w:tc>
        <w:tc>
          <w:tcPr>
            <w:tcW w:w="1834" w:type="pct"/>
            <w:vAlign w:val="center"/>
          </w:tcPr>
          <w:p w14:paraId="2CADA5A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氯乙烯</w:t>
            </w:r>
          </w:p>
        </w:tc>
        <w:tc>
          <w:tcPr>
            <w:tcW w:w="1143" w:type="pct"/>
            <w:vAlign w:val="center"/>
          </w:tcPr>
          <w:p w14:paraId="4BB0192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0.43</w:t>
            </w:r>
          </w:p>
        </w:tc>
        <w:tc>
          <w:tcPr>
            <w:tcW w:w="1173" w:type="pct"/>
            <w:vAlign w:val="center"/>
          </w:tcPr>
          <w:p w14:paraId="4FF99C9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4.3</w:t>
            </w:r>
          </w:p>
        </w:tc>
      </w:tr>
      <w:tr w14:paraId="4BD8F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vAlign w:val="center"/>
          </w:tcPr>
          <w:p w14:paraId="5F05EEE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26</w:t>
            </w:r>
          </w:p>
        </w:tc>
        <w:tc>
          <w:tcPr>
            <w:tcW w:w="1834" w:type="pct"/>
            <w:vAlign w:val="center"/>
          </w:tcPr>
          <w:p w14:paraId="1530CAA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苯</w:t>
            </w:r>
          </w:p>
        </w:tc>
        <w:tc>
          <w:tcPr>
            <w:tcW w:w="1143" w:type="pct"/>
            <w:vAlign w:val="center"/>
          </w:tcPr>
          <w:p w14:paraId="4EC9A2D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w:t>
            </w:r>
          </w:p>
        </w:tc>
        <w:tc>
          <w:tcPr>
            <w:tcW w:w="1173" w:type="pct"/>
            <w:vAlign w:val="center"/>
          </w:tcPr>
          <w:p w14:paraId="7D07837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40</w:t>
            </w:r>
          </w:p>
        </w:tc>
      </w:tr>
      <w:tr w14:paraId="0C944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vAlign w:val="center"/>
          </w:tcPr>
          <w:p w14:paraId="350CE5B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27</w:t>
            </w:r>
          </w:p>
        </w:tc>
        <w:tc>
          <w:tcPr>
            <w:tcW w:w="1834" w:type="pct"/>
            <w:vAlign w:val="center"/>
          </w:tcPr>
          <w:p w14:paraId="00FE929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氯苯</w:t>
            </w:r>
          </w:p>
        </w:tc>
        <w:tc>
          <w:tcPr>
            <w:tcW w:w="1143" w:type="pct"/>
            <w:vAlign w:val="center"/>
          </w:tcPr>
          <w:p w14:paraId="6ED3A99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270</w:t>
            </w:r>
          </w:p>
        </w:tc>
        <w:tc>
          <w:tcPr>
            <w:tcW w:w="1173" w:type="pct"/>
            <w:vAlign w:val="center"/>
          </w:tcPr>
          <w:p w14:paraId="6CA9A74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1000</w:t>
            </w:r>
          </w:p>
        </w:tc>
      </w:tr>
      <w:tr w14:paraId="57A2E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vAlign w:val="center"/>
          </w:tcPr>
          <w:p w14:paraId="1020B49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28</w:t>
            </w:r>
          </w:p>
        </w:tc>
        <w:tc>
          <w:tcPr>
            <w:tcW w:w="1834" w:type="pct"/>
            <w:vAlign w:val="center"/>
          </w:tcPr>
          <w:p w14:paraId="16297FF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1,2-二氯苯</w:t>
            </w:r>
          </w:p>
        </w:tc>
        <w:tc>
          <w:tcPr>
            <w:tcW w:w="1143" w:type="pct"/>
            <w:vAlign w:val="center"/>
          </w:tcPr>
          <w:p w14:paraId="25FF445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560</w:t>
            </w:r>
          </w:p>
        </w:tc>
        <w:tc>
          <w:tcPr>
            <w:tcW w:w="1173" w:type="pct"/>
            <w:vAlign w:val="center"/>
          </w:tcPr>
          <w:p w14:paraId="0A0021B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560</w:t>
            </w:r>
          </w:p>
        </w:tc>
      </w:tr>
      <w:tr w14:paraId="1F75C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vAlign w:val="center"/>
          </w:tcPr>
          <w:p w14:paraId="07AE30F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29</w:t>
            </w:r>
          </w:p>
        </w:tc>
        <w:tc>
          <w:tcPr>
            <w:tcW w:w="1834" w:type="pct"/>
            <w:vAlign w:val="center"/>
          </w:tcPr>
          <w:p w14:paraId="563A48C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1,4-二氯苯</w:t>
            </w:r>
          </w:p>
        </w:tc>
        <w:tc>
          <w:tcPr>
            <w:tcW w:w="1143" w:type="pct"/>
            <w:vAlign w:val="center"/>
          </w:tcPr>
          <w:p w14:paraId="2BCC35B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w:t>
            </w:r>
          </w:p>
        </w:tc>
        <w:tc>
          <w:tcPr>
            <w:tcW w:w="1173" w:type="pct"/>
            <w:vAlign w:val="center"/>
          </w:tcPr>
          <w:p w14:paraId="3809A8B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200</w:t>
            </w:r>
          </w:p>
        </w:tc>
      </w:tr>
      <w:tr w14:paraId="42807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vAlign w:val="center"/>
          </w:tcPr>
          <w:p w14:paraId="545794E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30</w:t>
            </w:r>
          </w:p>
        </w:tc>
        <w:tc>
          <w:tcPr>
            <w:tcW w:w="1834" w:type="pct"/>
            <w:vAlign w:val="center"/>
          </w:tcPr>
          <w:p w14:paraId="3DECA3C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乙苯</w:t>
            </w:r>
          </w:p>
        </w:tc>
        <w:tc>
          <w:tcPr>
            <w:tcW w:w="1143" w:type="pct"/>
            <w:vAlign w:val="center"/>
          </w:tcPr>
          <w:p w14:paraId="3C85778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28</w:t>
            </w:r>
          </w:p>
        </w:tc>
        <w:tc>
          <w:tcPr>
            <w:tcW w:w="1173" w:type="pct"/>
            <w:vAlign w:val="center"/>
          </w:tcPr>
          <w:p w14:paraId="373444C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280</w:t>
            </w:r>
          </w:p>
        </w:tc>
      </w:tr>
      <w:tr w14:paraId="75C9C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vAlign w:val="center"/>
          </w:tcPr>
          <w:p w14:paraId="2CE3ACF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31</w:t>
            </w:r>
          </w:p>
        </w:tc>
        <w:tc>
          <w:tcPr>
            <w:tcW w:w="1834" w:type="pct"/>
            <w:vAlign w:val="center"/>
          </w:tcPr>
          <w:p w14:paraId="4F4408D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苯乙烯</w:t>
            </w:r>
          </w:p>
        </w:tc>
        <w:tc>
          <w:tcPr>
            <w:tcW w:w="1143" w:type="pct"/>
            <w:vAlign w:val="center"/>
          </w:tcPr>
          <w:p w14:paraId="4616D72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1290</w:t>
            </w:r>
          </w:p>
        </w:tc>
        <w:tc>
          <w:tcPr>
            <w:tcW w:w="1173" w:type="pct"/>
            <w:vAlign w:val="center"/>
          </w:tcPr>
          <w:p w14:paraId="651E536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1290</w:t>
            </w:r>
          </w:p>
        </w:tc>
      </w:tr>
      <w:tr w14:paraId="57365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vAlign w:val="center"/>
          </w:tcPr>
          <w:p w14:paraId="0EF2DBE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32</w:t>
            </w:r>
          </w:p>
        </w:tc>
        <w:tc>
          <w:tcPr>
            <w:tcW w:w="1834" w:type="pct"/>
            <w:vAlign w:val="center"/>
          </w:tcPr>
          <w:p w14:paraId="14E083E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甲苯</w:t>
            </w:r>
          </w:p>
        </w:tc>
        <w:tc>
          <w:tcPr>
            <w:tcW w:w="1143" w:type="pct"/>
            <w:vAlign w:val="center"/>
          </w:tcPr>
          <w:p w14:paraId="75FC357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1200</w:t>
            </w:r>
          </w:p>
        </w:tc>
        <w:tc>
          <w:tcPr>
            <w:tcW w:w="1173" w:type="pct"/>
            <w:vAlign w:val="center"/>
          </w:tcPr>
          <w:p w14:paraId="10B8D15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1200</w:t>
            </w:r>
          </w:p>
        </w:tc>
      </w:tr>
      <w:tr w14:paraId="1232F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vAlign w:val="center"/>
          </w:tcPr>
          <w:p w14:paraId="2A8720B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33</w:t>
            </w:r>
          </w:p>
        </w:tc>
        <w:tc>
          <w:tcPr>
            <w:tcW w:w="1834" w:type="pct"/>
            <w:vAlign w:val="center"/>
          </w:tcPr>
          <w:p w14:paraId="1193CC6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间二甲苯+对二甲苯</w:t>
            </w:r>
          </w:p>
        </w:tc>
        <w:tc>
          <w:tcPr>
            <w:tcW w:w="1143" w:type="pct"/>
            <w:vAlign w:val="center"/>
          </w:tcPr>
          <w:p w14:paraId="299BEF9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570</w:t>
            </w:r>
          </w:p>
        </w:tc>
        <w:tc>
          <w:tcPr>
            <w:tcW w:w="1173" w:type="pct"/>
            <w:vAlign w:val="center"/>
          </w:tcPr>
          <w:p w14:paraId="296E4B8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570</w:t>
            </w:r>
          </w:p>
        </w:tc>
      </w:tr>
      <w:tr w14:paraId="2BEF4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vAlign w:val="center"/>
          </w:tcPr>
          <w:p w14:paraId="5AD177F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34</w:t>
            </w:r>
          </w:p>
        </w:tc>
        <w:tc>
          <w:tcPr>
            <w:tcW w:w="1834" w:type="pct"/>
            <w:vAlign w:val="center"/>
          </w:tcPr>
          <w:p w14:paraId="0212B29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邻二甲苯</w:t>
            </w:r>
          </w:p>
        </w:tc>
        <w:tc>
          <w:tcPr>
            <w:tcW w:w="1143" w:type="pct"/>
            <w:vAlign w:val="center"/>
          </w:tcPr>
          <w:p w14:paraId="4821CA7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640</w:t>
            </w:r>
          </w:p>
        </w:tc>
        <w:tc>
          <w:tcPr>
            <w:tcW w:w="1173" w:type="pct"/>
            <w:vAlign w:val="center"/>
          </w:tcPr>
          <w:p w14:paraId="7AF3E36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640</w:t>
            </w:r>
          </w:p>
        </w:tc>
      </w:tr>
      <w:tr w14:paraId="5FE51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1162878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半挥发性有机物</w:t>
            </w:r>
          </w:p>
        </w:tc>
      </w:tr>
      <w:tr w14:paraId="5AAE3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vAlign w:val="center"/>
          </w:tcPr>
          <w:p w14:paraId="754833C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35</w:t>
            </w:r>
          </w:p>
        </w:tc>
        <w:tc>
          <w:tcPr>
            <w:tcW w:w="1834" w:type="pct"/>
            <w:vAlign w:val="center"/>
          </w:tcPr>
          <w:p w14:paraId="1FB5465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硝基苯</w:t>
            </w:r>
          </w:p>
        </w:tc>
        <w:tc>
          <w:tcPr>
            <w:tcW w:w="1143" w:type="pct"/>
            <w:vAlign w:val="center"/>
          </w:tcPr>
          <w:p w14:paraId="1F1A550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76</w:t>
            </w:r>
          </w:p>
        </w:tc>
        <w:tc>
          <w:tcPr>
            <w:tcW w:w="1173" w:type="pct"/>
            <w:vAlign w:val="center"/>
          </w:tcPr>
          <w:p w14:paraId="40DB7C8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760</w:t>
            </w:r>
          </w:p>
        </w:tc>
      </w:tr>
      <w:tr w14:paraId="5AF42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vAlign w:val="center"/>
          </w:tcPr>
          <w:p w14:paraId="79B725F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36</w:t>
            </w:r>
          </w:p>
        </w:tc>
        <w:tc>
          <w:tcPr>
            <w:tcW w:w="1834" w:type="pct"/>
            <w:vAlign w:val="center"/>
          </w:tcPr>
          <w:p w14:paraId="18E8AED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苯胺</w:t>
            </w:r>
          </w:p>
        </w:tc>
        <w:tc>
          <w:tcPr>
            <w:tcW w:w="1143" w:type="pct"/>
            <w:vAlign w:val="center"/>
          </w:tcPr>
          <w:p w14:paraId="0B2607C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260</w:t>
            </w:r>
          </w:p>
        </w:tc>
        <w:tc>
          <w:tcPr>
            <w:tcW w:w="1173" w:type="pct"/>
            <w:vAlign w:val="center"/>
          </w:tcPr>
          <w:p w14:paraId="0AF7B2E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663</w:t>
            </w:r>
          </w:p>
        </w:tc>
      </w:tr>
      <w:tr w14:paraId="6CC03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pct"/>
            <w:vAlign w:val="center"/>
          </w:tcPr>
          <w:p w14:paraId="2AF7E04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37</w:t>
            </w:r>
          </w:p>
        </w:tc>
        <w:tc>
          <w:tcPr>
            <w:tcW w:w="1834" w:type="pct"/>
            <w:vAlign w:val="center"/>
          </w:tcPr>
          <w:p w14:paraId="5C078AB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2-氯酚</w:t>
            </w:r>
          </w:p>
        </w:tc>
        <w:tc>
          <w:tcPr>
            <w:tcW w:w="1143" w:type="pct"/>
            <w:vAlign w:val="center"/>
          </w:tcPr>
          <w:p w14:paraId="343F721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2256</w:t>
            </w:r>
          </w:p>
        </w:tc>
        <w:tc>
          <w:tcPr>
            <w:tcW w:w="1173" w:type="pct"/>
            <w:vAlign w:val="center"/>
          </w:tcPr>
          <w:p w14:paraId="58D4777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4500</w:t>
            </w:r>
          </w:p>
        </w:tc>
      </w:tr>
      <w:tr w14:paraId="1BD5B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48" w:type="pct"/>
            <w:vAlign w:val="center"/>
          </w:tcPr>
          <w:p w14:paraId="0DAABEF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38</w:t>
            </w:r>
          </w:p>
        </w:tc>
        <w:tc>
          <w:tcPr>
            <w:tcW w:w="1834" w:type="pct"/>
            <w:vAlign w:val="center"/>
          </w:tcPr>
          <w:p w14:paraId="6C9E99D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苯并[a]蒽</w:t>
            </w:r>
          </w:p>
        </w:tc>
        <w:tc>
          <w:tcPr>
            <w:tcW w:w="1143" w:type="pct"/>
            <w:vAlign w:val="center"/>
          </w:tcPr>
          <w:p w14:paraId="2153D38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15</w:t>
            </w:r>
          </w:p>
        </w:tc>
        <w:tc>
          <w:tcPr>
            <w:tcW w:w="1173" w:type="pct"/>
            <w:vAlign w:val="center"/>
          </w:tcPr>
          <w:p w14:paraId="6C709C2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151</w:t>
            </w:r>
          </w:p>
        </w:tc>
      </w:tr>
      <w:tr w14:paraId="1E00A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48" w:type="pct"/>
            <w:vAlign w:val="center"/>
          </w:tcPr>
          <w:p w14:paraId="6EA29C3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39</w:t>
            </w:r>
          </w:p>
        </w:tc>
        <w:tc>
          <w:tcPr>
            <w:tcW w:w="1834" w:type="pct"/>
            <w:vAlign w:val="center"/>
          </w:tcPr>
          <w:p w14:paraId="39734E5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苯并[a]芘</w:t>
            </w:r>
          </w:p>
        </w:tc>
        <w:tc>
          <w:tcPr>
            <w:tcW w:w="1143" w:type="pct"/>
            <w:vAlign w:val="center"/>
          </w:tcPr>
          <w:p w14:paraId="066DA20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1.5</w:t>
            </w:r>
          </w:p>
        </w:tc>
        <w:tc>
          <w:tcPr>
            <w:tcW w:w="1173" w:type="pct"/>
            <w:vAlign w:val="center"/>
          </w:tcPr>
          <w:p w14:paraId="5AB45C8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15</w:t>
            </w:r>
          </w:p>
        </w:tc>
      </w:tr>
      <w:tr w14:paraId="5C27E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48" w:type="pct"/>
            <w:vAlign w:val="center"/>
          </w:tcPr>
          <w:p w14:paraId="7133D6D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40</w:t>
            </w:r>
          </w:p>
        </w:tc>
        <w:tc>
          <w:tcPr>
            <w:tcW w:w="1834" w:type="pct"/>
            <w:vAlign w:val="center"/>
          </w:tcPr>
          <w:p w14:paraId="2892AA1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苯并[b]荧蒽</w:t>
            </w:r>
          </w:p>
        </w:tc>
        <w:tc>
          <w:tcPr>
            <w:tcW w:w="1143" w:type="pct"/>
            <w:vAlign w:val="center"/>
          </w:tcPr>
          <w:p w14:paraId="7C99DFB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15</w:t>
            </w:r>
          </w:p>
        </w:tc>
        <w:tc>
          <w:tcPr>
            <w:tcW w:w="1173" w:type="pct"/>
            <w:vAlign w:val="center"/>
          </w:tcPr>
          <w:p w14:paraId="503E204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151</w:t>
            </w:r>
          </w:p>
        </w:tc>
      </w:tr>
      <w:tr w14:paraId="4A54D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48" w:type="pct"/>
            <w:vAlign w:val="center"/>
          </w:tcPr>
          <w:p w14:paraId="5053FEB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41</w:t>
            </w:r>
          </w:p>
        </w:tc>
        <w:tc>
          <w:tcPr>
            <w:tcW w:w="1834" w:type="pct"/>
            <w:vAlign w:val="center"/>
          </w:tcPr>
          <w:p w14:paraId="6DB7BA4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苯并[k]荧蒽</w:t>
            </w:r>
          </w:p>
        </w:tc>
        <w:tc>
          <w:tcPr>
            <w:tcW w:w="1143" w:type="pct"/>
            <w:vAlign w:val="center"/>
          </w:tcPr>
          <w:p w14:paraId="7D9990D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151</w:t>
            </w:r>
          </w:p>
        </w:tc>
        <w:tc>
          <w:tcPr>
            <w:tcW w:w="1173" w:type="pct"/>
            <w:vAlign w:val="center"/>
          </w:tcPr>
          <w:p w14:paraId="7B777FA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1500</w:t>
            </w:r>
          </w:p>
        </w:tc>
      </w:tr>
      <w:tr w14:paraId="3704E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48" w:type="pct"/>
            <w:vAlign w:val="center"/>
          </w:tcPr>
          <w:p w14:paraId="40E73D1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42</w:t>
            </w:r>
          </w:p>
        </w:tc>
        <w:tc>
          <w:tcPr>
            <w:tcW w:w="1834" w:type="pct"/>
            <w:vAlign w:val="center"/>
          </w:tcPr>
          <w:p w14:paraId="546BA5D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䓛</w:t>
            </w:r>
          </w:p>
        </w:tc>
        <w:tc>
          <w:tcPr>
            <w:tcW w:w="1143" w:type="pct"/>
            <w:vAlign w:val="center"/>
          </w:tcPr>
          <w:p w14:paraId="3202E3F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1293</w:t>
            </w:r>
          </w:p>
        </w:tc>
        <w:tc>
          <w:tcPr>
            <w:tcW w:w="1173" w:type="pct"/>
            <w:vAlign w:val="center"/>
          </w:tcPr>
          <w:p w14:paraId="524F5AB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12900</w:t>
            </w:r>
          </w:p>
        </w:tc>
      </w:tr>
      <w:tr w14:paraId="4EE3F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48" w:type="pct"/>
            <w:vAlign w:val="center"/>
          </w:tcPr>
          <w:p w14:paraId="2095583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43</w:t>
            </w:r>
          </w:p>
        </w:tc>
        <w:tc>
          <w:tcPr>
            <w:tcW w:w="1834" w:type="pct"/>
            <w:vAlign w:val="center"/>
          </w:tcPr>
          <w:p w14:paraId="6DFB5E6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二苯并[a,h]蒽</w:t>
            </w:r>
          </w:p>
        </w:tc>
        <w:tc>
          <w:tcPr>
            <w:tcW w:w="1143" w:type="pct"/>
            <w:vAlign w:val="center"/>
          </w:tcPr>
          <w:p w14:paraId="4BF27C2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1.5</w:t>
            </w:r>
          </w:p>
        </w:tc>
        <w:tc>
          <w:tcPr>
            <w:tcW w:w="1173" w:type="pct"/>
            <w:vAlign w:val="center"/>
          </w:tcPr>
          <w:p w14:paraId="1946265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15</w:t>
            </w:r>
          </w:p>
        </w:tc>
      </w:tr>
      <w:tr w14:paraId="6A22D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48" w:type="pct"/>
            <w:vAlign w:val="center"/>
          </w:tcPr>
          <w:p w14:paraId="1CF76E6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44</w:t>
            </w:r>
          </w:p>
        </w:tc>
        <w:tc>
          <w:tcPr>
            <w:tcW w:w="1834" w:type="pct"/>
            <w:vAlign w:val="center"/>
          </w:tcPr>
          <w:p w14:paraId="6F9F384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茚[1,2,3-cd]并芘</w:t>
            </w:r>
          </w:p>
        </w:tc>
        <w:tc>
          <w:tcPr>
            <w:tcW w:w="1143" w:type="pct"/>
            <w:vAlign w:val="center"/>
          </w:tcPr>
          <w:p w14:paraId="7C3BB8A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15</w:t>
            </w:r>
          </w:p>
        </w:tc>
        <w:tc>
          <w:tcPr>
            <w:tcW w:w="1173" w:type="pct"/>
            <w:vAlign w:val="center"/>
          </w:tcPr>
          <w:p w14:paraId="14725D4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151</w:t>
            </w:r>
          </w:p>
        </w:tc>
      </w:tr>
      <w:tr w14:paraId="4E81E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48" w:type="pct"/>
            <w:vAlign w:val="center"/>
          </w:tcPr>
          <w:p w14:paraId="5BACEAA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45</w:t>
            </w:r>
          </w:p>
        </w:tc>
        <w:tc>
          <w:tcPr>
            <w:tcW w:w="1834" w:type="pct"/>
            <w:vAlign w:val="center"/>
          </w:tcPr>
          <w:p w14:paraId="327F2E3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萘</w:t>
            </w:r>
          </w:p>
        </w:tc>
        <w:tc>
          <w:tcPr>
            <w:tcW w:w="1143" w:type="pct"/>
            <w:vAlign w:val="center"/>
          </w:tcPr>
          <w:p w14:paraId="7BC7C80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70</w:t>
            </w:r>
          </w:p>
        </w:tc>
        <w:tc>
          <w:tcPr>
            <w:tcW w:w="1173" w:type="pct"/>
            <w:vAlign w:val="center"/>
          </w:tcPr>
          <w:p w14:paraId="5164DD0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700</w:t>
            </w:r>
          </w:p>
        </w:tc>
      </w:tr>
    </w:tbl>
    <w:p w14:paraId="7B0B66E1">
      <w:pPr>
        <w:adjustRightInd w:val="0"/>
        <w:snapToGrid w:val="0"/>
        <w:spacing w:before="250" w:beforeLines="50"/>
        <w:ind w:firstLine="422" w:firstLineChars="200"/>
        <w:jc w:val="center"/>
        <w:rPr>
          <w:rFonts w:hint="default" w:ascii="Times New Roman" w:hAnsi="Times New Roman" w:cs="Times New Roman"/>
          <w:b/>
          <w:bCs/>
          <w:lang w:val="en-US" w:eastAsia="zh-CN"/>
        </w:rPr>
      </w:pPr>
      <w:r>
        <w:rPr>
          <w:rFonts w:hint="default" w:ascii="Times New Roman" w:hAnsi="Times New Roman" w:eastAsia="华文中宋" w:cs="Times New Roman"/>
          <w:b/>
          <w:szCs w:val="21"/>
          <w:lang w:val="en-US" w:eastAsia="zh-CN"/>
        </w:rPr>
        <w:t>表</w:t>
      </w:r>
      <w:r>
        <w:rPr>
          <w:rFonts w:hint="eastAsia" w:ascii="Times New Roman" w:hAnsi="Times New Roman" w:eastAsia="华文中宋" w:cs="Times New Roman"/>
          <w:b/>
          <w:szCs w:val="21"/>
          <w:lang w:val="en-US" w:eastAsia="zh-CN"/>
        </w:rPr>
        <w:t>2.4-6</w:t>
      </w:r>
      <w:r>
        <w:rPr>
          <w:rFonts w:hint="default" w:ascii="Times New Roman" w:hAnsi="Times New Roman" w:eastAsia="华文中宋" w:cs="Times New Roman"/>
          <w:b/>
          <w:szCs w:val="21"/>
          <w:lang w:val="en-US" w:eastAsia="zh-CN"/>
        </w:rPr>
        <w:t xml:space="preserve">  农用地土壤污染风险筛选值（基本项目）</w:t>
      </w:r>
    </w:p>
    <w:p w14:paraId="3E712D55">
      <w:pPr>
        <w:adjustRightInd w:val="0"/>
        <w:snapToGrid w:val="0"/>
        <w:spacing w:before="250" w:beforeLines="50"/>
        <w:ind w:firstLine="422" w:firstLineChars="200"/>
        <w:jc w:val="right"/>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单位：mg/kg</w:t>
      </w:r>
      <w:r>
        <w:rPr>
          <w:rFonts w:hint="eastAsia" w:ascii="Times New Roman" w:hAnsi="Times New Roman" w:eastAsia="华文中宋" w:cs="Times New Roman"/>
          <w:b/>
          <w:szCs w:val="21"/>
          <w:lang w:val="en-US" w:eastAsia="zh-CN"/>
        </w:rPr>
        <w:t>（无量纲）</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811"/>
        <w:gridCol w:w="1213"/>
        <w:gridCol w:w="1084"/>
        <w:gridCol w:w="1687"/>
        <w:gridCol w:w="1702"/>
        <w:gridCol w:w="1214"/>
      </w:tblGrid>
      <w:tr w14:paraId="37F3D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pct"/>
            <w:vMerge w:val="restart"/>
            <w:vAlign w:val="center"/>
          </w:tcPr>
          <w:p w14:paraId="7C2F371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序号</w:t>
            </w:r>
          </w:p>
        </w:tc>
        <w:tc>
          <w:tcPr>
            <w:tcW w:w="1188" w:type="pct"/>
            <w:gridSpan w:val="2"/>
            <w:vMerge w:val="restart"/>
            <w:vAlign w:val="center"/>
          </w:tcPr>
          <w:p w14:paraId="69FB7C2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污染物项目a·b</w:t>
            </w:r>
          </w:p>
        </w:tc>
        <w:tc>
          <w:tcPr>
            <w:tcW w:w="3335" w:type="pct"/>
            <w:gridSpan w:val="4"/>
            <w:vAlign w:val="center"/>
          </w:tcPr>
          <w:p w14:paraId="45C59FD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风险值筛选</w:t>
            </w:r>
          </w:p>
        </w:tc>
      </w:tr>
      <w:tr w14:paraId="02829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pct"/>
            <w:vMerge w:val="continue"/>
            <w:vAlign w:val="center"/>
          </w:tcPr>
          <w:p w14:paraId="006875BA">
            <w:pPr>
              <w:spacing w:line="300" w:lineRule="exact"/>
              <w:jc w:val="center"/>
              <w:rPr>
                <w:rFonts w:hint="default" w:ascii="Times New Roman" w:hAnsi="Times New Roman" w:eastAsia="华文中宋" w:cs="Times New Roman"/>
                <w:szCs w:val="21"/>
                <w:lang w:val="en-US" w:eastAsia="zh-CN"/>
              </w:rPr>
            </w:pPr>
          </w:p>
        </w:tc>
        <w:tc>
          <w:tcPr>
            <w:tcW w:w="1188" w:type="pct"/>
            <w:gridSpan w:val="2"/>
            <w:vMerge w:val="continue"/>
            <w:vAlign w:val="center"/>
          </w:tcPr>
          <w:p w14:paraId="295FB372">
            <w:pPr>
              <w:spacing w:line="300" w:lineRule="exact"/>
              <w:jc w:val="center"/>
              <w:rPr>
                <w:rFonts w:hint="default" w:ascii="Times New Roman" w:hAnsi="Times New Roman" w:eastAsia="华文中宋" w:cs="Times New Roman"/>
                <w:szCs w:val="21"/>
                <w:lang w:val="en-US" w:eastAsia="zh-CN"/>
              </w:rPr>
            </w:pPr>
          </w:p>
        </w:tc>
        <w:tc>
          <w:tcPr>
            <w:tcW w:w="636" w:type="pct"/>
            <w:vAlign w:val="center"/>
          </w:tcPr>
          <w:p w14:paraId="2A57E84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pH≤5.5</w:t>
            </w:r>
          </w:p>
        </w:tc>
        <w:tc>
          <w:tcPr>
            <w:tcW w:w="990" w:type="pct"/>
            <w:vAlign w:val="center"/>
          </w:tcPr>
          <w:p w14:paraId="6BE229F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5.5</w:t>
            </w:r>
            <w:r>
              <w:rPr>
                <w:rFonts w:hint="eastAsia" w:ascii="Times New Roman" w:hAnsi="Times New Roman" w:eastAsia="华文中宋" w:cs="Times New Roman"/>
                <w:szCs w:val="21"/>
                <w:lang w:val="en-US" w:eastAsia="zh-CN"/>
              </w:rPr>
              <w:t>&lt;</w:t>
            </w:r>
            <w:r>
              <w:rPr>
                <w:rFonts w:hint="default" w:ascii="Times New Roman" w:hAnsi="Times New Roman" w:eastAsia="华文中宋" w:cs="Times New Roman"/>
                <w:szCs w:val="21"/>
                <w:lang w:val="en-US" w:eastAsia="zh-CN"/>
              </w:rPr>
              <w:t>pH≤6.5</w:t>
            </w:r>
          </w:p>
        </w:tc>
        <w:tc>
          <w:tcPr>
            <w:tcW w:w="999" w:type="pct"/>
            <w:vAlign w:val="center"/>
          </w:tcPr>
          <w:p w14:paraId="692DBD6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6.5</w:t>
            </w:r>
            <w:r>
              <w:rPr>
                <w:rFonts w:hint="eastAsia" w:ascii="Times New Roman" w:hAnsi="Times New Roman" w:eastAsia="华文中宋" w:cs="Times New Roman"/>
                <w:szCs w:val="21"/>
                <w:lang w:val="en-US" w:eastAsia="zh-CN"/>
              </w:rPr>
              <w:t>&lt;</w:t>
            </w:r>
            <w:r>
              <w:rPr>
                <w:rFonts w:hint="default" w:ascii="Times New Roman" w:hAnsi="Times New Roman" w:eastAsia="华文中宋" w:cs="Times New Roman"/>
                <w:szCs w:val="21"/>
                <w:lang w:val="en-US" w:eastAsia="zh-CN"/>
              </w:rPr>
              <w:t>PH≤7.5</w:t>
            </w:r>
          </w:p>
        </w:tc>
        <w:tc>
          <w:tcPr>
            <w:tcW w:w="709" w:type="pct"/>
            <w:vAlign w:val="center"/>
          </w:tcPr>
          <w:p w14:paraId="7A0C292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pH</w:t>
            </w:r>
            <w:r>
              <w:rPr>
                <w:rFonts w:hint="eastAsia" w:ascii="Times New Roman" w:hAnsi="Times New Roman" w:eastAsia="华文中宋" w:cs="Times New Roman"/>
                <w:szCs w:val="21"/>
                <w:lang w:val="en-US" w:eastAsia="zh-CN"/>
              </w:rPr>
              <w:t>&gt;</w:t>
            </w:r>
            <w:r>
              <w:rPr>
                <w:rFonts w:hint="default" w:ascii="Times New Roman" w:hAnsi="Times New Roman" w:eastAsia="华文中宋" w:cs="Times New Roman"/>
                <w:szCs w:val="21"/>
                <w:lang w:val="en-US" w:eastAsia="zh-CN"/>
              </w:rPr>
              <w:t>7.5</w:t>
            </w:r>
          </w:p>
        </w:tc>
      </w:tr>
      <w:tr w14:paraId="01E12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pct"/>
            <w:vMerge w:val="restart"/>
            <w:vAlign w:val="center"/>
          </w:tcPr>
          <w:p w14:paraId="4EC0116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w:t>
            </w:r>
          </w:p>
        </w:tc>
        <w:tc>
          <w:tcPr>
            <w:tcW w:w="476" w:type="pct"/>
            <w:vMerge w:val="restart"/>
            <w:vAlign w:val="center"/>
          </w:tcPr>
          <w:p w14:paraId="0BFC33F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镉</w:t>
            </w:r>
          </w:p>
        </w:tc>
        <w:tc>
          <w:tcPr>
            <w:tcW w:w="711" w:type="pct"/>
            <w:vAlign w:val="center"/>
          </w:tcPr>
          <w:p w14:paraId="58062A6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水田</w:t>
            </w:r>
          </w:p>
        </w:tc>
        <w:tc>
          <w:tcPr>
            <w:tcW w:w="636" w:type="pct"/>
            <w:vAlign w:val="center"/>
          </w:tcPr>
          <w:p w14:paraId="5909B18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0.3</w:t>
            </w:r>
          </w:p>
        </w:tc>
        <w:tc>
          <w:tcPr>
            <w:tcW w:w="990" w:type="pct"/>
            <w:vAlign w:val="center"/>
          </w:tcPr>
          <w:p w14:paraId="542D8CA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0.4</w:t>
            </w:r>
          </w:p>
        </w:tc>
        <w:tc>
          <w:tcPr>
            <w:tcW w:w="999" w:type="pct"/>
            <w:vAlign w:val="center"/>
          </w:tcPr>
          <w:p w14:paraId="111D740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0.6</w:t>
            </w:r>
          </w:p>
        </w:tc>
        <w:tc>
          <w:tcPr>
            <w:tcW w:w="709" w:type="pct"/>
            <w:vAlign w:val="center"/>
          </w:tcPr>
          <w:p w14:paraId="52B9260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0.8</w:t>
            </w:r>
          </w:p>
        </w:tc>
      </w:tr>
      <w:tr w14:paraId="62CF3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pct"/>
            <w:vMerge w:val="continue"/>
            <w:vAlign w:val="center"/>
          </w:tcPr>
          <w:p w14:paraId="37E7DD12">
            <w:pPr>
              <w:spacing w:line="300" w:lineRule="exact"/>
              <w:jc w:val="center"/>
              <w:rPr>
                <w:rFonts w:hint="default" w:ascii="Times New Roman" w:hAnsi="Times New Roman" w:eastAsia="华文中宋" w:cs="Times New Roman"/>
                <w:szCs w:val="21"/>
                <w:lang w:val="en-US" w:eastAsia="zh-CN"/>
              </w:rPr>
            </w:pPr>
          </w:p>
        </w:tc>
        <w:tc>
          <w:tcPr>
            <w:tcW w:w="476" w:type="pct"/>
            <w:vMerge w:val="continue"/>
            <w:vAlign w:val="center"/>
          </w:tcPr>
          <w:p w14:paraId="070EF925">
            <w:pPr>
              <w:spacing w:line="300" w:lineRule="exact"/>
              <w:jc w:val="center"/>
              <w:rPr>
                <w:rFonts w:hint="default" w:ascii="Times New Roman" w:hAnsi="Times New Roman" w:eastAsia="华文中宋" w:cs="Times New Roman"/>
                <w:szCs w:val="21"/>
                <w:lang w:val="en-US" w:eastAsia="zh-CN"/>
              </w:rPr>
            </w:pPr>
          </w:p>
        </w:tc>
        <w:tc>
          <w:tcPr>
            <w:tcW w:w="711" w:type="pct"/>
            <w:vAlign w:val="center"/>
          </w:tcPr>
          <w:p w14:paraId="2671C44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其他</w:t>
            </w:r>
          </w:p>
        </w:tc>
        <w:tc>
          <w:tcPr>
            <w:tcW w:w="636" w:type="pct"/>
            <w:vAlign w:val="center"/>
          </w:tcPr>
          <w:p w14:paraId="3F93C3F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0.3</w:t>
            </w:r>
          </w:p>
        </w:tc>
        <w:tc>
          <w:tcPr>
            <w:tcW w:w="990" w:type="pct"/>
            <w:vAlign w:val="center"/>
          </w:tcPr>
          <w:p w14:paraId="7A8A02E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0.3</w:t>
            </w:r>
          </w:p>
        </w:tc>
        <w:tc>
          <w:tcPr>
            <w:tcW w:w="999" w:type="pct"/>
            <w:vAlign w:val="center"/>
          </w:tcPr>
          <w:p w14:paraId="5D094F0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0.3</w:t>
            </w:r>
          </w:p>
        </w:tc>
        <w:tc>
          <w:tcPr>
            <w:tcW w:w="709" w:type="pct"/>
            <w:vAlign w:val="center"/>
          </w:tcPr>
          <w:p w14:paraId="50FE5FD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0.6</w:t>
            </w:r>
          </w:p>
        </w:tc>
      </w:tr>
      <w:tr w14:paraId="4AF74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pct"/>
            <w:vMerge w:val="restart"/>
            <w:vAlign w:val="center"/>
          </w:tcPr>
          <w:p w14:paraId="7DEA4F2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w:t>
            </w:r>
          </w:p>
        </w:tc>
        <w:tc>
          <w:tcPr>
            <w:tcW w:w="476" w:type="pct"/>
            <w:vMerge w:val="restart"/>
            <w:vAlign w:val="center"/>
          </w:tcPr>
          <w:p w14:paraId="44DFA34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汞</w:t>
            </w:r>
          </w:p>
        </w:tc>
        <w:tc>
          <w:tcPr>
            <w:tcW w:w="711" w:type="pct"/>
            <w:vAlign w:val="center"/>
          </w:tcPr>
          <w:p w14:paraId="3ED966D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水田</w:t>
            </w:r>
          </w:p>
        </w:tc>
        <w:tc>
          <w:tcPr>
            <w:tcW w:w="636" w:type="pct"/>
            <w:vAlign w:val="center"/>
          </w:tcPr>
          <w:p w14:paraId="0F65672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0.5</w:t>
            </w:r>
          </w:p>
        </w:tc>
        <w:tc>
          <w:tcPr>
            <w:tcW w:w="990" w:type="pct"/>
            <w:vAlign w:val="center"/>
          </w:tcPr>
          <w:p w14:paraId="4E31571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0.5</w:t>
            </w:r>
          </w:p>
        </w:tc>
        <w:tc>
          <w:tcPr>
            <w:tcW w:w="999" w:type="pct"/>
            <w:vAlign w:val="center"/>
          </w:tcPr>
          <w:p w14:paraId="5ED3190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0.6</w:t>
            </w:r>
          </w:p>
        </w:tc>
        <w:tc>
          <w:tcPr>
            <w:tcW w:w="709" w:type="pct"/>
            <w:vAlign w:val="center"/>
          </w:tcPr>
          <w:p w14:paraId="7D087B2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w:t>
            </w:r>
          </w:p>
        </w:tc>
      </w:tr>
      <w:tr w14:paraId="090FA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pct"/>
            <w:vMerge w:val="continue"/>
            <w:vAlign w:val="center"/>
          </w:tcPr>
          <w:p w14:paraId="44CB89EC">
            <w:pPr>
              <w:spacing w:line="300" w:lineRule="exact"/>
              <w:jc w:val="center"/>
              <w:rPr>
                <w:rFonts w:hint="default" w:ascii="Times New Roman" w:hAnsi="Times New Roman" w:eastAsia="华文中宋" w:cs="Times New Roman"/>
                <w:szCs w:val="21"/>
                <w:lang w:val="en-US" w:eastAsia="zh-CN"/>
              </w:rPr>
            </w:pPr>
          </w:p>
        </w:tc>
        <w:tc>
          <w:tcPr>
            <w:tcW w:w="476" w:type="pct"/>
            <w:vMerge w:val="continue"/>
            <w:vAlign w:val="center"/>
          </w:tcPr>
          <w:p w14:paraId="5785C3A5">
            <w:pPr>
              <w:spacing w:line="300" w:lineRule="exact"/>
              <w:jc w:val="center"/>
              <w:rPr>
                <w:rFonts w:hint="default" w:ascii="Times New Roman" w:hAnsi="Times New Roman" w:eastAsia="华文中宋" w:cs="Times New Roman"/>
                <w:szCs w:val="21"/>
                <w:lang w:val="en-US" w:eastAsia="zh-CN"/>
              </w:rPr>
            </w:pPr>
          </w:p>
        </w:tc>
        <w:tc>
          <w:tcPr>
            <w:tcW w:w="711" w:type="pct"/>
            <w:vAlign w:val="center"/>
          </w:tcPr>
          <w:p w14:paraId="3A4B9CD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其他</w:t>
            </w:r>
          </w:p>
        </w:tc>
        <w:tc>
          <w:tcPr>
            <w:tcW w:w="636" w:type="pct"/>
            <w:vAlign w:val="center"/>
          </w:tcPr>
          <w:p w14:paraId="65AB296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1.3</w:t>
            </w:r>
          </w:p>
        </w:tc>
        <w:tc>
          <w:tcPr>
            <w:tcW w:w="990" w:type="pct"/>
            <w:vAlign w:val="center"/>
          </w:tcPr>
          <w:p w14:paraId="5408BF6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1.8</w:t>
            </w:r>
          </w:p>
        </w:tc>
        <w:tc>
          <w:tcPr>
            <w:tcW w:w="999" w:type="pct"/>
            <w:vAlign w:val="center"/>
          </w:tcPr>
          <w:p w14:paraId="055142B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2.4</w:t>
            </w:r>
          </w:p>
        </w:tc>
        <w:tc>
          <w:tcPr>
            <w:tcW w:w="709" w:type="pct"/>
            <w:vAlign w:val="center"/>
          </w:tcPr>
          <w:p w14:paraId="2E12746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3.4</w:t>
            </w:r>
          </w:p>
        </w:tc>
      </w:tr>
      <w:tr w14:paraId="4659A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pct"/>
            <w:vMerge w:val="restart"/>
            <w:vAlign w:val="center"/>
          </w:tcPr>
          <w:p w14:paraId="6B3AD54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w:t>
            </w:r>
          </w:p>
        </w:tc>
        <w:tc>
          <w:tcPr>
            <w:tcW w:w="476" w:type="pct"/>
            <w:vMerge w:val="restart"/>
            <w:vAlign w:val="center"/>
          </w:tcPr>
          <w:p w14:paraId="341A080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砷</w:t>
            </w:r>
          </w:p>
        </w:tc>
        <w:tc>
          <w:tcPr>
            <w:tcW w:w="711" w:type="pct"/>
            <w:vAlign w:val="center"/>
          </w:tcPr>
          <w:p w14:paraId="167C197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水田</w:t>
            </w:r>
          </w:p>
        </w:tc>
        <w:tc>
          <w:tcPr>
            <w:tcW w:w="636" w:type="pct"/>
            <w:vAlign w:val="center"/>
          </w:tcPr>
          <w:p w14:paraId="34C6259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30</w:t>
            </w:r>
          </w:p>
        </w:tc>
        <w:tc>
          <w:tcPr>
            <w:tcW w:w="990" w:type="pct"/>
            <w:vAlign w:val="center"/>
          </w:tcPr>
          <w:p w14:paraId="3851B73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30</w:t>
            </w:r>
          </w:p>
        </w:tc>
        <w:tc>
          <w:tcPr>
            <w:tcW w:w="999" w:type="pct"/>
            <w:vAlign w:val="center"/>
          </w:tcPr>
          <w:p w14:paraId="65B95C5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25</w:t>
            </w:r>
          </w:p>
        </w:tc>
        <w:tc>
          <w:tcPr>
            <w:tcW w:w="709" w:type="pct"/>
            <w:vAlign w:val="center"/>
          </w:tcPr>
          <w:p w14:paraId="7E059DD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w:t>
            </w:r>
          </w:p>
        </w:tc>
      </w:tr>
      <w:tr w14:paraId="5528D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pct"/>
            <w:vMerge w:val="continue"/>
            <w:vAlign w:val="center"/>
          </w:tcPr>
          <w:p w14:paraId="7A5F5B6E">
            <w:pPr>
              <w:spacing w:line="300" w:lineRule="exact"/>
              <w:jc w:val="center"/>
              <w:rPr>
                <w:rFonts w:hint="default" w:ascii="Times New Roman" w:hAnsi="Times New Roman" w:eastAsia="华文中宋" w:cs="Times New Roman"/>
                <w:szCs w:val="21"/>
                <w:lang w:val="en-US" w:eastAsia="zh-CN"/>
              </w:rPr>
            </w:pPr>
          </w:p>
        </w:tc>
        <w:tc>
          <w:tcPr>
            <w:tcW w:w="476" w:type="pct"/>
            <w:vMerge w:val="continue"/>
            <w:vAlign w:val="center"/>
          </w:tcPr>
          <w:p w14:paraId="558C0827">
            <w:pPr>
              <w:spacing w:line="300" w:lineRule="exact"/>
              <w:jc w:val="center"/>
              <w:rPr>
                <w:rFonts w:hint="default" w:ascii="Times New Roman" w:hAnsi="Times New Roman" w:eastAsia="华文中宋" w:cs="Times New Roman"/>
                <w:szCs w:val="21"/>
                <w:lang w:val="en-US" w:eastAsia="zh-CN"/>
              </w:rPr>
            </w:pPr>
          </w:p>
        </w:tc>
        <w:tc>
          <w:tcPr>
            <w:tcW w:w="711" w:type="pct"/>
            <w:vAlign w:val="center"/>
          </w:tcPr>
          <w:p w14:paraId="536A6E5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其他</w:t>
            </w:r>
          </w:p>
        </w:tc>
        <w:tc>
          <w:tcPr>
            <w:tcW w:w="636" w:type="pct"/>
            <w:vAlign w:val="center"/>
          </w:tcPr>
          <w:p w14:paraId="2BC8A78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40</w:t>
            </w:r>
          </w:p>
        </w:tc>
        <w:tc>
          <w:tcPr>
            <w:tcW w:w="990" w:type="pct"/>
            <w:vAlign w:val="center"/>
          </w:tcPr>
          <w:p w14:paraId="01C29A6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40</w:t>
            </w:r>
          </w:p>
        </w:tc>
        <w:tc>
          <w:tcPr>
            <w:tcW w:w="999" w:type="pct"/>
            <w:vAlign w:val="center"/>
          </w:tcPr>
          <w:p w14:paraId="6D79EAC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30</w:t>
            </w:r>
          </w:p>
        </w:tc>
        <w:tc>
          <w:tcPr>
            <w:tcW w:w="709" w:type="pct"/>
            <w:vAlign w:val="center"/>
          </w:tcPr>
          <w:p w14:paraId="3EECF83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25</w:t>
            </w:r>
          </w:p>
        </w:tc>
      </w:tr>
      <w:tr w14:paraId="2BCBC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pct"/>
            <w:vMerge w:val="restart"/>
            <w:vAlign w:val="center"/>
          </w:tcPr>
          <w:p w14:paraId="6B69E1E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w:t>
            </w:r>
          </w:p>
        </w:tc>
        <w:tc>
          <w:tcPr>
            <w:tcW w:w="476" w:type="pct"/>
            <w:vMerge w:val="restart"/>
            <w:vAlign w:val="center"/>
          </w:tcPr>
          <w:p w14:paraId="43AAE25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铅</w:t>
            </w:r>
          </w:p>
        </w:tc>
        <w:tc>
          <w:tcPr>
            <w:tcW w:w="711" w:type="pct"/>
            <w:vAlign w:val="center"/>
          </w:tcPr>
          <w:p w14:paraId="13441F6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水田</w:t>
            </w:r>
          </w:p>
        </w:tc>
        <w:tc>
          <w:tcPr>
            <w:tcW w:w="636" w:type="pct"/>
            <w:vAlign w:val="center"/>
          </w:tcPr>
          <w:p w14:paraId="1667D35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80</w:t>
            </w:r>
          </w:p>
        </w:tc>
        <w:tc>
          <w:tcPr>
            <w:tcW w:w="990" w:type="pct"/>
            <w:vAlign w:val="center"/>
          </w:tcPr>
          <w:p w14:paraId="64A8EE7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100</w:t>
            </w:r>
          </w:p>
        </w:tc>
        <w:tc>
          <w:tcPr>
            <w:tcW w:w="999" w:type="pct"/>
            <w:vAlign w:val="center"/>
          </w:tcPr>
          <w:p w14:paraId="325ECE6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140</w:t>
            </w:r>
          </w:p>
        </w:tc>
        <w:tc>
          <w:tcPr>
            <w:tcW w:w="709" w:type="pct"/>
            <w:vAlign w:val="center"/>
          </w:tcPr>
          <w:p w14:paraId="62BA9A6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240</w:t>
            </w:r>
          </w:p>
        </w:tc>
      </w:tr>
      <w:tr w14:paraId="302E6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pct"/>
            <w:vMerge w:val="continue"/>
            <w:vAlign w:val="center"/>
          </w:tcPr>
          <w:p w14:paraId="362B43C3">
            <w:pPr>
              <w:spacing w:line="300" w:lineRule="exact"/>
              <w:jc w:val="center"/>
              <w:rPr>
                <w:rFonts w:hint="default" w:ascii="Times New Roman" w:hAnsi="Times New Roman" w:eastAsia="华文中宋" w:cs="Times New Roman"/>
                <w:szCs w:val="21"/>
                <w:lang w:val="en-US" w:eastAsia="zh-CN"/>
              </w:rPr>
            </w:pPr>
          </w:p>
        </w:tc>
        <w:tc>
          <w:tcPr>
            <w:tcW w:w="476" w:type="pct"/>
            <w:vMerge w:val="continue"/>
            <w:vAlign w:val="center"/>
          </w:tcPr>
          <w:p w14:paraId="4B13FFF7">
            <w:pPr>
              <w:spacing w:line="300" w:lineRule="exact"/>
              <w:jc w:val="center"/>
              <w:rPr>
                <w:rFonts w:hint="default" w:ascii="Times New Roman" w:hAnsi="Times New Roman" w:eastAsia="华文中宋" w:cs="Times New Roman"/>
                <w:szCs w:val="21"/>
                <w:lang w:val="en-US" w:eastAsia="zh-CN"/>
              </w:rPr>
            </w:pPr>
          </w:p>
        </w:tc>
        <w:tc>
          <w:tcPr>
            <w:tcW w:w="711" w:type="pct"/>
            <w:vAlign w:val="center"/>
          </w:tcPr>
          <w:p w14:paraId="20E95CF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其他</w:t>
            </w:r>
          </w:p>
        </w:tc>
        <w:tc>
          <w:tcPr>
            <w:tcW w:w="636" w:type="pct"/>
            <w:vAlign w:val="center"/>
          </w:tcPr>
          <w:p w14:paraId="438E2D5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70</w:t>
            </w:r>
          </w:p>
        </w:tc>
        <w:tc>
          <w:tcPr>
            <w:tcW w:w="990" w:type="pct"/>
            <w:vAlign w:val="center"/>
          </w:tcPr>
          <w:p w14:paraId="6AAA79B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90</w:t>
            </w:r>
          </w:p>
        </w:tc>
        <w:tc>
          <w:tcPr>
            <w:tcW w:w="999" w:type="pct"/>
            <w:vAlign w:val="center"/>
          </w:tcPr>
          <w:p w14:paraId="7F31481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120</w:t>
            </w:r>
          </w:p>
        </w:tc>
        <w:tc>
          <w:tcPr>
            <w:tcW w:w="709" w:type="pct"/>
            <w:vAlign w:val="center"/>
          </w:tcPr>
          <w:p w14:paraId="0669324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170</w:t>
            </w:r>
          </w:p>
        </w:tc>
      </w:tr>
      <w:tr w14:paraId="313BF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pct"/>
            <w:vMerge w:val="restart"/>
            <w:vAlign w:val="center"/>
          </w:tcPr>
          <w:p w14:paraId="1F13C17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w:t>
            </w:r>
          </w:p>
        </w:tc>
        <w:tc>
          <w:tcPr>
            <w:tcW w:w="476" w:type="pct"/>
            <w:vMerge w:val="restart"/>
            <w:vAlign w:val="center"/>
          </w:tcPr>
          <w:p w14:paraId="3BF8F83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铬</w:t>
            </w:r>
          </w:p>
        </w:tc>
        <w:tc>
          <w:tcPr>
            <w:tcW w:w="711" w:type="pct"/>
            <w:vAlign w:val="center"/>
          </w:tcPr>
          <w:p w14:paraId="123BD55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水田</w:t>
            </w:r>
          </w:p>
        </w:tc>
        <w:tc>
          <w:tcPr>
            <w:tcW w:w="636" w:type="pct"/>
            <w:vAlign w:val="center"/>
          </w:tcPr>
          <w:p w14:paraId="296F2C6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250</w:t>
            </w:r>
          </w:p>
        </w:tc>
        <w:tc>
          <w:tcPr>
            <w:tcW w:w="990" w:type="pct"/>
            <w:vAlign w:val="center"/>
          </w:tcPr>
          <w:p w14:paraId="68A0BEE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250</w:t>
            </w:r>
          </w:p>
        </w:tc>
        <w:tc>
          <w:tcPr>
            <w:tcW w:w="999" w:type="pct"/>
            <w:vAlign w:val="center"/>
          </w:tcPr>
          <w:p w14:paraId="51BD22D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300</w:t>
            </w:r>
          </w:p>
        </w:tc>
        <w:tc>
          <w:tcPr>
            <w:tcW w:w="709" w:type="pct"/>
            <w:vAlign w:val="center"/>
          </w:tcPr>
          <w:p w14:paraId="7EE614F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350</w:t>
            </w:r>
          </w:p>
        </w:tc>
      </w:tr>
      <w:tr w14:paraId="60B8A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pct"/>
            <w:vMerge w:val="continue"/>
            <w:vAlign w:val="center"/>
          </w:tcPr>
          <w:p w14:paraId="31ECDA37">
            <w:pPr>
              <w:spacing w:line="300" w:lineRule="exact"/>
              <w:jc w:val="center"/>
              <w:rPr>
                <w:rFonts w:hint="default" w:ascii="Times New Roman" w:hAnsi="Times New Roman" w:eastAsia="华文中宋" w:cs="Times New Roman"/>
                <w:szCs w:val="21"/>
                <w:lang w:val="en-US" w:eastAsia="zh-CN"/>
              </w:rPr>
            </w:pPr>
          </w:p>
        </w:tc>
        <w:tc>
          <w:tcPr>
            <w:tcW w:w="476" w:type="pct"/>
            <w:vMerge w:val="continue"/>
            <w:vAlign w:val="center"/>
          </w:tcPr>
          <w:p w14:paraId="4C36C059">
            <w:pPr>
              <w:spacing w:line="300" w:lineRule="exact"/>
              <w:jc w:val="center"/>
              <w:rPr>
                <w:rFonts w:hint="default" w:ascii="Times New Roman" w:hAnsi="Times New Roman" w:eastAsia="华文中宋" w:cs="Times New Roman"/>
                <w:szCs w:val="21"/>
                <w:lang w:val="en-US" w:eastAsia="zh-CN"/>
              </w:rPr>
            </w:pPr>
          </w:p>
        </w:tc>
        <w:tc>
          <w:tcPr>
            <w:tcW w:w="711" w:type="pct"/>
            <w:vAlign w:val="center"/>
          </w:tcPr>
          <w:p w14:paraId="019BED3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其他</w:t>
            </w:r>
          </w:p>
        </w:tc>
        <w:tc>
          <w:tcPr>
            <w:tcW w:w="636" w:type="pct"/>
            <w:vAlign w:val="center"/>
          </w:tcPr>
          <w:p w14:paraId="21F1369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150</w:t>
            </w:r>
          </w:p>
        </w:tc>
        <w:tc>
          <w:tcPr>
            <w:tcW w:w="990" w:type="pct"/>
            <w:vAlign w:val="center"/>
          </w:tcPr>
          <w:p w14:paraId="5BB0641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150</w:t>
            </w:r>
          </w:p>
        </w:tc>
        <w:tc>
          <w:tcPr>
            <w:tcW w:w="999" w:type="pct"/>
            <w:vAlign w:val="center"/>
          </w:tcPr>
          <w:p w14:paraId="2945166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200</w:t>
            </w:r>
          </w:p>
        </w:tc>
        <w:tc>
          <w:tcPr>
            <w:tcW w:w="709" w:type="pct"/>
            <w:vAlign w:val="center"/>
          </w:tcPr>
          <w:p w14:paraId="6F89094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250</w:t>
            </w:r>
          </w:p>
        </w:tc>
      </w:tr>
      <w:tr w14:paraId="22583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pct"/>
            <w:vMerge w:val="restart"/>
            <w:vAlign w:val="center"/>
          </w:tcPr>
          <w:p w14:paraId="3B5BA95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w:t>
            </w:r>
          </w:p>
        </w:tc>
        <w:tc>
          <w:tcPr>
            <w:tcW w:w="476" w:type="pct"/>
            <w:vMerge w:val="restart"/>
            <w:vAlign w:val="center"/>
          </w:tcPr>
          <w:p w14:paraId="750B51E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铜</w:t>
            </w:r>
          </w:p>
        </w:tc>
        <w:tc>
          <w:tcPr>
            <w:tcW w:w="711" w:type="pct"/>
            <w:vAlign w:val="center"/>
          </w:tcPr>
          <w:p w14:paraId="5F2E7BD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果园</w:t>
            </w:r>
          </w:p>
        </w:tc>
        <w:tc>
          <w:tcPr>
            <w:tcW w:w="636" w:type="pct"/>
            <w:vAlign w:val="center"/>
          </w:tcPr>
          <w:p w14:paraId="1122872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50</w:t>
            </w:r>
          </w:p>
        </w:tc>
        <w:tc>
          <w:tcPr>
            <w:tcW w:w="990" w:type="pct"/>
            <w:vAlign w:val="center"/>
          </w:tcPr>
          <w:p w14:paraId="5EF5B6D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150</w:t>
            </w:r>
          </w:p>
        </w:tc>
        <w:tc>
          <w:tcPr>
            <w:tcW w:w="999" w:type="pct"/>
            <w:vAlign w:val="center"/>
          </w:tcPr>
          <w:p w14:paraId="57E3FED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200</w:t>
            </w:r>
          </w:p>
        </w:tc>
        <w:tc>
          <w:tcPr>
            <w:tcW w:w="709" w:type="pct"/>
            <w:vAlign w:val="center"/>
          </w:tcPr>
          <w:p w14:paraId="7D76C3D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200</w:t>
            </w:r>
          </w:p>
        </w:tc>
      </w:tr>
      <w:tr w14:paraId="12FD2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pct"/>
            <w:vMerge w:val="continue"/>
            <w:vAlign w:val="center"/>
          </w:tcPr>
          <w:p w14:paraId="67BF74C1">
            <w:pPr>
              <w:spacing w:line="300" w:lineRule="exact"/>
              <w:jc w:val="center"/>
              <w:rPr>
                <w:rFonts w:hint="default" w:ascii="Times New Roman" w:hAnsi="Times New Roman" w:eastAsia="华文中宋" w:cs="Times New Roman"/>
                <w:szCs w:val="21"/>
                <w:lang w:val="en-US" w:eastAsia="zh-CN"/>
              </w:rPr>
            </w:pPr>
          </w:p>
        </w:tc>
        <w:tc>
          <w:tcPr>
            <w:tcW w:w="476" w:type="pct"/>
            <w:vMerge w:val="continue"/>
            <w:vAlign w:val="center"/>
          </w:tcPr>
          <w:p w14:paraId="7A904CC5">
            <w:pPr>
              <w:spacing w:line="300" w:lineRule="exact"/>
              <w:jc w:val="center"/>
              <w:rPr>
                <w:rFonts w:hint="default" w:ascii="Times New Roman" w:hAnsi="Times New Roman" w:eastAsia="华文中宋" w:cs="Times New Roman"/>
                <w:szCs w:val="21"/>
                <w:lang w:val="en-US" w:eastAsia="zh-CN"/>
              </w:rPr>
            </w:pPr>
          </w:p>
        </w:tc>
        <w:tc>
          <w:tcPr>
            <w:tcW w:w="711" w:type="pct"/>
            <w:vAlign w:val="center"/>
          </w:tcPr>
          <w:p w14:paraId="6EAA185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其他</w:t>
            </w:r>
          </w:p>
        </w:tc>
        <w:tc>
          <w:tcPr>
            <w:tcW w:w="636" w:type="pct"/>
            <w:vAlign w:val="center"/>
          </w:tcPr>
          <w:p w14:paraId="69275D6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60</w:t>
            </w:r>
          </w:p>
        </w:tc>
        <w:tc>
          <w:tcPr>
            <w:tcW w:w="990" w:type="pct"/>
            <w:vAlign w:val="center"/>
          </w:tcPr>
          <w:p w14:paraId="30287AF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50</w:t>
            </w:r>
          </w:p>
        </w:tc>
        <w:tc>
          <w:tcPr>
            <w:tcW w:w="999" w:type="pct"/>
            <w:vAlign w:val="center"/>
          </w:tcPr>
          <w:p w14:paraId="70DD5C6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100</w:t>
            </w:r>
          </w:p>
        </w:tc>
        <w:tc>
          <w:tcPr>
            <w:tcW w:w="709" w:type="pct"/>
            <w:vAlign w:val="center"/>
          </w:tcPr>
          <w:p w14:paraId="7411FF1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100</w:t>
            </w:r>
          </w:p>
        </w:tc>
      </w:tr>
      <w:tr w14:paraId="1FFF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pct"/>
            <w:vAlign w:val="center"/>
          </w:tcPr>
          <w:p w14:paraId="67973D6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7</w:t>
            </w:r>
          </w:p>
        </w:tc>
        <w:tc>
          <w:tcPr>
            <w:tcW w:w="1188" w:type="pct"/>
            <w:gridSpan w:val="2"/>
            <w:vAlign w:val="center"/>
          </w:tcPr>
          <w:p w14:paraId="145D126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镍</w:t>
            </w:r>
          </w:p>
        </w:tc>
        <w:tc>
          <w:tcPr>
            <w:tcW w:w="636" w:type="pct"/>
            <w:vAlign w:val="center"/>
          </w:tcPr>
          <w:p w14:paraId="61BF47C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60</w:t>
            </w:r>
          </w:p>
        </w:tc>
        <w:tc>
          <w:tcPr>
            <w:tcW w:w="990" w:type="pct"/>
            <w:vAlign w:val="center"/>
          </w:tcPr>
          <w:p w14:paraId="269D969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70</w:t>
            </w:r>
          </w:p>
        </w:tc>
        <w:tc>
          <w:tcPr>
            <w:tcW w:w="999" w:type="pct"/>
            <w:vAlign w:val="center"/>
          </w:tcPr>
          <w:p w14:paraId="4C6FF00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100</w:t>
            </w:r>
          </w:p>
        </w:tc>
        <w:tc>
          <w:tcPr>
            <w:tcW w:w="709" w:type="pct"/>
            <w:vAlign w:val="center"/>
          </w:tcPr>
          <w:p w14:paraId="115204B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190</w:t>
            </w:r>
          </w:p>
        </w:tc>
      </w:tr>
      <w:tr w14:paraId="7E360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5" w:type="pct"/>
            <w:vAlign w:val="center"/>
          </w:tcPr>
          <w:p w14:paraId="3734351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w:t>
            </w:r>
          </w:p>
        </w:tc>
        <w:tc>
          <w:tcPr>
            <w:tcW w:w="1188" w:type="pct"/>
            <w:gridSpan w:val="2"/>
            <w:vAlign w:val="center"/>
          </w:tcPr>
          <w:p w14:paraId="6373D31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锌</w:t>
            </w:r>
          </w:p>
        </w:tc>
        <w:tc>
          <w:tcPr>
            <w:tcW w:w="636" w:type="pct"/>
            <w:vAlign w:val="center"/>
          </w:tcPr>
          <w:p w14:paraId="1517630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200</w:t>
            </w:r>
          </w:p>
        </w:tc>
        <w:tc>
          <w:tcPr>
            <w:tcW w:w="990" w:type="pct"/>
            <w:vAlign w:val="center"/>
          </w:tcPr>
          <w:p w14:paraId="539F9FD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200</w:t>
            </w:r>
          </w:p>
        </w:tc>
        <w:tc>
          <w:tcPr>
            <w:tcW w:w="999" w:type="pct"/>
            <w:vAlign w:val="center"/>
          </w:tcPr>
          <w:p w14:paraId="373D61C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250</w:t>
            </w:r>
          </w:p>
        </w:tc>
        <w:tc>
          <w:tcPr>
            <w:tcW w:w="709" w:type="pct"/>
            <w:vAlign w:val="center"/>
          </w:tcPr>
          <w:p w14:paraId="3F9757E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300</w:t>
            </w:r>
          </w:p>
        </w:tc>
      </w:tr>
      <w:tr w14:paraId="35ED5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7"/>
            <w:vAlign w:val="center"/>
          </w:tcPr>
          <w:p w14:paraId="32513E0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a重金属和类金属砷均按元素总量计。</w:t>
            </w:r>
          </w:p>
          <w:p w14:paraId="49BB2E7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b对于水旱轮作地，采用其中较严格的风险筛选值。</w:t>
            </w:r>
          </w:p>
        </w:tc>
      </w:tr>
    </w:tbl>
    <w:p w14:paraId="7AF2FCCB">
      <w:pPr>
        <w:pStyle w:val="4"/>
        <w:spacing w:before="120" w:after="120" w:line="500" w:lineRule="exact"/>
        <w:rPr>
          <w:rFonts w:hint="default" w:ascii="Times New Roman" w:hAnsi="Times New Roman" w:eastAsia="华文中宋" w:cs="Times New Roman"/>
          <w:kern w:val="0"/>
          <w:sz w:val="24"/>
          <w:szCs w:val="24"/>
          <w:lang w:val="en-US" w:eastAsia="zh-CN"/>
        </w:rPr>
      </w:pPr>
      <w:bookmarkStart w:id="43" w:name="_Toc7755"/>
      <w:r>
        <w:rPr>
          <w:rFonts w:hint="default" w:ascii="Times New Roman" w:hAnsi="Times New Roman" w:eastAsia="华文中宋" w:cs="Times New Roman"/>
          <w:kern w:val="0"/>
          <w:sz w:val="24"/>
          <w:szCs w:val="24"/>
          <w:lang w:val="en-US" w:eastAsia="zh-CN"/>
        </w:rPr>
        <w:t>2.4.2 污染物排放标准</w:t>
      </w:r>
      <w:bookmarkEnd w:id="43"/>
    </w:p>
    <w:p w14:paraId="4148C762">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（1）废气</w:t>
      </w:r>
    </w:p>
    <w:p w14:paraId="6936DFDC">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项目无组织</w:t>
      </w:r>
      <w:r>
        <w:rPr>
          <w:rFonts w:hint="eastAsia" w:ascii="Times New Roman" w:hAnsi="Times New Roman" w:cs="Times New Roman"/>
          <w:color w:val="auto"/>
          <w:lang w:val="en-US" w:eastAsia="zh-CN"/>
        </w:rPr>
        <w:t>废气</w:t>
      </w:r>
      <w:r>
        <w:rPr>
          <w:rFonts w:hint="default" w:ascii="Times New Roman" w:hAnsi="Times New Roman" w:cs="Times New Roman"/>
          <w:color w:val="auto"/>
          <w:lang w:val="en-US" w:eastAsia="zh-CN"/>
        </w:rPr>
        <w:t>执行《铅、锌工业污染物排放标准》（GB25466-2010）</w:t>
      </w:r>
      <w:r>
        <w:rPr>
          <w:rFonts w:hint="eastAsia" w:ascii="Times New Roman" w:hAnsi="Times New Roman" w:cs="Times New Roman"/>
          <w:color w:val="auto"/>
          <w:lang w:val="en-US" w:eastAsia="zh-CN"/>
        </w:rPr>
        <w:t>以及《锡、锑、汞工业污染物排放标准》中企业边界铅、锑等大气污染物限值</w:t>
      </w:r>
      <w:r>
        <w:rPr>
          <w:rFonts w:hint="default" w:ascii="Times New Roman" w:hAnsi="Times New Roman" w:cs="Times New Roman"/>
          <w:color w:val="auto"/>
          <w:lang w:val="en-US" w:eastAsia="zh-CN"/>
        </w:rPr>
        <w:t>。详见表2.4-</w:t>
      </w:r>
      <w:r>
        <w:rPr>
          <w:rFonts w:hint="eastAsia" w:ascii="Times New Roman" w:hAnsi="Times New Roman" w:cs="Times New Roman"/>
          <w:color w:val="auto"/>
          <w:lang w:val="en-US" w:eastAsia="zh-CN"/>
        </w:rPr>
        <w:t>7</w:t>
      </w:r>
      <w:r>
        <w:rPr>
          <w:rFonts w:hint="default" w:ascii="Times New Roman" w:hAnsi="Times New Roman" w:cs="Times New Roman"/>
          <w:color w:val="auto"/>
          <w:lang w:val="en-US" w:eastAsia="zh-CN"/>
        </w:rPr>
        <w:t>。</w:t>
      </w:r>
    </w:p>
    <w:p w14:paraId="66D31A8B">
      <w:pPr>
        <w:adjustRightInd w:val="0"/>
        <w:snapToGrid w:val="0"/>
        <w:spacing w:before="250" w:beforeLines="50"/>
        <w:ind w:firstLine="422" w:firstLineChars="200"/>
        <w:jc w:val="center"/>
        <w:rPr>
          <w:rFonts w:hint="default" w:ascii="Times New Roman" w:hAnsi="Times New Roman" w:eastAsia="华文中宋" w:cs="Times New Roman"/>
          <w:b/>
          <w:szCs w:val="21"/>
          <w:lang w:val="en-US"/>
        </w:rPr>
      </w:pPr>
      <w:r>
        <w:rPr>
          <w:rFonts w:hint="default" w:ascii="Times New Roman" w:hAnsi="Times New Roman" w:eastAsia="华文中宋" w:cs="Times New Roman"/>
          <w:b/>
          <w:szCs w:val="21"/>
          <w:lang w:val="en-US"/>
        </w:rPr>
        <w:t>表</w:t>
      </w:r>
      <w:r>
        <w:rPr>
          <w:rFonts w:hint="default" w:ascii="Times New Roman" w:hAnsi="Times New Roman" w:eastAsia="华文中宋" w:cs="Times New Roman"/>
          <w:b/>
          <w:szCs w:val="21"/>
          <w:lang w:val="en-US" w:eastAsia="zh-CN"/>
        </w:rPr>
        <w:t>2.4-</w:t>
      </w:r>
      <w:r>
        <w:rPr>
          <w:rFonts w:hint="eastAsia" w:ascii="Times New Roman" w:hAnsi="Times New Roman" w:eastAsia="华文中宋" w:cs="Times New Roman"/>
          <w:b/>
          <w:szCs w:val="21"/>
          <w:lang w:val="en-US" w:eastAsia="zh-CN"/>
        </w:rPr>
        <w:t>7</w:t>
      </w:r>
      <w:r>
        <w:rPr>
          <w:rFonts w:hint="default" w:ascii="Times New Roman" w:hAnsi="Times New Roman" w:eastAsia="华文中宋" w:cs="Times New Roman"/>
          <w:b/>
          <w:szCs w:val="21"/>
          <w:lang w:val="en-US" w:eastAsia="zh-CN"/>
        </w:rPr>
        <w:t xml:space="preserve">  </w:t>
      </w:r>
      <w:r>
        <w:rPr>
          <w:rFonts w:hint="default" w:ascii="Times New Roman" w:hAnsi="Times New Roman" w:eastAsia="华文中宋" w:cs="Times New Roman"/>
          <w:b/>
          <w:szCs w:val="21"/>
          <w:lang w:val="en-US"/>
        </w:rPr>
        <w:t>大气污染物排放标准</w:t>
      </w:r>
    </w:p>
    <w:tbl>
      <w:tblPr>
        <w:tblStyle w:val="19"/>
        <w:tblW w:w="48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1484"/>
        <w:gridCol w:w="1342"/>
        <w:gridCol w:w="1466"/>
        <w:gridCol w:w="2868"/>
      </w:tblGrid>
      <w:tr w14:paraId="0FCA7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698" w:type="pct"/>
            <w:tcBorders>
              <w:tl2br w:val="nil"/>
              <w:tr2bl w:val="nil"/>
            </w:tcBorders>
            <w:noWrap w:val="0"/>
            <w:vAlign w:val="center"/>
          </w:tcPr>
          <w:p w14:paraId="3F78489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类别</w:t>
            </w:r>
          </w:p>
        </w:tc>
        <w:tc>
          <w:tcPr>
            <w:tcW w:w="891" w:type="pct"/>
            <w:tcBorders>
              <w:tl2br w:val="nil"/>
              <w:tr2bl w:val="nil"/>
            </w:tcBorders>
            <w:noWrap w:val="0"/>
            <w:vAlign w:val="center"/>
          </w:tcPr>
          <w:p w14:paraId="7335BA91">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val="en-US" w:eastAsia="zh-CN"/>
              </w:rPr>
              <w:t>污染源</w:t>
            </w:r>
          </w:p>
        </w:tc>
        <w:tc>
          <w:tcPr>
            <w:tcW w:w="806" w:type="pct"/>
            <w:tcBorders>
              <w:tl2br w:val="nil"/>
              <w:tr2bl w:val="nil"/>
            </w:tcBorders>
            <w:noWrap w:val="0"/>
            <w:vAlign w:val="center"/>
          </w:tcPr>
          <w:p w14:paraId="0286A44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评估因子</w:t>
            </w:r>
          </w:p>
        </w:tc>
        <w:tc>
          <w:tcPr>
            <w:tcW w:w="880" w:type="pct"/>
            <w:tcBorders>
              <w:tl2br w:val="nil"/>
              <w:tr2bl w:val="nil"/>
            </w:tcBorders>
            <w:noWrap w:val="0"/>
            <w:vAlign w:val="center"/>
          </w:tcPr>
          <w:p w14:paraId="21F0595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限值（mg/m</w:t>
            </w:r>
            <w:r>
              <w:rPr>
                <w:rFonts w:hint="default" w:ascii="Times New Roman" w:hAnsi="Times New Roman" w:eastAsia="华文中宋" w:cs="Times New Roman"/>
                <w:szCs w:val="21"/>
                <w:vertAlign w:val="superscript"/>
                <w:lang w:val="en-US" w:eastAsia="zh-CN"/>
              </w:rPr>
              <w:t>3</w:t>
            </w:r>
            <w:r>
              <w:rPr>
                <w:rFonts w:hint="default" w:ascii="Times New Roman" w:hAnsi="Times New Roman" w:eastAsia="华文中宋" w:cs="Times New Roman"/>
                <w:szCs w:val="21"/>
                <w:lang w:val="en-US" w:eastAsia="zh-CN"/>
              </w:rPr>
              <w:t>）</w:t>
            </w:r>
          </w:p>
        </w:tc>
        <w:tc>
          <w:tcPr>
            <w:tcW w:w="1722" w:type="pct"/>
            <w:tcBorders>
              <w:tl2br w:val="nil"/>
              <w:tr2bl w:val="nil"/>
            </w:tcBorders>
            <w:noWrap w:val="0"/>
            <w:vAlign w:val="center"/>
          </w:tcPr>
          <w:p w14:paraId="37A0ADF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标准来源</w:t>
            </w:r>
          </w:p>
        </w:tc>
      </w:tr>
      <w:tr w14:paraId="7857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98" w:type="pct"/>
            <w:tcBorders>
              <w:tl2br w:val="nil"/>
              <w:tr2bl w:val="nil"/>
            </w:tcBorders>
            <w:noWrap w:val="0"/>
            <w:vAlign w:val="center"/>
          </w:tcPr>
          <w:p w14:paraId="49AA599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无组织颗粒物</w:t>
            </w:r>
          </w:p>
        </w:tc>
        <w:tc>
          <w:tcPr>
            <w:tcW w:w="891" w:type="pct"/>
            <w:vMerge w:val="restart"/>
            <w:tcBorders>
              <w:tl2br w:val="nil"/>
              <w:tr2bl w:val="nil"/>
            </w:tcBorders>
            <w:noWrap w:val="0"/>
            <w:vAlign w:val="center"/>
          </w:tcPr>
          <w:p w14:paraId="1D6EC3F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采场、废石堆放场、表土堆放场粉尘</w:t>
            </w:r>
          </w:p>
        </w:tc>
        <w:tc>
          <w:tcPr>
            <w:tcW w:w="806" w:type="pct"/>
            <w:tcBorders>
              <w:tl2br w:val="nil"/>
              <w:tr2bl w:val="nil"/>
            </w:tcBorders>
            <w:noWrap w:val="0"/>
            <w:vAlign w:val="center"/>
          </w:tcPr>
          <w:p w14:paraId="643F58A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颗粒物</w:t>
            </w:r>
          </w:p>
        </w:tc>
        <w:tc>
          <w:tcPr>
            <w:tcW w:w="880" w:type="pct"/>
            <w:tcBorders>
              <w:tl2br w:val="nil"/>
              <w:tr2bl w:val="nil"/>
            </w:tcBorders>
            <w:noWrap w:val="0"/>
            <w:vAlign w:val="center"/>
          </w:tcPr>
          <w:p w14:paraId="0249729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w:t>
            </w:r>
          </w:p>
        </w:tc>
        <w:tc>
          <w:tcPr>
            <w:tcW w:w="1722" w:type="pct"/>
            <w:vMerge w:val="restart"/>
            <w:tcBorders>
              <w:tl2br w:val="nil"/>
              <w:tr2bl w:val="nil"/>
            </w:tcBorders>
            <w:noWrap w:val="0"/>
            <w:vAlign w:val="center"/>
          </w:tcPr>
          <w:p w14:paraId="54497D8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《铅、锌工业污染物排放标准》（GB25466-2010）及其修改单表6排放浓度限值</w:t>
            </w:r>
          </w:p>
        </w:tc>
      </w:tr>
      <w:tr w14:paraId="62AA1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98" w:type="pct"/>
            <w:tcBorders>
              <w:tl2br w:val="nil"/>
              <w:tr2bl w:val="nil"/>
            </w:tcBorders>
            <w:noWrap w:val="0"/>
            <w:vAlign w:val="center"/>
          </w:tcPr>
          <w:p w14:paraId="226F272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企业边界铅及其化合物</w:t>
            </w:r>
          </w:p>
        </w:tc>
        <w:tc>
          <w:tcPr>
            <w:tcW w:w="891" w:type="pct"/>
            <w:vMerge w:val="continue"/>
            <w:tcBorders>
              <w:tl2br w:val="nil"/>
              <w:tr2bl w:val="nil"/>
            </w:tcBorders>
            <w:noWrap w:val="0"/>
            <w:vAlign w:val="center"/>
          </w:tcPr>
          <w:p w14:paraId="4DE1AA78">
            <w:pPr>
              <w:spacing w:line="300" w:lineRule="exact"/>
              <w:jc w:val="center"/>
              <w:rPr>
                <w:rFonts w:hint="default" w:ascii="Times New Roman" w:hAnsi="Times New Roman" w:eastAsia="华文中宋" w:cs="Times New Roman"/>
                <w:szCs w:val="21"/>
                <w:lang w:val="en-US" w:eastAsia="zh-CN"/>
              </w:rPr>
            </w:pPr>
          </w:p>
        </w:tc>
        <w:tc>
          <w:tcPr>
            <w:tcW w:w="806" w:type="pct"/>
            <w:tcBorders>
              <w:tl2br w:val="nil"/>
              <w:tr2bl w:val="nil"/>
            </w:tcBorders>
            <w:noWrap w:val="0"/>
            <w:vAlign w:val="center"/>
          </w:tcPr>
          <w:p w14:paraId="28D808E9">
            <w:pPr>
              <w:spacing w:line="300" w:lineRule="exact"/>
              <w:jc w:val="center"/>
              <w:rPr>
                <w:rFonts w:hint="default" w:ascii="Times New Roman" w:hAnsi="Times New Roman" w:eastAsia="华文中宋" w:cs="Times New Roman"/>
                <w:szCs w:val="21"/>
              </w:rPr>
            </w:pPr>
            <w:r>
              <w:rPr>
                <w:rFonts w:hint="eastAsia" w:ascii="Times New Roman" w:hAnsi="Times New Roman" w:eastAsia="华文中宋" w:cs="Times New Roman"/>
                <w:szCs w:val="21"/>
                <w:lang w:val="en-US" w:eastAsia="zh-CN"/>
              </w:rPr>
              <w:t>铅及其化合物</w:t>
            </w:r>
          </w:p>
        </w:tc>
        <w:tc>
          <w:tcPr>
            <w:tcW w:w="880" w:type="pct"/>
            <w:tcBorders>
              <w:tl2br w:val="nil"/>
              <w:tr2bl w:val="nil"/>
            </w:tcBorders>
            <w:noWrap w:val="0"/>
            <w:vAlign w:val="center"/>
          </w:tcPr>
          <w:p w14:paraId="7478A4E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0.006</w:t>
            </w:r>
          </w:p>
        </w:tc>
        <w:tc>
          <w:tcPr>
            <w:tcW w:w="1722" w:type="pct"/>
            <w:vMerge w:val="continue"/>
            <w:tcBorders>
              <w:tl2br w:val="nil"/>
              <w:tr2bl w:val="nil"/>
            </w:tcBorders>
            <w:noWrap w:val="0"/>
            <w:vAlign w:val="center"/>
          </w:tcPr>
          <w:p w14:paraId="0CA7CB02">
            <w:pPr>
              <w:spacing w:line="300" w:lineRule="exact"/>
              <w:jc w:val="center"/>
              <w:rPr>
                <w:rFonts w:hint="default" w:ascii="Times New Roman" w:hAnsi="Times New Roman" w:eastAsia="华文中宋" w:cs="Times New Roman"/>
                <w:szCs w:val="21"/>
                <w:lang w:val="en-US" w:eastAsia="zh-CN"/>
              </w:rPr>
            </w:pPr>
          </w:p>
        </w:tc>
      </w:tr>
      <w:tr w14:paraId="7F3C8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98" w:type="pct"/>
            <w:tcBorders>
              <w:tl2br w:val="nil"/>
              <w:tr2bl w:val="nil"/>
            </w:tcBorders>
            <w:noWrap w:val="0"/>
            <w:vAlign w:val="center"/>
          </w:tcPr>
          <w:p w14:paraId="74A0CBB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企业边界锑及其化合物</w:t>
            </w:r>
          </w:p>
        </w:tc>
        <w:tc>
          <w:tcPr>
            <w:tcW w:w="891" w:type="pct"/>
            <w:vMerge w:val="continue"/>
            <w:tcBorders>
              <w:tl2br w:val="nil"/>
              <w:tr2bl w:val="nil"/>
            </w:tcBorders>
            <w:noWrap w:val="0"/>
            <w:vAlign w:val="center"/>
          </w:tcPr>
          <w:p w14:paraId="76C33700">
            <w:pPr>
              <w:spacing w:line="300" w:lineRule="exact"/>
              <w:jc w:val="center"/>
              <w:rPr>
                <w:rFonts w:hint="default" w:ascii="Times New Roman" w:hAnsi="Times New Roman" w:eastAsia="华文中宋" w:cs="Times New Roman"/>
                <w:szCs w:val="21"/>
                <w:lang w:val="en-US" w:eastAsia="zh-CN"/>
              </w:rPr>
            </w:pPr>
          </w:p>
        </w:tc>
        <w:tc>
          <w:tcPr>
            <w:tcW w:w="806" w:type="pct"/>
            <w:tcBorders>
              <w:tl2br w:val="nil"/>
              <w:tr2bl w:val="nil"/>
            </w:tcBorders>
            <w:noWrap w:val="0"/>
            <w:vAlign w:val="center"/>
          </w:tcPr>
          <w:p w14:paraId="4BEDF586">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锑及其化合物</w:t>
            </w:r>
          </w:p>
        </w:tc>
        <w:tc>
          <w:tcPr>
            <w:tcW w:w="880" w:type="pct"/>
            <w:tcBorders>
              <w:tl2br w:val="nil"/>
              <w:tr2bl w:val="nil"/>
            </w:tcBorders>
            <w:noWrap w:val="0"/>
            <w:vAlign w:val="center"/>
          </w:tcPr>
          <w:p w14:paraId="13EB871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0.01</w:t>
            </w:r>
          </w:p>
        </w:tc>
        <w:tc>
          <w:tcPr>
            <w:tcW w:w="1722" w:type="pct"/>
            <w:tcBorders>
              <w:tl2br w:val="nil"/>
              <w:tr2bl w:val="nil"/>
            </w:tcBorders>
            <w:noWrap w:val="0"/>
            <w:vAlign w:val="center"/>
          </w:tcPr>
          <w:p w14:paraId="3C708C87">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cs="Times New Roman"/>
                <w:color w:val="auto"/>
                <w:lang w:val="en-US" w:eastAsia="zh-CN"/>
              </w:rPr>
              <w:t>《锡、锑、汞工业污染物排放标准》（GB30770-2014）及其修改单表7排放浓度限值</w:t>
            </w:r>
          </w:p>
        </w:tc>
      </w:tr>
    </w:tbl>
    <w:p w14:paraId="0233B8F2">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（2）废水</w:t>
      </w:r>
    </w:p>
    <w:p w14:paraId="221089E6">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项目生活污水处理达标后，用于矿区绿化及洒水降尘，出水水质执行《农村生活污水处理排放标准》（DB654275-2019）表2中</w:t>
      </w:r>
      <w:r>
        <w:rPr>
          <w:rFonts w:hint="eastAsia" w:ascii="Times New Roman" w:hAnsi="Times New Roman" w:eastAsia="华文中宋" w:cs="Times New Roman"/>
          <w:color w:val="auto"/>
          <w:lang w:val="en-US" w:eastAsia="zh-CN"/>
        </w:rPr>
        <w:t>A</w:t>
      </w:r>
      <w:r>
        <w:rPr>
          <w:rFonts w:hint="default" w:ascii="Times New Roman" w:hAnsi="Times New Roman" w:eastAsia="华文中宋" w:cs="Times New Roman"/>
          <w:color w:val="auto"/>
          <w:lang w:val="en-US" w:eastAsia="zh-CN"/>
        </w:rPr>
        <w:t>级排放标准，主要污染物标准浓度限值见表2.4-</w:t>
      </w:r>
      <w:r>
        <w:rPr>
          <w:rFonts w:hint="eastAsia" w:ascii="Times New Roman" w:hAnsi="Times New Roman" w:eastAsia="华文中宋" w:cs="Times New Roman"/>
          <w:color w:val="auto"/>
          <w:lang w:val="en-US" w:eastAsia="zh-CN"/>
        </w:rPr>
        <w:t>8</w:t>
      </w:r>
      <w:r>
        <w:rPr>
          <w:rFonts w:hint="default" w:ascii="Times New Roman" w:hAnsi="Times New Roman" w:eastAsia="华文中宋" w:cs="Times New Roman"/>
          <w:color w:val="auto"/>
          <w:lang w:val="en-US" w:eastAsia="zh-CN"/>
        </w:rPr>
        <w:t>。</w:t>
      </w:r>
    </w:p>
    <w:p w14:paraId="18F9C0EF">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表2.4-</w:t>
      </w:r>
      <w:r>
        <w:rPr>
          <w:rFonts w:hint="eastAsia" w:ascii="Times New Roman" w:hAnsi="Times New Roman" w:eastAsia="华文中宋" w:cs="Times New Roman"/>
          <w:b/>
          <w:szCs w:val="21"/>
          <w:lang w:val="en-US" w:eastAsia="zh-CN"/>
        </w:rPr>
        <w:t>8</w:t>
      </w:r>
      <w:r>
        <w:rPr>
          <w:rFonts w:hint="default" w:ascii="Times New Roman" w:hAnsi="Times New Roman" w:eastAsia="华文中宋" w:cs="Times New Roman"/>
          <w:b/>
          <w:szCs w:val="21"/>
          <w:lang w:val="en-US" w:eastAsia="zh-CN"/>
        </w:rPr>
        <w:t xml:space="preserve">  农村生活污水处理设施出水用于生态恢复的污染物排放限值（日均值）</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2850"/>
        <w:gridCol w:w="1520"/>
        <w:gridCol w:w="1705"/>
        <w:gridCol w:w="1705"/>
      </w:tblGrid>
      <w:tr w14:paraId="5421A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6BFA9A5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序号</w:t>
            </w:r>
          </w:p>
        </w:tc>
        <w:tc>
          <w:tcPr>
            <w:tcW w:w="2850" w:type="dxa"/>
            <w:vAlign w:val="center"/>
          </w:tcPr>
          <w:p w14:paraId="2FBA610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污染物或项目名称</w:t>
            </w:r>
          </w:p>
        </w:tc>
        <w:tc>
          <w:tcPr>
            <w:tcW w:w="1520" w:type="dxa"/>
            <w:vAlign w:val="center"/>
          </w:tcPr>
          <w:p w14:paraId="5847695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A级</w:t>
            </w:r>
          </w:p>
        </w:tc>
        <w:tc>
          <w:tcPr>
            <w:tcW w:w="1705" w:type="dxa"/>
            <w:vAlign w:val="center"/>
          </w:tcPr>
          <w:p w14:paraId="7D1BD46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B级</w:t>
            </w:r>
          </w:p>
        </w:tc>
        <w:tc>
          <w:tcPr>
            <w:tcW w:w="1705" w:type="dxa"/>
            <w:vAlign w:val="center"/>
          </w:tcPr>
          <w:p w14:paraId="19659B6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C级</w:t>
            </w:r>
          </w:p>
        </w:tc>
      </w:tr>
      <w:tr w14:paraId="478DA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582B29D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w:t>
            </w:r>
          </w:p>
        </w:tc>
        <w:tc>
          <w:tcPr>
            <w:tcW w:w="2850" w:type="dxa"/>
            <w:vAlign w:val="center"/>
          </w:tcPr>
          <w:p w14:paraId="64A219D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pH</w:t>
            </w:r>
          </w:p>
        </w:tc>
        <w:tc>
          <w:tcPr>
            <w:tcW w:w="4930" w:type="dxa"/>
            <w:gridSpan w:val="3"/>
            <w:vAlign w:val="center"/>
          </w:tcPr>
          <w:p w14:paraId="32F0F39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6-9</w:t>
            </w:r>
          </w:p>
        </w:tc>
      </w:tr>
      <w:tr w14:paraId="0C14C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2868CAC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w:t>
            </w:r>
          </w:p>
        </w:tc>
        <w:tc>
          <w:tcPr>
            <w:tcW w:w="2850" w:type="dxa"/>
            <w:vAlign w:val="center"/>
          </w:tcPr>
          <w:p w14:paraId="19FADFB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化学需氧量（CODCr），mg/L</w:t>
            </w:r>
          </w:p>
        </w:tc>
        <w:tc>
          <w:tcPr>
            <w:tcW w:w="1520" w:type="dxa"/>
            <w:vAlign w:val="center"/>
          </w:tcPr>
          <w:p w14:paraId="7814A50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60</w:t>
            </w:r>
          </w:p>
        </w:tc>
        <w:tc>
          <w:tcPr>
            <w:tcW w:w="1705" w:type="dxa"/>
            <w:vAlign w:val="center"/>
          </w:tcPr>
          <w:p w14:paraId="6C37EBA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180</w:t>
            </w:r>
          </w:p>
        </w:tc>
        <w:tc>
          <w:tcPr>
            <w:tcW w:w="1705" w:type="dxa"/>
            <w:vAlign w:val="center"/>
          </w:tcPr>
          <w:p w14:paraId="071FD9C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200</w:t>
            </w:r>
          </w:p>
        </w:tc>
      </w:tr>
      <w:tr w14:paraId="065B3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3779DE5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w:t>
            </w:r>
          </w:p>
        </w:tc>
        <w:tc>
          <w:tcPr>
            <w:tcW w:w="2850" w:type="dxa"/>
            <w:vAlign w:val="center"/>
          </w:tcPr>
          <w:p w14:paraId="22606D9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悬浮物（SS）</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mg/L</w:t>
            </w:r>
          </w:p>
        </w:tc>
        <w:tc>
          <w:tcPr>
            <w:tcW w:w="1520" w:type="dxa"/>
            <w:vAlign w:val="center"/>
          </w:tcPr>
          <w:p w14:paraId="0AE2B36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30</w:t>
            </w:r>
          </w:p>
        </w:tc>
        <w:tc>
          <w:tcPr>
            <w:tcW w:w="1705" w:type="dxa"/>
            <w:vAlign w:val="center"/>
          </w:tcPr>
          <w:p w14:paraId="0DF4AEF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90</w:t>
            </w:r>
          </w:p>
        </w:tc>
        <w:tc>
          <w:tcPr>
            <w:tcW w:w="1705" w:type="dxa"/>
            <w:vAlign w:val="center"/>
          </w:tcPr>
          <w:p w14:paraId="5F6B64F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100</w:t>
            </w:r>
          </w:p>
        </w:tc>
      </w:tr>
      <w:tr w14:paraId="3B493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48D4EEB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w:t>
            </w:r>
          </w:p>
        </w:tc>
        <w:tc>
          <w:tcPr>
            <w:tcW w:w="2850" w:type="dxa"/>
            <w:vAlign w:val="center"/>
          </w:tcPr>
          <w:p w14:paraId="1D1FBA3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粪大肠菌群</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MPN/L</w:t>
            </w:r>
          </w:p>
        </w:tc>
        <w:tc>
          <w:tcPr>
            <w:tcW w:w="1520" w:type="dxa"/>
            <w:vAlign w:val="center"/>
          </w:tcPr>
          <w:p w14:paraId="41FF23A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10000</w:t>
            </w:r>
          </w:p>
        </w:tc>
        <w:tc>
          <w:tcPr>
            <w:tcW w:w="3410" w:type="dxa"/>
            <w:gridSpan w:val="2"/>
            <w:vAlign w:val="center"/>
          </w:tcPr>
          <w:p w14:paraId="2DB9E79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40000</w:t>
            </w:r>
          </w:p>
        </w:tc>
      </w:tr>
      <w:tr w14:paraId="52049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7E894DB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w:t>
            </w:r>
          </w:p>
        </w:tc>
        <w:tc>
          <w:tcPr>
            <w:tcW w:w="2850" w:type="dxa"/>
            <w:vAlign w:val="center"/>
          </w:tcPr>
          <w:p w14:paraId="7FA48E9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蛔虫卵个数，个/L</w:t>
            </w:r>
          </w:p>
        </w:tc>
        <w:tc>
          <w:tcPr>
            <w:tcW w:w="4930" w:type="dxa"/>
            <w:gridSpan w:val="3"/>
            <w:vAlign w:val="center"/>
          </w:tcPr>
          <w:p w14:paraId="26577BF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w:t>
            </w:r>
          </w:p>
        </w:tc>
      </w:tr>
    </w:tbl>
    <w:p w14:paraId="787660CC">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（3）噪声</w:t>
      </w:r>
    </w:p>
    <w:p w14:paraId="6659F2AA">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施工期执行《建筑施工场界环境噪声排放标准》</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GB12523-2011</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；运营期执行《工业企业厂界环境噪声排放标准》</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GB12348-2008</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2类区标准，见表2.4-</w:t>
      </w:r>
      <w:r>
        <w:rPr>
          <w:rFonts w:hint="eastAsia" w:ascii="Times New Roman" w:hAnsi="Times New Roman" w:eastAsia="华文中宋" w:cs="Times New Roman"/>
          <w:color w:val="auto"/>
          <w:lang w:val="en-US" w:eastAsia="zh-CN"/>
        </w:rPr>
        <w:t>9</w:t>
      </w:r>
      <w:r>
        <w:rPr>
          <w:rFonts w:hint="default" w:ascii="Times New Roman" w:hAnsi="Times New Roman" w:eastAsia="华文中宋" w:cs="Times New Roman"/>
          <w:color w:val="auto"/>
          <w:lang w:val="en-US" w:eastAsia="zh-CN"/>
        </w:rPr>
        <w:t>。</w:t>
      </w:r>
    </w:p>
    <w:p w14:paraId="2B206CE9">
      <w:pPr>
        <w:keepNext w:val="0"/>
        <w:keepLines w:val="0"/>
        <w:widowControl/>
        <w:suppressLineNumbers w:val="0"/>
        <w:jc w:val="center"/>
        <w:rPr>
          <w:rFonts w:hint="default" w:ascii="Times New Roman" w:hAnsi="Times New Roman" w:cs="Times New Roman"/>
        </w:rPr>
      </w:pPr>
      <w:r>
        <w:rPr>
          <w:rFonts w:hint="default" w:ascii="Times New Roman" w:hAnsi="Times New Roman" w:cs="Times New Roman"/>
          <w:b/>
          <w:bCs/>
          <w:color w:val="auto"/>
          <w:kern w:val="2"/>
          <w:sz w:val="24"/>
          <w:szCs w:val="24"/>
          <w:lang w:val="en-US" w:eastAsia="zh-CN" w:bidi="ar-SA"/>
        </w:rPr>
        <w:t>表2.4-</w:t>
      </w:r>
      <w:r>
        <w:rPr>
          <w:rFonts w:hint="eastAsia" w:ascii="Times New Roman" w:hAnsi="Times New Roman" w:cs="Times New Roman"/>
          <w:b/>
          <w:bCs/>
          <w:color w:val="auto"/>
          <w:kern w:val="2"/>
          <w:sz w:val="24"/>
          <w:szCs w:val="24"/>
          <w:lang w:val="en-US" w:eastAsia="zh-CN" w:bidi="ar-SA"/>
        </w:rPr>
        <w:t>9</w:t>
      </w:r>
      <w:r>
        <w:rPr>
          <w:rFonts w:hint="default" w:ascii="Times New Roman" w:hAnsi="Times New Roman" w:cs="Times New Roman"/>
          <w:b/>
          <w:bCs/>
          <w:color w:val="auto"/>
          <w:kern w:val="2"/>
          <w:sz w:val="24"/>
          <w:szCs w:val="24"/>
          <w:lang w:val="en-US" w:eastAsia="zh-CN" w:bidi="ar-SA"/>
        </w:rPr>
        <w:t xml:space="preserve">  </w:t>
      </w:r>
      <w:r>
        <w:rPr>
          <w:rFonts w:hint="default" w:ascii="Times New Roman" w:hAnsi="Times New Roman" w:eastAsia="宋体" w:cs="Times New Roman"/>
          <w:b/>
          <w:bCs/>
          <w:color w:val="000000"/>
          <w:kern w:val="0"/>
          <w:sz w:val="24"/>
          <w:szCs w:val="24"/>
          <w:lang w:val="en-US" w:eastAsia="zh-CN" w:bidi="ar"/>
        </w:rPr>
        <w:t>噪声排放限值</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4"/>
        <w:gridCol w:w="1302"/>
        <w:gridCol w:w="2032"/>
        <w:gridCol w:w="1454"/>
        <w:gridCol w:w="2156"/>
      </w:tblGrid>
      <w:tr w14:paraId="56BB6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934" w:type="dxa"/>
            <w:tcBorders>
              <w:tl2br w:val="nil"/>
              <w:tr2bl w:val="nil"/>
            </w:tcBorders>
            <w:noWrap w:val="0"/>
            <w:vAlign w:val="center"/>
          </w:tcPr>
          <w:p w14:paraId="5ED378F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项目</w:t>
            </w:r>
          </w:p>
        </w:tc>
        <w:tc>
          <w:tcPr>
            <w:tcW w:w="1302" w:type="dxa"/>
            <w:tcBorders>
              <w:tl2br w:val="nil"/>
              <w:tr2bl w:val="nil"/>
            </w:tcBorders>
            <w:noWrap w:val="0"/>
            <w:vAlign w:val="center"/>
          </w:tcPr>
          <w:p w14:paraId="508E9C8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类别</w:t>
            </w:r>
          </w:p>
        </w:tc>
        <w:tc>
          <w:tcPr>
            <w:tcW w:w="2032" w:type="dxa"/>
            <w:tcBorders>
              <w:tl2br w:val="nil"/>
              <w:tr2bl w:val="nil"/>
            </w:tcBorders>
            <w:noWrap w:val="0"/>
            <w:vAlign w:val="center"/>
          </w:tcPr>
          <w:p w14:paraId="5D1D626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昼间dB（A）</w:t>
            </w:r>
          </w:p>
        </w:tc>
        <w:tc>
          <w:tcPr>
            <w:tcW w:w="1454" w:type="dxa"/>
            <w:tcBorders>
              <w:tl2br w:val="nil"/>
              <w:tr2bl w:val="nil"/>
            </w:tcBorders>
            <w:noWrap w:val="0"/>
            <w:vAlign w:val="center"/>
          </w:tcPr>
          <w:p w14:paraId="113D4C0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夜间dB（A）</w:t>
            </w:r>
          </w:p>
        </w:tc>
        <w:tc>
          <w:tcPr>
            <w:tcW w:w="2156" w:type="dxa"/>
            <w:tcBorders>
              <w:tl2br w:val="nil"/>
              <w:tr2bl w:val="nil"/>
            </w:tcBorders>
            <w:noWrap w:val="0"/>
            <w:vAlign w:val="center"/>
          </w:tcPr>
          <w:p w14:paraId="400025A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标准来源</w:t>
            </w:r>
          </w:p>
        </w:tc>
      </w:tr>
      <w:tr w14:paraId="05675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934" w:type="dxa"/>
            <w:tcBorders>
              <w:tl2br w:val="nil"/>
              <w:tr2bl w:val="nil"/>
            </w:tcBorders>
            <w:noWrap w:val="0"/>
            <w:vAlign w:val="center"/>
          </w:tcPr>
          <w:p w14:paraId="51266BB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施工期场界</w:t>
            </w:r>
          </w:p>
        </w:tc>
        <w:tc>
          <w:tcPr>
            <w:tcW w:w="1302" w:type="dxa"/>
            <w:tcBorders>
              <w:tl2br w:val="nil"/>
              <w:tr2bl w:val="nil"/>
            </w:tcBorders>
            <w:noWrap w:val="0"/>
            <w:vAlign w:val="center"/>
          </w:tcPr>
          <w:p w14:paraId="262B20F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w:t>
            </w:r>
          </w:p>
        </w:tc>
        <w:tc>
          <w:tcPr>
            <w:tcW w:w="2032" w:type="dxa"/>
            <w:tcBorders>
              <w:tl2br w:val="nil"/>
              <w:tr2bl w:val="nil"/>
            </w:tcBorders>
            <w:noWrap w:val="0"/>
            <w:vAlign w:val="center"/>
          </w:tcPr>
          <w:p w14:paraId="0857B55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70</w:t>
            </w:r>
          </w:p>
        </w:tc>
        <w:tc>
          <w:tcPr>
            <w:tcW w:w="1454" w:type="dxa"/>
            <w:tcBorders>
              <w:tl2br w:val="nil"/>
              <w:tr2bl w:val="nil"/>
            </w:tcBorders>
            <w:noWrap w:val="0"/>
            <w:vAlign w:val="center"/>
          </w:tcPr>
          <w:p w14:paraId="7D56355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55</w:t>
            </w:r>
          </w:p>
        </w:tc>
        <w:tc>
          <w:tcPr>
            <w:tcW w:w="2156" w:type="dxa"/>
            <w:tcBorders>
              <w:tl2br w:val="nil"/>
              <w:tr2bl w:val="nil"/>
            </w:tcBorders>
            <w:noWrap w:val="0"/>
            <w:vAlign w:val="center"/>
          </w:tcPr>
          <w:p w14:paraId="0D549ED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GB12523-2011</w:t>
            </w:r>
          </w:p>
        </w:tc>
      </w:tr>
      <w:tr w14:paraId="7D5E4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934" w:type="dxa"/>
            <w:tcBorders>
              <w:tl2br w:val="nil"/>
              <w:tr2bl w:val="nil"/>
            </w:tcBorders>
            <w:noWrap w:val="0"/>
            <w:vAlign w:val="center"/>
          </w:tcPr>
          <w:p w14:paraId="42D25D3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运行期厂界</w:t>
            </w:r>
          </w:p>
        </w:tc>
        <w:tc>
          <w:tcPr>
            <w:tcW w:w="1302" w:type="dxa"/>
            <w:tcBorders>
              <w:tl2br w:val="nil"/>
              <w:tr2bl w:val="nil"/>
            </w:tcBorders>
            <w:noWrap w:val="0"/>
            <w:vAlign w:val="center"/>
          </w:tcPr>
          <w:p w14:paraId="5B985C3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2类</w:t>
            </w:r>
          </w:p>
        </w:tc>
        <w:tc>
          <w:tcPr>
            <w:tcW w:w="2032" w:type="dxa"/>
            <w:tcBorders>
              <w:tl2br w:val="nil"/>
              <w:tr2bl w:val="nil"/>
            </w:tcBorders>
            <w:noWrap w:val="0"/>
            <w:vAlign w:val="center"/>
          </w:tcPr>
          <w:p w14:paraId="2290B96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60</w:t>
            </w:r>
          </w:p>
        </w:tc>
        <w:tc>
          <w:tcPr>
            <w:tcW w:w="1454" w:type="dxa"/>
            <w:tcBorders>
              <w:tl2br w:val="nil"/>
              <w:tr2bl w:val="nil"/>
            </w:tcBorders>
            <w:noWrap w:val="0"/>
            <w:vAlign w:val="center"/>
          </w:tcPr>
          <w:p w14:paraId="6843D4A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50</w:t>
            </w:r>
          </w:p>
        </w:tc>
        <w:tc>
          <w:tcPr>
            <w:tcW w:w="2156" w:type="dxa"/>
            <w:tcBorders>
              <w:tl2br w:val="nil"/>
              <w:tr2bl w:val="nil"/>
            </w:tcBorders>
            <w:noWrap w:val="0"/>
            <w:vAlign w:val="center"/>
          </w:tcPr>
          <w:p w14:paraId="1A42513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GB12348-2008</w:t>
            </w:r>
          </w:p>
        </w:tc>
      </w:tr>
    </w:tbl>
    <w:p w14:paraId="77B7788E">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（4）固体废弃物</w:t>
      </w:r>
    </w:p>
    <w:p w14:paraId="1D148FBE">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分析采矿废石毒性浸出实验数据可知：采矿废石不属于危险废物，为Ⅰ类一般工业固体废物。故废石堆场执行《一般工业固体废物贮存和填埋污染控制标准》（GB 18599-2020）中Ⅰ类堆场规定。</w:t>
      </w:r>
    </w:p>
    <w:p w14:paraId="4BC424AD">
      <w:pPr>
        <w:pStyle w:val="24"/>
        <w:snapToGrid w:val="0"/>
        <w:jc w:val="left"/>
        <w:rPr>
          <w:rFonts w:hint="default" w:ascii="Times New Roman" w:hAnsi="Times New Roman" w:cs="Times New Roman"/>
          <w:lang w:val="en-US" w:eastAsia="zh-CN"/>
        </w:rPr>
      </w:pPr>
      <w:r>
        <w:rPr>
          <w:rFonts w:hint="default" w:ascii="Times New Roman" w:hAnsi="Times New Roman" w:eastAsia="华文中宋" w:cs="Times New Roman"/>
          <w:color w:val="auto"/>
          <w:lang w:val="en-US" w:eastAsia="zh-CN"/>
        </w:rPr>
        <w:t>危险废物贮存执行《危险废物贮存污染控制标准》</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GB18597-2023</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w:t>
      </w:r>
    </w:p>
    <w:p w14:paraId="065DFD2C">
      <w:pPr>
        <w:pStyle w:val="4"/>
        <w:spacing w:before="120" w:after="120" w:line="500" w:lineRule="exact"/>
        <w:rPr>
          <w:rFonts w:hint="default" w:ascii="Times New Roman" w:hAnsi="Times New Roman" w:eastAsia="华文中宋" w:cs="Times New Roman"/>
          <w:kern w:val="0"/>
          <w:sz w:val="24"/>
          <w:szCs w:val="24"/>
          <w:lang w:val="en-US" w:eastAsia="zh-CN"/>
        </w:rPr>
      </w:pPr>
      <w:bookmarkStart w:id="44" w:name="_Toc11665"/>
      <w:r>
        <w:rPr>
          <w:rFonts w:hint="default" w:ascii="Times New Roman" w:hAnsi="Times New Roman" w:eastAsia="华文中宋" w:cs="Times New Roman"/>
          <w:kern w:val="0"/>
          <w:sz w:val="24"/>
          <w:szCs w:val="24"/>
          <w:lang w:val="en-US" w:eastAsia="zh-CN"/>
        </w:rPr>
        <w:t>2.4.3其他标准</w:t>
      </w:r>
      <w:bookmarkEnd w:id="44"/>
    </w:p>
    <w:p w14:paraId="1320FA3A">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固体废物鉴别执行《危险废物鉴别标准</w:t>
      </w:r>
      <w:r>
        <w:rPr>
          <w:rFonts w:hint="eastAsia" w:ascii="Times New Roman" w:hAnsi="Times New Roman" w:eastAsia="华文中宋" w:cs="Times New Roman"/>
          <w:sz w:val="24"/>
          <w:lang w:val="en-US" w:eastAsia="zh-CN"/>
        </w:rPr>
        <w:t xml:space="preserve"> </w:t>
      </w:r>
      <w:r>
        <w:rPr>
          <w:rFonts w:hint="default" w:ascii="Times New Roman" w:hAnsi="Times New Roman" w:eastAsia="华文中宋" w:cs="Times New Roman"/>
          <w:sz w:val="24"/>
          <w:lang w:val="en-US" w:eastAsia="zh-CN"/>
        </w:rPr>
        <w:t>腐蚀性鉴别》（GB5085.1-2007）和《危险废物鉴别标准</w:t>
      </w:r>
      <w:r>
        <w:rPr>
          <w:rFonts w:hint="eastAsia" w:ascii="Times New Roman" w:hAnsi="Times New Roman" w:eastAsia="华文中宋" w:cs="Times New Roman"/>
          <w:sz w:val="24"/>
          <w:lang w:val="en-US" w:eastAsia="zh-CN"/>
        </w:rPr>
        <w:t xml:space="preserve"> </w:t>
      </w:r>
      <w:r>
        <w:rPr>
          <w:rFonts w:hint="default" w:ascii="Times New Roman" w:hAnsi="Times New Roman" w:eastAsia="华文中宋" w:cs="Times New Roman"/>
          <w:sz w:val="24"/>
          <w:lang w:val="en-US" w:eastAsia="zh-CN"/>
        </w:rPr>
        <w:t>浸出毒性鉴别》（GB5085.3-2007）（浸出液最高允许浓度）标准，有关标准限值见表2.4-</w:t>
      </w:r>
      <w:r>
        <w:rPr>
          <w:rFonts w:hint="eastAsia" w:ascii="Times New Roman" w:hAnsi="Times New Roman" w:eastAsia="华文中宋" w:cs="Times New Roman"/>
          <w:sz w:val="24"/>
          <w:lang w:val="en-US" w:eastAsia="zh-CN"/>
        </w:rPr>
        <w:t>10</w:t>
      </w:r>
      <w:r>
        <w:rPr>
          <w:rFonts w:hint="default" w:ascii="Times New Roman" w:hAnsi="Times New Roman" w:eastAsia="华文中宋" w:cs="Times New Roman"/>
          <w:sz w:val="24"/>
          <w:lang w:val="en-US" w:eastAsia="zh-CN"/>
        </w:rPr>
        <w:t>。</w:t>
      </w:r>
    </w:p>
    <w:p w14:paraId="4DA34F28">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表2.4-</w:t>
      </w:r>
      <w:r>
        <w:rPr>
          <w:rFonts w:hint="eastAsia" w:ascii="Times New Roman" w:hAnsi="Times New Roman" w:eastAsia="华文中宋" w:cs="Times New Roman"/>
          <w:b/>
          <w:szCs w:val="21"/>
          <w:lang w:val="en-US" w:eastAsia="zh-CN"/>
        </w:rPr>
        <w:t>10</w:t>
      </w:r>
      <w:r>
        <w:rPr>
          <w:rFonts w:hint="default" w:ascii="Times New Roman" w:hAnsi="Times New Roman" w:eastAsia="华文中宋" w:cs="Times New Roman"/>
          <w:b/>
          <w:szCs w:val="21"/>
          <w:lang w:val="en-US" w:eastAsia="zh-CN"/>
        </w:rPr>
        <w:t xml:space="preserve">  项目固体废物鉴别标准     浓度单位：mg/L</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1"/>
        <w:gridCol w:w="763"/>
        <w:gridCol w:w="2790"/>
        <w:gridCol w:w="2698"/>
      </w:tblGrid>
      <w:tr w14:paraId="4ECCB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1" w:type="dxa"/>
            <w:vAlign w:val="center"/>
          </w:tcPr>
          <w:p w14:paraId="72AF3E7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《危险废物鉴别标准</w:t>
            </w:r>
            <w:r>
              <w:rPr>
                <w:rFonts w:hint="eastAsia" w:ascii="Times New Roman" w:hAnsi="Times New Roman" w:eastAsia="华文中宋" w:cs="Times New Roman"/>
                <w:szCs w:val="21"/>
                <w:lang w:val="en-US" w:eastAsia="zh-CN"/>
              </w:rPr>
              <w:t xml:space="preserve"> </w:t>
            </w:r>
            <w:r>
              <w:rPr>
                <w:rFonts w:hint="default" w:ascii="Times New Roman" w:hAnsi="Times New Roman" w:eastAsia="华文中宋" w:cs="Times New Roman"/>
                <w:szCs w:val="21"/>
                <w:lang w:val="en-US" w:eastAsia="zh-CN"/>
              </w:rPr>
              <w:t>腐蚀性鉴别》（GB5085.1-2007）</w:t>
            </w:r>
          </w:p>
        </w:tc>
        <w:tc>
          <w:tcPr>
            <w:tcW w:w="6251" w:type="dxa"/>
            <w:gridSpan w:val="3"/>
            <w:vAlign w:val="center"/>
          </w:tcPr>
          <w:p w14:paraId="31CB7E0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按照GB/T15555.12-1995制备的浸出液，PH≥12.5或PH≤2.0时，该废物是具有腐蚀性的危险物</w:t>
            </w:r>
          </w:p>
        </w:tc>
      </w:tr>
      <w:tr w14:paraId="16DEA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1" w:type="dxa"/>
            <w:vMerge w:val="restart"/>
            <w:vAlign w:val="center"/>
          </w:tcPr>
          <w:p w14:paraId="4F771C6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《危险废物鉴别标准</w:t>
            </w:r>
            <w:r>
              <w:rPr>
                <w:rFonts w:hint="eastAsia" w:ascii="Times New Roman" w:hAnsi="Times New Roman" w:eastAsia="华文中宋" w:cs="Times New Roman"/>
                <w:szCs w:val="21"/>
                <w:lang w:val="en-US" w:eastAsia="zh-CN"/>
              </w:rPr>
              <w:t xml:space="preserve"> </w:t>
            </w:r>
            <w:r>
              <w:rPr>
                <w:rFonts w:hint="default" w:ascii="Times New Roman" w:hAnsi="Times New Roman" w:eastAsia="华文中宋" w:cs="Times New Roman"/>
                <w:szCs w:val="21"/>
                <w:lang w:val="en-US" w:eastAsia="zh-CN"/>
              </w:rPr>
              <w:t>浸出毒性鉴别》（GB5085.3-2007）</w:t>
            </w:r>
          </w:p>
        </w:tc>
        <w:tc>
          <w:tcPr>
            <w:tcW w:w="763" w:type="dxa"/>
            <w:vAlign w:val="center"/>
          </w:tcPr>
          <w:p w14:paraId="1413854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序号</w:t>
            </w:r>
          </w:p>
        </w:tc>
        <w:tc>
          <w:tcPr>
            <w:tcW w:w="2790" w:type="dxa"/>
            <w:vAlign w:val="center"/>
          </w:tcPr>
          <w:p w14:paraId="7786A54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危害成分项目</w:t>
            </w:r>
          </w:p>
        </w:tc>
        <w:tc>
          <w:tcPr>
            <w:tcW w:w="2698" w:type="dxa"/>
            <w:vAlign w:val="center"/>
          </w:tcPr>
          <w:p w14:paraId="38F02D6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浸出液中危害成分浓度限值（mg/L）</w:t>
            </w:r>
          </w:p>
        </w:tc>
      </w:tr>
      <w:tr w14:paraId="464B0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1" w:type="dxa"/>
            <w:vMerge w:val="continue"/>
            <w:vAlign w:val="center"/>
          </w:tcPr>
          <w:p w14:paraId="34C4BEF8">
            <w:pPr>
              <w:spacing w:line="300" w:lineRule="exact"/>
              <w:jc w:val="center"/>
              <w:rPr>
                <w:rFonts w:hint="default" w:ascii="Times New Roman" w:hAnsi="Times New Roman" w:eastAsia="华文中宋" w:cs="Times New Roman"/>
                <w:szCs w:val="21"/>
                <w:lang w:val="en-US" w:eastAsia="zh-CN"/>
              </w:rPr>
            </w:pPr>
          </w:p>
        </w:tc>
        <w:tc>
          <w:tcPr>
            <w:tcW w:w="763" w:type="dxa"/>
            <w:vAlign w:val="center"/>
          </w:tcPr>
          <w:p w14:paraId="17E77C5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w:t>
            </w:r>
          </w:p>
        </w:tc>
        <w:tc>
          <w:tcPr>
            <w:tcW w:w="2790" w:type="dxa"/>
            <w:vAlign w:val="center"/>
          </w:tcPr>
          <w:p w14:paraId="138A349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铜（以总铜计）</w:t>
            </w:r>
          </w:p>
        </w:tc>
        <w:tc>
          <w:tcPr>
            <w:tcW w:w="2698" w:type="dxa"/>
            <w:vAlign w:val="center"/>
          </w:tcPr>
          <w:p w14:paraId="0FDBD23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100</w:t>
            </w:r>
          </w:p>
        </w:tc>
      </w:tr>
      <w:tr w14:paraId="37901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1" w:type="dxa"/>
            <w:vMerge w:val="continue"/>
            <w:vAlign w:val="center"/>
          </w:tcPr>
          <w:p w14:paraId="64BC6C94">
            <w:pPr>
              <w:spacing w:line="300" w:lineRule="exact"/>
              <w:jc w:val="center"/>
              <w:rPr>
                <w:rFonts w:hint="default" w:ascii="Times New Roman" w:hAnsi="Times New Roman" w:eastAsia="华文中宋" w:cs="Times New Roman"/>
                <w:szCs w:val="21"/>
                <w:lang w:val="en-US" w:eastAsia="zh-CN"/>
              </w:rPr>
            </w:pPr>
          </w:p>
        </w:tc>
        <w:tc>
          <w:tcPr>
            <w:tcW w:w="763" w:type="dxa"/>
            <w:vAlign w:val="center"/>
          </w:tcPr>
          <w:p w14:paraId="593F899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w:t>
            </w:r>
          </w:p>
        </w:tc>
        <w:tc>
          <w:tcPr>
            <w:tcW w:w="2790" w:type="dxa"/>
            <w:vAlign w:val="center"/>
          </w:tcPr>
          <w:p w14:paraId="58F3926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锌（以总锌计）</w:t>
            </w:r>
          </w:p>
        </w:tc>
        <w:tc>
          <w:tcPr>
            <w:tcW w:w="2698" w:type="dxa"/>
            <w:vAlign w:val="center"/>
          </w:tcPr>
          <w:p w14:paraId="1604824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100</w:t>
            </w:r>
          </w:p>
        </w:tc>
      </w:tr>
      <w:tr w14:paraId="0B11E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1" w:type="dxa"/>
            <w:vMerge w:val="continue"/>
            <w:vAlign w:val="center"/>
          </w:tcPr>
          <w:p w14:paraId="626A1225">
            <w:pPr>
              <w:spacing w:line="300" w:lineRule="exact"/>
              <w:jc w:val="center"/>
              <w:rPr>
                <w:rFonts w:hint="default" w:ascii="Times New Roman" w:hAnsi="Times New Roman" w:eastAsia="华文中宋" w:cs="Times New Roman"/>
                <w:szCs w:val="21"/>
                <w:lang w:val="en-US" w:eastAsia="zh-CN"/>
              </w:rPr>
            </w:pPr>
          </w:p>
        </w:tc>
        <w:tc>
          <w:tcPr>
            <w:tcW w:w="763" w:type="dxa"/>
            <w:vAlign w:val="center"/>
          </w:tcPr>
          <w:p w14:paraId="7F5EDE9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w:t>
            </w:r>
          </w:p>
        </w:tc>
        <w:tc>
          <w:tcPr>
            <w:tcW w:w="2790" w:type="dxa"/>
            <w:vAlign w:val="center"/>
          </w:tcPr>
          <w:p w14:paraId="632B1FB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镉（以总镉计）</w:t>
            </w:r>
          </w:p>
        </w:tc>
        <w:tc>
          <w:tcPr>
            <w:tcW w:w="2698" w:type="dxa"/>
            <w:vAlign w:val="center"/>
          </w:tcPr>
          <w:p w14:paraId="21D9A5F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w:t>
            </w:r>
          </w:p>
        </w:tc>
      </w:tr>
      <w:tr w14:paraId="0D1F7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1" w:type="dxa"/>
            <w:vMerge w:val="continue"/>
            <w:vAlign w:val="center"/>
          </w:tcPr>
          <w:p w14:paraId="6CB404EA">
            <w:pPr>
              <w:spacing w:line="300" w:lineRule="exact"/>
              <w:jc w:val="center"/>
              <w:rPr>
                <w:rFonts w:hint="default" w:ascii="Times New Roman" w:hAnsi="Times New Roman" w:eastAsia="华文中宋" w:cs="Times New Roman"/>
                <w:szCs w:val="21"/>
                <w:lang w:val="en-US" w:eastAsia="zh-CN"/>
              </w:rPr>
            </w:pPr>
          </w:p>
        </w:tc>
        <w:tc>
          <w:tcPr>
            <w:tcW w:w="763" w:type="dxa"/>
            <w:vAlign w:val="center"/>
          </w:tcPr>
          <w:p w14:paraId="516A251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w:t>
            </w:r>
          </w:p>
        </w:tc>
        <w:tc>
          <w:tcPr>
            <w:tcW w:w="2790" w:type="dxa"/>
            <w:vAlign w:val="center"/>
          </w:tcPr>
          <w:p w14:paraId="0C7D8A2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铅（以总铅计）</w:t>
            </w:r>
          </w:p>
        </w:tc>
        <w:tc>
          <w:tcPr>
            <w:tcW w:w="2698" w:type="dxa"/>
            <w:vAlign w:val="center"/>
          </w:tcPr>
          <w:p w14:paraId="297CC71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w:t>
            </w:r>
          </w:p>
        </w:tc>
      </w:tr>
      <w:tr w14:paraId="6CBD9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1" w:type="dxa"/>
            <w:vMerge w:val="continue"/>
            <w:vAlign w:val="center"/>
          </w:tcPr>
          <w:p w14:paraId="2FA656DF">
            <w:pPr>
              <w:spacing w:line="300" w:lineRule="exact"/>
              <w:jc w:val="center"/>
              <w:rPr>
                <w:rFonts w:hint="default" w:ascii="Times New Roman" w:hAnsi="Times New Roman" w:eastAsia="华文中宋" w:cs="Times New Roman"/>
                <w:szCs w:val="21"/>
                <w:lang w:val="en-US" w:eastAsia="zh-CN"/>
              </w:rPr>
            </w:pPr>
          </w:p>
        </w:tc>
        <w:tc>
          <w:tcPr>
            <w:tcW w:w="763" w:type="dxa"/>
            <w:vAlign w:val="center"/>
          </w:tcPr>
          <w:p w14:paraId="0E1F5C1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w:t>
            </w:r>
          </w:p>
        </w:tc>
        <w:tc>
          <w:tcPr>
            <w:tcW w:w="2790" w:type="dxa"/>
            <w:vAlign w:val="center"/>
          </w:tcPr>
          <w:p w14:paraId="0A03C33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总铬</w:t>
            </w:r>
          </w:p>
        </w:tc>
        <w:tc>
          <w:tcPr>
            <w:tcW w:w="2698" w:type="dxa"/>
            <w:vAlign w:val="center"/>
          </w:tcPr>
          <w:p w14:paraId="02D7795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15</w:t>
            </w:r>
          </w:p>
        </w:tc>
      </w:tr>
      <w:tr w14:paraId="34148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1" w:type="dxa"/>
            <w:vMerge w:val="continue"/>
            <w:vAlign w:val="center"/>
          </w:tcPr>
          <w:p w14:paraId="16AB7FF3">
            <w:pPr>
              <w:spacing w:line="300" w:lineRule="exact"/>
              <w:jc w:val="center"/>
              <w:rPr>
                <w:rFonts w:hint="default" w:ascii="Times New Roman" w:hAnsi="Times New Roman" w:eastAsia="华文中宋" w:cs="Times New Roman"/>
                <w:szCs w:val="21"/>
                <w:lang w:val="en-US" w:eastAsia="zh-CN"/>
              </w:rPr>
            </w:pPr>
          </w:p>
        </w:tc>
        <w:tc>
          <w:tcPr>
            <w:tcW w:w="763" w:type="dxa"/>
            <w:vAlign w:val="center"/>
          </w:tcPr>
          <w:p w14:paraId="6D9A8E8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w:t>
            </w:r>
          </w:p>
        </w:tc>
        <w:tc>
          <w:tcPr>
            <w:tcW w:w="2790" w:type="dxa"/>
            <w:vAlign w:val="center"/>
          </w:tcPr>
          <w:p w14:paraId="28ECEF9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铬（六价铬）</w:t>
            </w:r>
          </w:p>
        </w:tc>
        <w:tc>
          <w:tcPr>
            <w:tcW w:w="2698" w:type="dxa"/>
            <w:vAlign w:val="center"/>
          </w:tcPr>
          <w:p w14:paraId="4D31401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w:t>
            </w:r>
          </w:p>
        </w:tc>
      </w:tr>
      <w:tr w14:paraId="44BBD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1" w:type="dxa"/>
            <w:vMerge w:val="continue"/>
            <w:vAlign w:val="center"/>
          </w:tcPr>
          <w:p w14:paraId="367E7216">
            <w:pPr>
              <w:spacing w:line="300" w:lineRule="exact"/>
              <w:jc w:val="center"/>
              <w:rPr>
                <w:rFonts w:hint="default" w:ascii="Times New Roman" w:hAnsi="Times New Roman" w:eastAsia="华文中宋" w:cs="Times New Roman"/>
                <w:szCs w:val="21"/>
                <w:lang w:val="en-US" w:eastAsia="zh-CN"/>
              </w:rPr>
            </w:pPr>
          </w:p>
        </w:tc>
        <w:tc>
          <w:tcPr>
            <w:tcW w:w="763" w:type="dxa"/>
            <w:vAlign w:val="center"/>
          </w:tcPr>
          <w:p w14:paraId="1712396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7</w:t>
            </w:r>
          </w:p>
        </w:tc>
        <w:tc>
          <w:tcPr>
            <w:tcW w:w="2790" w:type="dxa"/>
            <w:vAlign w:val="center"/>
          </w:tcPr>
          <w:p w14:paraId="71BD21A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烷基汞</w:t>
            </w:r>
          </w:p>
        </w:tc>
        <w:tc>
          <w:tcPr>
            <w:tcW w:w="2698" w:type="dxa"/>
            <w:vAlign w:val="center"/>
          </w:tcPr>
          <w:p w14:paraId="42429A3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不得检出</w:t>
            </w:r>
          </w:p>
        </w:tc>
      </w:tr>
      <w:tr w14:paraId="0D289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1" w:type="dxa"/>
            <w:vMerge w:val="continue"/>
            <w:vAlign w:val="center"/>
          </w:tcPr>
          <w:p w14:paraId="2EDA67EA">
            <w:pPr>
              <w:spacing w:line="300" w:lineRule="exact"/>
              <w:jc w:val="center"/>
              <w:rPr>
                <w:rFonts w:hint="default" w:ascii="Times New Roman" w:hAnsi="Times New Roman" w:eastAsia="华文中宋" w:cs="Times New Roman"/>
                <w:szCs w:val="21"/>
                <w:lang w:val="en-US" w:eastAsia="zh-CN"/>
              </w:rPr>
            </w:pPr>
          </w:p>
        </w:tc>
        <w:tc>
          <w:tcPr>
            <w:tcW w:w="763" w:type="dxa"/>
            <w:vAlign w:val="center"/>
          </w:tcPr>
          <w:p w14:paraId="54EFB5B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w:t>
            </w:r>
          </w:p>
        </w:tc>
        <w:tc>
          <w:tcPr>
            <w:tcW w:w="2790" w:type="dxa"/>
            <w:vAlign w:val="center"/>
          </w:tcPr>
          <w:p w14:paraId="20705C3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汞（以总汞计）</w:t>
            </w:r>
          </w:p>
        </w:tc>
        <w:tc>
          <w:tcPr>
            <w:tcW w:w="2698" w:type="dxa"/>
            <w:vAlign w:val="center"/>
          </w:tcPr>
          <w:p w14:paraId="7C540B1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0.1</w:t>
            </w:r>
          </w:p>
        </w:tc>
      </w:tr>
      <w:tr w14:paraId="4EE64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1" w:type="dxa"/>
            <w:vMerge w:val="continue"/>
            <w:vAlign w:val="center"/>
          </w:tcPr>
          <w:p w14:paraId="5C12B961">
            <w:pPr>
              <w:spacing w:line="300" w:lineRule="exact"/>
              <w:jc w:val="center"/>
              <w:rPr>
                <w:rFonts w:hint="default" w:ascii="Times New Roman" w:hAnsi="Times New Roman" w:eastAsia="华文中宋" w:cs="Times New Roman"/>
                <w:szCs w:val="21"/>
                <w:lang w:val="en-US" w:eastAsia="zh-CN"/>
              </w:rPr>
            </w:pPr>
          </w:p>
        </w:tc>
        <w:tc>
          <w:tcPr>
            <w:tcW w:w="763" w:type="dxa"/>
            <w:vAlign w:val="center"/>
          </w:tcPr>
          <w:p w14:paraId="1B27EA8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9</w:t>
            </w:r>
          </w:p>
        </w:tc>
        <w:tc>
          <w:tcPr>
            <w:tcW w:w="2790" w:type="dxa"/>
            <w:vAlign w:val="center"/>
          </w:tcPr>
          <w:p w14:paraId="2789250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铍（以总铍计）</w:t>
            </w:r>
          </w:p>
        </w:tc>
        <w:tc>
          <w:tcPr>
            <w:tcW w:w="2698" w:type="dxa"/>
            <w:vAlign w:val="center"/>
          </w:tcPr>
          <w:p w14:paraId="508BB55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0.02</w:t>
            </w:r>
          </w:p>
        </w:tc>
      </w:tr>
      <w:tr w14:paraId="07CA6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1" w:type="dxa"/>
            <w:vMerge w:val="continue"/>
            <w:vAlign w:val="center"/>
          </w:tcPr>
          <w:p w14:paraId="7FC2F6F2">
            <w:pPr>
              <w:spacing w:line="300" w:lineRule="exact"/>
              <w:jc w:val="center"/>
              <w:rPr>
                <w:rFonts w:hint="default" w:ascii="Times New Roman" w:hAnsi="Times New Roman" w:eastAsia="华文中宋" w:cs="Times New Roman"/>
                <w:szCs w:val="21"/>
                <w:lang w:val="en-US" w:eastAsia="zh-CN"/>
              </w:rPr>
            </w:pPr>
          </w:p>
        </w:tc>
        <w:tc>
          <w:tcPr>
            <w:tcW w:w="763" w:type="dxa"/>
            <w:vAlign w:val="center"/>
          </w:tcPr>
          <w:p w14:paraId="2025E53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w:t>
            </w:r>
          </w:p>
        </w:tc>
        <w:tc>
          <w:tcPr>
            <w:tcW w:w="2790" w:type="dxa"/>
            <w:vAlign w:val="center"/>
          </w:tcPr>
          <w:p w14:paraId="6ECD005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钡（以总钡计）</w:t>
            </w:r>
          </w:p>
        </w:tc>
        <w:tc>
          <w:tcPr>
            <w:tcW w:w="2698" w:type="dxa"/>
            <w:vAlign w:val="center"/>
          </w:tcPr>
          <w:p w14:paraId="3811555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100</w:t>
            </w:r>
          </w:p>
        </w:tc>
      </w:tr>
      <w:tr w14:paraId="387F0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1" w:type="dxa"/>
            <w:vMerge w:val="continue"/>
            <w:vAlign w:val="center"/>
          </w:tcPr>
          <w:p w14:paraId="76C5BFC1">
            <w:pPr>
              <w:spacing w:line="300" w:lineRule="exact"/>
              <w:jc w:val="center"/>
              <w:rPr>
                <w:rFonts w:hint="default" w:ascii="Times New Roman" w:hAnsi="Times New Roman" w:eastAsia="华文中宋" w:cs="Times New Roman"/>
                <w:szCs w:val="21"/>
                <w:lang w:val="en-US" w:eastAsia="zh-CN"/>
              </w:rPr>
            </w:pPr>
          </w:p>
        </w:tc>
        <w:tc>
          <w:tcPr>
            <w:tcW w:w="763" w:type="dxa"/>
            <w:vAlign w:val="center"/>
          </w:tcPr>
          <w:p w14:paraId="48106FD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11</w:t>
            </w:r>
          </w:p>
        </w:tc>
        <w:tc>
          <w:tcPr>
            <w:tcW w:w="2790" w:type="dxa"/>
            <w:vAlign w:val="center"/>
          </w:tcPr>
          <w:p w14:paraId="1AF909D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镍及其化合物（以总镍计）</w:t>
            </w:r>
          </w:p>
        </w:tc>
        <w:tc>
          <w:tcPr>
            <w:tcW w:w="2698" w:type="dxa"/>
            <w:vAlign w:val="center"/>
          </w:tcPr>
          <w:p w14:paraId="3ECE621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w:t>
            </w:r>
          </w:p>
        </w:tc>
      </w:tr>
      <w:tr w14:paraId="57920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1" w:type="dxa"/>
            <w:vMerge w:val="continue"/>
            <w:vAlign w:val="center"/>
          </w:tcPr>
          <w:p w14:paraId="0B719B5A">
            <w:pPr>
              <w:spacing w:line="300" w:lineRule="exact"/>
              <w:jc w:val="center"/>
              <w:rPr>
                <w:rFonts w:hint="default" w:ascii="Times New Roman" w:hAnsi="Times New Roman" w:eastAsia="华文中宋" w:cs="Times New Roman"/>
                <w:szCs w:val="21"/>
                <w:lang w:val="en-US" w:eastAsia="zh-CN"/>
              </w:rPr>
            </w:pPr>
          </w:p>
        </w:tc>
        <w:tc>
          <w:tcPr>
            <w:tcW w:w="763" w:type="dxa"/>
            <w:vAlign w:val="center"/>
          </w:tcPr>
          <w:p w14:paraId="7EC8CEB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12</w:t>
            </w:r>
          </w:p>
        </w:tc>
        <w:tc>
          <w:tcPr>
            <w:tcW w:w="2790" w:type="dxa"/>
            <w:vAlign w:val="center"/>
          </w:tcPr>
          <w:p w14:paraId="76C4A64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总银</w:t>
            </w:r>
          </w:p>
        </w:tc>
        <w:tc>
          <w:tcPr>
            <w:tcW w:w="2698" w:type="dxa"/>
            <w:vAlign w:val="center"/>
          </w:tcPr>
          <w:p w14:paraId="5BA1A7E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w:t>
            </w:r>
          </w:p>
        </w:tc>
      </w:tr>
      <w:tr w14:paraId="32235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1" w:type="dxa"/>
            <w:vMerge w:val="continue"/>
            <w:vAlign w:val="center"/>
          </w:tcPr>
          <w:p w14:paraId="41EF2562">
            <w:pPr>
              <w:spacing w:line="300" w:lineRule="exact"/>
              <w:jc w:val="center"/>
              <w:rPr>
                <w:rFonts w:hint="default" w:ascii="Times New Roman" w:hAnsi="Times New Roman" w:eastAsia="华文中宋" w:cs="Times New Roman"/>
                <w:szCs w:val="21"/>
                <w:lang w:val="en-US" w:eastAsia="zh-CN"/>
              </w:rPr>
            </w:pPr>
          </w:p>
        </w:tc>
        <w:tc>
          <w:tcPr>
            <w:tcW w:w="763" w:type="dxa"/>
            <w:vAlign w:val="center"/>
          </w:tcPr>
          <w:p w14:paraId="452529D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13</w:t>
            </w:r>
          </w:p>
        </w:tc>
        <w:tc>
          <w:tcPr>
            <w:tcW w:w="2790" w:type="dxa"/>
            <w:vAlign w:val="center"/>
          </w:tcPr>
          <w:p w14:paraId="449859B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砷（以总砷计）</w:t>
            </w:r>
          </w:p>
        </w:tc>
        <w:tc>
          <w:tcPr>
            <w:tcW w:w="2698" w:type="dxa"/>
            <w:vAlign w:val="center"/>
          </w:tcPr>
          <w:p w14:paraId="63DC984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w:t>
            </w:r>
          </w:p>
        </w:tc>
      </w:tr>
      <w:tr w14:paraId="42393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1" w:type="dxa"/>
            <w:vMerge w:val="continue"/>
            <w:vAlign w:val="center"/>
          </w:tcPr>
          <w:p w14:paraId="307CE682">
            <w:pPr>
              <w:spacing w:line="300" w:lineRule="exact"/>
              <w:jc w:val="center"/>
              <w:rPr>
                <w:rFonts w:hint="default" w:ascii="Times New Roman" w:hAnsi="Times New Roman" w:eastAsia="华文中宋" w:cs="Times New Roman"/>
                <w:szCs w:val="21"/>
                <w:lang w:val="en-US" w:eastAsia="zh-CN"/>
              </w:rPr>
            </w:pPr>
          </w:p>
        </w:tc>
        <w:tc>
          <w:tcPr>
            <w:tcW w:w="763" w:type="dxa"/>
            <w:vAlign w:val="center"/>
          </w:tcPr>
          <w:p w14:paraId="2EF6219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14</w:t>
            </w:r>
          </w:p>
        </w:tc>
        <w:tc>
          <w:tcPr>
            <w:tcW w:w="2790" w:type="dxa"/>
            <w:vAlign w:val="center"/>
          </w:tcPr>
          <w:p w14:paraId="15682C7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硒（以总硒计）</w:t>
            </w:r>
          </w:p>
        </w:tc>
        <w:tc>
          <w:tcPr>
            <w:tcW w:w="2698" w:type="dxa"/>
            <w:vAlign w:val="center"/>
          </w:tcPr>
          <w:p w14:paraId="0A1764E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w:t>
            </w:r>
          </w:p>
        </w:tc>
      </w:tr>
      <w:tr w14:paraId="166F6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1" w:type="dxa"/>
            <w:vMerge w:val="continue"/>
            <w:vAlign w:val="center"/>
          </w:tcPr>
          <w:p w14:paraId="7B2D9666">
            <w:pPr>
              <w:spacing w:line="300" w:lineRule="exact"/>
              <w:jc w:val="center"/>
              <w:rPr>
                <w:rFonts w:hint="default" w:ascii="Times New Roman" w:hAnsi="Times New Roman" w:eastAsia="华文中宋" w:cs="Times New Roman"/>
                <w:szCs w:val="21"/>
                <w:lang w:val="en-US" w:eastAsia="zh-CN"/>
              </w:rPr>
            </w:pPr>
          </w:p>
        </w:tc>
        <w:tc>
          <w:tcPr>
            <w:tcW w:w="763" w:type="dxa"/>
            <w:vAlign w:val="center"/>
          </w:tcPr>
          <w:p w14:paraId="2423873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15</w:t>
            </w:r>
          </w:p>
        </w:tc>
        <w:tc>
          <w:tcPr>
            <w:tcW w:w="2790" w:type="dxa"/>
            <w:vAlign w:val="center"/>
          </w:tcPr>
          <w:p w14:paraId="2A7F004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无机氟化物（不包括氟化钙）</w:t>
            </w:r>
          </w:p>
        </w:tc>
        <w:tc>
          <w:tcPr>
            <w:tcW w:w="2698" w:type="dxa"/>
            <w:vAlign w:val="center"/>
          </w:tcPr>
          <w:p w14:paraId="737237E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100</w:t>
            </w:r>
          </w:p>
        </w:tc>
      </w:tr>
      <w:tr w14:paraId="4ADCE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1" w:type="dxa"/>
            <w:vMerge w:val="continue"/>
            <w:vAlign w:val="center"/>
          </w:tcPr>
          <w:p w14:paraId="71D17416">
            <w:pPr>
              <w:spacing w:line="300" w:lineRule="exact"/>
              <w:jc w:val="center"/>
              <w:rPr>
                <w:rFonts w:hint="default" w:ascii="Times New Roman" w:hAnsi="Times New Roman" w:eastAsia="华文中宋" w:cs="Times New Roman"/>
                <w:szCs w:val="21"/>
                <w:lang w:val="en-US" w:eastAsia="zh-CN"/>
              </w:rPr>
            </w:pPr>
          </w:p>
        </w:tc>
        <w:tc>
          <w:tcPr>
            <w:tcW w:w="763" w:type="dxa"/>
            <w:vAlign w:val="center"/>
          </w:tcPr>
          <w:p w14:paraId="142BC43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16</w:t>
            </w:r>
          </w:p>
        </w:tc>
        <w:tc>
          <w:tcPr>
            <w:tcW w:w="2790" w:type="dxa"/>
            <w:vAlign w:val="center"/>
          </w:tcPr>
          <w:p w14:paraId="7D78FB2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氰化物（以CN计）</w:t>
            </w:r>
          </w:p>
        </w:tc>
        <w:tc>
          <w:tcPr>
            <w:tcW w:w="2698" w:type="dxa"/>
            <w:vAlign w:val="center"/>
          </w:tcPr>
          <w:p w14:paraId="307BE40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w:t>
            </w:r>
          </w:p>
        </w:tc>
      </w:tr>
    </w:tbl>
    <w:p w14:paraId="7BE7D4B4">
      <w:pPr>
        <w:pStyle w:val="3"/>
        <w:spacing w:before="120" w:after="120" w:line="500" w:lineRule="exact"/>
        <w:ind w:left="375" w:hanging="375" w:firstLineChars="0"/>
        <w:contextualSpacing/>
        <w:rPr>
          <w:rFonts w:hint="default" w:ascii="Times New Roman" w:hAnsi="Times New Roman" w:eastAsia="华文中宋" w:cs="Times New Roman"/>
          <w:snapToGrid w:val="0"/>
          <w:kern w:val="0"/>
          <w:sz w:val="28"/>
          <w:szCs w:val="28"/>
          <w:highlight w:val="none"/>
          <w:lang w:val="en-US" w:eastAsia="zh-CN"/>
        </w:rPr>
      </w:pPr>
      <w:bookmarkStart w:id="45" w:name="_Toc25583"/>
      <w:bookmarkStart w:id="46" w:name="_Toc18122"/>
      <w:r>
        <w:rPr>
          <w:rFonts w:hint="default" w:ascii="Times New Roman" w:hAnsi="Times New Roman" w:eastAsia="华文中宋" w:cs="Times New Roman"/>
          <w:snapToGrid w:val="0"/>
          <w:kern w:val="0"/>
          <w:sz w:val="28"/>
          <w:szCs w:val="28"/>
          <w:highlight w:val="none"/>
          <w:lang w:val="en-US" w:eastAsia="zh-CN"/>
        </w:rPr>
        <w:t>2.5评价工作等级及范围</w:t>
      </w:r>
      <w:bookmarkEnd w:id="45"/>
      <w:bookmarkEnd w:id="46"/>
    </w:p>
    <w:p w14:paraId="284D7CA6">
      <w:pPr>
        <w:pStyle w:val="4"/>
        <w:spacing w:before="120" w:after="120" w:line="500" w:lineRule="exact"/>
        <w:rPr>
          <w:rFonts w:hint="default" w:ascii="Times New Roman" w:hAnsi="Times New Roman" w:eastAsia="华文中宋" w:cs="Times New Roman"/>
          <w:kern w:val="0"/>
          <w:sz w:val="24"/>
          <w:szCs w:val="24"/>
          <w:highlight w:val="none"/>
          <w:lang w:val="en-US" w:eastAsia="zh-CN"/>
        </w:rPr>
      </w:pPr>
      <w:bookmarkStart w:id="47" w:name="_Toc8882"/>
      <w:r>
        <w:rPr>
          <w:rFonts w:hint="default" w:ascii="Times New Roman" w:hAnsi="Times New Roman" w:eastAsia="华文中宋" w:cs="Times New Roman"/>
          <w:kern w:val="0"/>
          <w:sz w:val="24"/>
          <w:szCs w:val="24"/>
          <w:highlight w:val="none"/>
          <w:lang w:val="en-US" w:eastAsia="zh-CN"/>
        </w:rPr>
        <w:t>2.5.1大气</w:t>
      </w:r>
      <w:bookmarkEnd w:id="47"/>
    </w:p>
    <w:p w14:paraId="31E9E7E9">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（1）评价等级的确定</w:t>
      </w:r>
    </w:p>
    <w:p w14:paraId="3945406F">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zh-CN" w:eastAsia="zh-CN"/>
        </w:rPr>
      </w:pPr>
      <w:r>
        <w:rPr>
          <w:rFonts w:hint="default" w:ascii="Times New Roman" w:hAnsi="Times New Roman" w:eastAsia="华文中宋" w:cs="Times New Roman"/>
          <w:sz w:val="24"/>
          <w:highlight w:val="none"/>
          <w:lang w:val="zh-CN" w:eastAsia="zh-CN"/>
        </w:rPr>
        <w:t>根据评价导则《环境影响评价技术导则</w:t>
      </w:r>
      <w:r>
        <w:rPr>
          <w:rFonts w:hint="eastAsia" w:ascii="Times New Roman" w:hAnsi="Times New Roman" w:eastAsia="华文中宋" w:cs="Times New Roman"/>
          <w:sz w:val="24"/>
          <w:highlight w:val="none"/>
          <w:lang w:val="en-US" w:eastAsia="zh-CN"/>
        </w:rPr>
        <w:t xml:space="preserve"> </w:t>
      </w:r>
      <w:r>
        <w:rPr>
          <w:rFonts w:hint="default" w:ascii="Times New Roman" w:hAnsi="Times New Roman" w:eastAsia="华文中宋" w:cs="Times New Roman"/>
          <w:sz w:val="24"/>
          <w:highlight w:val="none"/>
          <w:lang w:val="zh-CN" w:eastAsia="zh-CN"/>
        </w:rPr>
        <w:t>大气环境》（HJ2.2-2018）中5.3</w:t>
      </w:r>
      <w:r>
        <w:rPr>
          <w:rFonts w:hint="eastAsia" w:ascii="Times New Roman" w:hAnsi="Times New Roman" w:eastAsia="华文中宋" w:cs="Times New Roman"/>
          <w:sz w:val="24"/>
          <w:highlight w:val="none"/>
          <w:lang w:val="zh-CN" w:eastAsia="zh-CN"/>
        </w:rPr>
        <w:t>“</w:t>
      </w:r>
      <w:r>
        <w:rPr>
          <w:rFonts w:hint="default" w:ascii="Times New Roman" w:hAnsi="Times New Roman" w:eastAsia="华文中宋" w:cs="Times New Roman"/>
          <w:sz w:val="24"/>
          <w:highlight w:val="none"/>
          <w:lang w:val="zh-CN" w:eastAsia="zh-CN"/>
        </w:rPr>
        <w:t>评价等级判定</w:t>
      </w:r>
      <w:r>
        <w:rPr>
          <w:rFonts w:hint="eastAsia" w:ascii="Times New Roman" w:hAnsi="Times New Roman" w:eastAsia="华文中宋" w:cs="Times New Roman"/>
          <w:sz w:val="24"/>
          <w:highlight w:val="none"/>
          <w:lang w:val="zh-CN" w:eastAsia="zh-CN"/>
        </w:rPr>
        <w:t>”</w:t>
      </w:r>
      <w:r>
        <w:rPr>
          <w:rFonts w:hint="default" w:ascii="Times New Roman" w:hAnsi="Times New Roman" w:eastAsia="华文中宋" w:cs="Times New Roman"/>
          <w:sz w:val="24"/>
          <w:highlight w:val="none"/>
          <w:lang w:val="zh-CN" w:eastAsia="zh-CN"/>
        </w:rPr>
        <w:t>规定的方法核算，选择1-3种主要污染物，分别计算每一种污染物的最大地面浓度占标率Pi（第i个污染物），及第i个污染物的地面浓度达到标准值的10%时所对应的最远距离D10%。其中Pi定义为：</w:t>
      </w:r>
    </w:p>
    <w:p w14:paraId="482D351E">
      <w:pPr>
        <w:pStyle w:val="27"/>
        <w:spacing w:line="360" w:lineRule="auto"/>
        <w:ind w:firstLine="48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drawing>
          <wp:anchor distT="0" distB="0" distL="114300" distR="114300" simplePos="0" relativeHeight="251663360" behindDoc="1" locked="0" layoutInCell="1" allowOverlap="1">
            <wp:simplePos x="0" y="0"/>
            <wp:positionH relativeFrom="column">
              <wp:posOffset>1941830</wp:posOffset>
            </wp:positionH>
            <wp:positionV relativeFrom="paragraph">
              <wp:posOffset>64135</wp:posOffset>
            </wp:positionV>
            <wp:extent cx="1028700" cy="444500"/>
            <wp:effectExtent l="0" t="0" r="0" b="13335"/>
            <wp:wrapTight wrapText="bothSides">
              <wp:wrapPolygon>
                <wp:start x="6800" y="2777"/>
                <wp:lineTo x="0" y="7406"/>
                <wp:lineTo x="0" y="14811"/>
                <wp:lineTo x="8400" y="20366"/>
                <wp:lineTo x="10800" y="20366"/>
                <wp:lineTo x="10800" y="17589"/>
                <wp:lineTo x="21200" y="11109"/>
                <wp:lineTo x="21200" y="5554"/>
                <wp:lineTo x="9600" y="2777"/>
                <wp:lineTo x="6800" y="2777"/>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1028700" cy="444500"/>
                    </a:xfrm>
                    <a:prstGeom prst="rect">
                      <a:avLst/>
                    </a:prstGeom>
                    <a:noFill/>
                    <a:ln>
                      <a:noFill/>
                    </a:ln>
                  </pic:spPr>
                </pic:pic>
              </a:graphicData>
            </a:graphic>
          </wp:anchor>
        </w:drawing>
      </w:r>
    </w:p>
    <w:p w14:paraId="442CF70B">
      <w:pPr>
        <w:pStyle w:val="27"/>
        <w:spacing w:line="360" w:lineRule="auto"/>
        <w:ind w:firstLine="480"/>
        <w:jc w:val="center"/>
        <w:rPr>
          <w:rFonts w:hint="default" w:ascii="Times New Roman" w:hAnsi="Times New Roman" w:eastAsia="宋体" w:cs="Times New Roman"/>
          <w:color w:val="auto"/>
          <w:sz w:val="24"/>
          <w:highlight w:val="none"/>
        </w:rPr>
      </w:pPr>
    </w:p>
    <w:p w14:paraId="1AECA636">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zh-CN" w:eastAsia="zh-CN"/>
        </w:rPr>
      </w:pPr>
      <w:r>
        <w:rPr>
          <w:rFonts w:hint="default" w:ascii="Times New Roman" w:hAnsi="Times New Roman" w:eastAsia="华文中宋" w:cs="Times New Roman"/>
          <w:sz w:val="24"/>
          <w:highlight w:val="none"/>
          <w:lang w:val="zh-CN" w:eastAsia="zh-CN"/>
        </w:rPr>
        <w:t>式中：Pi—第i个污染物的最大地面空气质量浓度占标率，%；</w:t>
      </w:r>
    </w:p>
    <w:p w14:paraId="22998358">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zh-CN" w:eastAsia="zh-CN"/>
        </w:rPr>
      </w:pPr>
      <w:r>
        <w:rPr>
          <w:rFonts w:hint="default" w:ascii="Times New Roman" w:hAnsi="Times New Roman" w:eastAsia="华文中宋" w:cs="Times New Roman"/>
          <w:sz w:val="24"/>
          <w:highlight w:val="none"/>
          <w:lang w:val="zh-CN" w:eastAsia="zh-CN"/>
        </w:rPr>
        <w:t>Ci—采用估算模型计算出的第i个污染物的最大1h地面空气质量浓度，μg/m3；</w:t>
      </w:r>
    </w:p>
    <w:p w14:paraId="715D6F5A">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zh-CN" w:eastAsia="zh-CN"/>
        </w:rPr>
      </w:pPr>
      <w:r>
        <w:rPr>
          <w:rFonts w:hint="default" w:ascii="Times New Roman" w:hAnsi="Times New Roman" w:eastAsia="华文中宋" w:cs="Times New Roman"/>
          <w:sz w:val="24"/>
          <w:highlight w:val="none"/>
          <w:lang w:val="zh-CN" w:eastAsia="zh-CN"/>
        </w:rPr>
        <w:t>C0i—第i个污染物的环境空气质量浓度标准，μg/m</w:t>
      </w:r>
      <w:r>
        <w:rPr>
          <w:rFonts w:hint="default" w:ascii="Times New Roman" w:hAnsi="Times New Roman" w:eastAsia="华文中宋" w:cs="Times New Roman"/>
          <w:sz w:val="24"/>
          <w:highlight w:val="none"/>
          <w:vertAlign w:val="superscript"/>
          <w:lang w:val="zh-CN" w:eastAsia="zh-CN"/>
        </w:rPr>
        <w:t>3</w:t>
      </w:r>
    </w:p>
    <w:p w14:paraId="4C0C447F">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zh-CN" w:eastAsia="zh-CN"/>
        </w:rPr>
      </w:pPr>
      <w:r>
        <w:rPr>
          <w:rFonts w:hint="default" w:ascii="Times New Roman" w:hAnsi="Times New Roman" w:eastAsia="华文中宋" w:cs="Times New Roman"/>
          <w:sz w:val="24"/>
          <w:highlight w:val="none"/>
          <w:lang w:val="zh-CN" w:eastAsia="zh-CN"/>
        </w:rPr>
        <w:t>C0i一般选用《环境空气质量标准》（GB3095-2012）中1小时平均取样时间的二级标准浓度限值；如项目位于一类环境空气功能区，应选择相应的一级浓度限值</w:t>
      </w:r>
      <w:r>
        <w:rPr>
          <w:rFonts w:hint="eastAsia" w:ascii="Times New Roman" w:hAnsi="Times New Roman" w:eastAsia="华文中宋" w:cs="Times New Roman"/>
          <w:sz w:val="24"/>
          <w:highlight w:val="none"/>
          <w:lang w:val="zh-CN" w:eastAsia="zh-CN"/>
        </w:rPr>
        <w:t>；</w:t>
      </w:r>
      <w:r>
        <w:rPr>
          <w:rFonts w:hint="default" w:ascii="Times New Roman" w:hAnsi="Times New Roman" w:eastAsia="华文中宋" w:cs="Times New Roman"/>
          <w:sz w:val="24"/>
          <w:highlight w:val="none"/>
          <w:lang w:val="zh-CN" w:eastAsia="zh-CN"/>
        </w:rPr>
        <w:t>对该标准中未包含的污染物，使用5.2确定的各评价因子1h平均质量浓度限值。对仅有8h平均质量浓度限值、日平均质量浓度限值或年平均质量浓度限值的，可分别按2倍、3倍、6倍折算为1h平均质量浓度限值。</w:t>
      </w:r>
    </w:p>
    <w:p w14:paraId="502BF2C3">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zh-CN" w:eastAsia="zh-CN"/>
        </w:rPr>
      </w:pPr>
      <w:r>
        <w:rPr>
          <w:rFonts w:hint="default" w:ascii="Times New Roman" w:hAnsi="Times New Roman" w:eastAsia="华文中宋" w:cs="Times New Roman"/>
          <w:sz w:val="24"/>
          <w:highlight w:val="none"/>
          <w:lang w:val="zh-CN" w:eastAsia="zh-CN"/>
        </w:rPr>
        <w:t>评价工作等级按表</w:t>
      </w:r>
      <w:r>
        <w:rPr>
          <w:rFonts w:hint="default" w:ascii="Times New Roman" w:hAnsi="Times New Roman" w:eastAsia="华文中宋" w:cs="Times New Roman"/>
          <w:sz w:val="24"/>
          <w:highlight w:val="none"/>
          <w:lang w:val="en-US" w:eastAsia="zh-CN"/>
        </w:rPr>
        <w:t>2</w:t>
      </w:r>
      <w:r>
        <w:rPr>
          <w:rFonts w:hint="default" w:ascii="Times New Roman" w:hAnsi="Times New Roman" w:eastAsia="华文中宋" w:cs="Times New Roman"/>
          <w:sz w:val="24"/>
          <w:highlight w:val="none"/>
          <w:lang w:val="zh-CN" w:eastAsia="zh-CN"/>
        </w:rPr>
        <w:t>.</w:t>
      </w:r>
      <w:r>
        <w:rPr>
          <w:rFonts w:hint="default" w:ascii="Times New Roman" w:hAnsi="Times New Roman" w:eastAsia="华文中宋" w:cs="Times New Roman"/>
          <w:sz w:val="24"/>
          <w:highlight w:val="none"/>
          <w:lang w:val="en-US" w:eastAsia="zh-CN"/>
        </w:rPr>
        <w:t>5</w:t>
      </w:r>
      <w:r>
        <w:rPr>
          <w:rFonts w:hint="default" w:ascii="Times New Roman" w:hAnsi="Times New Roman" w:eastAsia="华文中宋" w:cs="Times New Roman"/>
          <w:sz w:val="24"/>
          <w:highlight w:val="none"/>
          <w:lang w:val="zh-CN" w:eastAsia="zh-CN"/>
        </w:rPr>
        <w:t>-1进行划分，如污染物数i大于1，取P值中最大者（Pmax）。</w:t>
      </w:r>
    </w:p>
    <w:p w14:paraId="7BF0BC8B">
      <w:pPr>
        <w:adjustRightInd w:val="0"/>
        <w:snapToGrid w:val="0"/>
        <w:spacing w:before="250" w:beforeLines="50"/>
        <w:ind w:firstLine="422" w:firstLineChars="200"/>
        <w:jc w:val="center"/>
        <w:rPr>
          <w:rFonts w:hint="default" w:ascii="Times New Roman" w:hAnsi="Times New Roman" w:eastAsia="华文中宋" w:cs="Times New Roman"/>
          <w:b/>
          <w:szCs w:val="21"/>
          <w:highlight w:val="none"/>
        </w:rPr>
      </w:pPr>
      <w:r>
        <w:rPr>
          <w:rFonts w:hint="default" w:ascii="Times New Roman" w:hAnsi="Times New Roman" w:eastAsia="华文中宋" w:cs="Times New Roman"/>
          <w:b/>
          <w:szCs w:val="21"/>
          <w:highlight w:val="none"/>
        </w:rPr>
        <w:t>表</w:t>
      </w:r>
      <w:r>
        <w:rPr>
          <w:rFonts w:hint="default" w:ascii="Times New Roman" w:hAnsi="Times New Roman" w:eastAsia="华文中宋" w:cs="Times New Roman"/>
          <w:b/>
          <w:szCs w:val="21"/>
          <w:highlight w:val="none"/>
          <w:lang w:val="en-US" w:eastAsia="zh-CN"/>
        </w:rPr>
        <w:t>2</w:t>
      </w:r>
      <w:r>
        <w:rPr>
          <w:rFonts w:hint="default" w:ascii="Times New Roman" w:hAnsi="Times New Roman" w:eastAsia="华文中宋" w:cs="Times New Roman"/>
          <w:b/>
          <w:szCs w:val="21"/>
          <w:highlight w:val="none"/>
        </w:rPr>
        <w:t>.</w:t>
      </w:r>
      <w:r>
        <w:rPr>
          <w:rFonts w:hint="default" w:ascii="Times New Roman" w:hAnsi="Times New Roman" w:eastAsia="华文中宋" w:cs="Times New Roman"/>
          <w:b/>
          <w:szCs w:val="21"/>
          <w:highlight w:val="none"/>
          <w:lang w:val="en-US" w:eastAsia="zh-CN"/>
        </w:rPr>
        <w:t>5</w:t>
      </w:r>
      <w:r>
        <w:rPr>
          <w:rFonts w:hint="default" w:ascii="Times New Roman" w:hAnsi="Times New Roman" w:eastAsia="华文中宋" w:cs="Times New Roman"/>
          <w:b/>
          <w:szCs w:val="21"/>
          <w:highlight w:val="none"/>
        </w:rPr>
        <w:t>-1</w:t>
      </w:r>
      <w:r>
        <w:rPr>
          <w:rFonts w:hint="default" w:ascii="Times New Roman" w:hAnsi="Times New Roman" w:eastAsia="华文中宋" w:cs="Times New Roman"/>
          <w:b/>
          <w:szCs w:val="21"/>
          <w:highlight w:val="none"/>
          <w:lang w:val="en-US" w:eastAsia="zh-CN"/>
        </w:rPr>
        <w:t xml:space="preserve">  </w:t>
      </w:r>
      <w:r>
        <w:rPr>
          <w:rFonts w:hint="default" w:ascii="Times New Roman" w:hAnsi="Times New Roman" w:eastAsia="华文中宋" w:cs="Times New Roman"/>
          <w:b/>
          <w:szCs w:val="21"/>
          <w:highlight w:val="none"/>
        </w:rPr>
        <w:t>环境空气影响评价工作等级判别表</w:t>
      </w:r>
    </w:p>
    <w:tbl>
      <w:tblPr>
        <w:tblStyle w:val="19"/>
        <w:tblW w:w="850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031"/>
        <w:gridCol w:w="6473"/>
      </w:tblGrid>
      <w:tr w14:paraId="3F991F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31" w:type="dxa"/>
            <w:tcMar>
              <w:left w:w="0" w:type="dxa"/>
              <w:right w:w="0" w:type="dxa"/>
            </w:tcMar>
            <w:vAlign w:val="center"/>
          </w:tcPr>
          <w:p w14:paraId="11384170">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评价等级</w:t>
            </w:r>
          </w:p>
        </w:tc>
        <w:tc>
          <w:tcPr>
            <w:tcW w:w="6473" w:type="dxa"/>
            <w:vAlign w:val="center"/>
          </w:tcPr>
          <w:p w14:paraId="7C658721">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评价工作分级判据</w:t>
            </w:r>
          </w:p>
        </w:tc>
      </w:tr>
      <w:tr w14:paraId="3D5CA1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31" w:type="dxa"/>
            <w:tcMar>
              <w:left w:w="0" w:type="dxa"/>
              <w:right w:w="0" w:type="dxa"/>
            </w:tcMar>
            <w:vAlign w:val="center"/>
          </w:tcPr>
          <w:p w14:paraId="55ABFD97">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一级</w:t>
            </w:r>
          </w:p>
        </w:tc>
        <w:tc>
          <w:tcPr>
            <w:tcW w:w="6473" w:type="dxa"/>
            <w:vAlign w:val="center"/>
          </w:tcPr>
          <w:p w14:paraId="28CD53EF">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Pmax≥10%</w:t>
            </w:r>
          </w:p>
        </w:tc>
      </w:tr>
      <w:tr w14:paraId="14213B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31" w:type="dxa"/>
            <w:tcMar>
              <w:left w:w="0" w:type="dxa"/>
              <w:right w:w="0" w:type="dxa"/>
            </w:tcMar>
            <w:vAlign w:val="center"/>
          </w:tcPr>
          <w:p w14:paraId="287410C5">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二级</w:t>
            </w:r>
          </w:p>
        </w:tc>
        <w:tc>
          <w:tcPr>
            <w:tcW w:w="6473" w:type="dxa"/>
            <w:vAlign w:val="center"/>
          </w:tcPr>
          <w:p w14:paraId="40AF612F">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1%≤Pmax&lt;10%</w:t>
            </w:r>
          </w:p>
        </w:tc>
      </w:tr>
      <w:tr w14:paraId="1A09C4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31" w:type="dxa"/>
            <w:tcMar>
              <w:left w:w="0" w:type="dxa"/>
              <w:right w:w="0" w:type="dxa"/>
            </w:tcMar>
            <w:vAlign w:val="center"/>
          </w:tcPr>
          <w:p w14:paraId="31FBC4E0">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三级</w:t>
            </w:r>
          </w:p>
        </w:tc>
        <w:tc>
          <w:tcPr>
            <w:tcW w:w="6473" w:type="dxa"/>
            <w:vAlign w:val="center"/>
          </w:tcPr>
          <w:p w14:paraId="31EF2406">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Pmax﹤1%</w:t>
            </w:r>
          </w:p>
        </w:tc>
      </w:tr>
    </w:tbl>
    <w:p w14:paraId="2CD94BB1">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华文中宋" w:cs="Times New Roman"/>
          <w:sz w:val="24"/>
          <w:highlight w:val="none"/>
          <w:lang w:val="en-US" w:eastAsia="zh-CN"/>
        </w:rPr>
        <w:t>评价</w:t>
      </w:r>
      <w:r>
        <w:rPr>
          <w:rFonts w:hint="default" w:ascii="Times New Roman" w:hAnsi="Times New Roman" w:eastAsia="宋体" w:cs="Times New Roman"/>
          <w:color w:val="auto"/>
          <w:kern w:val="0"/>
          <w:sz w:val="24"/>
          <w:szCs w:val="24"/>
          <w:highlight w:val="none"/>
          <w:lang w:val="en-US" w:eastAsia="zh-CN" w:bidi="ar"/>
        </w:rPr>
        <w:t>采用导则推荐其他模型进行估算，估算模型参数见表2.5-2。</w:t>
      </w:r>
    </w:p>
    <w:p w14:paraId="25097F3A">
      <w:pPr>
        <w:adjustRightInd w:val="0"/>
        <w:snapToGrid w:val="0"/>
        <w:spacing w:before="250" w:beforeLines="50"/>
        <w:ind w:firstLine="422" w:firstLineChars="200"/>
        <w:jc w:val="center"/>
        <w:rPr>
          <w:rFonts w:hint="default" w:ascii="Times New Roman" w:hAnsi="Times New Roman" w:eastAsia="华文中宋" w:cs="Times New Roman"/>
          <w:b/>
          <w:szCs w:val="21"/>
          <w:highlight w:val="none"/>
          <w:lang w:val="zh-CN"/>
        </w:rPr>
      </w:pPr>
      <w:r>
        <w:rPr>
          <w:rFonts w:hint="default" w:ascii="Times New Roman" w:hAnsi="Times New Roman" w:eastAsia="华文中宋" w:cs="Times New Roman"/>
          <w:b/>
          <w:szCs w:val="21"/>
          <w:highlight w:val="none"/>
          <w:lang w:val="zh-CN"/>
        </w:rPr>
        <w:t>表</w:t>
      </w:r>
      <w:r>
        <w:rPr>
          <w:rFonts w:hint="default" w:ascii="Times New Roman" w:hAnsi="Times New Roman" w:eastAsia="华文中宋" w:cs="Times New Roman"/>
          <w:b/>
          <w:szCs w:val="21"/>
          <w:highlight w:val="none"/>
          <w:lang w:val="en-US" w:eastAsia="zh-CN"/>
        </w:rPr>
        <w:t>2</w:t>
      </w:r>
      <w:r>
        <w:rPr>
          <w:rFonts w:hint="default" w:ascii="Times New Roman" w:hAnsi="Times New Roman" w:eastAsia="华文中宋" w:cs="Times New Roman"/>
          <w:b/>
          <w:szCs w:val="21"/>
          <w:highlight w:val="none"/>
        </w:rPr>
        <w:t>.</w:t>
      </w:r>
      <w:r>
        <w:rPr>
          <w:rFonts w:hint="default" w:ascii="Times New Roman" w:hAnsi="Times New Roman" w:eastAsia="华文中宋" w:cs="Times New Roman"/>
          <w:b/>
          <w:szCs w:val="21"/>
          <w:highlight w:val="none"/>
          <w:lang w:val="en-US" w:eastAsia="zh-CN"/>
        </w:rPr>
        <w:t>5</w:t>
      </w:r>
      <w:r>
        <w:rPr>
          <w:rFonts w:hint="default" w:ascii="Times New Roman" w:hAnsi="Times New Roman" w:eastAsia="华文中宋" w:cs="Times New Roman"/>
          <w:b/>
          <w:szCs w:val="21"/>
          <w:highlight w:val="none"/>
        </w:rPr>
        <w:t>-2</w:t>
      </w:r>
      <w:r>
        <w:rPr>
          <w:rFonts w:hint="default" w:ascii="Times New Roman" w:hAnsi="Times New Roman" w:eastAsia="华文中宋" w:cs="Times New Roman"/>
          <w:b/>
          <w:szCs w:val="21"/>
          <w:highlight w:val="none"/>
          <w:lang w:val="en-US" w:eastAsia="zh-CN"/>
        </w:rPr>
        <w:t xml:space="preserve">  </w:t>
      </w:r>
      <w:r>
        <w:rPr>
          <w:rFonts w:hint="default" w:ascii="Times New Roman" w:hAnsi="Times New Roman" w:eastAsia="华文中宋" w:cs="Times New Roman"/>
          <w:b/>
          <w:szCs w:val="21"/>
          <w:highlight w:val="none"/>
          <w:lang w:val="zh-CN"/>
        </w:rPr>
        <w:t>估算模型计算参数</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838"/>
        <w:gridCol w:w="2838"/>
        <w:gridCol w:w="2840"/>
      </w:tblGrid>
      <w:tr w14:paraId="72EABB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76" w:type="dxa"/>
            <w:gridSpan w:val="2"/>
            <w:tcBorders>
              <w:tl2br w:val="nil"/>
              <w:tr2bl w:val="nil"/>
            </w:tcBorders>
            <w:noWrap w:val="0"/>
            <w:vAlign w:val="center"/>
          </w:tcPr>
          <w:p w14:paraId="7CF961F1">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参数</w:t>
            </w:r>
          </w:p>
        </w:tc>
        <w:tc>
          <w:tcPr>
            <w:tcW w:w="2840" w:type="dxa"/>
            <w:tcBorders>
              <w:tl2br w:val="nil"/>
              <w:tr2bl w:val="nil"/>
            </w:tcBorders>
            <w:noWrap w:val="0"/>
            <w:vAlign w:val="center"/>
          </w:tcPr>
          <w:p w14:paraId="645AE3CD">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取值</w:t>
            </w:r>
          </w:p>
        </w:tc>
      </w:tr>
      <w:tr w14:paraId="7FD8FE0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38" w:type="dxa"/>
            <w:vMerge w:val="restart"/>
            <w:tcBorders>
              <w:tl2br w:val="nil"/>
              <w:tr2bl w:val="nil"/>
            </w:tcBorders>
            <w:noWrap w:val="0"/>
            <w:vAlign w:val="center"/>
          </w:tcPr>
          <w:p w14:paraId="7DB5440D">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城市/农村选项</w:t>
            </w:r>
          </w:p>
        </w:tc>
        <w:tc>
          <w:tcPr>
            <w:tcW w:w="2838" w:type="dxa"/>
            <w:tcBorders>
              <w:tl2br w:val="nil"/>
              <w:tr2bl w:val="nil"/>
            </w:tcBorders>
            <w:noWrap w:val="0"/>
            <w:vAlign w:val="center"/>
          </w:tcPr>
          <w:p w14:paraId="4BEDB5F2">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城市/农村</w:t>
            </w:r>
          </w:p>
        </w:tc>
        <w:tc>
          <w:tcPr>
            <w:tcW w:w="2840" w:type="dxa"/>
            <w:tcBorders>
              <w:tl2br w:val="nil"/>
              <w:tr2bl w:val="nil"/>
            </w:tcBorders>
            <w:noWrap w:val="0"/>
            <w:vAlign w:val="center"/>
          </w:tcPr>
          <w:p w14:paraId="1A2A9B31">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农村</w:t>
            </w:r>
          </w:p>
        </w:tc>
      </w:tr>
      <w:tr w14:paraId="34D3B4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38" w:type="dxa"/>
            <w:vMerge w:val="continue"/>
            <w:tcBorders>
              <w:tl2br w:val="nil"/>
              <w:tr2bl w:val="nil"/>
            </w:tcBorders>
            <w:noWrap w:val="0"/>
            <w:vAlign w:val="center"/>
          </w:tcPr>
          <w:p w14:paraId="3CF04A5B">
            <w:pPr>
              <w:spacing w:line="300" w:lineRule="exact"/>
              <w:jc w:val="center"/>
              <w:rPr>
                <w:rFonts w:hint="default" w:ascii="Times New Roman" w:hAnsi="Times New Roman" w:eastAsia="华文中宋" w:cs="Times New Roman"/>
                <w:szCs w:val="21"/>
                <w:highlight w:val="none"/>
                <w:lang w:val="en-US" w:eastAsia="zh-CN"/>
              </w:rPr>
            </w:pPr>
          </w:p>
        </w:tc>
        <w:tc>
          <w:tcPr>
            <w:tcW w:w="2838" w:type="dxa"/>
            <w:tcBorders>
              <w:tl2br w:val="nil"/>
              <w:tr2bl w:val="nil"/>
            </w:tcBorders>
            <w:noWrap w:val="0"/>
            <w:vAlign w:val="center"/>
          </w:tcPr>
          <w:p w14:paraId="5DA18B89">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人口数（城市选项时）</w:t>
            </w:r>
          </w:p>
        </w:tc>
        <w:tc>
          <w:tcPr>
            <w:tcW w:w="2840" w:type="dxa"/>
            <w:tcBorders>
              <w:tl2br w:val="nil"/>
              <w:tr2bl w:val="nil"/>
            </w:tcBorders>
            <w:noWrap w:val="0"/>
            <w:vAlign w:val="center"/>
          </w:tcPr>
          <w:p w14:paraId="299693C1">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w:t>
            </w:r>
          </w:p>
        </w:tc>
      </w:tr>
      <w:tr w14:paraId="4732986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76" w:type="dxa"/>
            <w:gridSpan w:val="2"/>
            <w:tcBorders>
              <w:tl2br w:val="nil"/>
              <w:tr2bl w:val="nil"/>
            </w:tcBorders>
            <w:noWrap w:val="0"/>
            <w:vAlign w:val="center"/>
          </w:tcPr>
          <w:p w14:paraId="040FBE4B">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最高环境温度/℃</w:t>
            </w:r>
          </w:p>
        </w:tc>
        <w:tc>
          <w:tcPr>
            <w:tcW w:w="2840" w:type="dxa"/>
            <w:tcBorders>
              <w:tl2br w:val="nil"/>
              <w:tr2bl w:val="nil"/>
            </w:tcBorders>
            <w:noWrap w:val="0"/>
            <w:vAlign w:val="center"/>
          </w:tcPr>
          <w:p w14:paraId="6EDC616F">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25.0</w:t>
            </w:r>
          </w:p>
        </w:tc>
      </w:tr>
      <w:tr w14:paraId="59013E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76" w:type="dxa"/>
            <w:gridSpan w:val="2"/>
            <w:tcBorders>
              <w:tl2br w:val="nil"/>
              <w:tr2bl w:val="nil"/>
            </w:tcBorders>
            <w:noWrap w:val="0"/>
            <w:vAlign w:val="center"/>
          </w:tcPr>
          <w:p w14:paraId="24AE57AC">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最低环境温度/℃</w:t>
            </w:r>
          </w:p>
        </w:tc>
        <w:tc>
          <w:tcPr>
            <w:tcW w:w="2840" w:type="dxa"/>
            <w:tcBorders>
              <w:tl2br w:val="nil"/>
              <w:tr2bl w:val="nil"/>
            </w:tcBorders>
            <w:noWrap w:val="0"/>
            <w:vAlign w:val="center"/>
          </w:tcPr>
          <w:p w14:paraId="28F8820F">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-40.0</w:t>
            </w:r>
          </w:p>
        </w:tc>
      </w:tr>
      <w:tr w14:paraId="74E4D0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76" w:type="dxa"/>
            <w:gridSpan w:val="2"/>
            <w:tcBorders>
              <w:tl2br w:val="nil"/>
              <w:tr2bl w:val="nil"/>
            </w:tcBorders>
            <w:noWrap w:val="0"/>
            <w:vAlign w:val="center"/>
          </w:tcPr>
          <w:p w14:paraId="5E0C52F3">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土地利用类型</w:t>
            </w:r>
          </w:p>
        </w:tc>
        <w:tc>
          <w:tcPr>
            <w:tcW w:w="2840" w:type="dxa"/>
            <w:tcBorders>
              <w:tl2br w:val="nil"/>
              <w:tr2bl w:val="nil"/>
            </w:tcBorders>
            <w:noWrap w:val="0"/>
            <w:vAlign w:val="center"/>
          </w:tcPr>
          <w:p w14:paraId="6BDF1AB6">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草地</w:t>
            </w:r>
          </w:p>
        </w:tc>
      </w:tr>
      <w:tr w14:paraId="274BB2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76" w:type="dxa"/>
            <w:gridSpan w:val="2"/>
            <w:tcBorders>
              <w:tl2br w:val="nil"/>
              <w:tr2bl w:val="nil"/>
            </w:tcBorders>
            <w:noWrap w:val="0"/>
            <w:vAlign w:val="center"/>
          </w:tcPr>
          <w:p w14:paraId="0E754901">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区域湿度条件</w:t>
            </w:r>
          </w:p>
        </w:tc>
        <w:tc>
          <w:tcPr>
            <w:tcW w:w="2840" w:type="dxa"/>
            <w:tcBorders>
              <w:tl2br w:val="nil"/>
              <w:tr2bl w:val="nil"/>
            </w:tcBorders>
            <w:noWrap w:val="0"/>
            <w:vAlign w:val="center"/>
          </w:tcPr>
          <w:p w14:paraId="5620671A">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干燥</w:t>
            </w:r>
          </w:p>
        </w:tc>
      </w:tr>
      <w:tr w14:paraId="38CF574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38" w:type="dxa"/>
            <w:vMerge w:val="restart"/>
            <w:tcBorders>
              <w:tl2br w:val="nil"/>
              <w:tr2bl w:val="nil"/>
            </w:tcBorders>
            <w:noWrap w:val="0"/>
            <w:vAlign w:val="center"/>
          </w:tcPr>
          <w:p w14:paraId="0D6A0D37">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是否考虑地形</w:t>
            </w:r>
          </w:p>
        </w:tc>
        <w:tc>
          <w:tcPr>
            <w:tcW w:w="2838" w:type="dxa"/>
            <w:tcBorders>
              <w:tl2br w:val="nil"/>
              <w:tr2bl w:val="nil"/>
            </w:tcBorders>
            <w:noWrap w:val="0"/>
            <w:vAlign w:val="center"/>
          </w:tcPr>
          <w:p w14:paraId="5E42AD11">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考虑地形</w:t>
            </w:r>
          </w:p>
        </w:tc>
        <w:tc>
          <w:tcPr>
            <w:tcW w:w="2840" w:type="dxa"/>
            <w:tcBorders>
              <w:tl2br w:val="nil"/>
              <w:tr2bl w:val="nil"/>
            </w:tcBorders>
            <w:noWrap w:val="0"/>
            <w:vAlign w:val="center"/>
          </w:tcPr>
          <w:p w14:paraId="76EC3AF5">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是</w:t>
            </w:r>
          </w:p>
        </w:tc>
      </w:tr>
      <w:tr w14:paraId="685E97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38" w:type="dxa"/>
            <w:vMerge w:val="continue"/>
            <w:tcBorders>
              <w:tl2br w:val="nil"/>
              <w:tr2bl w:val="nil"/>
            </w:tcBorders>
            <w:noWrap w:val="0"/>
            <w:vAlign w:val="center"/>
          </w:tcPr>
          <w:p w14:paraId="787C2FED">
            <w:pPr>
              <w:spacing w:line="300" w:lineRule="exact"/>
              <w:jc w:val="center"/>
              <w:rPr>
                <w:rFonts w:hint="default" w:ascii="Times New Roman" w:hAnsi="Times New Roman" w:eastAsia="华文中宋" w:cs="Times New Roman"/>
                <w:szCs w:val="21"/>
                <w:highlight w:val="none"/>
                <w:lang w:val="en-US" w:eastAsia="zh-CN"/>
              </w:rPr>
            </w:pPr>
          </w:p>
        </w:tc>
        <w:tc>
          <w:tcPr>
            <w:tcW w:w="2838" w:type="dxa"/>
            <w:tcBorders>
              <w:tl2br w:val="nil"/>
              <w:tr2bl w:val="nil"/>
            </w:tcBorders>
            <w:noWrap w:val="0"/>
            <w:vAlign w:val="center"/>
          </w:tcPr>
          <w:p w14:paraId="7C16D25D">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地形数据分辨率（m）</w:t>
            </w:r>
          </w:p>
        </w:tc>
        <w:tc>
          <w:tcPr>
            <w:tcW w:w="2840" w:type="dxa"/>
            <w:tcBorders>
              <w:tl2br w:val="nil"/>
              <w:tr2bl w:val="nil"/>
            </w:tcBorders>
            <w:noWrap w:val="0"/>
            <w:vAlign w:val="center"/>
          </w:tcPr>
          <w:p w14:paraId="505E4AC1">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90</w:t>
            </w:r>
          </w:p>
        </w:tc>
      </w:tr>
      <w:tr w14:paraId="068158F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40" w:hRule="atLeast"/>
          <w:jc w:val="center"/>
        </w:trPr>
        <w:tc>
          <w:tcPr>
            <w:tcW w:w="2838" w:type="dxa"/>
            <w:vMerge w:val="restart"/>
            <w:tcBorders>
              <w:tl2br w:val="nil"/>
              <w:tr2bl w:val="nil"/>
            </w:tcBorders>
            <w:noWrap w:val="0"/>
            <w:vAlign w:val="center"/>
          </w:tcPr>
          <w:p w14:paraId="165A28C4">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是否考虑海岸线熏烟</w:t>
            </w:r>
          </w:p>
        </w:tc>
        <w:tc>
          <w:tcPr>
            <w:tcW w:w="2838" w:type="dxa"/>
            <w:tcBorders>
              <w:tl2br w:val="nil"/>
              <w:tr2bl w:val="nil"/>
            </w:tcBorders>
            <w:noWrap w:val="0"/>
            <w:vAlign w:val="center"/>
          </w:tcPr>
          <w:p w14:paraId="6161050B">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考虑海岸线熏烟</w:t>
            </w:r>
          </w:p>
        </w:tc>
        <w:tc>
          <w:tcPr>
            <w:tcW w:w="2840" w:type="dxa"/>
            <w:tcBorders>
              <w:tl2br w:val="nil"/>
              <w:tr2bl w:val="nil"/>
            </w:tcBorders>
            <w:noWrap w:val="0"/>
            <w:vAlign w:val="center"/>
          </w:tcPr>
          <w:p w14:paraId="11D81156">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否</w:t>
            </w:r>
          </w:p>
        </w:tc>
      </w:tr>
      <w:tr w14:paraId="09C3DC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38" w:type="dxa"/>
            <w:vMerge w:val="continue"/>
            <w:tcBorders>
              <w:tl2br w:val="nil"/>
              <w:tr2bl w:val="nil"/>
            </w:tcBorders>
            <w:noWrap w:val="0"/>
            <w:vAlign w:val="center"/>
          </w:tcPr>
          <w:p w14:paraId="5E1934E1">
            <w:pPr>
              <w:spacing w:line="300" w:lineRule="exact"/>
              <w:jc w:val="center"/>
              <w:rPr>
                <w:rFonts w:hint="default" w:ascii="Times New Roman" w:hAnsi="Times New Roman" w:eastAsia="华文中宋" w:cs="Times New Roman"/>
                <w:szCs w:val="21"/>
                <w:highlight w:val="none"/>
                <w:lang w:val="en-US" w:eastAsia="zh-CN"/>
              </w:rPr>
            </w:pPr>
          </w:p>
        </w:tc>
        <w:tc>
          <w:tcPr>
            <w:tcW w:w="2838" w:type="dxa"/>
            <w:tcBorders>
              <w:tl2br w:val="nil"/>
              <w:tr2bl w:val="nil"/>
            </w:tcBorders>
            <w:noWrap w:val="0"/>
            <w:vAlign w:val="center"/>
          </w:tcPr>
          <w:p w14:paraId="6B301E81">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海岸线距离/km</w:t>
            </w:r>
          </w:p>
        </w:tc>
        <w:tc>
          <w:tcPr>
            <w:tcW w:w="2840" w:type="dxa"/>
            <w:tcBorders>
              <w:tl2br w:val="nil"/>
              <w:tr2bl w:val="nil"/>
            </w:tcBorders>
            <w:noWrap w:val="0"/>
            <w:vAlign w:val="center"/>
          </w:tcPr>
          <w:p w14:paraId="5AF4F875">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w:t>
            </w:r>
          </w:p>
        </w:tc>
      </w:tr>
      <w:tr w14:paraId="77151F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838" w:type="dxa"/>
            <w:vMerge w:val="continue"/>
            <w:tcBorders>
              <w:tl2br w:val="nil"/>
              <w:tr2bl w:val="nil"/>
            </w:tcBorders>
            <w:noWrap w:val="0"/>
            <w:vAlign w:val="center"/>
          </w:tcPr>
          <w:p w14:paraId="7B2BFDBC">
            <w:pPr>
              <w:spacing w:line="300" w:lineRule="exact"/>
              <w:jc w:val="center"/>
              <w:rPr>
                <w:rFonts w:hint="default" w:ascii="Times New Roman" w:hAnsi="Times New Roman" w:eastAsia="华文中宋" w:cs="Times New Roman"/>
                <w:szCs w:val="21"/>
                <w:highlight w:val="none"/>
                <w:lang w:val="en-US" w:eastAsia="zh-CN"/>
              </w:rPr>
            </w:pPr>
          </w:p>
        </w:tc>
        <w:tc>
          <w:tcPr>
            <w:tcW w:w="2838" w:type="dxa"/>
            <w:tcBorders>
              <w:tl2br w:val="nil"/>
              <w:tr2bl w:val="nil"/>
            </w:tcBorders>
            <w:noWrap w:val="0"/>
            <w:vAlign w:val="center"/>
          </w:tcPr>
          <w:p w14:paraId="6C9E3936">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海岸线方向/</w:t>
            </w:r>
          </w:p>
        </w:tc>
        <w:tc>
          <w:tcPr>
            <w:tcW w:w="2840" w:type="dxa"/>
            <w:tcBorders>
              <w:tl2br w:val="nil"/>
              <w:tr2bl w:val="nil"/>
            </w:tcBorders>
            <w:noWrap w:val="0"/>
            <w:vAlign w:val="center"/>
          </w:tcPr>
          <w:p w14:paraId="52DE60AA">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w:t>
            </w:r>
          </w:p>
        </w:tc>
      </w:tr>
    </w:tbl>
    <w:p w14:paraId="3481398C">
      <w:pPr>
        <w:keepNext w:val="0"/>
        <w:keepLines w:val="0"/>
        <w:widowControl/>
        <w:suppressLineNumbers w:val="0"/>
        <w:spacing w:line="360" w:lineRule="auto"/>
        <w:ind w:firstLine="480" w:firstLineChars="200"/>
        <w:jc w:val="left"/>
        <w:rPr>
          <w:rFonts w:hint="default" w:ascii="Times New Roman" w:hAnsi="Times New Roman" w:eastAsia="华文中宋" w:cs="Times New Roman"/>
          <w:snapToGrid w:val="0"/>
          <w:color w:val="auto"/>
          <w:kern w:val="0"/>
          <w:sz w:val="24"/>
          <w:szCs w:val="24"/>
          <w:highlight w:val="none"/>
          <w:lang w:val="en-US" w:eastAsia="zh-CN" w:bidi="ar-SA"/>
        </w:rPr>
      </w:pPr>
      <w:r>
        <w:rPr>
          <w:rFonts w:hint="default" w:ascii="Times New Roman" w:hAnsi="Times New Roman" w:eastAsia="华文中宋" w:cs="Times New Roman"/>
          <w:snapToGrid w:val="0"/>
          <w:color w:val="auto"/>
          <w:kern w:val="0"/>
          <w:sz w:val="24"/>
          <w:szCs w:val="24"/>
          <w:highlight w:val="none"/>
          <w:lang w:val="en-US" w:eastAsia="zh-CN" w:bidi="ar-SA"/>
        </w:rPr>
        <w:t>本项目运营期大气污染物为无组织粉尘，源自露天采场、废石堆放场、表土堆放场。</w:t>
      </w:r>
    </w:p>
    <w:p w14:paraId="218F52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华文中宋" w:cs="Times New Roman"/>
          <w:snapToGrid w:val="0"/>
          <w:color w:val="auto"/>
          <w:kern w:val="0"/>
          <w:sz w:val="24"/>
          <w:szCs w:val="24"/>
          <w:highlight w:val="none"/>
          <w:lang w:val="en-US" w:eastAsia="zh-CN" w:bidi="ar-SA"/>
        </w:rPr>
      </w:pPr>
      <w:r>
        <w:rPr>
          <w:rFonts w:hint="default" w:ascii="Times New Roman" w:hAnsi="Times New Roman" w:eastAsia="华文中宋" w:cs="Times New Roman"/>
          <w:snapToGrid w:val="0"/>
          <w:color w:val="auto"/>
          <w:kern w:val="0"/>
          <w:sz w:val="24"/>
          <w:szCs w:val="24"/>
          <w:highlight w:val="none"/>
          <w:lang w:val="en-US" w:eastAsia="zh-CN" w:bidi="ar-SA"/>
        </w:rPr>
        <w:t>采用估算模式</w:t>
      </w:r>
      <w:r>
        <w:rPr>
          <w:rFonts w:hint="eastAsia" w:ascii="Times New Roman" w:hAnsi="Times New Roman" w:eastAsia="华文中宋" w:cs="Times New Roman"/>
          <w:snapToGrid w:val="0"/>
          <w:color w:val="auto"/>
          <w:kern w:val="0"/>
          <w:sz w:val="24"/>
          <w:szCs w:val="24"/>
          <w:highlight w:val="none"/>
          <w:lang w:val="en-US" w:eastAsia="zh-CN" w:bidi="ar-SA"/>
        </w:rPr>
        <w:t>估算</w:t>
      </w:r>
      <w:r>
        <w:rPr>
          <w:rFonts w:hint="default" w:ascii="Times New Roman" w:hAnsi="Times New Roman" w:eastAsia="华文中宋" w:cs="Times New Roman"/>
          <w:snapToGrid w:val="0"/>
          <w:color w:val="auto"/>
          <w:kern w:val="0"/>
          <w:sz w:val="24"/>
          <w:szCs w:val="24"/>
          <w:highlight w:val="none"/>
          <w:lang w:val="en-US" w:eastAsia="zh-CN" w:bidi="ar-SA"/>
        </w:rPr>
        <w:t>结果见表2.5-</w:t>
      </w:r>
      <w:r>
        <w:rPr>
          <w:rFonts w:hint="eastAsia" w:ascii="Times New Roman" w:hAnsi="Times New Roman" w:eastAsia="华文中宋" w:cs="Times New Roman"/>
          <w:snapToGrid w:val="0"/>
          <w:color w:val="auto"/>
          <w:kern w:val="0"/>
          <w:sz w:val="24"/>
          <w:szCs w:val="24"/>
          <w:highlight w:val="none"/>
          <w:lang w:val="en-US" w:eastAsia="zh-CN" w:bidi="ar-SA"/>
        </w:rPr>
        <w:t>3</w:t>
      </w:r>
      <w:r>
        <w:rPr>
          <w:rFonts w:hint="default" w:ascii="Times New Roman" w:hAnsi="Times New Roman" w:eastAsia="华文中宋" w:cs="Times New Roman"/>
          <w:snapToGrid w:val="0"/>
          <w:color w:val="auto"/>
          <w:kern w:val="0"/>
          <w:sz w:val="24"/>
          <w:szCs w:val="24"/>
          <w:highlight w:val="none"/>
          <w:lang w:val="en-US" w:eastAsia="zh-CN" w:bidi="ar-SA"/>
        </w:rPr>
        <w:t>。</w:t>
      </w:r>
    </w:p>
    <w:p w14:paraId="0D5C03CE">
      <w:pPr>
        <w:adjustRightInd w:val="0"/>
        <w:snapToGrid w:val="0"/>
        <w:spacing w:before="250" w:beforeLines="50"/>
        <w:ind w:firstLine="422" w:firstLineChars="200"/>
        <w:jc w:val="center"/>
        <w:rPr>
          <w:rFonts w:hint="default" w:ascii="Times New Roman" w:hAnsi="Times New Roman" w:eastAsia="华文中宋" w:cs="Times New Roman"/>
          <w:b/>
          <w:szCs w:val="21"/>
          <w:highlight w:val="none"/>
          <w:lang w:val="en-US" w:eastAsia="zh-CN"/>
        </w:rPr>
      </w:pPr>
      <w:r>
        <w:rPr>
          <w:rFonts w:hint="default" w:ascii="Times New Roman" w:hAnsi="Times New Roman" w:eastAsia="华文中宋" w:cs="Times New Roman"/>
          <w:b/>
          <w:szCs w:val="21"/>
          <w:highlight w:val="none"/>
          <w:lang w:val="en-US" w:eastAsia="zh-CN"/>
        </w:rPr>
        <w:t>表2.5-</w:t>
      </w:r>
      <w:r>
        <w:rPr>
          <w:rFonts w:hint="eastAsia" w:ascii="Times New Roman" w:hAnsi="Times New Roman" w:eastAsia="华文中宋" w:cs="Times New Roman"/>
          <w:b/>
          <w:szCs w:val="21"/>
          <w:highlight w:val="none"/>
          <w:lang w:val="en-US" w:eastAsia="zh-CN"/>
        </w:rPr>
        <w:t>3</w:t>
      </w:r>
      <w:r>
        <w:rPr>
          <w:rFonts w:hint="default" w:ascii="Times New Roman" w:hAnsi="Times New Roman" w:eastAsia="华文中宋" w:cs="Times New Roman"/>
          <w:b/>
          <w:szCs w:val="21"/>
          <w:highlight w:val="none"/>
          <w:lang w:val="en-US" w:eastAsia="zh-CN"/>
        </w:rPr>
        <w:t xml:space="preserve">  预测无组织</w:t>
      </w:r>
      <w:r>
        <w:rPr>
          <w:rFonts w:hint="eastAsia" w:ascii="Times New Roman" w:hAnsi="Times New Roman" w:eastAsia="华文中宋" w:cs="Times New Roman"/>
          <w:b/>
          <w:szCs w:val="21"/>
          <w:highlight w:val="none"/>
          <w:lang w:val="en-US" w:eastAsia="zh-CN"/>
        </w:rPr>
        <w:t>TSP、铅（pb）</w:t>
      </w:r>
      <w:r>
        <w:rPr>
          <w:rFonts w:hint="default" w:ascii="Times New Roman" w:hAnsi="Times New Roman" w:eastAsia="华文中宋" w:cs="Times New Roman"/>
          <w:b/>
          <w:szCs w:val="21"/>
          <w:highlight w:val="none"/>
          <w:lang w:val="en-US" w:eastAsia="zh-CN"/>
        </w:rPr>
        <w:t>最大落地浓度与占标率</w:t>
      </w:r>
    </w:p>
    <w:tbl>
      <w:tblPr>
        <w:tblStyle w:val="19"/>
        <w:tblW w:w="4998"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961"/>
        <w:gridCol w:w="1667"/>
        <w:gridCol w:w="2223"/>
        <w:gridCol w:w="1403"/>
        <w:gridCol w:w="1265"/>
      </w:tblGrid>
      <w:tr w14:paraId="3598F09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11" w:hRule="atLeast"/>
        </w:trPr>
        <w:tc>
          <w:tcPr>
            <w:tcW w:w="1150" w:type="pct"/>
            <w:vAlign w:val="center"/>
          </w:tcPr>
          <w:p w14:paraId="531D9114">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污染源名称</w:t>
            </w:r>
          </w:p>
        </w:tc>
        <w:tc>
          <w:tcPr>
            <w:tcW w:w="978" w:type="pct"/>
            <w:vAlign w:val="center"/>
          </w:tcPr>
          <w:p w14:paraId="6DC7EDD6">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评价因子</w:t>
            </w:r>
          </w:p>
        </w:tc>
        <w:tc>
          <w:tcPr>
            <w:tcW w:w="1304" w:type="pct"/>
            <w:vAlign w:val="center"/>
          </w:tcPr>
          <w:p w14:paraId="0BAD00D5">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评价标准（μg/m³）</w:t>
            </w:r>
          </w:p>
        </w:tc>
        <w:tc>
          <w:tcPr>
            <w:tcW w:w="823" w:type="pct"/>
            <w:vAlign w:val="center"/>
          </w:tcPr>
          <w:p w14:paraId="6349ECB9">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Cmax</w:t>
            </w:r>
          </w:p>
        </w:tc>
        <w:tc>
          <w:tcPr>
            <w:tcW w:w="742" w:type="pct"/>
            <w:vAlign w:val="center"/>
          </w:tcPr>
          <w:p w14:paraId="4ABDD6F1">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Pmax(%)</w:t>
            </w:r>
          </w:p>
        </w:tc>
      </w:tr>
      <w:tr w14:paraId="092B446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3" w:hRule="atLeast"/>
        </w:trPr>
        <w:tc>
          <w:tcPr>
            <w:tcW w:w="1150" w:type="pct"/>
            <w:vMerge w:val="restart"/>
            <w:vAlign w:val="center"/>
          </w:tcPr>
          <w:p w14:paraId="6CC4C3DF">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南露天采矿场</w:t>
            </w:r>
          </w:p>
        </w:tc>
        <w:tc>
          <w:tcPr>
            <w:tcW w:w="978" w:type="pct"/>
            <w:vAlign w:val="center"/>
          </w:tcPr>
          <w:p w14:paraId="21A122C5">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TSP</w:t>
            </w:r>
          </w:p>
        </w:tc>
        <w:tc>
          <w:tcPr>
            <w:tcW w:w="1304" w:type="pct"/>
            <w:vAlign w:val="center"/>
          </w:tcPr>
          <w:p w14:paraId="6426D68E">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900.0</w:t>
            </w:r>
          </w:p>
        </w:tc>
        <w:tc>
          <w:tcPr>
            <w:tcW w:w="823" w:type="pct"/>
            <w:vAlign w:val="center"/>
          </w:tcPr>
          <w:p w14:paraId="1ED56927">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14.67</w:t>
            </w:r>
          </w:p>
        </w:tc>
        <w:tc>
          <w:tcPr>
            <w:tcW w:w="742" w:type="pct"/>
            <w:vAlign w:val="center"/>
          </w:tcPr>
          <w:p w14:paraId="3FD0D2FE">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1.63</w:t>
            </w:r>
          </w:p>
        </w:tc>
      </w:tr>
      <w:tr w14:paraId="30B36A1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150" w:type="pct"/>
            <w:vMerge w:val="continue"/>
            <w:vAlign w:val="center"/>
          </w:tcPr>
          <w:p w14:paraId="4C17B869">
            <w:pPr>
              <w:spacing w:line="300" w:lineRule="exact"/>
              <w:jc w:val="center"/>
              <w:rPr>
                <w:rFonts w:hint="default" w:ascii="Times New Roman" w:hAnsi="Times New Roman" w:eastAsia="华文中宋" w:cs="Times New Roman"/>
                <w:szCs w:val="21"/>
                <w:highlight w:val="none"/>
                <w:lang w:val="en-US" w:eastAsia="zh-CN"/>
              </w:rPr>
            </w:pPr>
          </w:p>
        </w:tc>
        <w:tc>
          <w:tcPr>
            <w:tcW w:w="978" w:type="pct"/>
            <w:vAlign w:val="center"/>
          </w:tcPr>
          <w:p w14:paraId="73CD9984">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铅（pb）</w:t>
            </w:r>
          </w:p>
        </w:tc>
        <w:tc>
          <w:tcPr>
            <w:tcW w:w="1304" w:type="pct"/>
            <w:vAlign w:val="center"/>
          </w:tcPr>
          <w:p w14:paraId="5F7D1BB6">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3</w:t>
            </w:r>
          </w:p>
        </w:tc>
        <w:tc>
          <w:tcPr>
            <w:tcW w:w="823" w:type="pct"/>
            <w:vAlign w:val="center"/>
          </w:tcPr>
          <w:p w14:paraId="0A266293">
            <w:pPr>
              <w:spacing w:line="300" w:lineRule="exact"/>
              <w:jc w:val="center"/>
              <w:rPr>
                <w:rFonts w:hint="default" w:ascii="Times New Roman" w:hAnsi="Times New Roman" w:eastAsia="华文中宋"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华文中宋" w:cs="Times New Roman"/>
                <w:color w:val="000000" w:themeColor="text1"/>
                <w:szCs w:val="21"/>
                <w:highlight w:val="none"/>
                <w:lang w:val="en-US" w:eastAsia="zh-CN"/>
                <w14:textFill>
                  <w14:solidFill>
                    <w14:schemeClr w14:val="tx1"/>
                  </w14:solidFill>
                </w14:textFill>
              </w:rPr>
              <w:t>0.293</w:t>
            </w:r>
          </w:p>
        </w:tc>
        <w:tc>
          <w:tcPr>
            <w:tcW w:w="742" w:type="pct"/>
            <w:vAlign w:val="center"/>
          </w:tcPr>
          <w:p w14:paraId="1118B36D">
            <w:pPr>
              <w:spacing w:line="300" w:lineRule="exact"/>
              <w:jc w:val="center"/>
              <w:rPr>
                <w:rFonts w:hint="default" w:ascii="Times New Roman" w:hAnsi="Times New Roman" w:eastAsia="华文中宋"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华文中宋" w:cs="Times New Roman"/>
                <w:color w:val="000000" w:themeColor="text1"/>
                <w:szCs w:val="21"/>
                <w:highlight w:val="none"/>
                <w:lang w:val="en-US" w:eastAsia="zh-CN"/>
                <w14:textFill>
                  <w14:solidFill>
                    <w14:schemeClr w14:val="tx1"/>
                  </w14:solidFill>
                </w14:textFill>
              </w:rPr>
              <w:t>9.77</w:t>
            </w:r>
          </w:p>
        </w:tc>
      </w:tr>
      <w:tr w14:paraId="0870BA1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91" w:hRule="atLeast"/>
        </w:trPr>
        <w:tc>
          <w:tcPr>
            <w:tcW w:w="1150" w:type="pct"/>
            <w:vMerge w:val="restart"/>
            <w:vAlign w:val="center"/>
          </w:tcPr>
          <w:p w14:paraId="3C389895">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表土堆放场</w:t>
            </w:r>
          </w:p>
        </w:tc>
        <w:tc>
          <w:tcPr>
            <w:tcW w:w="978" w:type="pct"/>
            <w:vAlign w:val="center"/>
          </w:tcPr>
          <w:p w14:paraId="18F9B5C0">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TSP</w:t>
            </w:r>
          </w:p>
        </w:tc>
        <w:tc>
          <w:tcPr>
            <w:tcW w:w="1304" w:type="pct"/>
            <w:vAlign w:val="center"/>
          </w:tcPr>
          <w:p w14:paraId="0E8B2420">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900.0</w:t>
            </w:r>
          </w:p>
        </w:tc>
        <w:tc>
          <w:tcPr>
            <w:tcW w:w="823" w:type="pct"/>
            <w:vAlign w:val="center"/>
          </w:tcPr>
          <w:p w14:paraId="5D1847B1">
            <w:pPr>
              <w:spacing w:line="300" w:lineRule="exact"/>
              <w:jc w:val="center"/>
              <w:rPr>
                <w:rFonts w:hint="default" w:ascii="Times New Roman" w:hAnsi="Times New Roman" w:eastAsia="华文中宋"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华文中宋" w:cs="Times New Roman"/>
                <w:color w:val="000000" w:themeColor="text1"/>
                <w:szCs w:val="21"/>
                <w:highlight w:val="none"/>
                <w:lang w:val="en-US" w:eastAsia="zh-CN"/>
                <w14:textFill>
                  <w14:solidFill>
                    <w14:schemeClr w14:val="tx1"/>
                  </w14:solidFill>
                </w14:textFill>
              </w:rPr>
              <w:t>8.19</w:t>
            </w:r>
          </w:p>
        </w:tc>
        <w:tc>
          <w:tcPr>
            <w:tcW w:w="742" w:type="pct"/>
            <w:vAlign w:val="center"/>
          </w:tcPr>
          <w:p w14:paraId="2FB259DF">
            <w:pPr>
              <w:spacing w:line="300" w:lineRule="exact"/>
              <w:jc w:val="center"/>
              <w:rPr>
                <w:rFonts w:hint="default" w:ascii="Times New Roman" w:hAnsi="Times New Roman" w:eastAsia="华文中宋"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华文中宋" w:cs="Times New Roman"/>
                <w:color w:val="000000" w:themeColor="text1"/>
                <w:szCs w:val="21"/>
                <w:highlight w:val="none"/>
                <w:lang w:val="en-US" w:eastAsia="zh-CN"/>
                <w14:textFill>
                  <w14:solidFill>
                    <w14:schemeClr w14:val="tx1"/>
                  </w14:solidFill>
                </w14:textFill>
              </w:rPr>
              <w:t>0.91</w:t>
            </w:r>
          </w:p>
        </w:tc>
      </w:tr>
      <w:tr w14:paraId="2105C17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2" w:hRule="atLeast"/>
        </w:trPr>
        <w:tc>
          <w:tcPr>
            <w:tcW w:w="1150" w:type="pct"/>
            <w:vMerge w:val="continue"/>
            <w:vAlign w:val="center"/>
          </w:tcPr>
          <w:p w14:paraId="5CFD9CAF">
            <w:pPr>
              <w:spacing w:line="300" w:lineRule="exact"/>
              <w:jc w:val="center"/>
              <w:rPr>
                <w:rFonts w:hint="default" w:ascii="Times New Roman" w:hAnsi="Times New Roman" w:eastAsia="华文中宋" w:cs="Times New Roman"/>
                <w:szCs w:val="21"/>
                <w:highlight w:val="none"/>
                <w:lang w:val="en-US" w:eastAsia="zh-CN"/>
              </w:rPr>
            </w:pPr>
          </w:p>
        </w:tc>
        <w:tc>
          <w:tcPr>
            <w:tcW w:w="978" w:type="pct"/>
            <w:vAlign w:val="center"/>
          </w:tcPr>
          <w:p w14:paraId="25F9ACC5">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铅（pb）</w:t>
            </w:r>
          </w:p>
        </w:tc>
        <w:tc>
          <w:tcPr>
            <w:tcW w:w="1304" w:type="pct"/>
            <w:vAlign w:val="center"/>
          </w:tcPr>
          <w:p w14:paraId="687B0575">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3</w:t>
            </w:r>
          </w:p>
        </w:tc>
        <w:tc>
          <w:tcPr>
            <w:tcW w:w="823" w:type="pct"/>
            <w:vAlign w:val="center"/>
          </w:tcPr>
          <w:p w14:paraId="35C3B64C">
            <w:pPr>
              <w:spacing w:line="300" w:lineRule="exact"/>
              <w:jc w:val="center"/>
              <w:rPr>
                <w:rFonts w:hint="default" w:ascii="Times New Roman" w:hAnsi="Times New Roman" w:eastAsia="华文中宋"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华文中宋" w:cs="Times New Roman"/>
                <w:color w:val="000000" w:themeColor="text1"/>
                <w:szCs w:val="21"/>
                <w:highlight w:val="none"/>
                <w:lang w:val="en-US" w:eastAsia="zh-CN"/>
                <w14:textFill>
                  <w14:solidFill>
                    <w14:schemeClr w14:val="tx1"/>
                  </w14:solidFill>
                </w14:textFill>
              </w:rPr>
              <w:t>0.0003</w:t>
            </w:r>
          </w:p>
        </w:tc>
        <w:tc>
          <w:tcPr>
            <w:tcW w:w="742" w:type="pct"/>
            <w:vAlign w:val="center"/>
          </w:tcPr>
          <w:p w14:paraId="47304D1F">
            <w:pPr>
              <w:spacing w:line="300" w:lineRule="exact"/>
              <w:jc w:val="center"/>
              <w:rPr>
                <w:rFonts w:hint="default" w:ascii="Times New Roman" w:hAnsi="Times New Roman" w:eastAsia="华文中宋"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华文中宋" w:cs="Times New Roman"/>
                <w:color w:val="000000" w:themeColor="text1"/>
                <w:szCs w:val="21"/>
                <w:highlight w:val="none"/>
                <w:lang w:val="en-US" w:eastAsia="zh-CN"/>
                <w14:textFill>
                  <w14:solidFill>
                    <w14:schemeClr w14:val="tx1"/>
                  </w14:solidFill>
                </w14:textFill>
              </w:rPr>
              <w:t>0.01</w:t>
            </w:r>
          </w:p>
        </w:tc>
      </w:tr>
      <w:tr w14:paraId="072F798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20" w:hRule="atLeast"/>
        </w:trPr>
        <w:tc>
          <w:tcPr>
            <w:tcW w:w="1150" w:type="pct"/>
            <w:vMerge w:val="restart"/>
            <w:vAlign w:val="center"/>
          </w:tcPr>
          <w:p w14:paraId="3781FBE1">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北露天采矿场</w:t>
            </w:r>
          </w:p>
        </w:tc>
        <w:tc>
          <w:tcPr>
            <w:tcW w:w="978" w:type="pct"/>
            <w:vAlign w:val="center"/>
          </w:tcPr>
          <w:p w14:paraId="5C4A423B">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TSP</w:t>
            </w:r>
          </w:p>
        </w:tc>
        <w:tc>
          <w:tcPr>
            <w:tcW w:w="1304" w:type="pct"/>
            <w:vAlign w:val="center"/>
          </w:tcPr>
          <w:p w14:paraId="6BC3E0F8">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900.0</w:t>
            </w:r>
          </w:p>
        </w:tc>
        <w:tc>
          <w:tcPr>
            <w:tcW w:w="823" w:type="pct"/>
            <w:vAlign w:val="center"/>
          </w:tcPr>
          <w:p w14:paraId="458BE535">
            <w:pPr>
              <w:spacing w:line="300" w:lineRule="exact"/>
              <w:jc w:val="center"/>
              <w:rPr>
                <w:rFonts w:hint="default" w:ascii="Times New Roman" w:hAnsi="Times New Roman" w:eastAsia="华文中宋"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华文中宋" w:cs="Times New Roman"/>
                <w:color w:val="000000" w:themeColor="text1"/>
                <w:szCs w:val="21"/>
                <w:highlight w:val="none"/>
                <w:lang w:val="en-US" w:eastAsia="zh-CN"/>
                <w14:textFill>
                  <w14:solidFill>
                    <w14:schemeClr w14:val="tx1"/>
                  </w14:solidFill>
                </w14:textFill>
              </w:rPr>
              <w:t>11.61</w:t>
            </w:r>
          </w:p>
        </w:tc>
        <w:tc>
          <w:tcPr>
            <w:tcW w:w="742" w:type="pct"/>
            <w:vAlign w:val="center"/>
          </w:tcPr>
          <w:p w14:paraId="186C5C72">
            <w:pPr>
              <w:spacing w:line="300" w:lineRule="exact"/>
              <w:jc w:val="center"/>
              <w:rPr>
                <w:rFonts w:hint="default" w:ascii="Times New Roman" w:hAnsi="Times New Roman" w:eastAsia="华文中宋"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华文中宋" w:cs="Times New Roman"/>
                <w:color w:val="000000" w:themeColor="text1"/>
                <w:szCs w:val="21"/>
                <w:highlight w:val="none"/>
                <w:lang w:val="en-US" w:eastAsia="zh-CN"/>
                <w14:textFill>
                  <w14:solidFill>
                    <w14:schemeClr w14:val="tx1"/>
                  </w14:solidFill>
                </w14:textFill>
              </w:rPr>
              <w:t>1.29</w:t>
            </w:r>
          </w:p>
        </w:tc>
      </w:tr>
      <w:tr w14:paraId="26A343C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7" w:hRule="atLeast"/>
        </w:trPr>
        <w:tc>
          <w:tcPr>
            <w:tcW w:w="1150" w:type="pct"/>
            <w:vMerge w:val="continue"/>
            <w:vAlign w:val="center"/>
          </w:tcPr>
          <w:p w14:paraId="5CF1B40C">
            <w:pPr>
              <w:spacing w:line="300" w:lineRule="exact"/>
              <w:jc w:val="center"/>
              <w:rPr>
                <w:rFonts w:hint="default" w:ascii="Times New Roman" w:hAnsi="Times New Roman" w:eastAsia="华文中宋" w:cs="Times New Roman"/>
                <w:szCs w:val="21"/>
                <w:highlight w:val="none"/>
                <w:lang w:val="en-US" w:eastAsia="zh-CN"/>
              </w:rPr>
            </w:pPr>
          </w:p>
        </w:tc>
        <w:tc>
          <w:tcPr>
            <w:tcW w:w="978" w:type="pct"/>
            <w:vAlign w:val="center"/>
          </w:tcPr>
          <w:p w14:paraId="1D2AF794">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铅（pb）</w:t>
            </w:r>
          </w:p>
        </w:tc>
        <w:tc>
          <w:tcPr>
            <w:tcW w:w="1304" w:type="pct"/>
            <w:vAlign w:val="center"/>
          </w:tcPr>
          <w:p w14:paraId="3F08CC7B">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3</w:t>
            </w:r>
          </w:p>
        </w:tc>
        <w:tc>
          <w:tcPr>
            <w:tcW w:w="823" w:type="pct"/>
            <w:vAlign w:val="center"/>
          </w:tcPr>
          <w:p w14:paraId="0A6EAC27">
            <w:pPr>
              <w:spacing w:line="300" w:lineRule="exact"/>
              <w:jc w:val="center"/>
              <w:rPr>
                <w:rFonts w:hint="default" w:ascii="Times New Roman" w:hAnsi="Times New Roman" w:eastAsia="华文中宋"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华文中宋" w:cs="Times New Roman"/>
                <w:color w:val="000000" w:themeColor="text1"/>
                <w:szCs w:val="21"/>
                <w:highlight w:val="none"/>
                <w:lang w:val="en-US" w:eastAsia="zh-CN"/>
                <w14:textFill>
                  <w14:solidFill>
                    <w14:schemeClr w14:val="tx1"/>
                  </w14:solidFill>
                </w14:textFill>
              </w:rPr>
              <w:t>0.231</w:t>
            </w:r>
          </w:p>
        </w:tc>
        <w:tc>
          <w:tcPr>
            <w:tcW w:w="742" w:type="pct"/>
            <w:vAlign w:val="center"/>
          </w:tcPr>
          <w:p w14:paraId="2D6EC89B">
            <w:pPr>
              <w:spacing w:line="300" w:lineRule="exact"/>
              <w:jc w:val="center"/>
              <w:rPr>
                <w:rFonts w:hint="default" w:ascii="Times New Roman" w:hAnsi="Times New Roman" w:eastAsia="华文中宋"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华文中宋" w:cs="Times New Roman"/>
                <w:color w:val="000000" w:themeColor="text1"/>
                <w:szCs w:val="21"/>
                <w:highlight w:val="none"/>
                <w:lang w:val="en-US" w:eastAsia="zh-CN"/>
                <w14:textFill>
                  <w14:solidFill>
                    <w14:schemeClr w14:val="tx1"/>
                  </w14:solidFill>
                </w14:textFill>
              </w:rPr>
              <w:t>7.69</w:t>
            </w:r>
          </w:p>
        </w:tc>
      </w:tr>
      <w:tr w14:paraId="2C2F173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73" w:hRule="atLeast"/>
        </w:trPr>
        <w:tc>
          <w:tcPr>
            <w:tcW w:w="1150" w:type="pct"/>
            <w:vMerge w:val="restart"/>
            <w:vAlign w:val="center"/>
          </w:tcPr>
          <w:p w14:paraId="05CCB002">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废石堆放场</w:t>
            </w:r>
          </w:p>
        </w:tc>
        <w:tc>
          <w:tcPr>
            <w:tcW w:w="978" w:type="pct"/>
            <w:vAlign w:val="center"/>
          </w:tcPr>
          <w:p w14:paraId="31B4C58D">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TSP</w:t>
            </w:r>
          </w:p>
        </w:tc>
        <w:tc>
          <w:tcPr>
            <w:tcW w:w="1304" w:type="pct"/>
            <w:vAlign w:val="center"/>
          </w:tcPr>
          <w:p w14:paraId="14E69CB7">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900.0</w:t>
            </w:r>
          </w:p>
        </w:tc>
        <w:tc>
          <w:tcPr>
            <w:tcW w:w="823" w:type="pct"/>
            <w:vAlign w:val="center"/>
          </w:tcPr>
          <w:p w14:paraId="12BEB1EF">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2.79</w:t>
            </w:r>
          </w:p>
        </w:tc>
        <w:tc>
          <w:tcPr>
            <w:tcW w:w="742" w:type="pct"/>
            <w:vAlign w:val="center"/>
          </w:tcPr>
          <w:p w14:paraId="0290D7D6">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0.31</w:t>
            </w:r>
          </w:p>
        </w:tc>
      </w:tr>
      <w:tr w14:paraId="20F1885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62" w:hRule="atLeast"/>
        </w:trPr>
        <w:tc>
          <w:tcPr>
            <w:tcW w:w="1150" w:type="pct"/>
            <w:vMerge w:val="continue"/>
            <w:vAlign w:val="center"/>
          </w:tcPr>
          <w:p w14:paraId="434B9C82">
            <w:pPr>
              <w:spacing w:line="300" w:lineRule="exact"/>
              <w:jc w:val="center"/>
              <w:rPr>
                <w:rFonts w:hint="default" w:ascii="Times New Roman" w:hAnsi="Times New Roman" w:eastAsia="华文中宋" w:cs="Times New Roman"/>
                <w:szCs w:val="21"/>
                <w:highlight w:val="none"/>
                <w:lang w:val="en-US" w:eastAsia="zh-CN"/>
              </w:rPr>
            </w:pPr>
          </w:p>
        </w:tc>
        <w:tc>
          <w:tcPr>
            <w:tcW w:w="978" w:type="pct"/>
            <w:vAlign w:val="center"/>
          </w:tcPr>
          <w:p w14:paraId="65F0E8AA">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铅（pb）</w:t>
            </w:r>
          </w:p>
        </w:tc>
        <w:tc>
          <w:tcPr>
            <w:tcW w:w="1304" w:type="pct"/>
            <w:vAlign w:val="center"/>
          </w:tcPr>
          <w:p w14:paraId="10156976">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3</w:t>
            </w:r>
          </w:p>
        </w:tc>
        <w:tc>
          <w:tcPr>
            <w:tcW w:w="823" w:type="pct"/>
            <w:vAlign w:val="center"/>
          </w:tcPr>
          <w:p w14:paraId="2A36690E">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0.000</w:t>
            </w:r>
          </w:p>
        </w:tc>
        <w:tc>
          <w:tcPr>
            <w:tcW w:w="742" w:type="pct"/>
            <w:vAlign w:val="center"/>
          </w:tcPr>
          <w:p w14:paraId="2F70C043">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w:t>
            </w:r>
          </w:p>
        </w:tc>
      </w:tr>
      <w:tr w14:paraId="3C6B326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5" w:hRule="atLeast"/>
        </w:trPr>
        <w:tc>
          <w:tcPr>
            <w:tcW w:w="1150" w:type="pct"/>
            <w:vMerge w:val="restart"/>
            <w:vAlign w:val="center"/>
          </w:tcPr>
          <w:p w14:paraId="282868DA">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矿石转运场</w:t>
            </w:r>
          </w:p>
        </w:tc>
        <w:tc>
          <w:tcPr>
            <w:tcW w:w="978" w:type="pct"/>
            <w:vAlign w:val="center"/>
          </w:tcPr>
          <w:p w14:paraId="237EE062">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TSP</w:t>
            </w:r>
          </w:p>
        </w:tc>
        <w:tc>
          <w:tcPr>
            <w:tcW w:w="1304" w:type="pct"/>
            <w:vAlign w:val="center"/>
          </w:tcPr>
          <w:p w14:paraId="04E898E9">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900.0</w:t>
            </w:r>
          </w:p>
        </w:tc>
        <w:tc>
          <w:tcPr>
            <w:tcW w:w="823" w:type="pct"/>
            <w:vAlign w:val="center"/>
          </w:tcPr>
          <w:p w14:paraId="705A2CD1">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1.26</w:t>
            </w:r>
          </w:p>
        </w:tc>
        <w:tc>
          <w:tcPr>
            <w:tcW w:w="742" w:type="pct"/>
            <w:vAlign w:val="center"/>
          </w:tcPr>
          <w:p w14:paraId="095236CE">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0.14</w:t>
            </w:r>
          </w:p>
        </w:tc>
      </w:tr>
      <w:tr w14:paraId="059CD9F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1150" w:type="pct"/>
            <w:vMerge w:val="continue"/>
            <w:vAlign w:val="center"/>
          </w:tcPr>
          <w:p w14:paraId="10B257BB">
            <w:pPr>
              <w:spacing w:line="300" w:lineRule="exact"/>
              <w:jc w:val="center"/>
              <w:rPr>
                <w:rFonts w:hint="eastAsia" w:ascii="Times New Roman" w:hAnsi="Times New Roman" w:eastAsia="华文中宋" w:cs="Times New Roman"/>
                <w:szCs w:val="21"/>
                <w:highlight w:val="none"/>
                <w:lang w:val="en-US" w:eastAsia="zh-CN"/>
              </w:rPr>
            </w:pPr>
          </w:p>
        </w:tc>
        <w:tc>
          <w:tcPr>
            <w:tcW w:w="978" w:type="pct"/>
            <w:vAlign w:val="center"/>
          </w:tcPr>
          <w:p w14:paraId="50B2CF0E">
            <w:pPr>
              <w:spacing w:line="300" w:lineRule="exact"/>
              <w:jc w:val="center"/>
              <w:rPr>
                <w:rFonts w:hint="eastAsia"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铅（pb）</w:t>
            </w:r>
          </w:p>
        </w:tc>
        <w:tc>
          <w:tcPr>
            <w:tcW w:w="1304" w:type="pct"/>
            <w:vAlign w:val="center"/>
          </w:tcPr>
          <w:p w14:paraId="5CAC519D">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3</w:t>
            </w:r>
          </w:p>
        </w:tc>
        <w:tc>
          <w:tcPr>
            <w:tcW w:w="823" w:type="pct"/>
            <w:vAlign w:val="center"/>
          </w:tcPr>
          <w:p w14:paraId="492D408F">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0.229</w:t>
            </w:r>
          </w:p>
        </w:tc>
        <w:tc>
          <w:tcPr>
            <w:tcW w:w="742" w:type="pct"/>
            <w:vAlign w:val="center"/>
          </w:tcPr>
          <w:p w14:paraId="5EA9221D">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7.62</w:t>
            </w:r>
          </w:p>
        </w:tc>
      </w:tr>
    </w:tbl>
    <w:p w14:paraId="771A6F34">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根据估算模式AERSCREEN计算结果表明，本项目TSPP</w:t>
      </w:r>
      <w:r>
        <w:rPr>
          <w:rFonts w:hint="default" w:ascii="Times New Roman" w:hAnsi="Times New Roman" w:eastAsia="华文中宋" w:cs="Times New Roman"/>
          <w:sz w:val="24"/>
          <w:highlight w:val="none"/>
          <w:vertAlign w:val="subscript"/>
          <w:lang w:val="en-US" w:eastAsia="zh-CN"/>
        </w:rPr>
        <w:t>max</w:t>
      </w:r>
      <w:r>
        <w:rPr>
          <w:rFonts w:hint="default" w:ascii="Times New Roman" w:hAnsi="Times New Roman" w:eastAsia="华文中宋" w:cs="Times New Roman"/>
          <w:sz w:val="24"/>
          <w:highlight w:val="none"/>
          <w:lang w:val="en-US" w:eastAsia="zh-CN"/>
        </w:rPr>
        <w:t>最大值出现</w:t>
      </w:r>
      <w:r>
        <w:rPr>
          <w:rFonts w:hint="eastAsia" w:ascii="Times New Roman" w:hAnsi="Times New Roman" w:eastAsia="华文中宋" w:cs="Times New Roman"/>
          <w:sz w:val="24"/>
          <w:highlight w:val="none"/>
          <w:lang w:val="en-US" w:eastAsia="zh-CN"/>
        </w:rPr>
        <w:t>在南露天采场</w:t>
      </w:r>
      <w:r>
        <w:rPr>
          <w:rFonts w:hint="default" w:ascii="Times New Roman" w:hAnsi="Times New Roman" w:eastAsia="华文中宋" w:cs="Times New Roman"/>
          <w:sz w:val="24"/>
          <w:highlight w:val="none"/>
          <w:lang w:val="en-US" w:eastAsia="zh-CN"/>
        </w:rPr>
        <w:t>排放</w:t>
      </w:r>
      <w:r>
        <w:rPr>
          <w:rFonts w:hint="eastAsia" w:ascii="Times New Roman" w:hAnsi="Times New Roman" w:eastAsia="华文中宋" w:cs="Times New Roman"/>
          <w:sz w:val="24"/>
          <w:highlight w:val="none"/>
          <w:lang w:val="en-US" w:eastAsia="zh-CN"/>
        </w:rPr>
        <w:t>面源</w:t>
      </w:r>
      <w:r>
        <w:rPr>
          <w:rFonts w:hint="default" w:ascii="Times New Roman" w:hAnsi="Times New Roman" w:eastAsia="华文中宋" w:cs="Times New Roman"/>
          <w:sz w:val="24"/>
          <w:highlight w:val="none"/>
          <w:lang w:val="en-US" w:eastAsia="zh-CN"/>
        </w:rPr>
        <w:t>，P</w:t>
      </w:r>
      <w:r>
        <w:rPr>
          <w:rFonts w:hint="default" w:ascii="Times New Roman" w:hAnsi="Times New Roman" w:eastAsia="华文中宋" w:cs="Times New Roman"/>
          <w:sz w:val="24"/>
          <w:highlight w:val="none"/>
          <w:vertAlign w:val="subscript"/>
          <w:lang w:val="en-US" w:eastAsia="zh-CN"/>
        </w:rPr>
        <w:t>max</w:t>
      </w:r>
      <w:r>
        <w:rPr>
          <w:rFonts w:hint="default" w:ascii="Times New Roman" w:hAnsi="Times New Roman" w:eastAsia="华文中宋" w:cs="Times New Roman"/>
          <w:sz w:val="24"/>
          <w:highlight w:val="none"/>
          <w:lang w:val="en-US" w:eastAsia="zh-CN"/>
        </w:rPr>
        <w:t>值为</w:t>
      </w:r>
      <w:r>
        <w:rPr>
          <w:rFonts w:hint="eastAsia" w:ascii="Times New Roman" w:hAnsi="Times New Roman" w:eastAsia="华文中宋" w:cs="Times New Roman"/>
          <w:sz w:val="24"/>
          <w:highlight w:val="none"/>
          <w:lang w:val="en-US" w:eastAsia="zh-CN"/>
        </w:rPr>
        <w:t>1.63</w:t>
      </w:r>
      <w:r>
        <w:rPr>
          <w:rFonts w:hint="default" w:ascii="Times New Roman" w:hAnsi="Times New Roman" w:eastAsia="华文中宋" w:cs="Times New Roman"/>
          <w:sz w:val="24"/>
          <w:highlight w:val="none"/>
          <w:lang w:val="en-US" w:eastAsia="zh-CN"/>
        </w:rPr>
        <w:t>%，C</w:t>
      </w:r>
      <w:r>
        <w:rPr>
          <w:rFonts w:hint="default" w:ascii="Times New Roman" w:hAnsi="Times New Roman" w:eastAsia="华文中宋" w:cs="Times New Roman"/>
          <w:sz w:val="24"/>
          <w:highlight w:val="none"/>
          <w:vertAlign w:val="subscript"/>
          <w:lang w:val="en-US" w:eastAsia="zh-CN"/>
        </w:rPr>
        <w:t>max</w:t>
      </w:r>
      <w:r>
        <w:rPr>
          <w:rFonts w:hint="default" w:ascii="Times New Roman" w:hAnsi="Times New Roman" w:eastAsia="华文中宋" w:cs="Times New Roman"/>
          <w:sz w:val="24"/>
          <w:highlight w:val="none"/>
          <w:lang w:val="en-US" w:eastAsia="zh-CN"/>
        </w:rPr>
        <w:t>为</w:t>
      </w:r>
      <w:r>
        <w:rPr>
          <w:rFonts w:hint="eastAsia" w:ascii="Times New Roman" w:hAnsi="Times New Roman" w:eastAsia="华文中宋" w:cs="Times New Roman"/>
          <w:sz w:val="24"/>
          <w:highlight w:val="none"/>
          <w:lang w:val="en-US" w:eastAsia="zh-CN"/>
        </w:rPr>
        <w:t>14.67</w:t>
      </w:r>
      <w:r>
        <w:rPr>
          <w:rFonts w:hint="default" w:ascii="Times New Roman" w:hAnsi="Times New Roman" w:eastAsia="华文中宋" w:cs="Times New Roman"/>
          <w:sz w:val="24"/>
          <w:highlight w:val="none"/>
          <w:lang w:val="en-US" w:eastAsia="zh-CN"/>
        </w:rPr>
        <w:t>μg/m³</w:t>
      </w:r>
      <w:r>
        <w:rPr>
          <w:rFonts w:hint="default" w:ascii="Times New Roman" w:hAnsi="Times New Roman" w:eastAsia="华文中宋" w:cs="Times New Roman"/>
          <w:sz w:val="24"/>
          <w:highlight w:val="none"/>
        </w:rPr>
        <w:t>，</w:t>
      </w:r>
      <w:r>
        <w:rPr>
          <w:rFonts w:hint="default" w:ascii="Times New Roman" w:hAnsi="Times New Roman" w:eastAsia="华文中宋" w:cs="Times New Roman"/>
          <w:sz w:val="24"/>
          <w:highlight w:val="none"/>
          <w:lang w:val="en-US" w:eastAsia="zh-CN"/>
        </w:rPr>
        <w:t>属于1%≤P</w:t>
      </w:r>
      <w:r>
        <w:rPr>
          <w:rFonts w:hint="default" w:ascii="Times New Roman" w:hAnsi="Times New Roman" w:eastAsia="华文中宋" w:cs="Times New Roman"/>
          <w:sz w:val="24"/>
          <w:highlight w:val="none"/>
          <w:vertAlign w:val="subscript"/>
          <w:lang w:val="en-US" w:eastAsia="zh-CN"/>
        </w:rPr>
        <w:t>max</w:t>
      </w:r>
      <w:r>
        <w:rPr>
          <w:rFonts w:hint="default" w:ascii="Times New Roman" w:hAnsi="Times New Roman" w:eastAsia="华文中宋" w:cs="Times New Roman"/>
          <w:sz w:val="24"/>
          <w:highlight w:val="none"/>
          <w:lang w:val="en-US" w:eastAsia="zh-CN"/>
        </w:rPr>
        <w:t>＜10%，</w:t>
      </w:r>
      <w:r>
        <w:rPr>
          <w:rFonts w:hint="eastAsia" w:ascii="Times New Roman" w:hAnsi="Times New Roman" w:eastAsia="华文中宋" w:cs="Times New Roman"/>
          <w:sz w:val="24"/>
          <w:highlight w:val="none"/>
          <w:lang w:val="en-US" w:eastAsia="zh-CN"/>
        </w:rPr>
        <w:t>本项目铅（pb）最大值出现在南露天采场，</w:t>
      </w:r>
      <w:r>
        <w:rPr>
          <w:rFonts w:hint="default" w:ascii="Times New Roman" w:hAnsi="Times New Roman" w:eastAsia="华文中宋" w:cs="Times New Roman"/>
          <w:sz w:val="24"/>
          <w:highlight w:val="none"/>
          <w:lang w:val="en-US" w:eastAsia="zh-CN"/>
        </w:rPr>
        <w:t>P</w:t>
      </w:r>
      <w:r>
        <w:rPr>
          <w:rFonts w:hint="default" w:ascii="Times New Roman" w:hAnsi="Times New Roman" w:eastAsia="华文中宋" w:cs="Times New Roman"/>
          <w:sz w:val="24"/>
          <w:highlight w:val="none"/>
          <w:vertAlign w:val="subscript"/>
          <w:lang w:val="en-US" w:eastAsia="zh-CN"/>
        </w:rPr>
        <w:t>max</w:t>
      </w:r>
      <w:r>
        <w:rPr>
          <w:rFonts w:hint="default" w:ascii="Times New Roman" w:hAnsi="Times New Roman" w:eastAsia="华文中宋" w:cs="Times New Roman"/>
          <w:sz w:val="24"/>
          <w:highlight w:val="none"/>
          <w:lang w:val="en-US" w:eastAsia="zh-CN"/>
        </w:rPr>
        <w:t>值为</w:t>
      </w:r>
      <w:r>
        <w:rPr>
          <w:rFonts w:hint="eastAsia" w:ascii="Times New Roman" w:hAnsi="Times New Roman" w:eastAsia="华文中宋" w:cs="Times New Roman"/>
          <w:sz w:val="24"/>
          <w:highlight w:val="none"/>
          <w:lang w:val="en-US" w:eastAsia="zh-CN"/>
        </w:rPr>
        <w:t>9.77</w:t>
      </w:r>
      <w:r>
        <w:rPr>
          <w:rFonts w:hint="default" w:ascii="Times New Roman" w:hAnsi="Times New Roman" w:eastAsia="华文中宋" w:cs="Times New Roman"/>
          <w:sz w:val="24"/>
          <w:highlight w:val="none"/>
          <w:lang w:val="en-US" w:eastAsia="zh-CN"/>
        </w:rPr>
        <w:t>%，C</w:t>
      </w:r>
      <w:r>
        <w:rPr>
          <w:rFonts w:hint="default" w:ascii="Times New Roman" w:hAnsi="Times New Roman" w:eastAsia="华文中宋" w:cs="Times New Roman"/>
          <w:sz w:val="24"/>
          <w:highlight w:val="none"/>
          <w:vertAlign w:val="subscript"/>
          <w:lang w:val="en-US" w:eastAsia="zh-CN"/>
        </w:rPr>
        <w:t>max</w:t>
      </w:r>
      <w:r>
        <w:rPr>
          <w:rFonts w:hint="default" w:ascii="Times New Roman" w:hAnsi="Times New Roman" w:eastAsia="华文中宋" w:cs="Times New Roman"/>
          <w:sz w:val="24"/>
          <w:highlight w:val="none"/>
          <w:lang w:val="en-US" w:eastAsia="zh-CN"/>
        </w:rPr>
        <w:t>为</w:t>
      </w:r>
      <w:r>
        <w:rPr>
          <w:rFonts w:hint="eastAsia" w:ascii="Times New Roman" w:hAnsi="Times New Roman" w:eastAsia="华文中宋" w:cs="Times New Roman"/>
          <w:sz w:val="24"/>
          <w:highlight w:val="none"/>
          <w:lang w:val="en-US" w:eastAsia="zh-CN"/>
        </w:rPr>
        <w:t>0.293</w:t>
      </w:r>
      <w:r>
        <w:rPr>
          <w:rFonts w:hint="default" w:ascii="Times New Roman" w:hAnsi="Times New Roman" w:eastAsia="华文中宋" w:cs="Times New Roman"/>
          <w:sz w:val="24"/>
          <w:highlight w:val="none"/>
          <w:lang w:val="en-US" w:eastAsia="zh-CN"/>
        </w:rPr>
        <w:t>μg/m³</w:t>
      </w:r>
      <w:r>
        <w:rPr>
          <w:rFonts w:hint="default" w:ascii="Times New Roman" w:hAnsi="Times New Roman" w:eastAsia="华文中宋" w:cs="Times New Roman"/>
          <w:sz w:val="24"/>
          <w:highlight w:val="none"/>
        </w:rPr>
        <w:t>，</w:t>
      </w:r>
      <w:r>
        <w:rPr>
          <w:rFonts w:hint="default" w:ascii="Times New Roman" w:hAnsi="Times New Roman" w:eastAsia="华文中宋" w:cs="Times New Roman"/>
          <w:sz w:val="24"/>
          <w:highlight w:val="none"/>
          <w:lang w:val="en-US" w:eastAsia="zh-CN"/>
        </w:rPr>
        <w:t>属于1%≤P</w:t>
      </w:r>
      <w:r>
        <w:rPr>
          <w:rFonts w:hint="default" w:ascii="Times New Roman" w:hAnsi="Times New Roman" w:eastAsia="华文中宋" w:cs="Times New Roman"/>
          <w:sz w:val="24"/>
          <w:highlight w:val="none"/>
          <w:vertAlign w:val="subscript"/>
          <w:lang w:val="en-US" w:eastAsia="zh-CN"/>
        </w:rPr>
        <w:t>max</w:t>
      </w:r>
      <w:r>
        <w:rPr>
          <w:rFonts w:hint="default" w:ascii="Times New Roman" w:hAnsi="Times New Roman" w:eastAsia="华文中宋" w:cs="Times New Roman"/>
          <w:sz w:val="24"/>
          <w:highlight w:val="none"/>
          <w:lang w:val="en-US" w:eastAsia="zh-CN"/>
        </w:rPr>
        <w:t>＜10%，</w:t>
      </w:r>
      <w:r>
        <w:rPr>
          <w:rFonts w:hint="default" w:ascii="Times New Roman" w:hAnsi="Times New Roman" w:eastAsia="华文中宋" w:cs="Times New Roman"/>
          <w:sz w:val="24"/>
          <w:highlight w:val="none"/>
        </w:rPr>
        <w:t>根据《环境影响评价技术导则大气环境》（HJ2.2-2018）分级判据，确定本项目大气环境影响评价工作等级为二级</w:t>
      </w:r>
      <w:r>
        <w:rPr>
          <w:rFonts w:hint="default" w:ascii="Times New Roman" w:hAnsi="Times New Roman" w:eastAsia="华文中宋" w:cs="Times New Roman"/>
          <w:sz w:val="24"/>
          <w:highlight w:val="none"/>
          <w:lang w:eastAsia="zh-CN"/>
        </w:rPr>
        <w:t>。</w:t>
      </w:r>
    </w:p>
    <w:p w14:paraId="785340C4">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（2）评价范围</w:t>
      </w:r>
    </w:p>
    <w:p w14:paraId="4940050E">
      <w:pPr>
        <w:adjustRightInd w:val="0"/>
        <w:snapToGrid w:val="0"/>
        <w:spacing w:line="500" w:lineRule="exact"/>
        <w:ind w:firstLine="480" w:firstLineChars="200"/>
        <w:jc w:val="left"/>
        <w:rPr>
          <w:rFonts w:hint="default" w:ascii="Times New Roman" w:hAnsi="Times New Roman" w:eastAsia="宋体" w:cs="Times New Roman"/>
          <w:b w:val="0"/>
          <w:color w:val="auto"/>
          <w:sz w:val="24"/>
          <w:highlight w:val="none"/>
          <w:lang w:val="en-US" w:eastAsia="zh-CN"/>
        </w:rPr>
      </w:pPr>
      <w:r>
        <w:rPr>
          <w:rFonts w:hint="default" w:ascii="Times New Roman" w:hAnsi="Times New Roman" w:eastAsia="华文中宋" w:cs="Times New Roman"/>
          <w:sz w:val="24"/>
          <w:highlight w:val="none"/>
          <w:lang w:val="en-US" w:eastAsia="zh-CN"/>
        </w:rPr>
        <w:t>根据《环境影响评价技术导则</w:t>
      </w:r>
      <w:r>
        <w:rPr>
          <w:rFonts w:hint="eastAsia" w:ascii="Times New Roman" w:hAnsi="Times New Roman" w:eastAsia="华文中宋" w:cs="Times New Roman"/>
          <w:sz w:val="24"/>
          <w:highlight w:val="none"/>
          <w:lang w:val="en-US" w:eastAsia="zh-CN"/>
        </w:rPr>
        <w:t xml:space="preserve"> </w:t>
      </w:r>
      <w:r>
        <w:rPr>
          <w:rFonts w:hint="default" w:ascii="Times New Roman" w:hAnsi="Times New Roman" w:eastAsia="华文中宋" w:cs="Times New Roman"/>
          <w:sz w:val="24"/>
          <w:highlight w:val="none"/>
          <w:lang w:val="en-US" w:eastAsia="zh-CN"/>
        </w:rPr>
        <w:t>大气环境》（HJ2.2-2018）中对评价范围的规定，确定本次大气影响评价范围是以</w:t>
      </w:r>
      <w:r>
        <w:rPr>
          <w:rFonts w:hint="eastAsia" w:ascii="Times New Roman" w:hAnsi="Times New Roman" w:eastAsia="华文中宋" w:cs="Times New Roman"/>
          <w:sz w:val="24"/>
          <w:highlight w:val="none"/>
          <w:lang w:val="en-US" w:eastAsia="zh-CN"/>
        </w:rPr>
        <w:t>矿区为中心区域</w:t>
      </w:r>
      <w:r>
        <w:rPr>
          <w:rFonts w:hint="default" w:ascii="Times New Roman" w:hAnsi="Times New Roman" w:eastAsia="华文中宋" w:cs="Times New Roman"/>
          <w:sz w:val="24"/>
          <w:highlight w:val="none"/>
          <w:lang w:val="en-US" w:eastAsia="zh-CN"/>
        </w:rPr>
        <w:t>，</w:t>
      </w:r>
      <w:r>
        <w:rPr>
          <w:rFonts w:hint="eastAsia" w:ascii="Times New Roman" w:hAnsi="Times New Roman" w:eastAsia="华文中宋" w:cs="Times New Roman"/>
          <w:sz w:val="24"/>
          <w:highlight w:val="none"/>
          <w:lang w:val="en-US" w:eastAsia="zh-CN"/>
        </w:rPr>
        <w:t>边长</w:t>
      </w:r>
      <w:r>
        <w:rPr>
          <w:rFonts w:hint="default" w:ascii="Times New Roman" w:hAnsi="Times New Roman" w:eastAsia="华文中宋" w:cs="Times New Roman"/>
          <w:sz w:val="24"/>
          <w:highlight w:val="none"/>
          <w:lang w:val="en-US" w:eastAsia="zh-CN"/>
        </w:rPr>
        <w:t>5km的矩形区域</w:t>
      </w:r>
      <w:r>
        <w:rPr>
          <w:rFonts w:hint="eastAsia" w:ascii="Times New Roman" w:hAnsi="Times New Roman" w:eastAsia="华文中宋" w:cs="Times New Roman"/>
          <w:sz w:val="24"/>
          <w:highlight w:val="none"/>
          <w:lang w:val="en-US" w:eastAsia="zh-CN"/>
        </w:rPr>
        <w:t>作为大气环境影响评价范围</w:t>
      </w:r>
      <w:r>
        <w:rPr>
          <w:rFonts w:hint="default" w:ascii="Times New Roman" w:hAnsi="Times New Roman" w:eastAsia="华文中宋" w:cs="Times New Roman"/>
          <w:sz w:val="24"/>
          <w:highlight w:val="none"/>
          <w:lang w:val="en-US" w:eastAsia="zh-CN"/>
        </w:rPr>
        <w:t>。</w:t>
      </w:r>
    </w:p>
    <w:p w14:paraId="627D3E80">
      <w:pPr>
        <w:pStyle w:val="4"/>
        <w:spacing w:before="120" w:after="120" w:line="500" w:lineRule="exact"/>
        <w:rPr>
          <w:rFonts w:hint="default" w:ascii="Times New Roman" w:hAnsi="Times New Roman" w:eastAsia="华文中宋" w:cs="Times New Roman"/>
          <w:kern w:val="0"/>
          <w:sz w:val="24"/>
          <w:szCs w:val="24"/>
          <w:highlight w:val="none"/>
          <w:lang w:val="en-US" w:eastAsia="zh-CN"/>
        </w:rPr>
      </w:pPr>
      <w:bookmarkStart w:id="48" w:name="_Toc21889"/>
      <w:r>
        <w:rPr>
          <w:rFonts w:hint="default" w:ascii="Times New Roman" w:hAnsi="Times New Roman" w:eastAsia="华文中宋" w:cs="Times New Roman"/>
          <w:kern w:val="0"/>
          <w:sz w:val="24"/>
          <w:szCs w:val="24"/>
          <w:highlight w:val="none"/>
          <w:lang w:val="en-US" w:eastAsia="zh-CN"/>
        </w:rPr>
        <w:t>2.5.2地表水环境</w:t>
      </w:r>
      <w:bookmarkEnd w:id="48"/>
    </w:p>
    <w:p w14:paraId="596AE723">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根据工程分析，项目运营产生的废水主要为生活污水。生活污水通过一座地埋式一体化污水处理装置处理后，全部用于采场及道路降尘洒水，不向地表水环境排放。</w:t>
      </w:r>
    </w:p>
    <w:p w14:paraId="6976E4BF">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按照HJ2.3-2018中的有关规定，本项目地表水评价等级确定为三级B，可不进行水环境影响预测。只需要对其简要分析，不设评价范围。</w:t>
      </w:r>
    </w:p>
    <w:p w14:paraId="6BC1904E">
      <w:pPr>
        <w:pStyle w:val="4"/>
        <w:spacing w:before="120" w:after="120" w:line="500" w:lineRule="exact"/>
        <w:rPr>
          <w:rFonts w:hint="default" w:ascii="Times New Roman" w:hAnsi="Times New Roman" w:eastAsia="华文中宋" w:cs="Times New Roman"/>
          <w:kern w:val="0"/>
          <w:sz w:val="24"/>
          <w:szCs w:val="24"/>
          <w:lang w:val="en-US" w:eastAsia="zh-CN"/>
        </w:rPr>
      </w:pPr>
      <w:bookmarkStart w:id="49" w:name="_Toc29118"/>
      <w:r>
        <w:rPr>
          <w:rFonts w:hint="default" w:ascii="Times New Roman" w:hAnsi="Times New Roman" w:eastAsia="华文中宋" w:cs="Times New Roman"/>
          <w:kern w:val="0"/>
          <w:sz w:val="24"/>
          <w:szCs w:val="24"/>
          <w:lang w:val="en-US" w:eastAsia="zh-CN"/>
        </w:rPr>
        <w:t>2.5.3地下水环境</w:t>
      </w:r>
      <w:bookmarkEnd w:id="49"/>
    </w:p>
    <w:p w14:paraId="2EE899F9">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宋体" w:cs="Times New Roman"/>
          <w:color w:val="auto"/>
          <w:sz w:val="24"/>
          <w:szCs w:val="24"/>
          <w:lang w:val="en-US" w:eastAsia="zh-CN"/>
        </w:rPr>
        <w:t>（</w:t>
      </w:r>
      <w:r>
        <w:rPr>
          <w:rFonts w:hint="default" w:ascii="Times New Roman" w:hAnsi="Times New Roman" w:eastAsia="华文中宋" w:cs="Times New Roman"/>
          <w:sz w:val="24"/>
          <w:lang w:val="en-US" w:eastAsia="zh-CN"/>
        </w:rPr>
        <w:t>1）评价等级的确定</w:t>
      </w:r>
    </w:p>
    <w:p w14:paraId="074B7DBD">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按照《环境影响评价技术导则</w:t>
      </w:r>
      <w:r>
        <w:rPr>
          <w:rFonts w:hint="eastAsia" w:ascii="Times New Roman" w:hAnsi="Times New Roman" w:eastAsia="华文中宋" w:cs="Times New Roman"/>
          <w:sz w:val="24"/>
          <w:lang w:val="en-US" w:eastAsia="zh-CN"/>
        </w:rPr>
        <w:t xml:space="preserve"> </w:t>
      </w:r>
      <w:r>
        <w:rPr>
          <w:rFonts w:hint="default" w:ascii="Times New Roman" w:hAnsi="Times New Roman" w:eastAsia="华文中宋" w:cs="Times New Roman"/>
          <w:sz w:val="24"/>
          <w:lang w:val="en-US" w:eastAsia="zh-CN"/>
        </w:rPr>
        <w:t>地下水环境》（HJ610-2016）附表A（地下水环境影响评价行业分类表），项目属于</w:t>
      </w:r>
      <w:r>
        <w:rPr>
          <w:rFonts w:hint="eastAsia" w:ascii="Times New Roman" w:hAnsi="Times New Roman" w:eastAsia="华文中宋" w:cs="Times New Roman"/>
          <w:sz w:val="24"/>
          <w:lang w:val="en-US" w:eastAsia="zh-CN"/>
        </w:rPr>
        <w:t>“H有色金属47、采选（含单独尾矿库）”</w:t>
      </w:r>
      <w:r>
        <w:rPr>
          <w:rFonts w:hint="default" w:ascii="Times New Roman" w:hAnsi="Times New Roman" w:eastAsia="华文中宋" w:cs="Times New Roman"/>
          <w:sz w:val="24"/>
          <w:lang w:val="en-US" w:eastAsia="zh-CN"/>
        </w:rPr>
        <w:t>，排土场为</w:t>
      </w:r>
      <w:r>
        <w:rPr>
          <w:rFonts w:hint="default" w:ascii="Times New Roman" w:hAnsi="Times New Roman" w:eastAsia="华文中宋" w:cs="Times New Roman"/>
          <w:sz w:val="24"/>
          <w:lang w:eastAsia="zh-CN"/>
        </w:rPr>
        <w:t>Ⅰ</w:t>
      </w:r>
      <w:r>
        <w:rPr>
          <w:rFonts w:hint="default" w:ascii="Times New Roman" w:hAnsi="Times New Roman" w:eastAsia="华文中宋" w:cs="Times New Roman"/>
          <w:sz w:val="24"/>
          <w:lang w:val="en-US" w:eastAsia="zh-CN"/>
        </w:rPr>
        <w:t>类项目，</w:t>
      </w:r>
      <w:r>
        <w:rPr>
          <w:rFonts w:hint="eastAsia" w:ascii="Times New Roman" w:hAnsi="Times New Roman" w:eastAsia="华文中宋" w:cs="Times New Roman"/>
          <w:sz w:val="24"/>
          <w:lang w:val="en-US" w:eastAsia="zh-CN"/>
        </w:rPr>
        <w:t>其他场地</w:t>
      </w:r>
      <w:r>
        <w:rPr>
          <w:rFonts w:hint="default" w:ascii="Times New Roman" w:hAnsi="Times New Roman" w:eastAsia="华文中宋" w:cs="Times New Roman"/>
          <w:sz w:val="24"/>
          <w:lang w:val="en-US" w:eastAsia="zh-CN"/>
        </w:rPr>
        <w:t>为Ⅲ类项目。</w:t>
      </w:r>
    </w:p>
    <w:p w14:paraId="57C1D148">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民丰县盼水河铅锑矿工程</w:t>
      </w:r>
      <w:r>
        <w:rPr>
          <w:rFonts w:hint="default" w:ascii="Times New Roman" w:hAnsi="Times New Roman" w:eastAsia="华文中宋" w:cs="Times New Roman"/>
          <w:sz w:val="24"/>
          <w:lang w:val="en-US" w:eastAsia="zh-CN"/>
        </w:rPr>
        <w:t>项目位于民丰县城170°方向、直距约140千米处，矿区地理坐标（CGCS2000坐标系）：东经83°04′49″-83°05′41″、北纬35°50′12″-35°50′39″。项目地下水环境敏感程度参照表</w:t>
      </w:r>
      <w:r>
        <w:rPr>
          <w:rFonts w:hint="eastAsia" w:ascii="Times New Roman" w:hAnsi="Times New Roman" w:eastAsia="华文中宋" w:cs="Times New Roman"/>
          <w:sz w:val="24"/>
          <w:lang w:val="en-US" w:eastAsia="zh-CN"/>
        </w:rPr>
        <w:t>2.5-4</w:t>
      </w:r>
      <w:r>
        <w:rPr>
          <w:rFonts w:hint="default" w:ascii="Times New Roman" w:hAnsi="Times New Roman" w:eastAsia="华文中宋" w:cs="Times New Roman"/>
          <w:sz w:val="24"/>
          <w:lang w:val="en-US" w:eastAsia="zh-CN"/>
        </w:rPr>
        <w:t>可知，敏感程度为不敏感，</w:t>
      </w:r>
      <w:r>
        <w:rPr>
          <w:rFonts w:hint="default" w:ascii="Times New Roman" w:hAnsi="Times New Roman" w:eastAsia="华文中宋" w:cs="Times New Roman"/>
          <w:sz w:val="24"/>
        </w:rPr>
        <w:t>根据《环境影响评价技术导则</w:t>
      </w:r>
      <w:r>
        <w:rPr>
          <w:rFonts w:hint="eastAsia" w:ascii="Times New Roman" w:hAnsi="Times New Roman" w:eastAsia="华文中宋" w:cs="Times New Roman"/>
          <w:sz w:val="24"/>
          <w:lang w:val="en-US" w:eastAsia="zh-CN"/>
        </w:rPr>
        <w:t xml:space="preserve"> </w:t>
      </w:r>
      <w:r>
        <w:rPr>
          <w:rFonts w:hint="default" w:ascii="Times New Roman" w:hAnsi="Times New Roman" w:eastAsia="华文中宋" w:cs="Times New Roman"/>
          <w:sz w:val="24"/>
        </w:rPr>
        <w:t>地下水环境》</w:t>
      </w:r>
      <w:r>
        <w:rPr>
          <w:rFonts w:hint="default" w:ascii="Times New Roman" w:hAnsi="Times New Roman" w:eastAsia="华文中宋" w:cs="Times New Roman"/>
          <w:sz w:val="24"/>
          <w:lang w:eastAsia="zh-CN"/>
        </w:rPr>
        <w:t>（</w:t>
      </w:r>
      <w:r>
        <w:rPr>
          <w:rFonts w:hint="default" w:ascii="Times New Roman" w:hAnsi="Times New Roman" w:eastAsia="华文中宋" w:cs="Times New Roman"/>
          <w:sz w:val="24"/>
        </w:rPr>
        <w:t>HJ610-2016</w:t>
      </w:r>
      <w:r>
        <w:rPr>
          <w:rFonts w:hint="default" w:ascii="Times New Roman" w:hAnsi="Times New Roman" w:eastAsia="华文中宋" w:cs="Times New Roman"/>
          <w:sz w:val="24"/>
          <w:lang w:eastAsia="zh-CN"/>
        </w:rPr>
        <w:t>）</w:t>
      </w:r>
      <w:r>
        <w:rPr>
          <w:rFonts w:hint="default" w:ascii="Times New Roman" w:hAnsi="Times New Roman" w:eastAsia="华文中宋" w:cs="Times New Roman"/>
          <w:sz w:val="24"/>
        </w:rPr>
        <w:t>判定，本</w:t>
      </w:r>
      <w:r>
        <w:rPr>
          <w:rFonts w:hint="default" w:ascii="Times New Roman" w:hAnsi="Times New Roman" w:eastAsia="华文中宋" w:cs="Times New Roman"/>
          <w:sz w:val="24"/>
          <w:lang w:val="en-US" w:eastAsia="zh-CN"/>
        </w:rPr>
        <w:t>项目地下水环境影响评价工作等级划分情况见表2.5-</w:t>
      </w:r>
      <w:r>
        <w:rPr>
          <w:rFonts w:hint="eastAsia" w:ascii="Times New Roman" w:hAnsi="Times New Roman" w:eastAsia="华文中宋" w:cs="Times New Roman"/>
          <w:sz w:val="24"/>
          <w:lang w:val="en-US" w:eastAsia="zh-CN"/>
        </w:rPr>
        <w:t>5</w:t>
      </w:r>
      <w:r>
        <w:rPr>
          <w:rFonts w:hint="default" w:ascii="Times New Roman" w:hAnsi="Times New Roman" w:eastAsia="华文中宋" w:cs="Times New Roman"/>
          <w:sz w:val="24"/>
          <w:lang w:val="en-US" w:eastAsia="zh-CN"/>
        </w:rPr>
        <w:t>。</w:t>
      </w:r>
    </w:p>
    <w:p w14:paraId="5578CC4D">
      <w:pPr>
        <w:adjustRightInd w:val="0"/>
        <w:snapToGrid w:val="0"/>
        <w:spacing w:before="250" w:beforeLines="50"/>
        <w:ind w:firstLine="422" w:firstLineChars="200"/>
        <w:jc w:val="center"/>
        <w:rPr>
          <w:rFonts w:hint="default" w:ascii="Times New Roman" w:hAnsi="Times New Roman" w:eastAsia="华文中宋" w:cs="Times New Roman"/>
          <w:b/>
          <w:szCs w:val="21"/>
          <w:lang w:val="zh-CN"/>
        </w:rPr>
      </w:pPr>
      <w:bookmarkStart w:id="50" w:name="_Ref499212909"/>
      <w:r>
        <w:rPr>
          <w:rFonts w:hint="default" w:ascii="Times New Roman" w:hAnsi="Times New Roman" w:eastAsia="华文中宋" w:cs="Times New Roman"/>
          <w:b/>
          <w:szCs w:val="21"/>
          <w:lang w:val="zh-CN"/>
        </w:rPr>
        <w:t>表</w:t>
      </w:r>
      <w:bookmarkEnd w:id="50"/>
      <w:r>
        <w:rPr>
          <w:rFonts w:hint="default" w:ascii="Times New Roman" w:hAnsi="Times New Roman" w:eastAsia="华文中宋" w:cs="Times New Roman"/>
          <w:b/>
          <w:szCs w:val="21"/>
          <w:lang w:val="en-US" w:eastAsia="zh-CN"/>
        </w:rPr>
        <w:t>2.5</w:t>
      </w:r>
      <w:r>
        <w:rPr>
          <w:rFonts w:hint="default" w:ascii="Times New Roman" w:hAnsi="Times New Roman" w:eastAsia="华文中宋" w:cs="Times New Roman"/>
          <w:b/>
          <w:szCs w:val="21"/>
          <w:lang w:val="zh-CN"/>
        </w:rPr>
        <w:t>-</w:t>
      </w:r>
      <w:r>
        <w:rPr>
          <w:rFonts w:hint="eastAsia" w:ascii="Times New Roman" w:hAnsi="Times New Roman" w:eastAsia="华文中宋" w:cs="Times New Roman"/>
          <w:b/>
          <w:szCs w:val="21"/>
          <w:lang w:val="en-US" w:eastAsia="zh-CN"/>
        </w:rPr>
        <w:t>4</w:t>
      </w:r>
      <w:r>
        <w:rPr>
          <w:rFonts w:hint="default" w:ascii="Times New Roman" w:hAnsi="Times New Roman" w:eastAsia="华文中宋" w:cs="Times New Roman"/>
          <w:b/>
          <w:szCs w:val="21"/>
          <w:lang w:val="en-US" w:eastAsia="zh-CN"/>
        </w:rPr>
        <w:t xml:space="preserve">  </w:t>
      </w:r>
      <w:r>
        <w:rPr>
          <w:rFonts w:hint="default" w:ascii="Times New Roman" w:hAnsi="Times New Roman" w:eastAsia="华文中宋" w:cs="Times New Roman"/>
          <w:b/>
          <w:szCs w:val="21"/>
          <w:lang w:val="zh-CN"/>
        </w:rPr>
        <w:t>地下水环境影响敏感程度分级表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7551"/>
      </w:tblGrid>
      <w:tr w14:paraId="0841A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128" w:type="dxa"/>
            <w:tcBorders>
              <w:tl2br w:val="nil"/>
              <w:tr2bl w:val="nil"/>
            </w:tcBorders>
            <w:noWrap w:val="0"/>
            <w:vAlign w:val="center"/>
          </w:tcPr>
          <w:p w14:paraId="514C94B0">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敏感程度</w:t>
            </w:r>
          </w:p>
        </w:tc>
        <w:tc>
          <w:tcPr>
            <w:tcW w:w="7551" w:type="dxa"/>
            <w:tcBorders>
              <w:tl2br w:val="nil"/>
              <w:tr2bl w:val="nil"/>
            </w:tcBorders>
            <w:noWrap w:val="0"/>
            <w:vAlign w:val="center"/>
          </w:tcPr>
          <w:p w14:paraId="5D3DE84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地下水敏感程度特征</w:t>
            </w:r>
          </w:p>
        </w:tc>
      </w:tr>
      <w:tr w14:paraId="2E05A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1128" w:type="dxa"/>
            <w:tcBorders>
              <w:tl2br w:val="nil"/>
              <w:tr2bl w:val="nil"/>
            </w:tcBorders>
            <w:noWrap w:val="0"/>
            <w:vAlign w:val="center"/>
          </w:tcPr>
          <w:p w14:paraId="667FF68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敏感</w:t>
            </w:r>
          </w:p>
        </w:tc>
        <w:tc>
          <w:tcPr>
            <w:tcW w:w="7551" w:type="dxa"/>
            <w:tcBorders>
              <w:tl2br w:val="nil"/>
              <w:tr2bl w:val="nil"/>
            </w:tcBorders>
            <w:noWrap w:val="0"/>
            <w:vAlign w:val="center"/>
          </w:tcPr>
          <w:p w14:paraId="64C3987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集中式饮用水水源（包括已建成的在用、备用、应急水源，在建和规划的饮用水水源）准保护区；除集中式饮用水水源以外的国家或地方政府设定的与地下水环境</w:t>
            </w:r>
            <w:r>
              <w:rPr>
                <w:rFonts w:hint="default" w:ascii="Times New Roman" w:hAnsi="Times New Roman" w:eastAsia="华文中宋" w:cs="Times New Roman"/>
                <w:szCs w:val="21"/>
                <w:lang w:eastAsia="zh-CN"/>
              </w:rPr>
              <w:t>相关的其他</w:t>
            </w:r>
            <w:r>
              <w:rPr>
                <w:rFonts w:hint="default" w:ascii="Times New Roman" w:hAnsi="Times New Roman" w:eastAsia="华文中宋" w:cs="Times New Roman"/>
                <w:szCs w:val="21"/>
              </w:rPr>
              <w:t>保护区，如热水、矿泉水、温泉等特殊地下水水资源保护区。</w:t>
            </w:r>
          </w:p>
        </w:tc>
      </w:tr>
      <w:tr w14:paraId="5341D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1128" w:type="dxa"/>
            <w:tcBorders>
              <w:tl2br w:val="nil"/>
              <w:tr2bl w:val="nil"/>
            </w:tcBorders>
            <w:noWrap w:val="0"/>
            <w:vAlign w:val="center"/>
          </w:tcPr>
          <w:p w14:paraId="605B856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较敏感</w:t>
            </w:r>
          </w:p>
        </w:tc>
        <w:tc>
          <w:tcPr>
            <w:tcW w:w="7551" w:type="dxa"/>
            <w:tcBorders>
              <w:tl2br w:val="nil"/>
              <w:tr2bl w:val="nil"/>
            </w:tcBorders>
            <w:noWrap w:val="0"/>
            <w:vAlign w:val="center"/>
          </w:tcPr>
          <w:p w14:paraId="713F1961">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集中式饮用水水源（包括已建成的在用、备用、应急水源，在建和规划的饮用水水源）准保护区以外的补给径流区；未划定准保护区的集中式饮用水水源，其保护区以外的补给径流区；分布式饮用水水源地；特殊地下水资源（如矿泉水、温泉等）保护区以外分布区等</w:t>
            </w:r>
            <w:r>
              <w:rPr>
                <w:rFonts w:hint="default" w:ascii="Times New Roman" w:hAnsi="Times New Roman" w:eastAsia="华文中宋" w:cs="Times New Roman"/>
                <w:szCs w:val="21"/>
                <w:lang w:eastAsia="zh-CN"/>
              </w:rPr>
              <w:t>其他未</w:t>
            </w:r>
            <w:r>
              <w:rPr>
                <w:rFonts w:hint="default" w:ascii="Times New Roman" w:hAnsi="Times New Roman" w:eastAsia="华文中宋" w:cs="Times New Roman"/>
                <w:szCs w:val="21"/>
              </w:rPr>
              <w:t>列入上述敏感分级的环境敏感区。</w:t>
            </w:r>
          </w:p>
        </w:tc>
      </w:tr>
      <w:tr w14:paraId="7C67D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28" w:type="dxa"/>
            <w:tcBorders>
              <w:tl2br w:val="nil"/>
              <w:tr2bl w:val="nil"/>
            </w:tcBorders>
            <w:noWrap w:val="0"/>
            <w:vAlign w:val="center"/>
          </w:tcPr>
          <w:p w14:paraId="16C22D5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不敏感</w:t>
            </w:r>
          </w:p>
        </w:tc>
        <w:tc>
          <w:tcPr>
            <w:tcW w:w="7551" w:type="dxa"/>
            <w:tcBorders>
              <w:tl2br w:val="nil"/>
              <w:tr2bl w:val="nil"/>
            </w:tcBorders>
            <w:noWrap w:val="0"/>
            <w:vAlign w:val="center"/>
          </w:tcPr>
          <w:p w14:paraId="38DD71C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上述地区之外的</w:t>
            </w:r>
            <w:r>
              <w:rPr>
                <w:rFonts w:hint="default" w:ascii="Times New Roman" w:hAnsi="Times New Roman" w:eastAsia="华文中宋" w:cs="Times New Roman"/>
                <w:szCs w:val="21"/>
                <w:lang w:eastAsia="zh-CN"/>
              </w:rPr>
              <w:t>其他</w:t>
            </w:r>
            <w:r>
              <w:rPr>
                <w:rFonts w:hint="default" w:ascii="Times New Roman" w:hAnsi="Times New Roman" w:eastAsia="华文中宋" w:cs="Times New Roman"/>
                <w:szCs w:val="21"/>
              </w:rPr>
              <w:t>地区。</w:t>
            </w:r>
          </w:p>
        </w:tc>
      </w:tr>
    </w:tbl>
    <w:p w14:paraId="72B8D869">
      <w:pPr>
        <w:pStyle w:val="30"/>
        <w:spacing w:line="360" w:lineRule="auto"/>
        <w:ind w:firstLine="480" w:firstLineChars="200"/>
        <w:rPr>
          <w:rFonts w:hint="default" w:ascii="Times New Roman" w:hAnsi="Times New Roman" w:eastAsia="华文中宋" w:cs="Times New Roman"/>
          <w:snapToGrid w:val="0"/>
          <w:color w:val="auto"/>
          <w:kern w:val="0"/>
          <w:sz w:val="24"/>
          <w:szCs w:val="24"/>
          <w:lang w:val="en-US" w:eastAsia="zh-CN" w:bidi="ar-SA"/>
        </w:rPr>
      </w:pPr>
      <w:r>
        <w:rPr>
          <w:rFonts w:hint="default" w:ascii="Times New Roman" w:hAnsi="Times New Roman" w:eastAsia="华文中宋" w:cs="Times New Roman"/>
          <w:snapToGrid w:val="0"/>
          <w:color w:val="auto"/>
          <w:kern w:val="0"/>
          <w:sz w:val="24"/>
          <w:szCs w:val="24"/>
          <w:lang w:val="en-US" w:eastAsia="zh-CN" w:bidi="ar-SA"/>
        </w:rPr>
        <w:t>注：</w:t>
      </w:r>
      <w:r>
        <w:rPr>
          <w:rFonts w:hint="eastAsia" w:ascii="Times New Roman" w:hAnsi="Times New Roman" w:eastAsia="华文中宋" w:cs="Times New Roman"/>
          <w:snapToGrid w:val="0"/>
          <w:color w:val="auto"/>
          <w:kern w:val="0"/>
          <w:sz w:val="24"/>
          <w:szCs w:val="24"/>
          <w:lang w:val="en-US" w:eastAsia="zh-CN" w:bidi="ar-SA"/>
        </w:rPr>
        <w:t>“</w:t>
      </w:r>
      <w:r>
        <w:rPr>
          <w:rFonts w:hint="default" w:ascii="Times New Roman" w:hAnsi="Times New Roman" w:eastAsia="华文中宋" w:cs="Times New Roman"/>
          <w:snapToGrid w:val="0"/>
          <w:color w:val="auto"/>
          <w:kern w:val="0"/>
          <w:sz w:val="24"/>
          <w:szCs w:val="24"/>
          <w:lang w:val="en-US" w:eastAsia="zh-CN" w:bidi="ar-SA"/>
        </w:rPr>
        <w:t>环境敏感区</w:t>
      </w:r>
      <w:r>
        <w:rPr>
          <w:rFonts w:hint="eastAsia" w:ascii="Times New Roman" w:hAnsi="Times New Roman" w:eastAsia="华文中宋" w:cs="Times New Roman"/>
          <w:snapToGrid w:val="0"/>
          <w:color w:val="auto"/>
          <w:kern w:val="0"/>
          <w:sz w:val="24"/>
          <w:szCs w:val="24"/>
          <w:lang w:val="en-US" w:eastAsia="zh-CN" w:bidi="ar-SA"/>
        </w:rPr>
        <w:t>”</w:t>
      </w:r>
      <w:r>
        <w:rPr>
          <w:rFonts w:hint="default" w:ascii="Times New Roman" w:hAnsi="Times New Roman" w:eastAsia="华文中宋" w:cs="Times New Roman"/>
          <w:snapToGrid w:val="0"/>
          <w:color w:val="auto"/>
          <w:kern w:val="0"/>
          <w:sz w:val="24"/>
          <w:szCs w:val="24"/>
          <w:lang w:val="en-US" w:eastAsia="zh-CN" w:bidi="ar-SA"/>
        </w:rPr>
        <w:t>是指《建设项目环境影响评价分类管理名录》中所界定的涉及地下水的环境敏感区。</w:t>
      </w:r>
    </w:p>
    <w:p w14:paraId="0BAF3428">
      <w:pPr>
        <w:adjustRightInd w:val="0"/>
        <w:snapToGrid w:val="0"/>
        <w:spacing w:before="250" w:beforeLines="50"/>
        <w:ind w:firstLine="422" w:firstLineChars="200"/>
        <w:jc w:val="center"/>
        <w:rPr>
          <w:rFonts w:hint="default" w:ascii="Times New Roman" w:hAnsi="Times New Roman" w:eastAsia="华文中宋" w:cs="Times New Roman"/>
          <w:b/>
          <w:szCs w:val="21"/>
          <w:lang w:val="zh-CN"/>
        </w:rPr>
      </w:pPr>
      <w:r>
        <w:rPr>
          <w:rFonts w:hint="default" w:ascii="Times New Roman" w:hAnsi="Times New Roman" w:eastAsia="华文中宋" w:cs="Times New Roman"/>
          <w:b/>
          <w:szCs w:val="21"/>
          <w:lang w:val="zh-CN"/>
        </w:rPr>
        <w:t>表</w:t>
      </w:r>
      <w:r>
        <w:rPr>
          <w:rFonts w:hint="default" w:ascii="Times New Roman" w:hAnsi="Times New Roman" w:eastAsia="华文中宋" w:cs="Times New Roman"/>
          <w:b/>
          <w:szCs w:val="21"/>
          <w:lang w:val="en-US" w:eastAsia="zh-CN"/>
        </w:rPr>
        <w:t>2.5-</w:t>
      </w:r>
      <w:r>
        <w:rPr>
          <w:rFonts w:hint="eastAsia" w:ascii="Times New Roman" w:hAnsi="Times New Roman" w:eastAsia="华文中宋" w:cs="Times New Roman"/>
          <w:b/>
          <w:szCs w:val="21"/>
          <w:lang w:val="en-US" w:eastAsia="zh-CN"/>
        </w:rPr>
        <w:t>5</w:t>
      </w:r>
      <w:r>
        <w:rPr>
          <w:rFonts w:hint="default" w:ascii="Times New Roman" w:hAnsi="Times New Roman" w:eastAsia="华文中宋" w:cs="Times New Roman"/>
          <w:b/>
          <w:szCs w:val="21"/>
          <w:lang w:val="en-US" w:eastAsia="zh-CN"/>
        </w:rPr>
        <w:t xml:space="preserve">  </w:t>
      </w:r>
      <w:r>
        <w:rPr>
          <w:rFonts w:hint="default" w:ascii="Times New Roman" w:hAnsi="Times New Roman" w:eastAsia="华文中宋" w:cs="Times New Roman"/>
          <w:b/>
          <w:szCs w:val="21"/>
          <w:lang w:val="zh-CN"/>
        </w:rPr>
        <w:t>地下水评价工作等级分级表</w:t>
      </w:r>
    </w:p>
    <w:tbl>
      <w:tblPr>
        <w:tblStyle w:val="19"/>
        <w:tblW w:w="8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375"/>
        <w:gridCol w:w="1882"/>
        <w:gridCol w:w="2129"/>
        <w:gridCol w:w="2130"/>
      </w:tblGrid>
      <w:tr w14:paraId="3426A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40" w:hRule="atLeast"/>
          <w:jc w:val="center"/>
        </w:trPr>
        <w:tc>
          <w:tcPr>
            <w:tcW w:w="2375" w:type="dxa"/>
            <w:tcBorders>
              <w:tl2br w:val="single" w:color="000000" w:sz="12" w:space="0"/>
            </w:tcBorders>
            <w:shd w:val="clear" w:color="auto" w:fill="auto"/>
            <w:noWrap w:val="0"/>
            <w:vAlign w:val="center"/>
          </w:tcPr>
          <w:p w14:paraId="29A83B02">
            <w:pPr>
              <w:spacing w:line="300" w:lineRule="exact"/>
              <w:jc w:val="center"/>
              <w:rPr>
                <w:rFonts w:hint="default" w:ascii="Times New Roman" w:hAnsi="Times New Roman" w:eastAsia="华文中宋" w:cs="Times New Roman"/>
                <w:szCs w:val="21"/>
              </w:rPr>
            </w:pPr>
            <w:bookmarkStart w:id="51" w:name="_Ref502154713"/>
            <w:r>
              <w:rPr>
                <w:rFonts w:hint="default" w:ascii="Times New Roman" w:hAnsi="Times New Roman" w:eastAsia="华文中宋" w:cs="Times New Roman"/>
                <w:szCs w:val="21"/>
              </w:rPr>
              <w:t>项目类别</w:t>
            </w:r>
          </w:p>
          <w:p w14:paraId="5BC004A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环境敏感程度</w:t>
            </w:r>
          </w:p>
        </w:tc>
        <w:tc>
          <w:tcPr>
            <w:tcW w:w="1882" w:type="dxa"/>
            <w:tcBorders>
              <w:tl2br w:val="nil"/>
              <w:tr2bl w:val="nil"/>
            </w:tcBorders>
            <w:shd w:val="clear" w:color="auto" w:fill="auto"/>
            <w:noWrap w:val="0"/>
            <w:vAlign w:val="center"/>
          </w:tcPr>
          <w:p w14:paraId="1F378AE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Ⅰ类项目</w:t>
            </w:r>
          </w:p>
        </w:tc>
        <w:tc>
          <w:tcPr>
            <w:tcW w:w="2129" w:type="dxa"/>
            <w:tcBorders>
              <w:tl2br w:val="nil"/>
              <w:tr2bl w:val="nil"/>
            </w:tcBorders>
            <w:shd w:val="clear" w:color="auto" w:fill="auto"/>
            <w:noWrap w:val="0"/>
            <w:vAlign w:val="center"/>
          </w:tcPr>
          <w:p w14:paraId="35A6F1C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Ⅱ类项目</w:t>
            </w:r>
          </w:p>
        </w:tc>
        <w:tc>
          <w:tcPr>
            <w:tcW w:w="2130" w:type="dxa"/>
            <w:tcBorders>
              <w:tl2br w:val="nil"/>
              <w:tr2bl w:val="nil"/>
            </w:tcBorders>
            <w:shd w:val="clear" w:color="auto" w:fill="auto"/>
            <w:noWrap w:val="0"/>
            <w:vAlign w:val="center"/>
          </w:tcPr>
          <w:p w14:paraId="1CE89CE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Ⅲ类项目</w:t>
            </w:r>
          </w:p>
        </w:tc>
      </w:tr>
      <w:tr w14:paraId="0882F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5" w:type="dxa"/>
            <w:tcBorders>
              <w:tl2br w:val="nil"/>
              <w:tr2bl w:val="nil"/>
            </w:tcBorders>
            <w:shd w:val="clear" w:color="auto" w:fill="auto"/>
            <w:noWrap w:val="0"/>
            <w:vAlign w:val="center"/>
          </w:tcPr>
          <w:p w14:paraId="000E0F1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敏感</w:t>
            </w:r>
          </w:p>
        </w:tc>
        <w:tc>
          <w:tcPr>
            <w:tcW w:w="1882" w:type="dxa"/>
            <w:tcBorders>
              <w:tl2br w:val="nil"/>
              <w:tr2bl w:val="nil"/>
            </w:tcBorders>
            <w:shd w:val="clear" w:color="auto" w:fill="auto"/>
            <w:noWrap w:val="0"/>
            <w:vAlign w:val="center"/>
          </w:tcPr>
          <w:p w14:paraId="7092948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一</w:t>
            </w:r>
          </w:p>
        </w:tc>
        <w:tc>
          <w:tcPr>
            <w:tcW w:w="2129" w:type="dxa"/>
            <w:tcBorders>
              <w:tl2br w:val="nil"/>
              <w:tr2bl w:val="nil"/>
            </w:tcBorders>
            <w:shd w:val="clear" w:color="auto" w:fill="auto"/>
            <w:noWrap w:val="0"/>
            <w:vAlign w:val="center"/>
          </w:tcPr>
          <w:p w14:paraId="0520F8E3">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一</w:t>
            </w:r>
          </w:p>
        </w:tc>
        <w:tc>
          <w:tcPr>
            <w:tcW w:w="2130" w:type="dxa"/>
            <w:tcBorders>
              <w:tl2br w:val="nil"/>
              <w:tr2bl w:val="nil"/>
            </w:tcBorders>
            <w:shd w:val="clear" w:color="auto" w:fill="auto"/>
            <w:noWrap w:val="0"/>
            <w:vAlign w:val="center"/>
          </w:tcPr>
          <w:p w14:paraId="5875E0E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二</w:t>
            </w:r>
          </w:p>
        </w:tc>
      </w:tr>
      <w:tr w14:paraId="743BE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5" w:type="dxa"/>
            <w:tcBorders>
              <w:tl2br w:val="nil"/>
              <w:tr2bl w:val="nil"/>
            </w:tcBorders>
            <w:shd w:val="clear" w:color="auto" w:fill="auto"/>
            <w:noWrap w:val="0"/>
            <w:vAlign w:val="center"/>
          </w:tcPr>
          <w:p w14:paraId="2303A4C0">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较敏感</w:t>
            </w:r>
          </w:p>
        </w:tc>
        <w:tc>
          <w:tcPr>
            <w:tcW w:w="1882" w:type="dxa"/>
            <w:tcBorders>
              <w:tl2br w:val="nil"/>
              <w:tr2bl w:val="nil"/>
            </w:tcBorders>
            <w:shd w:val="clear" w:color="auto" w:fill="auto"/>
            <w:noWrap w:val="0"/>
            <w:vAlign w:val="center"/>
          </w:tcPr>
          <w:p w14:paraId="44FFF63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一</w:t>
            </w:r>
          </w:p>
        </w:tc>
        <w:tc>
          <w:tcPr>
            <w:tcW w:w="2129" w:type="dxa"/>
            <w:tcBorders>
              <w:tl2br w:val="nil"/>
              <w:tr2bl w:val="nil"/>
            </w:tcBorders>
            <w:shd w:val="clear" w:color="auto" w:fill="auto"/>
            <w:noWrap w:val="0"/>
            <w:vAlign w:val="center"/>
          </w:tcPr>
          <w:p w14:paraId="4A39A5B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二</w:t>
            </w:r>
          </w:p>
        </w:tc>
        <w:tc>
          <w:tcPr>
            <w:tcW w:w="2130" w:type="dxa"/>
            <w:tcBorders>
              <w:tl2br w:val="nil"/>
              <w:tr2bl w:val="nil"/>
            </w:tcBorders>
            <w:shd w:val="clear" w:color="auto" w:fill="auto"/>
            <w:noWrap w:val="0"/>
            <w:vAlign w:val="center"/>
          </w:tcPr>
          <w:p w14:paraId="1BFEF15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三</w:t>
            </w:r>
          </w:p>
        </w:tc>
      </w:tr>
      <w:tr w14:paraId="49E96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5" w:type="dxa"/>
            <w:tcBorders>
              <w:tl2br w:val="nil"/>
              <w:tr2bl w:val="nil"/>
            </w:tcBorders>
            <w:shd w:val="clear" w:color="auto" w:fill="auto"/>
            <w:noWrap w:val="0"/>
            <w:vAlign w:val="center"/>
          </w:tcPr>
          <w:p w14:paraId="697FD694">
            <w:pPr>
              <w:spacing w:line="300" w:lineRule="exact"/>
              <w:jc w:val="center"/>
              <w:rPr>
                <w:rFonts w:hint="default" w:ascii="Times New Roman" w:hAnsi="Times New Roman" w:eastAsia="华文中宋" w:cs="Times New Roman"/>
                <w:szCs w:val="21"/>
                <w:lang w:val="en-US" w:eastAsia="zh-CN"/>
              </w:rPr>
            </w:pPr>
            <w:bookmarkStart w:id="52" w:name="_Toc23172"/>
            <w:bookmarkStart w:id="53" w:name="_Toc10247"/>
            <w:bookmarkStart w:id="54" w:name="_Toc29146"/>
            <w:bookmarkStart w:id="55" w:name="_Toc24044"/>
            <w:r>
              <w:rPr>
                <w:rFonts w:hint="default" w:ascii="Times New Roman" w:hAnsi="Times New Roman" w:eastAsia="华文中宋" w:cs="Times New Roman"/>
                <w:szCs w:val="21"/>
              </w:rPr>
              <w:t>不敏感</w:t>
            </w:r>
          </w:p>
        </w:tc>
        <w:tc>
          <w:tcPr>
            <w:tcW w:w="1882" w:type="dxa"/>
            <w:tcBorders>
              <w:tl2br w:val="nil"/>
              <w:tr2bl w:val="nil"/>
            </w:tcBorders>
            <w:shd w:val="clear" w:color="auto" w:fill="auto"/>
            <w:noWrap w:val="0"/>
            <w:vAlign w:val="center"/>
          </w:tcPr>
          <w:p w14:paraId="4E16B79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二</w:t>
            </w:r>
          </w:p>
        </w:tc>
        <w:tc>
          <w:tcPr>
            <w:tcW w:w="2129" w:type="dxa"/>
            <w:tcBorders>
              <w:tl2br w:val="nil"/>
              <w:tr2bl w:val="nil"/>
            </w:tcBorders>
            <w:shd w:val="clear" w:color="auto" w:fill="auto"/>
            <w:noWrap w:val="0"/>
            <w:vAlign w:val="center"/>
          </w:tcPr>
          <w:p w14:paraId="1E0D48A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三</w:t>
            </w:r>
          </w:p>
        </w:tc>
        <w:tc>
          <w:tcPr>
            <w:tcW w:w="2130" w:type="dxa"/>
            <w:tcBorders>
              <w:tl2br w:val="nil"/>
              <w:tr2bl w:val="nil"/>
            </w:tcBorders>
            <w:shd w:val="clear" w:color="auto" w:fill="auto"/>
            <w:noWrap w:val="0"/>
            <w:vAlign w:val="center"/>
          </w:tcPr>
          <w:p w14:paraId="1FC1EED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三</w:t>
            </w:r>
          </w:p>
        </w:tc>
      </w:tr>
      <w:bookmarkEnd w:id="51"/>
    </w:tbl>
    <w:p w14:paraId="168118ED">
      <w:pPr>
        <w:adjustRightInd w:val="0"/>
        <w:snapToGrid w:val="0"/>
        <w:spacing w:line="500" w:lineRule="exact"/>
        <w:ind w:firstLine="480" w:firstLineChars="200"/>
        <w:jc w:val="left"/>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根据以上内容，可判定本项目地下水评价环境影响评价等级为二级。</w:t>
      </w:r>
    </w:p>
    <w:p w14:paraId="6A432E17">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华文中宋" w:cs="Times New Roman"/>
          <w:sz w:val="24"/>
          <w:lang w:val="en-US" w:eastAsia="zh-CN"/>
        </w:rPr>
        <w:t>2）评价范围</w:t>
      </w:r>
    </w:p>
    <w:p w14:paraId="1F09B5D9">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水环境－地下水：</w:t>
      </w:r>
      <w:r>
        <w:rPr>
          <w:rFonts w:hint="eastAsia" w:ascii="Times New Roman" w:hAnsi="Times New Roman" w:eastAsia="华文中宋" w:cs="Times New Roman"/>
          <w:sz w:val="24"/>
          <w:lang w:val="en-US" w:eastAsia="zh-CN"/>
        </w:rPr>
        <w:t>本项目地下水评价等级为二级，所在区域地下水流向自西北向东南，</w:t>
      </w:r>
      <w:r>
        <w:rPr>
          <w:rFonts w:hint="default" w:ascii="Times New Roman" w:hAnsi="Times New Roman" w:eastAsia="华文中宋" w:cs="Times New Roman"/>
          <w:sz w:val="24"/>
          <w:lang w:val="en-US" w:eastAsia="zh-CN"/>
        </w:rPr>
        <w:t>根据HJ610-2016</w:t>
      </w:r>
      <w:r>
        <w:rPr>
          <w:rFonts w:hint="eastAsia" w:ascii="Times New Roman" w:hAnsi="Times New Roman" w:eastAsia="华文中宋" w:cs="Times New Roman"/>
          <w:sz w:val="24"/>
          <w:lang w:val="en-US" w:eastAsia="zh-CN"/>
        </w:rPr>
        <w:t>中8.2.2调查评价范围确定：“b）查表法”，地下水评价等级为二级调查评价面积为6～20km</w:t>
      </w:r>
      <w:r>
        <w:rPr>
          <w:rFonts w:hint="eastAsia" w:ascii="Times New Roman" w:hAnsi="Times New Roman" w:eastAsia="华文中宋" w:cs="Times New Roman"/>
          <w:sz w:val="24"/>
          <w:vertAlign w:val="superscript"/>
          <w:lang w:val="en-US" w:eastAsia="zh-CN"/>
        </w:rPr>
        <w:t>2</w:t>
      </w:r>
      <w:r>
        <w:rPr>
          <w:rFonts w:hint="eastAsia" w:ascii="Times New Roman" w:hAnsi="Times New Roman" w:eastAsia="华文中宋" w:cs="Times New Roman"/>
          <w:sz w:val="24"/>
          <w:lang w:val="en-US" w:eastAsia="zh-CN"/>
        </w:rPr>
        <w:t>，本项目以最大调查面积计，因此项目地下水</w:t>
      </w:r>
      <w:r>
        <w:rPr>
          <w:rFonts w:hint="default" w:ascii="Times New Roman" w:hAnsi="Times New Roman" w:eastAsia="华文中宋" w:cs="Times New Roman"/>
          <w:sz w:val="24"/>
          <w:lang w:val="en-US" w:eastAsia="zh-CN"/>
        </w:rPr>
        <w:t>评价范围为</w:t>
      </w:r>
      <w:r>
        <w:rPr>
          <w:rFonts w:hint="eastAsia" w:ascii="Times New Roman" w:hAnsi="Times New Roman" w:eastAsia="华文中宋" w:cs="Times New Roman"/>
          <w:sz w:val="24"/>
          <w:lang w:val="en-US" w:eastAsia="zh-CN"/>
        </w:rPr>
        <w:t>废石堆放场下游3.5</w:t>
      </w:r>
      <w:r>
        <w:rPr>
          <w:rFonts w:hint="default" w:ascii="Times New Roman" w:hAnsi="Times New Roman" w:eastAsia="华文中宋" w:cs="Times New Roman"/>
          <w:sz w:val="24"/>
          <w:lang w:val="en-US" w:eastAsia="zh-CN"/>
        </w:rPr>
        <w:t>km，</w:t>
      </w:r>
      <w:r>
        <w:rPr>
          <w:rFonts w:hint="eastAsia" w:ascii="Times New Roman" w:hAnsi="Times New Roman" w:eastAsia="华文中宋" w:cs="Times New Roman"/>
          <w:sz w:val="24"/>
          <w:lang w:val="en-US" w:eastAsia="zh-CN"/>
        </w:rPr>
        <w:t>上游1.5km及</w:t>
      </w:r>
      <w:r>
        <w:rPr>
          <w:rFonts w:hint="default" w:ascii="Times New Roman" w:hAnsi="Times New Roman" w:eastAsia="华文中宋" w:cs="Times New Roman"/>
          <w:sz w:val="24"/>
          <w:lang w:val="en-US" w:eastAsia="zh-CN"/>
        </w:rPr>
        <w:t>两侧</w:t>
      </w:r>
      <w:r>
        <w:rPr>
          <w:rFonts w:hint="eastAsia" w:ascii="Times New Roman" w:hAnsi="Times New Roman" w:eastAsia="华文中宋" w:cs="Times New Roman"/>
          <w:sz w:val="24"/>
          <w:lang w:val="en-US" w:eastAsia="zh-CN"/>
        </w:rPr>
        <w:t>2</w:t>
      </w:r>
      <w:r>
        <w:rPr>
          <w:rFonts w:hint="default" w:ascii="Times New Roman" w:hAnsi="Times New Roman" w:eastAsia="华文中宋" w:cs="Times New Roman"/>
          <w:sz w:val="24"/>
          <w:lang w:val="en-US" w:eastAsia="zh-CN"/>
        </w:rPr>
        <w:t>km</w:t>
      </w:r>
      <w:r>
        <w:rPr>
          <w:rFonts w:hint="eastAsia" w:ascii="Times New Roman" w:hAnsi="Times New Roman" w:eastAsia="华文中宋" w:cs="Times New Roman"/>
          <w:sz w:val="24"/>
          <w:lang w:val="en-US" w:eastAsia="zh-CN"/>
        </w:rPr>
        <w:t>的矩形区域</w:t>
      </w:r>
      <w:r>
        <w:rPr>
          <w:rFonts w:hint="default" w:ascii="Times New Roman" w:hAnsi="Times New Roman" w:eastAsia="华文中宋" w:cs="Times New Roman"/>
          <w:sz w:val="24"/>
          <w:lang w:val="en-US" w:eastAsia="zh-CN"/>
        </w:rPr>
        <w:t>。</w:t>
      </w:r>
    </w:p>
    <w:p w14:paraId="7B6A3D72">
      <w:pPr>
        <w:pStyle w:val="4"/>
        <w:spacing w:before="120" w:after="120" w:line="500" w:lineRule="exact"/>
        <w:rPr>
          <w:rFonts w:hint="default" w:ascii="Times New Roman" w:hAnsi="Times New Roman" w:eastAsia="华文中宋" w:cs="Times New Roman"/>
          <w:kern w:val="0"/>
          <w:sz w:val="24"/>
          <w:szCs w:val="24"/>
          <w:lang w:val="en-US" w:eastAsia="zh-CN"/>
        </w:rPr>
      </w:pPr>
      <w:bookmarkStart w:id="56" w:name="_Toc14653"/>
      <w:r>
        <w:rPr>
          <w:rFonts w:hint="default" w:ascii="Times New Roman" w:hAnsi="Times New Roman" w:eastAsia="华文中宋" w:cs="Times New Roman"/>
          <w:kern w:val="0"/>
          <w:sz w:val="24"/>
          <w:szCs w:val="24"/>
          <w:lang w:val="en-US" w:eastAsia="zh-CN"/>
        </w:rPr>
        <w:t>2.5.4声环境</w:t>
      </w:r>
      <w:bookmarkEnd w:id="52"/>
      <w:bookmarkEnd w:id="53"/>
      <w:bookmarkEnd w:id="54"/>
      <w:bookmarkEnd w:id="55"/>
      <w:bookmarkEnd w:id="56"/>
    </w:p>
    <w:p w14:paraId="49C0D4C1">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（1）评价等级的确定</w:t>
      </w:r>
    </w:p>
    <w:p w14:paraId="3241780B">
      <w:pPr>
        <w:adjustRightInd w:val="0"/>
        <w:snapToGrid w:val="0"/>
        <w:spacing w:line="500" w:lineRule="exact"/>
        <w:ind w:firstLine="480" w:firstLineChars="200"/>
        <w:jc w:val="left"/>
        <w:rPr>
          <w:rFonts w:hint="default" w:ascii="Times New Roman" w:hAnsi="Times New Roman" w:eastAsia="华文中宋" w:cs="Times New Roman"/>
          <w:sz w:val="24"/>
        </w:rPr>
      </w:pPr>
      <w:r>
        <w:rPr>
          <w:rFonts w:hint="default" w:ascii="Times New Roman" w:hAnsi="Times New Roman" w:eastAsia="华文中宋" w:cs="Times New Roman"/>
          <w:sz w:val="24"/>
          <w:lang w:val="en-US" w:eastAsia="zh-CN"/>
        </w:rPr>
        <w:t>项目所在区域适用《声环境质量标准》（GB3096-2008）规定的2类标准，根据《环境影响评价技术导则</w:t>
      </w:r>
      <w:r>
        <w:rPr>
          <w:rFonts w:hint="eastAsia" w:ascii="Times New Roman" w:hAnsi="Times New Roman" w:eastAsia="华文中宋" w:cs="Times New Roman"/>
          <w:sz w:val="24"/>
          <w:lang w:val="en-US" w:eastAsia="zh-CN"/>
        </w:rPr>
        <w:t xml:space="preserve"> </w:t>
      </w:r>
      <w:r>
        <w:rPr>
          <w:rFonts w:hint="default" w:ascii="Times New Roman" w:hAnsi="Times New Roman" w:eastAsia="华文中宋" w:cs="Times New Roman"/>
          <w:sz w:val="24"/>
          <w:lang w:val="en-US" w:eastAsia="zh-CN"/>
        </w:rPr>
        <w:t>声环境》（HJ2.4-2021）中的划分依据，本项目符合导则5.1.3的规定，即</w:t>
      </w:r>
      <w:r>
        <w:rPr>
          <w:rFonts w:hint="eastAsia" w:ascii="Times New Roman" w:hAnsi="Times New Roman" w:eastAsia="华文中宋" w:cs="Times New Roman"/>
          <w:sz w:val="24"/>
          <w:lang w:val="en-US" w:eastAsia="zh-CN"/>
        </w:rPr>
        <w:t>“</w:t>
      </w:r>
      <w:r>
        <w:rPr>
          <w:rFonts w:hint="default" w:ascii="Times New Roman" w:hAnsi="Times New Roman" w:eastAsia="华文中宋" w:cs="Times New Roman"/>
          <w:sz w:val="24"/>
          <w:lang w:val="en-US" w:eastAsia="zh-CN"/>
        </w:rPr>
        <w:t>建设项目所处的声环境功能区为GB3096规定的1类、2类地区，或建设项目建设前后评价范围内敏感目标噪声级增高量达3～5dB（A），或受噪声影响人口数量增加较多时，按二级评价</w:t>
      </w:r>
      <w:r>
        <w:rPr>
          <w:rFonts w:hint="eastAsia" w:ascii="Times New Roman" w:hAnsi="Times New Roman" w:eastAsia="华文中宋" w:cs="Times New Roman"/>
          <w:sz w:val="24"/>
          <w:lang w:val="en-US" w:eastAsia="zh-CN"/>
        </w:rPr>
        <w:t>”</w:t>
      </w:r>
      <w:r>
        <w:rPr>
          <w:rFonts w:hint="default" w:ascii="Times New Roman" w:hAnsi="Times New Roman" w:eastAsia="华文中宋" w:cs="Times New Roman"/>
          <w:sz w:val="24"/>
          <w:lang w:val="en-US" w:eastAsia="zh-CN"/>
        </w:rPr>
        <w:t>。本项目位于2类区，</w:t>
      </w:r>
      <w:r>
        <w:rPr>
          <w:rFonts w:hint="eastAsia" w:ascii="Times New Roman" w:hAnsi="Times New Roman" w:eastAsia="华文中宋" w:cs="Times New Roman"/>
          <w:sz w:val="24"/>
          <w:lang w:val="en-US" w:eastAsia="zh-CN"/>
        </w:rPr>
        <w:t>建设项目建设前后评价范围内敏感目标噪声级增高量＜3dB（A），且受影响人口数量变化不大，根据《环境影响评价技术导则 声环境》（HJ2.4-2021）中声环境影响评价等级划分的规定，本项目声环境评价等级判定为二级。</w:t>
      </w:r>
    </w:p>
    <w:p w14:paraId="57092729">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（2）</w:t>
      </w:r>
      <w:r>
        <w:rPr>
          <w:rFonts w:hint="eastAsia" w:ascii="Times New Roman" w:hAnsi="Times New Roman" w:eastAsia="华文中宋" w:cs="Times New Roman"/>
          <w:sz w:val="24"/>
          <w:lang w:val="en-US" w:eastAsia="zh-CN"/>
        </w:rPr>
        <w:t>评价</w:t>
      </w:r>
      <w:r>
        <w:rPr>
          <w:rFonts w:hint="default" w:ascii="Times New Roman" w:hAnsi="Times New Roman" w:eastAsia="华文中宋" w:cs="Times New Roman"/>
          <w:sz w:val="24"/>
          <w:lang w:val="en-US" w:eastAsia="zh-CN"/>
        </w:rPr>
        <w:t>范围</w:t>
      </w:r>
    </w:p>
    <w:p w14:paraId="34999825">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矿区</w:t>
      </w:r>
      <w:r>
        <w:rPr>
          <w:rFonts w:hint="default" w:ascii="Times New Roman" w:hAnsi="Times New Roman" w:eastAsia="华文中宋" w:cs="Times New Roman"/>
          <w:sz w:val="24"/>
          <w:lang w:val="en-US" w:eastAsia="zh-CN"/>
        </w:rPr>
        <w:t>周围200m以内范围，以及</w:t>
      </w:r>
      <w:r>
        <w:rPr>
          <w:rFonts w:hint="eastAsia" w:ascii="Times New Roman" w:hAnsi="Times New Roman" w:eastAsia="华文中宋" w:cs="Times New Roman"/>
          <w:sz w:val="24"/>
          <w:lang w:val="en-US" w:eastAsia="zh-CN"/>
        </w:rPr>
        <w:t>矿山运输</w:t>
      </w:r>
      <w:r>
        <w:rPr>
          <w:rFonts w:hint="default" w:ascii="Times New Roman" w:hAnsi="Times New Roman" w:eastAsia="华文中宋" w:cs="Times New Roman"/>
          <w:sz w:val="24"/>
          <w:lang w:val="en-US" w:eastAsia="zh-CN"/>
        </w:rPr>
        <w:t>道路两侧200m以内范围。</w:t>
      </w:r>
    </w:p>
    <w:p w14:paraId="7DB29C40">
      <w:pPr>
        <w:pStyle w:val="4"/>
        <w:spacing w:before="120" w:after="120" w:line="500" w:lineRule="exact"/>
        <w:rPr>
          <w:rFonts w:hint="default" w:ascii="Times New Roman" w:hAnsi="Times New Roman" w:eastAsia="华文中宋" w:cs="Times New Roman"/>
          <w:kern w:val="0"/>
          <w:sz w:val="24"/>
          <w:szCs w:val="24"/>
          <w:lang w:val="en-US" w:eastAsia="zh-CN"/>
        </w:rPr>
      </w:pPr>
      <w:bookmarkStart w:id="57" w:name="_Toc8080"/>
      <w:r>
        <w:rPr>
          <w:rFonts w:hint="default" w:ascii="Times New Roman" w:hAnsi="Times New Roman" w:eastAsia="华文中宋" w:cs="Times New Roman"/>
          <w:kern w:val="0"/>
          <w:sz w:val="24"/>
          <w:szCs w:val="24"/>
          <w:lang w:val="en-US" w:eastAsia="zh-CN"/>
        </w:rPr>
        <w:t>2.5.5土壤环境</w:t>
      </w:r>
      <w:bookmarkEnd w:id="57"/>
    </w:p>
    <w:p w14:paraId="1662B56D">
      <w:pPr>
        <w:pStyle w:val="2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80" w:firstLineChars="200"/>
        <w:jc w:val="both"/>
        <w:textAlignment w:val="baseline"/>
        <w:rPr>
          <w:rFonts w:hint="default" w:ascii="Times New Roman" w:hAnsi="Times New Roman" w:eastAsia="华文中宋" w:cs="Times New Roman"/>
          <w:color w:val="auto"/>
          <w:kern w:val="2"/>
          <w:sz w:val="24"/>
          <w:szCs w:val="24"/>
          <w:lang w:val="en-US" w:eastAsia="zh-CN" w:bidi="ar-SA"/>
        </w:rPr>
      </w:pPr>
      <w:r>
        <w:rPr>
          <w:rFonts w:hint="default" w:ascii="Times New Roman" w:hAnsi="Times New Roman" w:eastAsia="华文中宋" w:cs="Times New Roman"/>
          <w:color w:val="auto"/>
          <w:kern w:val="2"/>
          <w:sz w:val="24"/>
          <w:szCs w:val="24"/>
          <w:lang w:val="en-US" w:eastAsia="zh-CN" w:bidi="ar-SA"/>
        </w:rPr>
        <w:t>根据《环境影响评价技术导则 土壤环境（试行）》</w:t>
      </w:r>
      <w:r>
        <w:rPr>
          <w:rFonts w:hint="eastAsia" w:ascii="Times New Roman" w:hAnsi="Times New Roman" w:eastAsia="华文中宋" w:cs="Times New Roman"/>
          <w:color w:val="auto"/>
          <w:kern w:val="2"/>
          <w:sz w:val="24"/>
          <w:szCs w:val="24"/>
          <w:lang w:val="en-US" w:eastAsia="zh-CN" w:bidi="ar-SA"/>
        </w:rPr>
        <w:t>（</w:t>
      </w:r>
      <w:r>
        <w:rPr>
          <w:rFonts w:hint="default" w:ascii="Times New Roman" w:hAnsi="Times New Roman" w:eastAsia="华文中宋" w:cs="Times New Roman"/>
          <w:color w:val="auto"/>
          <w:kern w:val="2"/>
          <w:sz w:val="24"/>
          <w:szCs w:val="24"/>
          <w:lang w:val="en-US" w:eastAsia="zh-CN" w:bidi="ar-SA"/>
        </w:rPr>
        <w:t>HJ964-2018</w:t>
      </w:r>
      <w:r>
        <w:rPr>
          <w:rFonts w:hint="eastAsia" w:ascii="Times New Roman" w:hAnsi="Times New Roman" w:eastAsia="华文中宋" w:cs="Times New Roman"/>
          <w:color w:val="auto"/>
          <w:kern w:val="2"/>
          <w:sz w:val="24"/>
          <w:szCs w:val="24"/>
          <w:lang w:val="en-US" w:eastAsia="zh-CN" w:bidi="ar-SA"/>
        </w:rPr>
        <w:t>）</w:t>
      </w:r>
      <w:r>
        <w:rPr>
          <w:rFonts w:hint="default" w:ascii="Times New Roman" w:hAnsi="Times New Roman" w:eastAsia="华文中宋" w:cs="Times New Roman"/>
          <w:color w:val="auto"/>
          <w:kern w:val="2"/>
          <w:sz w:val="24"/>
          <w:szCs w:val="24"/>
          <w:lang w:val="en-US" w:eastAsia="zh-CN" w:bidi="ar-SA"/>
        </w:rPr>
        <w:t>，土壤环境影响评价工作等级划分为一级、二级、三级。</w:t>
      </w:r>
    </w:p>
    <w:p w14:paraId="114FC2FB">
      <w:pPr>
        <w:pStyle w:val="2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80" w:firstLineChars="200"/>
        <w:jc w:val="both"/>
        <w:textAlignment w:val="baseline"/>
        <w:rPr>
          <w:rFonts w:hint="default" w:ascii="Times New Roman" w:hAnsi="Times New Roman" w:eastAsia="华文中宋" w:cs="Times New Roman"/>
          <w:color w:val="auto"/>
          <w:kern w:val="2"/>
          <w:sz w:val="24"/>
          <w:szCs w:val="24"/>
          <w:lang w:val="en-US" w:eastAsia="zh-CN" w:bidi="ar-SA"/>
        </w:rPr>
      </w:pPr>
      <w:r>
        <w:rPr>
          <w:rFonts w:hint="default" w:ascii="Times New Roman" w:hAnsi="Times New Roman" w:eastAsia="华文中宋" w:cs="Times New Roman"/>
          <w:color w:val="auto"/>
          <w:kern w:val="2"/>
          <w:sz w:val="24"/>
          <w:szCs w:val="24"/>
          <w:lang w:val="en-US" w:eastAsia="zh-CN" w:bidi="ar-SA"/>
        </w:rPr>
        <w:t>（1）生态影响型评价工作等级判定</w:t>
      </w:r>
    </w:p>
    <w:p w14:paraId="5ECC8C3D">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表2.5-</w:t>
      </w:r>
      <w:r>
        <w:rPr>
          <w:rFonts w:hint="eastAsia" w:ascii="Times New Roman" w:hAnsi="Times New Roman" w:eastAsia="华文中宋" w:cs="Times New Roman"/>
          <w:b/>
          <w:szCs w:val="21"/>
          <w:lang w:val="en-US" w:eastAsia="zh-CN"/>
        </w:rPr>
        <w:t>6</w:t>
      </w:r>
      <w:r>
        <w:rPr>
          <w:rFonts w:hint="default" w:ascii="Times New Roman" w:hAnsi="Times New Roman" w:eastAsia="华文中宋" w:cs="Times New Roman"/>
          <w:b/>
          <w:szCs w:val="21"/>
          <w:lang w:val="en-US" w:eastAsia="zh-CN"/>
        </w:rPr>
        <w:t xml:space="preserve">  生态影响型敏感程度分级表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8"/>
        <w:gridCol w:w="4083"/>
        <w:gridCol w:w="1620"/>
        <w:gridCol w:w="1781"/>
      </w:tblGrid>
      <w:tr w14:paraId="7AC56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vMerge w:val="restart"/>
            <w:vAlign w:val="center"/>
          </w:tcPr>
          <w:p w14:paraId="193B0B4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敏感程度</w:t>
            </w:r>
          </w:p>
        </w:tc>
        <w:tc>
          <w:tcPr>
            <w:tcW w:w="7484" w:type="dxa"/>
            <w:gridSpan w:val="3"/>
            <w:vAlign w:val="center"/>
          </w:tcPr>
          <w:p w14:paraId="0BDF1D5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判别依据</w:t>
            </w:r>
          </w:p>
        </w:tc>
      </w:tr>
      <w:tr w14:paraId="07CD4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vMerge w:val="continue"/>
            <w:vAlign w:val="center"/>
          </w:tcPr>
          <w:p w14:paraId="190C41E4">
            <w:pPr>
              <w:spacing w:line="300" w:lineRule="exact"/>
              <w:jc w:val="center"/>
              <w:rPr>
                <w:rFonts w:hint="default" w:ascii="Times New Roman" w:hAnsi="Times New Roman" w:eastAsia="华文中宋" w:cs="Times New Roman"/>
                <w:szCs w:val="21"/>
                <w:lang w:val="en-US" w:eastAsia="zh-CN"/>
              </w:rPr>
            </w:pPr>
          </w:p>
        </w:tc>
        <w:tc>
          <w:tcPr>
            <w:tcW w:w="4083" w:type="dxa"/>
            <w:vAlign w:val="center"/>
          </w:tcPr>
          <w:p w14:paraId="425FFB2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盐化</w:t>
            </w:r>
          </w:p>
        </w:tc>
        <w:tc>
          <w:tcPr>
            <w:tcW w:w="1620" w:type="dxa"/>
            <w:vAlign w:val="center"/>
          </w:tcPr>
          <w:p w14:paraId="18A4A94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酸化</w:t>
            </w:r>
          </w:p>
        </w:tc>
        <w:tc>
          <w:tcPr>
            <w:tcW w:w="1781" w:type="dxa"/>
            <w:vAlign w:val="center"/>
          </w:tcPr>
          <w:p w14:paraId="61325C2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碱化</w:t>
            </w:r>
          </w:p>
        </w:tc>
      </w:tr>
      <w:tr w14:paraId="497B8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vAlign w:val="center"/>
          </w:tcPr>
          <w:p w14:paraId="74FC43B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敏感</w:t>
            </w:r>
          </w:p>
        </w:tc>
        <w:tc>
          <w:tcPr>
            <w:tcW w:w="4083" w:type="dxa"/>
            <w:vAlign w:val="center"/>
          </w:tcPr>
          <w:p w14:paraId="3AFE03F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建设项目所在地干燥度&gt;2.5且常年地下水位平均埋深&lt;1.5m的地势平坦区域；或土壤含盐量&gt;4g/kg的区域</w:t>
            </w:r>
          </w:p>
        </w:tc>
        <w:tc>
          <w:tcPr>
            <w:tcW w:w="1620" w:type="dxa"/>
            <w:vAlign w:val="center"/>
          </w:tcPr>
          <w:p w14:paraId="0B31B06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pH≤4.5</w:t>
            </w:r>
          </w:p>
        </w:tc>
        <w:tc>
          <w:tcPr>
            <w:tcW w:w="1781" w:type="dxa"/>
            <w:vAlign w:val="center"/>
          </w:tcPr>
          <w:p w14:paraId="335A580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pH≥9.0</w:t>
            </w:r>
          </w:p>
        </w:tc>
      </w:tr>
      <w:tr w14:paraId="5CD4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vAlign w:val="center"/>
          </w:tcPr>
          <w:p w14:paraId="60D5954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较敏感</w:t>
            </w:r>
          </w:p>
        </w:tc>
        <w:tc>
          <w:tcPr>
            <w:tcW w:w="4083" w:type="dxa"/>
            <w:vAlign w:val="center"/>
          </w:tcPr>
          <w:p w14:paraId="2858DB6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建设项目所在地干燥度&gt;2.5且常年地下水位平均埋深</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1.</w:t>
            </w:r>
            <w:r>
              <w:rPr>
                <w:rFonts w:hint="eastAsia" w:ascii="Times New Roman" w:hAnsi="Times New Roman" w:eastAsia="华文中宋" w:cs="Times New Roman"/>
                <w:szCs w:val="21"/>
                <w:lang w:val="en-US" w:eastAsia="zh-CN"/>
              </w:rPr>
              <w:t>5</w:t>
            </w:r>
            <w:r>
              <w:rPr>
                <w:rFonts w:hint="default" w:ascii="Times New Roman" w:hAnsi="Times New Roman" w:eastAsia="华文中宋" w:cs="Times New Roman"/>
                <w:szCs w:val="21"/>
                <w:lang w:val="en-US" w:eastAsia="zh-CN"/>
              </w:rPr>
              <w:t>m的</w:t>
            </w:r>
            <w:r>
              <w:rPr>
                <w:rFonts w:hint="eastAsia" w:ascii="Times New Roman" w:hAnsi="Times New Roman" w:eastAsia="华文中宋" w:cs="Times New Roman"/>
                <w:szCs w:val="21"/>
                <w:lang w:val="en-US" w:eastAsia="zh-CN"/>
              </w:rPr>
              <w:t>，或1.8</w:t>
            </w:r>
            <w:r>
              <w:rPr>
                <w:rFonts w:hint="default" w:ascii="Times New Roman" w:hAnsi="Times New Roman" w:eastAsia="华文中宋" w:cs="Times New Roman"/>
                <w:szCs w:val="21"/>
                <w:lang w:val="en-US" w:eastAsia="zh-CN"/>
              </w:rPr>
              <w:t>&lt;</w:t>
            </w:r>
            <w:r>
              <w:rPr>
                <w:rFonts w:hint="eastAsia" w:ascii="Times New Roman" w:hAnsi="Times New Roman" w:eastAsia="华文中宋" w:cs="Times New Roman"/>
                <w:szCs w:val="21"/>
                <w:lang w:val="en-US" w:eastAsia="zh-CN"/>
              </w:rPr>
              <w:t>干燥度≤2.5且常年地下水水位平均埋深</w:t>
            </w:r>
            <w:r>
              <w:rPr>
                <w:rFonts w:hint="default" w:ascii="Times New Roman" w:hAnsi="Times New Roman" w:eastAsia="华文中宋" w:cs="Times New Roman"/>
                <w:szCs w:val="21"/>
                <w:lang w:val="en-US" w:eastAsia="zh-CN"/>
              </w:rPr>
              <w:t>&lt;</w:t>
            </w:r>
            <w:r>
              <w:rPr>
                <w:rFonts w:hint="eastAsia" w:ascii="Times New Roman" w:hAnsi="Times New Roman" w:eastAsia="华文中宋" w:cs="Times New Roman"/>
                <w:szCs w:val="21"/>
                <w:lang w:val="en-US" w:eastAsia="zh-CN"/>
              </w:rPr>
              <w:t>1.8m的地势平坦区域</w:t>
            </w:r>
            <w:r>
              <w:rPr>
                <w:rFonts w:hint="default" w:ascii="Times New Roman" w:hAnsi="Times New Roman" w:eastAsia="华文中宋" w:cs="Times New Roman"/>
                <w:szCs w:val="21"/>
                <w:lang w:val="en-US" w:eastAsia="zh-CN"/>
              </w:rPr>
              <w:t>；建设项目所在地干燥度&gt;2.5或常年地下水位平均埋深&lt;1.5m的平原区；或2g/kg&lt;土壤含盐量≤4g/kg的区域</w:t>
            </w:r>
          </w:p>
        </w:tc>
        <w:tc>
          <w:tcPr>
            <w:tcW w:w="1620" w:type="dxa"/>
            <w:vAlign w:val="center"/>
          </w:tcPr>
          <w:p w14:paraId="48C66EB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4.5&lt;pH≤5.5</w:t>
            </w:r>
          </w:p>
        </w:tc>
        <w:tc>
          <w:tcPr>
            <w:tcW w:w="1781" w:type="dxa"/>
            <w:vAlign w:val="center"/>
          </w:tcPr>
          <w:p w14:paraId="5A59F06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8.5≤pH&lt;9.0</w:t>
            </w:r>
          </w:p>
        </w:tc>
      </w:tr>
      <w:tr w14:paraId="4D979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vAlign w:val="center"/>
          </w:tcPr>
          <w:p w14:paraId="2AB5E47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不敏感</w:t>
            </w:r>
          </w:p>
        </w:tc>
        <w:tc>
          <w:tcPr>
            <w:tcW w:w="4083" w:type="dxa"/>
            <w:vAlign w:val="center"/>
          </w:tcPr>
          <w:p w14:paraId="4790416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其他</w:t>
            </w:r>
          </w:p>
        </w:tc>
        <w:tc>
          <w:tcPr>
            <w:tcW w:w="3401" w:type="dxa"/>
            <w:gridSpan w:val="2"/>
            <w:vAlign w:val="center"/>
          </w:tcPr>
          <w:p w14:paraId="6F4FA2E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5.5&lt;pH&lt;8.5</w:t>
            </w:r>
          </w:p>
        </w:tc>
      </w:tr>
      <w:tr w14:paraId="31E63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4"/>
            <w:vAlign w:val="center"/>
          </w:tcPr>
          <w:p w14:paraId="35B1D4B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a是指采用E601观测的多年平均水面蒸发量与降水量的比值，即蒸降比值。</w:t>
            </w:r>
          </w:p>
        </w:tc>
      </w:tr>
    </w:tbl>
    <w:p w14:paraId="2F505131">
      <w:pPr>
        <w:adjustRightInd w:val="0"/>
        <w:snapToGrid w:val="0"/>
        <w:spacing w:line="500" w:lineRule="exact"/>
        <w:ind w:firstLine="480" w:firstLineChars="200"/>
        <w:jc w:val="left"/>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eastAsia="华文中宋" w:cs="Times New Roman"/>
          <w:sz w:val="24"/>
          <w:highlight w:val="none"/>
          <w:lang w:val="en-US" w:eastAsia="zh-CN"/>
        </w:rPr>
        <w:t>项目所在区域土壤pH值</w:t>
      </w:r>
      <w:r>
        <w:rPr>
          <w:rFonts w:hint="eastAsia" w:ascii="Times New Roman" w:hAnsi="Times New Roman" w:eastAsia="华文中宋" w:cs="Times New Roman"/>
          <w:sz w:val="24"/>
          <w:highlight w:val="none"/>
          <w:lang w:val="en-US" w:eastAsia="zh-CN"/>
        </w:rPr>
        <w:t>在8.01～9.21之间</w:t>
      </w:r>
      <w:r>
        <w:rPr>
          <w:rFonts w:hint="default" w:ascii="Times New Roman" w:hAnsi="Times New Roman" w:eastAsia="华文中宋" w:cs="Times New Roman"/>
          <w:sz w:val="24"/>
          <w:highlight w:val="none"/>
          <w:lang w:val="en-US" w:eastAsia="zh-CN"/>
        </w:rPr>
        <w:t>，</w:t>
      </w:r>
      <w:r>
        <w:rPr>
          <w:rFonts w:hint="eastAsia" w:ascii="Times New Roman" w:hAnsi="Times New Roman" w:eastAsia="华文中宋" w:cs="Times New Roman"/>
          <w:sz w:val="24"/>
          <w:highlight w:val="none"/>
          <w:lang w:val="en-US" w:eastAsia="zh-CN"/>
        </w:rPr>
        <w:t>部分区域存在</w:t>
      </w:r>
      <w:r>
        <w:rPr>
          <w:rFonts w:hint="default" w:ascii="Times New Roman" w:hAnsi="Times New Roman" w:eastAsia="华文中宋" w:cs="Times New Roman"/>
          <w:sz w:val="24"/>
          <w:highlight w:val="none"/>
          <w:lang w:val="en-US" w:eastAsia="zh-CN"/>
        </w:rPr>
        <w:t>轻度碱化，项目区干燥度＞2.5</w:t>
      </w:r>
      <w:r>
        <w:rPr>
          <w:rFonts w:hint="eastAsia" w:ascii="Times New Roman" w:hAnsi="Times New Roman" w:eastAsia="华文中宋" w:cs="Times New Roman"/>
          <w:sz w:val="24"/>
          <w:highlight w:val="none"/>
          <w:lang w:val="en-US" w:eastAsia="zh-CN"/>
        </w:rPr>
        <w:t>，土壤全盐量在1.32～1.65</w:t>
      </w:r>
      <w:r>
        <w:rPr>
          <w:rFonts w:hint="default" w:ascii="Times New Roman" w:hAnsi="Times New Roman" w:eastAsia="华文中宋" w:cs="Times New Roman"/>
          <w:sz w:val="24"/>
          <w:highlight w:val="none"/>
          <w:lang w:val="en-US" w:eastAsia="zh-CN"/>
        </w:rPr>
        <w:t>g/kg</w:t>
      </w:r>
      <w:r>
        <w:rPr>
          <w:rFonts w:hint="eastAsia" w:ascii="Times New Roman" w:hAnsi="Times New Roman" w:eastAsia="华文中宋" w:cs="Times New Roman"/>
          <w:sz w:val="24"/>
          <w:highlight w:val="none"/>
          <w:lang w:val="en-US" w:eastAsia="zh-CN"/>
        </w:rPr>
        <w:t>之间，根据本次现状监测，项目区地下水水位埋深位</w:t>
      </w:r>
      <w:r>
        <w:rPr>
          <w:rFonts w:hint="eastAsia" w:ascii="Times New Roman" w:hAnsi="Times New Roman" w:eastAsia="华文中宋" w:cs="Times New Roman"/>
          <w:szCs w:val="21"/>
          <w:highlight w:val="none"/>
          <w:lang w:val="en-US" w:eastAsia="zh-CN"/>
        </w:rPr>
        <w:t>≥</w:t>
      </w:r>
      <w:r>
        <w:rPr>
          <w:rFonts w:hint="default" w:ascii="Times New Roman" w:hAnsi="Times New Roman" w:eastAsia="华文中宋" w:cs="Times New Roman"/>
          <w:szCs w:val="21"/>
          <w:highlight w:val="none"/>
          <w:lang w:val="en-US" w:eastAsia="zh-CN"/>
        </w:rPr>
        <w:t>1.</w:t>
      </w:r>
      <w:r>
        <w:rPr>
          <w:rFonts w:hint="eastAsia" w:ascii="Times New Roman" w:hAnsi="Times New Roman" w:eastAsia="华文中宋" w:cs="Times New Roman"/>
          <w:szCs w:val="21"/>
          <w:highlight w:val="none"/>
          <w:lang w:val="en-US" w:eastAsia="zh-CN"/>
        </w:rPr>
        <w:t>5</w:t>
      </w:r>
      <w:r>
        <w:rPr>
          <w:rFonts w:hint="default" w:ascii="Times New Roman" w:hAnsi="Times New Roman" w:eastAsia="华文中宋" w:cs="Times New Roman"/>
          <w:szCs w:val="21"/>
          <w:highlight w:val="none"/>
          <w:lang w:val="en-US" w:eastAsia="zh-CN"/>
        </w:rPr>
        <w:t>m</w:t>
      </w:r>
      <w:r>
        <w:rPr>
          <w:rFonts w:hint="default" w:ascii="Times New Roman" w:hAnsi="Times New Roman" w:eastAsia="华文中宋" w:cs="Times New Roman"/>
          <w:sz w:val="24"/>
          <w:highlight w:val="none"/>
          <w:lang w:val="en-US" w:eastAsia="zh-CN"/>
        </w:rPr>
        <w:t>；因此判定本项目的土壤环境敏感程度为较敏感。</w:t>
      </w:r>
    </w:p>
    <w:p w14:paraId="5279DEBA">
      <w:pPr>
        <w:adjustRightInd w:val="0"/>
        <w:snapToGrid w:val="0"/>
        <w:spacing w:before="250" w:beforeLines="50"/>
        <w:ind w:firstLine="422" w:firstLineChars="200"/>
        <w:jc w:val="center"/>
        <w:rPr>
          <w:rFonts w:hint="default" w:ascii="Times New Roman" w:hAnsi="Times New Roman" w:eastAsia="华文中宋" w:cs="Times New Roman"/>
          <w:b/>
          <w:szCs w:val="21"/>
        </w:rPr>
      </w:pPr>
      <w:r>
        <w:rPr>
          <w:rFonts w:hint="default" w:ascii="Times New Roman" w:hAnsi="Times New Roman" w:eastAsia="华文中宋" w:cs="Times New Roman"/>
          <w:b/>
          <w:szCs w:val="21"/>
          <w:lang w:val="en-US" w:eastAsia="zh-CN"/>
        </w:rPr>
        <w:t>表2.5-</w:t>
      </w:r>
      <w:r>
        <w:rPr>
          <w:rFonts w:hint="eastAsia" w:ascii="Times New Roman" w:hAnsi="Times New Roman" w:eastAsia="华文中宋" w:cs="Times New Roman"/>
          <w:b/>
          <w:szCs w:val="21"/>
          <w:lang w:val="en-US" w:eastAsia="zh-CN"/>
        </w:rPr>
        <w:t>7</w:t>
      </w:r>
      <w:r>
        <w:rPr>
          <w:rFonts w:hint="default" w:ascii="Times New Roman" w:hAnsi="Times New Roman" w:eastAsia="华文中宋" w:cs="Times New Roman"/>
          <w:b/>
          <w:szCs w:val="21"/>
          <w:lang w:val="en-US" w:eastAsia="zh-CN"/>
        </w:rPr>
        <w:t xml:space="preserve">  生态影响型评价工作等级划分表</w:t>
      </w:r>
    </w:p>
    <w:tbl>
      <w:tblPr>
        <w:tblStyle w:val="19"/>
        <w:tblW w:w="8878"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073"/>
        <w:gridCol w:w="2211"/>
        <w:gridCol w:w="2212"/>
        <w:gridCol w:w="2382"/>
      </w:tblGrid>
      <w:tr w14:paraId="4938FF7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5" w:hRule="atLeast"/>
          <w:jc w:val="center"/>
        </w:trPr>
        <w:tc>
          <w:tcPr>
            <w:tcW w:w="2073" w:type="dxa"/>
            <w:tcBorders>
              <w:tl2br w:val="nil"/>
              <w:tr2bl w:val="nil"/>
            </w:tcBorders>
            <w:noWrap w:val="0"/>
            <w:vAlign w:val="center"/>
          </w:tcPr>
          <w:p w14:paraId="60AAE2A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项目类别敏感程度</w:t>
            </w:r>
          </w:p>
        </w:tc>
        <w:tc>
          <w:tcPr>
            <w:tcW w:w="2211" w:type="dxa"/>
            <w:tcBorders>
              <w:tl2br w:val="nil"/>
              <w:tr2bl w:val="nil"/>
            </w:tcBorders>
            <w:noWrap w:val="0"/>
            <w:vAlign w:val="center"/>
          </w:tcPr>
          <w:p w14:paraId="77DF42F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Ⅰ类</w:t>
            </w:r>
          </w:p>
        </w:tc>
        <w:tc>
          <w:tcPr>
            <w:tcW w:w="2212" w:type="dxa"/>
            <w:tcBorders>
              <w:tl2br w:val="nil"/>
              <w:tr2bl w:val="nil"/>
            </w:tcBorders>
            <w:noWrap w:val="0"/>
            <w:vAlign w:val="center"/>
          </w:tcPr>
          <w:p w14:paraId="498D0B3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Ⅱ类</w:t>
            </w:r>
          </w:p>
        </w:tc>
        <w:tc>
          <w:tcPr>
            <w:tcW w:w="2382" w:type="dxa"/>
            <w:tcBorders>
              <w:tl2br w:val="nil"/>
              <w:tr2bl w:val="nil"/>
            </w:tcBorders>
            <w:noWrap w:val="0"/>
            <w:vAlign w:val="center"/>
          </w:tcPr>
          <w:p w14:paraId="0A8D849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Ⅲ类</w:t>
            </w:r>
          </w:p>
        </w:tc>
      </w:tr>
      <w:tr w14:paraId="63D8D20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2" w:hRule="atLeast"/>
          <w:jc w:val="center"/>
        </w:trPr>
        <w:tc>
          <w:tcPr>
            <w:tcW w:w="2073" w:type="dxa"/>
            <w:tcBorders>
              <w:tl2br w:val="nil"/>
              <w:tr2bl w:val="nil"/>
            </w:tcBorders>
            <w:noWrap w:val="0"/>
            <w:vAlign w:val="center"/>
          </w:tcPr>
          <w:p w14:paraId="46429C6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敏感</w:t>
            </w:r>
          </w:p>
        </w:tc>
        <w:tc>
          <w:tcPr>
            <w:tcW w:w="2211" w:type="dxa"/>
            <w:tcBorders>
              <w:tl2br w:val="nil"/>
              <w:tr2bl w:val="nil"/>
            </w:tcBorders>
            <w:noWrap w:val="0"/>
            <w:vAlign w:val="center"/>
          </w:tcPr>
          <w:p w14:paraId="6DA744B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一级</w:t>
            </w:r>
          </w:p>
        </w:tc>
        <w:tc>
          <w:tcPr>
            <w:tcW w:w="2212" w:type="dxa"/>
            <w:tcBorders>
              <w:tl2br w:val="nil"/>
              <w:tr2bl w:val="nil"/>
            </w:tcBorders>
            <w:noWrap w:val="0"/>
            <w:vAlign w:val="center"/>
          </w:tcPr>
          <w:p w14:paraId="016A971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二级</w:t>
            </w:r>
          </w:p>
        </w:tc>
        <w:tc>
          <w:tcPr>
            <w:tcW w:w="2382" w:type="dxa"/>
            <w:tcBorders>
              <w:tl2br w:val="nil"/>
              <w:tr2bl w:val="nil"/>
            </w:tcBorders>
            <w:noWrap w:val="0"/>
            <w:vAlign w:val="center"/>
          </w:tcPr>
          <w:p w14:paraId="769C62D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三级</w:t>
            </w:r>
          </w:p>
        </w:tc>
      </w:tr>
      <w:tr w14:paraId="7FB3E13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2" w:hRule="atLeast"/>
          <w:jc w:val="center"/>
        </w:trPr>
        <w:tc>
          <w:tcPr>
            <w:tcW w:w="2073" w:type="dxa"/>
            <w:tcBorders>
              <w:tl2br w:val="nil"/>
              <w:tr2bl w:val="nil"/>
            </w:tcBorders>
            <w:noWrap w:val="0"/>
            <w:vAlign w:val="center"/>
          </w:tcPr>
          <w:p w14:paraId="37E4D60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较敏感</w:t>
            </w:r>
          </w:p>
        </w:tc>
        <w:tc>
          <w:tcPr>
            <w:tcW w:w="2211" w:type="dxa"/>
            <w:tcBorders>
              <w:tl2br w:val="nil"/>
              <w:tr2bl w:val="nil"/>
            </w:tcBorders>
            <w:noWrap w:val="0"/>
            <w:vAlign w:val="center"/>
          </w:tcPr>
          <w:p w14:paraId="6A3C33B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二级</w:t>
            </w:r>
          </w:p>
        </w:tc>
        <w:tc>
          <w:tcPr>
            <w:tcW w:w="2212" w:type="dxa"/>
            <w:tcBorders>
              <w:tl2br w:val="nil"/>
              <w:tr2bl w:val="nil"/>
            </w:tcBorders>
            <w:noWrap w:val="0"/>
            <w:vAlign w:val="center"/>
          </w:tcPr>
          <w:p w14:paraId="1B94600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二级</w:t>
            </w:r>
          </w:p>
        </w:tc>
        <w:tc>
          <w:tcPr>
            <w:tcW w:w="2382" w:type="dxa"/>
            <w:tcBorders>
              <w:tl2br w:val="nil"/>
              <w:tr2bl w:val="nil"/>
            </w:tcBorders>
            <w:noWrap w:val="0"/>
            <w:vAlign w:val="center"/>
          </w:tcPr>
          <w:p w14:paraId="2351645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三级</w:t>
            </w:r>
          </w:p>
        </w:tc>
      </w:tr>
      <w:tr w14:paraId="0287984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0" w:hRule="atLeast"/>
          <w:jc w:val="center"/>
        </w:trPr>
        <w:tc>
          <w:tcPr>
            <w:tcW w:w="2073" w:type="dxa"/>
            <w:tcBorders>
              <w:tl2br w:val="nil"/>
              <w:tr2bl w:val="nil"/>
            </w:tcBorders>
            <w:noWrap w:val="0"/>
            <w:vAlign w:val="center"/>
          </w:tcPr>
          <w:p w14:paraId="703CDFA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不敏感</w:t>
            </w:r>
          </w:p>
        </w:tc>
        <w:tc>
          <w:tcPr>
            <w:tcW w:w="2211" w:type="dxa"/>
            <w:tcBorders>
              <w:tl2br w:val="nil"/>
              <w:tr2bl w:val="nil"/>
            </w:tcBorders>
            <w:noWrap w:val="0"/>
            <w:vAlign w:val="center"/>
          </w:tcPr>
          <w:p w14:paraId="05DE2AB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二级</w:t>
            </w:r>
          </w:p>
        </w:tc>
        <w:tc>
          <w:tcPr>
            <w:tcW w:w="2212" w:type="dxa"/>
            <w:tcBorders>
              <w:tl2br w:val="nil"/>
              <w:tr2bl w:val="nil"/>
            </w:tcBorders>
            <w:noWrap w:val="0"/>
            <w:vAlign w:val="center"/>
          </w:tcPr>
          <w:p w14:paraId="6EA7643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三级</w:t>
            </w:r>
          </w:p>
        </w:tc>
        <w:tc>
          <w:tcPr>
            <w:tcW w:w="2382" w:type="dxa"/>
            <w:tcBorders>
              <w:tl2br w:val="nil"/>
              <w:tr2bl w:val="nil"/>
            </w:tcBorders>
            <w:noWrap w:val="0"/>
            <w:vAlign w:val="center"/>
          </w:tcPr>
          <w:p w14:paraId="133F3DE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w:t>
            </w:r>
          </w:p>
        </w:tc>
      </w:tr>
    </w:tbl>
    <w:p w14:paraId="4CBB0BFB">
      <w:pPr>
        <w:pStyle w:val="2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80" w:firstLineChars="200"/>
        <w:jc w:val="both"/>
        <w:textAlignment w:val="baseline"/>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kern w:val="2"/>
          <w:sz w:val="24"/>
          <w:szCs w:val="24"/>
          <w:highlight w:val="none"/>
          <w:lang w:val="en-US" w:eastAsia="zh-CN" w:bidi="ar-SA"/>
        </w:rPr>
        <w:t>根据导则附录A，本项目为</w:t>
      </w:r>
      <w:r>
        <w:rPr>
          <w:rFonts w:hint="default" w:ascii="Times New Roman" w:hAnsi="Times New Roman" w:cs="Times New Roman" w:eastAsiaTheme="minorEastAsia"/>
          <w:color w:val="auto"/>
          <w:sz w:val="24"/>
          <w:szCs w:val="24"/>
          <w:highlight w:val="none"/>
          <w:lang w:val="en-US" w:eastAsia="zh-CN"/>
        </w:rPr>
        <w:t>Ⅰ类项目，本项目的土壤环境敏感程度为较敏感。综上，判断本项目土壤生态环境评价工作等级为二级。</w:t>
      </w:r>
    </w:p>
    <w:p w14:paraId="465A5263">
      <w:pPr>
        <w:pStyle w:val="2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80" w:firstLineChars="200"/>
        <w:jc w:val="both"/>
        <w:textAlignment w:val="baseline"/>
        <w:rPr>
          <w:rFonts w:hint="default" w:ascii="Times New Roman" w:hAnsi="Times New Roman" w:eastAsia="华文中宋" w:cs="Times New Roman"/>
          <w:b/>
          <w:szCs w:val="21"/>
          <w:lang w:val="en-US" w:eastAsia="zh-CN"/>
        </w:rPr>
      </w:pPr>
      <w:r>
        <w:rPr>
          <w:rFonts w:hint="default" w:ascii="Times New Roman" w:hAnsi="Times New Roman" w:cs="Times New Roman" w:eastAsiaTheme="minorEastAsia"/>
          <w:color w:val="auto"/>
          <w:kern w:val="0"/>
          <w:sz w:val="24"/>
          <w:szCs w:val="24"/>
          <w:lang w:val="en-US" w:eastAsia="zh-CN" w:bidi="ar-SA"/>
        </w:rPr>
        <w:t>（2）</w:t>
      </w:r>
      <w:r>
        <w:rPr>
          <w:rFonts w:hint="default" w:ascii="Times New Roman" w:hAnsi="Times New Roman" w:cs="Times New Roman" w:eastAsiaTheme="minorEastAsia"/>
          <w:color w:val="auto"/>
          <w:sz w:val="24"/>
          <w:szCs w:val="24"/>
          <w:lang w:val="en-US" w:eastAsia="zh-CN"/>
        </w:rPr>
        <w:t>污染影响型评价工作等级判定</w:t>
      </w:r>
    </w:p>
    <w:p w14:paraId="17338388">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表2.5-</w:t>
      </w:r>
      <w:r>
        <w:rPr>
          <w:rFonts w:hint="eastAsia" w:ascii="Times New Roman" w:hAnsi="Times New Roman" w:eastAsia="华文中宋" w:cs="Times New Roman"/>
          <w:b/>
          <w:szCs w:val="21"/>
          <w:lang w:val="en-US" w:eastAsia="zh-CN"/>
        </w:rPr>
        <w:t>8</w:t>
      </w:r>
      <w:r>
        <w:rPr>
          <w:rFonts w:hint="default" w:ascii="Times New Roman" w:hAnsi="Times New Roman" w:eastAsia="华文中宋" w:cs="Times New Roman"/>
          <w:b/>
          <w:szCs w:val="21"/>
          <w:lang w:val="en-US" w:eastAsia="zh-CN"/>
        </w:rPr>
        <w:t xml:space="preserve">  污染影响型敏感程度分级表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7305"/>
      </w:tblGrid>
      <w:tr w14:paraId="30771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Align w:val="center"/>
          </w:tcPr>
          <w:p w14:paraId="521310B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敏感程度</w:t>
            </w:r>
          </w:p>
        </w:tc>
        <w:tc>
          <w:tcPr>
            <w:tcW w:w="7305" w:type="dxa"/>
            <w:vAlign w:val="center"/>
          </w:tcPr>
          <w:p w14:paraId="2D58847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判别依据</w:t>
            </w:r>
          </w:p>
        </w:tc>
      </w:tr>
      <w:tr w14:paraId="17AE4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Align w:val="center"/>
          </w:tcPr>
          <w:p w14:paraId="6159D13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敏感</w:t>
            </w:r>
          </w:p>
        </w:tc>
        <w:tc>
          <w:tcPr>
            <w:tcW w:w="7305" w:type="dxa"/>
            <w:vAlign w:val="center"/>
          </w:tcPr>
          <w:p w14:paraId="558C335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建设项目周边存在耕地、园地、牧草地、饮用水水源地或居民区、学校、医院、疗养院、养老院等土壤敏感目标的</w:t>
            </w:r>
          </w:p>
        </w:tc>
      </w:tr>
      <w:tr w14:paraId="0BF46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Align w:val="center"/>
          </w:tcPr>
          <w:p w14:paraId="32EC62F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较敏感</w:t>
            </w:r>
          </w:p>
        </w:tc>
        <w:tc>
          <w:tcPr>
            <w:tcW w:w="7305" w:type="dxa"/>
            <w:vAlign w:val="center"/>
          </w:tcPr>
          <w:p w14:paraId="34D5DF2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建设项目周边存在其他土壤环境敏感目标的</w:t>
            </w:r>
          </w:p>
        </w:tc>
      </w:tr>
      <w:tr w14:paraId="7487C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Align w:val="center"/>
          </w:tcPr>
          <w:p w14:paraId="7CB7DD2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不敏感</w:t>
            </w:r>
          </w:p>
        </w:tc>
        <w:tc>
          <w:tcPr>
            <w:tcW w:w="7305" w:type="dxa"/>
            <w:vAlign w:val="center"/>
          </w:tcPr>
          <w:p w14:paraId="2F30628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其他情况</w:t>
            </w:r>
          </w:p>
        </w:tc>
      </w:tr>
    </w:tbl>
    <w:p w14:paraId="33EB059B">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表2.5-</w:t>
      </w:r>
      <w:r>
        <w:rPr>
          <w:rFonts w:hint="eastAsia" w:ascii="Times New Roman" w:hAnsi="Times New Roman" w:eastAsia="华文中宋" w:cs="Times New Roman"/>
          <w:b/>
          <w:szCs w:val="21"/>
          <w:lang w:val="en-US" w:eastAsia="zh-CN"/>
        </w:rPr>
        <w:t>9</w:t>
      </w:r>
      <w:r>
        <w:rPr>
          <w:rFonts w:hint="default" w:ascii="Times New Roman" w:hAnsi="Times New Roman" w:eastAsia="华文中宋" w:cs="Times New Roman"/>
          <w:b/>
          <w:szCs w:val="21"/>
          <w:lang w:val="en-US" w:eastAsia="zh-CN"/>
        </w:rPr>
        <w:t xml:space="preserve">  污染影响型评价工作等级划分表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4"/>
        <w:gridCol w:w="823"/>
        <w:gridCol w:w="823"/>
        <w:gridCol w:w="828"/>
        <w:gridCol w:w="823"/>
        <w:gridCol w:w="823"/>
        <w:gridCol w:w="828"/>
        <w:gridCol w:w="823"/>
        <w:gridCol w:w="823"/>
        <w:gridCol w:w="831"/>
      </w:tblGrid>
      <w:tr w14:paraId="4A3C2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642" w:type="pct"/>
            <w:vMerge w:val="restart"/>
            <w:vAlign w:val="center"/>
            <mc:AlternateContent>
              <mc:Choice Requires="wpsCustomData">
                <wpsCustomData:diagonals>
                  <wpsCustomData:diagonal from="30000" to="14800">
                    <wpsCustomData:border w:val="single" w:color="auto" w:sz="4" w:space="0"/>
                  </wpsCustomData:diagonal>
                  <wpsCustomData:diagonal from="30000" to="6700">
                    <wpsCustomData:border w:val="single" w:color="auto" w:sz="4" w:space="0"/>
                  </wpsCustomData:diagonal>
                </wpsCustomData:diagonals>
              </mc:Choice>
            </mc:AlternateContent>
          </w:tcPr>
          <w:p w14:paraId="5E32347C">
            <w:pPr>
              <w:spacing w:line="300" w:lineRule="exact"/>
              <w:jc w:val="center"/>
              <mc:AlternateContent>
                <mc:Choice Requires="wpsCustomData">
                  <wpsCustomData:diagonalParaType/>
                </mc:Choice>
              </mc:AlternateConten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敏感程度</w:t>
            </w:r>
          </w:p>
          <w:p w14:paraId="2E8D0035">
            <w:pPr>
              <w:spacing w:line="300" w:lineRule="exact"/>
              <w:jc w:val="center"/>
              <mc:AlternateContent>
                <mc:Choice Requires="wpsCustomData">
                  <wpsCustomData:diagonalParaType/>
                </mc:Choice>
              </mc:AlternateConten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评价工作等级</w:t>
            </w:r>
          </w:p>
          <w:p w14:paraId="2FEAE27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占地规模</w:t>
            </w:r>
          </w:p>
        </w:tc>
        <w:tc>
          <w:tcPr>
            <w:tcW w:w="1452" w:type="pct"/>
            <w:gridSpan w:val="3"/>
            <w:shd w:val="clear" w:color="auto" w:fill="auto"/>
            <w:vAlign w:val="center"/>
          </w:tcPr>
          <w:p w14:paraId="5E79CF2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Ⅰ类</w:t>
            </w:r>
          </w:p>
        </w:tc>
        <w:tc>
          <w:tcPr>
            <w:tcW w:w="1452" w:type="pct"/>
            <w:gridSpan w:val="3"/>
            <w:shd w:val="clear" w:color="auto" w:fill="auto"/>
            <w:vAlign w:val="center"/>
          </w:tcPr>
          <w:p w14:paraId="513B951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Ⅱ类</w:t>
            </w:r>
          </w:p>
        </w:tc>
        <w:tc>
          <w:tcPr>
            <w:tcW w:w="1453" w:type="pct"/>
            <w:gridSpan w:val="3"/>
            <w:vAlign w:val="center"/>
          </w:tcPr>
          <w:p w14:paraId="26FD785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Ⅲ类</w:t>
            </w:r>
          </w:p>
        </w:tc>
      </w:tr>
      <w:tr w14:paraId="0113A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pct"/>
            <w:vMerge w:val="continue"/>
            <w:vAlign w:val="center"/>
          </w:tcPr>
          <w:p w14:paraId="0641C361">
            <w:pPr>
              <w:spacing w:line="300" w:lineRule="exact"/>
              <w:jc w:val="center"/>
              <w:rPr>
                <w:rFonts w:hint="default" w:ascii="Times New Roman" w:hAnsi="Times New Roman" w:eastAsia="华文中宋" w:cs="Times New Roman"/>
                <w:szCs w:val="21"/>
                <w:lang w:val="en-US" w:eastAsia="zh-CN"/>
              </w:rPr>
            </w:pPr>
          </w:p>
        </w:tc>
        <w:tc>
          <w:tcPr>
            <w:tcW w:w="483" w:type="pct"/>
            <w:vAlign w:val="center"/>
          </w:tcPr>
          <w:p w14:paraId="400255E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大</w:t>
            </w:r>
          </w:p>
        </w:tc>
        <w:tc>
          <w:tcPr>
            <w:tcW w:w="483" w:type="pct"/>
            <w:vAlign w:val="center"/>
          </w:tcPr>
          <w:p w14:paraId="6A78056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中</w:t>
            </w:r>
          </w:p>
        </w:tc>
        <w:tc>
          <w:tcPr>
            <w:tcW w:w="485" w:type="pct"/>
            <w:vAlign w:val="center"/>
          </w:tcPr>
          <w:p w14:paraId="3F543AB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小</w:t>
            </w:r>
          </w:p>
        </w:tc>
        <w:tc>
          <w:tcPr>
            <w:tcW w:w="483" w:type="pct"/>
            <w:shd w:val="clear" w:color="auto" w:fill="auto"/>
            <w:vAlign w:val="center"/>
          </w:tcPr>
          <w:p w14:paraId="1EF30EF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大</w:t>
            </w:r>
          </w:p>
        </w:tc>
        <w:tc>
          <w:tcPr>
            <w:tcW w:w="483" w:type="pct"/>
            <w:shd w:val="clear" w:color="auto" w:fill="auto"/>
            <w:vAlign w:val="center"/>
          </w:tcPr>
          <w:p w14:paraId="65E8796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中</w:t>
            </w:r>
          </w:p>
        </w:tc>
        <w:tc>
          <w:tcPr>
            <w:tcW w:w="485" w:type="pct"/>
            <w:shd w:val="clear" w:color="auto" w:fill="auto"/>
            <w:vAlign w:val="center"/>
          </w:tcPr>
          <w:p w14:paraId="0AA3E91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小</w:t>
            </w:r>
          </w:p>
        </w:tc>
        <w:tc>
          <w:tcPr>
            <w:tcW w:w="483" w:type="pct"/>
            <w:shd w:val="clear" w:color="auto" w:fill="auto"/>
            <w:vAlign w:val="center"/>
          </w:tcPr>
          <w:p w14:paraId="1AF806D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大</w:t>
            </w:r>
          </w:p>
        </w:tc>
        <w:tc>
          <w:tcPr>
            <w:tcW w:w="483" w:type="pct"/>
            <w:shd w:val="clear" w:color="auto" w:fill="auto"/>
            <w:vAlign w:val="center"/>
          </w:tcPr>
          <w:p w14:paraId="1B30DEE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中</w:t>
            </w:r>
          </w:p>
        </w:tc>
        <w:tc>
          <w:tcPr>
            <w:tcW w:w="487" w:type="pct"/>
            <w:shd w:val="clear" w:color="auto" w:fill="auto"/>
            <w:vAlign w:val="center"/>
          </w:tcPr>
          <w:p w14:paraId="673BC9A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小</w:t>
            </w:r>
          </w:p>
        </w:tc>
      </w:tr>
      <w:tr w14:paraId="5D8B3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pct"/>
            <w:vAlign w:val="center"/>
          </w:tcPr>
          <w:p w14:paraId="7C55DFB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敏感</w:t>
            </w:r>
          </w:p>
        </w:tc>
        <w:tc>
          <w:tcPr>
            <w:tcW w:w="483" w:type="pct"/>
            <w:vAlign w:val="center"/>
          </w:tcPr>
          <w:p w14:paraId="141DB3D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一级</w:t>
            </w:r>
          </w:p>
        </w:tc>
        <w:tc>
          <w:tcPr>
            <w:tcW w:w="483" w:type="pct"/>
            <w:vAlign w:val="center"/>
          </w:tcPr>
          <w:p w14:paraId="1F67FF1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一级</w:t>
            </w:r>
          </w:p>
        </w:tc>
        <w:tc>
          <w:tcPr>
            <w:tcW w:w="485" w:type="pct"/>
            <w:vAlign w:val="center"/>
          </w:tcPr>
          <w:p w14:paraId="1B383535">
            <w:pPr>
              <w:spacing w:line="300" w:lineRule="exact"/>
              <w:jc w:val="center"/>
              <w:rPr>
                <w:rFonts w:hint="default" w:ascii="Times New Roman" w:hAnsi="Times New Roman" w:eastAsia="华文中宋" w:cs="Times New Roman"/>
                <w:szCs w:val="21"/>
                <w:lang w:val="en-US" w:eastAsia="zh-CN"/>
              </w:rPr>
            </w:pPr>
            <w:bookmarkStart w:id="58" w:name="OLE_LINK2"/>
            <w:r>
              <w:rPr>
                <w:rFonts w:hint="default" w:ascii="Times New Roman" w:hAnsi="Times New Roman" w:eastAsia="华文中宋" w:cs="Times New Roman"/>
                <w:szCs w:val="21"/>
                <w:lang w:val="en-US" w:eastAsia="zh-CN"/>
              </w:rPr>
              <w:t>一级</w:t>
            </w:r>
            <w:bookmarkEnd w:id="58"/>
          </w:p>
        </w:tc>
        <w:tc>
          <w:tcPr>
            <w:tcW w:w="483" w:type="pct"/>
            <w:vAlign w:val="center"/>
          </w:tcPr>
          <w:p w14:paraId="45EB776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二级</w:t>
            </w:r>
          </w:p>
        </w:tc>
        <w:tc>
          <w:tcPr>
            <w:tcW w:w="483" w:type="pct"/>
            <w:vAlign w:val="center"/>
          </w:tcPr>
          <w:p w14:paraId="044F1E8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二级</w:t>
            </w:r>
          </w:p>
        </w:tc>
        <w:tc>
          <w:tcPr>
            <w:tcW w:w="485" w:type="pct"/>
            <w:vAlign w:val="center"/>
          </w:tcPr>
          <w:p w14:paraId="4DA6B5D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二级</w:t>
            </w:r>
          </w:p>
        </w:tc>
        <w:tc>
          <w:tcPr>
            <w:tcW w:w="483" w:type="pct"/>
            <w:vAlign w:val="center"/>
          </w:tcPr>
          <w:p w14:paraId="48562A5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三级</w:t>
            </w:r>
          </w:p>
        </w:tc>
        <w:tc>
          <w:tcPr>
            <w:tcW w:w="483" w:type="pct"/>
            <w:vAlign w:val="center"/>
          </w:tcPr>
          <w:p w14:paraId="204A30A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三级</w:t>
            </w:r>
          </w:p>
        </w:tc>
        <w:tc>
          <w:tcPr>
            <w:tcW w:w="487" w:type="pct"/>
            <w:vAlign w:val="center"/>
          </w:tcPr>
          <w:p w14:paraId="7F69247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三级</w:t>
            </w:r>
          </w:p>
        </w:tc>
      </w:tr>
      <w:tr w14:paraId="6611B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pct"/>
            <w:vAlign w:val="center"/>
          </w:tcPr>
          <w:p w14:paraId="6E00D25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较敏感</w:t>
            </w:r>
          </w:p>
        </w:tc>
        <w:tc>
          <w:tcPr>
            <w:tcW w:w="483" w:type="pct"/>
            <w:vAlign w:val="center"/>
          </w:tcPr>
          <w:p w14:paraId="7C4E88C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一级</w:t>
            </w:r>
          </w:p>
        </w:tc>
        <w:tc>
          <w:tcPr>
            <w:tcW w:w="483" w:type="pct"/>
            <w:vAlign w:val="center"/>
          </w:tcPr>
          <w:p w14:paraId="07B8558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一级</w:t>
            </w:r>
          </w:p>
        </w:tc>
        <w:tc>
          <w:tcPr>
            <w:tcW w:w="485" w:type="pct"/>
            <w:vAlign w:val="center"/>
          </w:tcPr>
          <w:p w14:paraId="2552531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二级</w:t>
            </w:r>
          </w:p>
        </w:tc>
        <w:tc>
          <w:tcPr>
            <w:tcW w:w="483" w:type="pct"/>
            <w:vAlign w:val="center"/>
          </w:tcPr>
          <w:p w14:paraId="0BFF11D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二级</w:t>
            </w:r>
          </w:p>
        </w:tc>
        <w:tc>
          <w:tcPr>
            <w:tcW w:w="483" w:type="pct"/>
            <w:vAlign w:val="center"/>
          </w:tcPr>
          <w:p w14:paraId="6E3DB52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二级</w:t>
            </w:r>
          </w:p>
        </w:tc>
        <w:tc>
          <w:tcPr>
            <w:tcW w:w="485" w:type="pct"/>
            <w:vAlign w:val="center"/>
          </w:tcPr>
          <w:p w14:paraId="67B47FC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三级</w:t>
            </w:r>
          </w:p>
        </w:tc>
        <w:tc>
          <w:tcPr>
            <w:tcW w:w="483" w:type="pct"/>
            <w:vAlign w:val="center"/>
          </w:tcPr>
          <w:p w14:paraId="5B762A4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三级</w:t>
            </w:r>
          </w:p>
        </w:tc>
        <w:tc>
          <w:tcPr>
            <w:tcW w:w="483" w:type="pct"/>
            <w:vAlign w:val="center"/>
          </w:tcPr>
          <w:p w14:paraId="2FAFEB5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三级</w:t>
            </w:r>
          </w:p>
        </w:tc>
        <w:tc>
          <w:tcPr>
            <w:tcW w:w="487" w:type="pct"/>
            <w:vAlign w:val="center"/>
          </w:tcPr>
          <w:p w14:paraId="0D59175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w:t>
            </w:r>
          </w:p>
        </w:tc>
      </w:tr>
      <w:tr w14:paraId="08A0F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pct"/>
            <w:vAlign w:val="center"/>
          </w:tcPr>
          <w:p w14:paraId="5A902CA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不敏感</w:t>
            </w:r>
          </w:p>
        </w:tc>
        <w:tc>
          <w:tcPr>
            <w:tcW w:w="483" w:type="pct"/>
            <w:vAlign w:val="center"/>
          </w:tcPr>
          <w:p w14:paraId="2BEEF93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一级</w:t>
            </w:r>
          </w:p>
        </w:tc>
        <w:tc>
          <w:tcPr>
            <w:tcW w:w="483" w:type="pct"/>
            <w:vAlign w:val="center"/>
          </w:tcPr>
          <w:p w14:paraId="526CBA3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二级</w:t>
            </w:r>
          </w:p>
        </w:tc>
        <w:tc>
          <w:tcPr>
            <w:tcW w:w="485" w:type="pct"/>
            <w:vAlign w:val="center"/>
          </w:tcPr>
          <w:p w14:paraId="6F1FA81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二级</w:t>
            </w:r>
          </w:p>
        </w:tc>
        <w:tc>
          <w:tcPr>
            <w:tcW w:w="483" w:type="pct"/>
            <w:vAlign w:val="center"/>
          </w:tcPr>
          <w:p w14:paraId="76A66D7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二级</w:t>
            </w:r>
          </w:p>
        </w:tc>
        <w:tc>
          <w:tcPr>
            <w:tcW w:w="483" w:type="pct"/>
            <w:vAlign w:val="center"/>
          </w:tcPr>
          <w:p w14:paraId="3450FCC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三级</w:t>
            </w:r>
          </w:p>
        </w:tc>
        <w:tc>
          <w:tcPr>
            <w:tcW w:w="485" w:type="pct"/>
            <w:vAlign w:val="center"/>
          </w:tcPr>
          <w:p w14:paraId="62AE643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三级</w:t>
            </w:r>
          </w:p>
        </w:tc>
        <w:tc>
          <w:tcPr>
            <w:tcW w:w="483" w:type="pct"/>
            <w:vAlign w:val="center"/>
          </w:tcPr>
          <w:p w14:paraId="2179B16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三级</w:t>
            </w:r>
          </w:p>
        </w:tc>
        <w:tc>
          <w:tcPr>
            <w:tcW w:w="483" w:type="pct"/>
            <w:vAlign w:val="center"/>
          </w:tcPr>
          <w:p w14:paraId="6173BBF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w:t>
            </w:r>
          </w:p>
        </w:tc>
        <w:tc>
          <w:tcPr>
            <w:tcW w:w="487" w:type="pct"/>
            <w:vAlign w:val="center"/>
          </w:tcPr>
          <w:p w14:paraId="0DC5B07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w:t>
            </w:r>
          </w:p>
        </w:tc>
      </w:tr>
      <w:tr w14:paraId="46A16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0"/>
            <w:vAlign w:val="center"/>
          </w:tcPr>
          <w:p w14:paraId="52D0FF8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注：“－”表示可不开展土壤环境影响评价工作</w:t>
            </w:r>
          </w:p>
        </w:tc>
      </w:tr>
    </w:tbl>
    <w:p w14:paraId="6566D4DF">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w:t>
      </w:r>
      <w:r>
        <w:rPr>
          <w:rFonts w:hint="default" w:ascii="Times New Roman" w:hAnsi="Times New Roman" w:cs="Times New Roman"/>
          <w:color w:val="auto"/>
          <w:highlight w:val="none"/>
          <w:lang w:val="en-US" w:eastAsia="zh-CN"/>
        </w:rPr>
        <w:t>目</w:t>
      </w:r>
      <w:r>
        <w:rPr>
          <w:rFonts w:hint="eastAsia" w:ascii="Times New Roman" w:hAnsi="Times New Roman" w:cs="Times New Roman"/>
          <w:color w:val="auto"/>
          <w:highlight w:val="none"/>
          <w:lang w:val="en-US" w:eastAsia="zh-CN"/>
        </w:rPr>
        <w:t>露天采场</w:t>
      </w:r>
      <w:r>
        <w:rPr>
          <w:rFonts w:hint="default" w:ascii="Times New Roman" w:hAnsi="Times New Roman" w:cs="Times New Roman"/>
          <w:color w:val="auto"/>
          <w:lang w:val="en-US" w:eastAsia="zh-CN"/>
        </w:rPr>
        <w:t>、废石堆放场、矿石转运场、表土堆放场占地分别为10.68hm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、7.0hm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、0.52hm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、0.8hm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。总占地为19hm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。占地规模属于中型，项目周边无耕地园地、饮用水水源地或居民区、学校、医院、疗养院、养老院及其他土壤环境敏感目标，属于不敏感。因此判断本项目污染影响型评价工作等级为二级。</w:t>
      </w:r>
    </w:p>
    <w:p w14:paraId="5C7C78E1">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（3）评价范围</w:t>
      </w:r>
    </w:p>
    <w:p w14:paraId="11969900">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项目土壤生态环境评价范围是矿区及矿区外2km范围内；土壤污染环境评价范围为矿区及矿区外0.2km范围内。</w:t>
      </w:r>
    </w:p>
    <w:p w14:paraId="2C55BECB">
      <w:pPr>
        <w:pStyle w:val="4"/>
        <w:spacing w:before="120" w:after="120" w:line="500" w:lineRule="exact"/>
        <w:rPr>
          <w:rFonts w:hint="default" w:ascii="Times New Roman" w:hAnsi="Times New Roman" w:eastAsia="华文中宋" w:cs="Times New Roman"/>
          <w:kern w:val="0"/>
          <w:sz w:val="24"/>
          <w:szCs w:val="24"/>
          <w:lang w:val="en-US" w:eastAsia="zh-CN"/>
        </w:rPr>
      </w:pPr>
      <w:bookmarkStart w:id="59" w:name="_Toc16857"/>
      <w:r>
        <w:rPr>
          <w:rFonts w:hint="default" w:ascii="Times New Roman" w:hAnsi="Times New Roman" w:eastAsia="华文中宋" w:cs="Times New Roman"/>
          <w:kern w:val="0"/>
          <w:sz w:val="24"/>
          <w:szCs w:val="24"/>
          <w:lang w:val="en-US" w:eastAsia="zh-CN"/>
        </w:rPr>
        <w:t>2.5.6生态环境</w:t>
      </w:r>
      <w:bookmarkEnd w:id="59"/>
    </w:p>
    <w:p w14:paraId="7C03A237">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eastAsiaTheme="minorEastAsia"/>
          <w:color w:val="auto"/>
          <w:sz w:val="24"/>
          <w:szCs w:val="24"/>
          <w:lang w:val="en-US" w:eastAsia="zh-CN"/>
        </w:rPr>
        <w:t>（</w:t>
      </w:r>
      <w:r>
        <w:rPr>
          <w:rFonts w:hint="default" w:ascii="Times New Roman" w:hAnsi="Times New Roman" w:cs="Times New Roman"/>
          <w:color w:val="auto"/>
          <w:lang w:val="en-US" w:eastAsia="zh-CN"/>
        </w:rPr>
        <w:t>1）评价等级的确定</w:t>
      </w:r>
    </w:p>
    <w:p w14:paraId="626DF781">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根据《环境影响评价技术导则 生态影响》</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HJ19-2022)6.1的有关规定，本项目生态影响评价工作等级判定见下表。</w:t>
      </w:r>
    </w:p>
    <w:p w14:paraId="2E6EEE0B">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表2.5-1</w:t>
      </w:r>
      <w:r>
        <w:rPr>
          <w:rFonts w:hint="eastAsia" w:ascii="Times New Roman" w:hAnsi="Times New Roman" w:eastAsia="华文中宋" w:cs="Times New Roman"/>
          <w:b/>
          <w:szCs w:val="21"/>
          <w:lang w:val="en-US" w:eastAsia="zh-CN"/>
        </w:rPr>
        <w:t>0</w:t>
      </w:r>
      <w:r>
        <w:rPr>
          <w:rFonts w:hint="default" w:ascii="Times New Roman" w:hAnsi="Times New Roman" w:eastAsia="华文中宋" w:cs="Times New Roman"/>
          <w:b/>
          <w:szCs w:val="21"/>
          <w:lang w:val="en-US" w:eastAsia="zh-CN"/>
        </w:rPr>
        <w:t xml:space="preserve">  生态影响评价工作等级划分表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7703"/>
      </w:tblGrid>
      <w:tr w14:paraId="092E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14:paraId="56EBCCE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序号</w:t>
            </w:r>
          </w:p>
        </w:tc>
        <w:tc>
          <w:tcPr>
            <w:tcW w:w="4520" w:type="pct"/>
            <w:vAlign w:val="center"/>
          </w:tcPr>
          <w:p w14:paraId="5283297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评价原则</w:t>
            </w:r>
          </w:p>
        </w:tc>
      </w:tr>
      <w:tr w14:paraId="15D24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9" w:type="pct"/>
            <w:vAlign w:val="center"/>
          </w:tcPr>
          <w:p w14:paraId="4FFCFC9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a</w:t>
            </w:r>
          </w:p>
        </w:tc>
        <w:tc>
          <w:tcPr>
            <w:tcW w:w="4520" w:type="pct"/>
            <w:vAlign w:val="center"/>
          </w:tcPr>
          <w:p w14:paraId="21D4EE4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涉及国家公园、自然保护区、世界自然遗产、重要生境，评价等级为一级。</w:t>
            </w:r>
          </w:p>
        </w:tc>
      </w:tr>
      <w:tr w14:paraId="6CAEE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14:paraId="6CD18D6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b</w:t>
            </w:r>
          </w:p>
        </w:tc>
        <w:tc>
          <w:tcPr>
            <w:tcW w:w="4520" w:type="pct"/>
            <w:vAlign w:val="center"/>
          </w:tcPr>
          <w:p w14:paraId="15F2283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涉及自然公园时，评价等级为二级。</w:t>
            </w:r>
          </w:p>
        </w:tc>
      </w:tr>
      <w:tr w14:paraId="78F9F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79" w:type="pct"/>
            <w:vAlign w:val="center"/>
          </w:tcPr>
          <w:p w14:paraId="47C1AB2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c</w:t>
            </w:r>
          </w:p>
        </w:tc>
        <w:tc>
          <w:tcPr>
            <w:tcW w:w="4520" w:type="pct"/>
            <w:vAlign w:val="center"/>
          </w:tcPr>
          <w:p w14:paraId="37CE9F3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涉及生态保护红线时，评价等级不低于二级。</w:t>
            </w:r>
          </w:p>
        </w:tc>
      </w:tr>
      <w:tr w14:paraId="0E720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14:paraId="7181C6A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d</w:t>
            </w:r>
          </w:p>
        </w:tc>
        <w:tc>
          <w:tcPr>
            <w:tcW w:w="4520" w:type="pct"/>
            <w:vAlign w:val="center"/>
          </w:tcPr>
          <w:p w14:paraId="69FC8F9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根据HJ2.3判断属于水文要素影响型且地表水评价等级不低于二级的建设项目，生态影响评价等级不低于二级。</w:t>
            </w:r>
          </w:p>
        </w:tc>
      </w:tr>
      <w:tr w14:paraId="24FBE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14:paraId="03FC58E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e</w:t>
            </w:r>
          </w:p>
        </w:tc>
        <w:tc>
          <w:tcPr>
            <w:tcW w:w="4520" w:type="pct"/>
            <w:vAlign w:val="center"/>
          </w:tcPr>
          <w:p w14:paraId="1A680B4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根据HJ610、HJ964判断地下水水位或土壤影响范围内分布有天然林、公益林、湿地等生态保护目标建设项目，生态影响评价等级不低于二级。</w:t>
            </w:r>
          </w:p>
        </w:tc>
      </w:tr>
      <w:tr w14:paraId="6987D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14:paraId="751E46D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f</w:t>
            </w:r>
          </w:p>
        </w:tc>
        <w:tc>
          <w:tcPr>
            <w:tcW w:w="4520" w:type="pct"/>
            <w:vAlign w:val="center"/>
          </w:tcPr>
          <w:p w14:paraId="0687FBC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当工程占地规模大于20km</w:t>
            </w:r>
            <w:r>
              <w:rPr>
                <w:rFonts w:hint="default" w:ascii="Times New Roman" w:hAnsi="Times New Roman" w:eastAsia="华文中宋" w:cs="Times New Roman"/>
                <w:szCs w:val="21"/>
                <w:vertAlign w:val="superscript"/>
                <w:lang w:val="en-US" w:eastAsia="zh-CN"/>
              </w:rPr>
              <w:t>2</w:t>
            </w:r>
            <w:r>
              <w:rPr>
                <w:rFonts w:hint="default" w:ascii="Times New Roman" w:hAnsi="Times New Roman" w:eastAsia="华文中宋" w:cs="Times New Roman"/>
                <w:szCs w:val="21"/>
                <w:lang w:val="en-US" w:eastAsia="zh-CN"/>
              </w:rPr>
              <w:t>（包括永久和临时占用路域水域），评价等级不低于二级；改扩建项目占地范围以新增占地（包括陆域和水域）确定。</w:t>
            </w:r>
          </w:p>
        </w:tc>
      </w:tr>
      <w:tr w14:paraId="1C6DF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14:paraId="0F775CD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g</w:t>
            </w:r>
          </w:p>
        </w:tc>
        <w:tc>
          <w:tcPr>
            <w:tcW w:w="4520" w:type="pct"/>
            <w:vAlign w:val="center"/>
          </w:tcPr>
          <w:p w14:paraId="3A46F4D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除本条a、b</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、c</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、d</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、e）、f）以外的情况，评价等级为三级</w:t>
            </w:r>
          </w:p>
        </w:tc>
      </w:tr>
    </w:tbl>
    <w:p w14:paraId="0F91E265">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项目区不在自然保护区、风景名胜区等特殊及重要生态敏感区内，为一般区域。</w:t>
      </w:r>
      <w:r>
        <w:rPr>
          <w:rFonts w:hint="eastAsia" w:ascii="Times New Roman" w:hAnsi="Times New Roman" w:eastAsia="华文中宋" w:cs="Times New Roman"/>
          <w:sz w:val="24"/>
          <w:lang w:val="en-US" w:eastAsia="zh-CN"/>
        </w:rPr>
        <w:t>矿区面积为</w:t>
      </w:r>
      <w:r>
        <w:rPr>
          <w:rFonts w:hint="default" w:ascii="Times New Roman" w:hAnsi="Times New Roman" w:eastAsia="华文中宋" w:cs="Times New Roman"/>
          <w:sz w:val="24"/>
          <w:lang w:val="en-US" w:eastAsia="zh-CN"/>
        </w:rPr>
        <w:t>0.9168平方公里，根据上表判断本项目</w:t>
      </w:r>
      <w:bookmarkStart w:id="60" w:name="OLE_LINK3"/>
      <w:r>
        <w:rPr>
          <w:rFonts w:hint="default" w:ascii="Times New Roman" w:hAnsi="Times New Roman" w:eastAsia="华文中宋" w:cs="Times New Roman"/>
          <w:sz w:val="24"/>
          <w:lang w:val="en-US" w:eastAsia="zh-CN"/>
        </w:rPr>
        <w:t>评价等级应为三级</w:t>
      </w:r>
      <w:bookmarkEnd w:id="60"/>
      <w:r>
        <w:rPr>
          <w:rFonts w:hint="default" w:ascii="Times New Roman" w:hAnsi="Times New Roman" w:eastAsia="华文中宋" w:cs="Times New Roman"/>
          <w:sz w:val="24"/>
          <w:lang w:val="en-US" w:eastAsia="zh-CN"/>
        </w:rPr>
        <w:t>，根据</w:t>
      </w:r>
      <w:r>
        <w:rPr>
          <w:rFonts w:hint="eastAsia" w:ascii="Times New Roman" w:hAnsi="Times New Roman" w:eastAsia="华文中宋" w:cs="Times New Roman"/>
          <w:sz w:val="24"/>
          <w:lang w:val="en-US" w:eastAsia="zh-CN"/>
        </w:rPr>
        <w:t>“6.1.5：在矿山开采可能导致矿区土地利用类型明显改变，或拦河闸建设可能明显改变水文情势等情况下，评价等级应上调一级。”</w:t>
      </w:r>
      <w:r>
        <w:rPr>
          <w:rFonts w:hint="default" w:ascii="Times New Roman" w:hAnsi="Times New Roman" w:eastAsia="华文中宋" w:cs="Times New Roman"/>
          <w:sz w:val="24"/>
          <w:lang w:val="en-US" w:eastAsia="zh-CN"/>
        </w:rPr>
        <w:t>因此本项目最终评价等级应为二级。</w:t>
      </w:r>
    </w:p>
    <w:p w14:paraId="161321E9">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（2）评价范围</w:t>
      </w:r>
    </w:p>
    <w:p w14:paraId="74FD4223">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生态环境评价范围以矿区范围</w:t>
      </w:r>
      <w:r>
        <w:rPr>
          <w:rFonts w:hint="eastAsia" w:ascii="Times New Roman" w:hAnsi="Times New Roman" w:eastAsia="华文中宋" w:cs="Times New Roman"/>
          <w:sz w:val="24"/>
          <w:lang w:val="en-US" w:eastAsia="zh-CN"/>
        </w:rPr>
        <w:t>和矿山运输道路</w:t>
      </w:r>
      <w:r>
        <w:rPr>
          <w:rFonts w:hint="default" w:ascii="Times New Roman" w:hAnsi="Times New Roman" w:eastAsia="华文中宋" w:cs="Times New Roman"/>
          <w:sz w:val="24"/>
          <w:lang w:val="en-US" w:eastAsia="zh-CN"/>
        </w:rPr>
        <w:t>各外扩1000m为生态环境影响评价范围。</w:t>
      </w:r>
    </w:p>
    <w:p w14:paraId="1914FC8D">
      <w:pPr>
        <w:pStyle w:val="4"/>
        <w:spacing w:before="120" w:after="120" w:line="500" w:lineRule="exact"/>
        <w:rPr>
          <w:rFonts w:hint="default" w:ascii="Times New Roman" w:hAnsi="Times New Roman" w:eastAsia="华文中宋" w:cs="Times New Roman"/>
          <w:kern w:val="0"/>
          <w:sz w:val="24"/>
          <w:szCs w:val="24"/>
          <w:lang w:val="zh-CN"/>
        </w:rPr>
      </w:pPr>
      <w:bookmarkStart w:id="61" w:name="_Toc30758"/>
      <w:r>
        <w:rPr>
          <w:rFonts w:hint="default" w:ascii="Times New Roman" w:hAnsi="Times New Roman" w:eastAsia="华文中宋" w:cs="Times New Roman"/>
          <w:kern w:val="0"/>
          <w:sz w:val="24"/>
          <w:szCs w:val="24"/>
          <w:lang w:val="en-US" w:eastAsia="zh-CN"/>
        </w:rPr>
        <w:t>2.5.7环境风险</w:t>
      </w:r>
      <w:bookmarkEnd w:id="61"/>
    </w:p>
    <w:p w14:paraId="79C89848">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（1）评价等级划分</w:t>
      </w:r>
    </w:p>
    <w:p w14:paraId="5EAE52EF">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环境风险评价技术导则根据评价项目的物质危险性和功能单元重大危险源判定结果，以及环境敏感程度等因素，将环境风险评价工作划分为一、二级、三级及简单分析。评价工作等级划分见表2.5-1</w:t>
      </w:r>
      <w:r>
        <w:rPr>
          <w:rFonts w:hint="eastAsia" w:ascii="Times New Roman" w:hAnsi="Times New Roman" w:cs="Times New Roman"/>
          <w:color w:val="auto"/>
          <w:lang w:val="en-US" w:eastAsia="zh-CN"/>
        </w:rPr>
        <w:t>1。</w:t>
      </w:r>
    </w:p>
    <w:p w14:paraId="0C766837">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表2.5-1</w:t>
      </w:r>
      <w:r>
        <w:rPr>
          <w:rFonts w:hint="eastAsia" w:ascii="Times New Roman" w:hAnsi="Times New Roman" w:eastAsia="华文中宋" w:cs="Times New Roman"/>
          <w:b/>
          <w:szCs w:val="21"/>
          <w:lang w:val="en-US" w:eastAsia="zh-CN"/>
        </w:rPr>
        <w:t>1</w:t>
      </w:r>
      <w:r>
        <w:rPr>
          <w:rFonts w:hint="default" w:ascii="Times New Roman" w:hAnsi="Times New Roman" w:eastAsia="华文中宋" w:cs="Times New Roman"/>
          <w:b/>
          <w:szCs w:val="21"/>
          <w:lang w:val="en-US" w:eastAsia="zh-CN"/>
        </w:rPr>
        <w:t xml:space="preserve">  评价工作等级划分</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5"/>
        <w:gridCol w:w="1704"/>
        <w:gridCol w:w="1705"/>
      </w:tblGrid>
      <w:tr w14:paraId="3D3EF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704" w:type="dxa"/>
            <w:tcBorders>
              <w:tl2br w:val="nil"/>
              <w:tr2bl w:val="nil"/>
            </w:tcBorders>
            <w:noWrap w:val="0"/>
            <w:vAlign w:val="center"/>
          </w:tcPr>
          <w:p w14:paraId="38DFEAE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环境风险潜势</w:t>
            </w:r>
          </w:p>
        </w:tc>
        <w:tc>
          <w:tcPr>
            <w:tcW w:w="1704" w:type="dxa"/>
            <w:tcBorders>
              <w:tl2br w:val="nil"/>
              <w:tr2bl w:val="nil"/>
            </w:tcBorders>
            <w:noWrap w:val="0"/>
            <w:vAlign w:val="center"/>
          </w:tcPr>
          <w:p w14:paraId="72701C1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Ⅳ、Ⅳ+</w:t>
            </w:r>
          </w:p>
        </w:tc>
        <w:tc>
          <w:tcPr>
            <w:tcW w:w="1705" w:type="dxa"/>
            <w:tcBorders>
              <w:tl2br w:val="nil"/>
              <w:tr2bl w:val="nil"/>
            </w:tcBorders>
            <w:noWrap w:val="0"/>
            <w:vAlign w:val="center"/>
          </w:tcPr>
          <w:p w14:paraId="31189EE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Ⅲ</w:t>
            </w:r>
          </w:p>
        </w:tc>
        <w:tc>
          <w:tcPr>
            <w:tcW w:w="1704" w:type="dxa"/>
            <w:tcBorders>
              <w:tl2br w:val="nil"/>
              <w:tr2bl w:val="nil"/>
            </w:tcBorders>
            <w:noWrap w:val="0"/>
            <w:vAlign w:val="center"/>
          </w:tcPr>
          <w:p w14:paraId="7A1A866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Ⅱ</w:t>
            </w:r>
          </w:p>
        </w:tc>
        <w:tc>
          <w:tcPr>
            <w:tcW w:w="1705" w:type="dxa"/>
            <w:tcBorders>
              <w:tl2br w:val="nil"/>
              <w:tr2bl w:val="nil"/>
            </w:tcBorders>
            <w:noWrap w:val="0"/>
            <w:vAlign w:val="center"/>
          </w:tcPr>
          <w:p w14:paraId="23E2218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Ⅰ</w:t>
            </w:r>
          </w:p>
        </w:tc>
      </w:tr>
      <w:tr w14:paraId="6027A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704" w:type="dxa"/>
            <w:tcBorders>
              <w:tl2br w:val="nil"/>
              <w:tr2bl w:val="nil"/>
            </w:tcBorders>
            <w:noWrap w:val="0"/>
            <w:vAlign w:val="center"/>
          </w:tcPr>
          <w:p w14:paraId="114DFBD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评价工作等级</w:t>
            </w:r>
          </w:p>
        </w:tc>
        <w:tc>
          <w:tcPr>
            <w:tcW w:w="1704" w:type="dxa"/>
            <w:tcBorders>
              <w:tl2br w:val="nil"/>
              <w:tr2bl w:val="nil"/>
            </w:tcBorders>
            <w:noWrap w:val="0"/>
            <w:vAlign w:val="center"/>
          </w:tcPr>
          <w:p w14:paraId="25D69DA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一</w:t>
            </w:r>
          </w:p>
        </w:tc>
        <w:tc>
          <w:tcPr>
            <w:tcW w:w="1705" w:type="dxa"/>
            <w:tcBorders>
              <w:tl2br w:val="nil"/>
              <w:tr2bl w:val="nil"/>
            </w:tcBorders>
            <w:noWrap w:val="0"/>
            <w:vAlign w:val="center"/>
          </w:tcPr>
          <w:p w14:paraId="0440809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二</w:t>
            </w:r>
          </w:p>
        </w:tc>
        <w:tc>
          <w:tcPr>
            <w:tcW w:w="1704" w:type="dxa"/>
            <w:tcBorders>
              <w:tl2br w:val="nil"/>
              <w:tr2bl w:val="nil"/>
            </w:tcBorders>
            <w:noWrap w:val="0"/>
            <w:vAlign w:val="center"/>
          </w:tcPr>
          <w:p w14:paraId="5161EE5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三</w:t>
            </w:r>
          </w:p>
        </w:tc>
        <w:tc>
          <w:tcPr>
            <w:tcW w:w="1705" w:type="dxa"/>
            <w:tcBorders>
              <w:tl2br w:val="nil"/>
              <w:tr2bl w:val="nil"/>
            </w:tcBorders>
            <w:noWrap w:val="0"/>
            <w:vAlign w:val="center"/>
          </w:tcPr>
          <w:p w14:paraId="1ECBC64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简单分析a</w:t>
            </w:r>
          </w:p>
        </w:tc>
      </w:tr>
      <w:tr w14:paraId="5FA02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5"/>
            <w:tcBorders>
              <w:tl2br w:val="nil"/>
              <w:tr2bl w:val="nil"/>
            </w:tcBorders>
            <w:noWrap w:val="0"/>
            <w:vAlign w:val="center"/>
          </w:tcPr>
          <w:p w14:paraId="5732185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a是相对于详细评价工作内容而言，在描述危险物质、环境影响途径、环境危害后果、风险防范措施等方面给出定性的说明。</w:t>
            </w:r>
          </w:p>
        </w:tc>
      </w:tr>
    </w:tbl>
    <w:p w14:paraId="4D48B6B3">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本项目的柴油为环境风险物质。矿山用油设备较少，均为柴油设备，无汽油设备</w:t>
      </w:r>
      <w:r>
        <w:rPr>
          <w:rFonts w:hint="eastAsia" w:ascii="Times New Roman" w:hAnsi="Times New Roman" w:eastAsia="华文中宋" w:cs="Times New Roman"/>
          <w:sz w:val="24"/>
          <w:lang w:val="en-US" w:eastAsia="zh-CN"/>
        </w:rPr>
        <w:t>，</w:t>
      </w:r>
      <w:r>
        <w:rPr>
          <w:rFonts w:hint="default" w:ascii="Times New Roman" w:hAnsi="Times New Roman" w:eastAsia="华文中宋" w:cs="Times New Roman"/>
          <w:sz w:val="24"/>
          <w:lang w:val="en-US" w:eastAsia="zh-CN"/>
        </w:rPr>
        <w:t>矿山设</w:t>
      </w:r>
      <w:r>
        <w:rPr>
          <w:rFonts w:hint="eastAsia" w:ascii="Times New Roman" w:hAnsi="Times New Roman" w:eastAsia="华文中宋" w:cs="Times New Roman"/>
          <w:sz w:val="24"/>
          <w:lang w:val="en-US" w:eastAsia="zh-CN"/>
        </w:rPr>
        <w:t>40t</w:t>
      </w:r>
      <w:r>
        <w:rPr>
          <w:rFonts w:hint="default" w:ascii="Times New Roman" w:hAnsi="Times New Roman" w:eastAsia="华文中宋" w:cs="Times New Roman"/>
          <w:sz w:val="24"/>
          <w:lang w:val="en-US" w:eastAsia="zh-CN"/>
        </w:rPr>
        <w:t>储油设施。运行过程中涉及的危险物质主要为</w:t>
      </w:r>
      <w:r>
        <w:rPr>
          <w:rFonts w:hint="eastAsia" w:ascii="Times New Roman" w:hAnsi="Times New Roman" w:eastAsia="华文中宋" w:cs="Times New Roman"/>
          <w:sz w:val="24"/>
          <w:lang w:val="en-US" w:eastAsia="zh-CN"/>
        </w:rPr>
        <w:t>柴油以及</w:t>
      </w:r>
      <w:r>
        <w:rPr>
          <w:rFonts w:hint="default" w:ascii="Times New Roman" w:hAnsi="Times New Roman" w:eastAsia="华文中宋" w:cs="Times New Roman"/>
          <w:sz w:val="24"/>
          <w:lang w:val="en-US" w:eastAsia="zh-CN"/>
        </w:rPr>
        <w:t>机械设备运行及维修过程中产</w:t>
      </w:r>
      <w:r>
        <w:rPr>
          <w:rFonts w:hint="eastAsia" w:ascii="Times New Roman" w:hAnsi="Times New Roman" w:eastAsia="华文中宋" w:cs="Times New Roman"/>
          <w:sz w:val="24"/>
          <w:lang w:val="en-US" w:eastAsia="zh-CN"/>
        </w:rPr>
        <w:t>生的</w:t>
      </w:r>
      <w:r>
        <w:rPr>
          <w:rFonts w:hint="default" w:ascii="Times New Roman" w:hAnsi="Times New Roman" w:eastAsia="华文中宋" w:cs="Times New Roman"/>
          <w:sz w:val="24"/>
          <w:lang w:val="en-US" w:eastAsia="zh-CN"/>
        </w:rPr>
        <w:t>废油类物质，危废暂存间储存量约为</w:t>
      </w:r>
      <w:r>
        <w:rPr>
          <w:rFonts w:hint="eastAsia" w:ascii="Times New Roman" w:hAnsi="Times New Roman" w:eastAsia="华文中宋" w:cs="Times New Roman"/>
          <w:sz w:val="24"/>
          <w:lang w:val="en-US" w:eastAsia="zh-CN"/>
        </w:rPr>
        <w:t>1</w:t>
      </w:r>
      <w:r>
        <w:rPr>
          <w:rFonts w:hint="default" w:ascii="Times New Roman" w:hAnsi="Times New Roman" w:eastAsia="华文中宋" w:cs="Times New Roman"/>
          <w:sz w:val="24"/>
          <w:lang w:val="en-US" w:eastAsia="zh-CN"/>
        </w:rPr>
        <w:t>t。根据《建设项目环境风险评价技术导则》（HJ 169-2018）中油类物质临界量为2500t。计算出Q=</w:t>
      </w:r>
      <w:r>
        <w:rPr>
          <w:rFonts w:hint="eastAsia" w:ascii="Times New Roman" w:hAnsi="Times New Roman" w:eastAsia="华文中宋" w:cs="Times New Roman"/>
          <w:sz w:val="24"/>
          <w:lang w:val="en-US" w:eastAsia="zh-CN"/>
        </w:rPr>
        <w:t>0.0164</w:t>
      </w:r>
      <w:r>
        <w:rPr>
          <w:rFonts w:hint="default" w:ascii="Times New Roman" w:hAnsi="Times New Roman" w:eastAsia="华文中宋" w:cs="Times New Roman"/>
          <w:sz w:val="24"/>
          <w:lang w:val="en-US" w:eastAsia="zh-CN"/>
        </w:rPr>
        <w:t>＜1；项目环境风险潜势为Ⅰ，确定本工程环境风险评价等级为简单分析。</w:t>
      </w:r>
    </w:p>
    <w:p w14:paraId="009040F9">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（2）评价范围</w:t>
      </w:r>
    </w:p>
    <w:p w14:paraId="48C08043">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本项目环境风险简单分析，无评价范围。</w:t>
      </w:r>
    </w:p>
    <w:p w14:paraId="56FA4B0F">
      <w:pPr>
        <w:pStyle w:val="3"/>
        <w:spacing w:before="120" w:after="120" w:line="500" w:lineRule="exact"/>
        <w:ind w:left="375" w:hanging="375" w:firstLineChars="0"/>
        <w:contextualSpacing/>
        <w:rPr>
          <w:rFonts w:hint="default" w:ascii="Times New Roman" w:hAnsi="Times New Roman" w:eastAsia="华文中宋" w:cs="Times New Roman"/>
          <w:snapToGrid w:val="0"/>
          <w:kern w:val="0"/>
          <w:sz w:val="28"/>
          <w:szCs w:val="28"/>
          <w:lang w:val="en-US" w:eastAsia="zh-CN"/>
        </w:rPr>
      </w:pPr>
      <w:bookmarkStart w:id="62" w:name="_Toc32284"/>
      <w:bookmarkStart w:id="63" w:name="_Toc26357"/>
      <w:r>
        <w:rPr>
          <w:rFonts w:hint="default" w:ascii="Times New Roman" w:hAnsi="Times New Roman" w:eastAsia="华文中宋" w:cs="Times New Roman"/>
          <w:snapToGrid w:val="0"/>
          <w:kern w:val="0"/>
          <w:sz w:val="28"/>
          <w:szCs w:val="28"/>
          <w:lang w:val="en-US" w:eastAsia="zh-CN"/>
        </w:rPr>
        <w:t>2.6评价时段</w:t>
      </w:r>
      <w:bookmarkEnd w:id="62"/>
      <w:bookmarkEnd w:id="63"/>
    </w:p>
    <w:p w14:paraId="4E1A04C8">
      <w:pPr>
        <w:pStyle w:val="2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80" w:firstLineChars="200"/>
        <w:jc w:val="both"/>
        <w:textAlignment w:val="baseline"/>
        <w:rPr>
          <w:rFonts w:hint="default" w:ascii="Times New Roman" w:hAnsi="Times New Roman" w:eastAsia="华文中宋" w:cs="Times New Roman"/>
          <w:color w:val="auto"/>
          <w:kern w:val="2"/>
          <w:sz w:val="24"/>
          <w:szCs w:val="24"/>
          <w:lang w:val="en-US" w:eastAsia="zh-CN" w:bidi="ar-SA"/>
        </w:rPr>
      </w:pPr>
      <w:r>
        <w:rPr>
          <w:rFonts w:hint="default" w:ascii="Times New Roman" w:hAnsi="Times New Roman" w:eastAsia="华文中宋" w:cs="Times New Roman"/>
          <w:color w:val="auto"/>
          <w:kern w:val="2"/>
          <w:sz w:val="24"/>
          <w:szCs w:val="24"/>
          <w:lang w:val="en-US" w:eastAsia="zh-CN" w:bidi="ar-SA"/>
        </w:rPr>
        <w:t>本工程评价时段考虑施工期、运营期和退役期。</w:t>
      </w:r>
    </w:p>
    <w:p w14:paraId="378BFCF6">
      <w:pPr>
        <w:pStyle w:val="3"/>
        <w:spacing w:before="120" w:after="120" w:line="500" w:lineRule="exact"/>
        <w:ind w:left="375" w:hanging="375" w:firstLineChars="0"/>
        <w:contextualSpacing/>
        <w:rPr>
          <w:rFonts w:hint="default" w:ascii="Times New Roman" w:hAnsi="Times New Roman" w:eastAsia="华文中宋" w:cs="Times New Roman"/>
          <w:snapToGrid w:val="0"/>
          <w:kern w:val="0"/>
          <w:sz w:val="28"/>
          <w:szCs w:val="28"/>
          <w:lang w:val="en-US" w:eastAsia="zh-CN"/>
        </w:rPr>
      </w:pPr>
      <w:bookmarkStart w:id="64" w:name="_Toc28771"/>
      <w:bookmarkStart w:id="65" w:name="_Toc27091"/>
      <w:r>
        <w:rPr>
          <w:rFonts w:hint="default" w:ascii="Times New Roman" w:hAnsi="Times New Roman" w:eastAsia="华文中宋" w:cs="Times New Roman"/>
          <w:snapToGrid w:val="0"/>
          <w:kern w:val="0"/>
          <w:sz w:val="28"/>
          <w:szCs w:val="28"/>
          <w:lang w:val="en-US" w:eastAsia="zh-CN"/>
        </w:rPr>
        <w:t>2.7评价重点</w:t>
      </w:r>
      <w:bookmarkEnd w:id="64"/>
      <w:bookmarkEnd w:id="65"/>
    </w:p>
    <w:p w14:paraId="7E1844F4">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本次环境影响评价确定的重点为工程施工活动中造成的环境影响，后期运营过程中产生的无组织粉尘﹑矿石及废石运输过程汽车尾气、机械噪声、生活垃圾等对周边环境造成的影响以及</w:t>
      </w:r>
      <w:r>
        <w:rPr>
          <w:rFonts w:hint="eastAsia" w:ascii="Times New Roman" w:hAnsi="Times New Roman" w:eastAsia="华文中宋" w:cs="Times New Roman"/>
          <w:sz w:val="24"/>
          <w:lang w:val="en-US" w:eastAsia="zh-CN"/>
        </w:rPr>
        <w:t>锑铅</w:t>
      </w:r>
      <w:r>
        <w:rPr>
          <w:rFonts w:hint="default" w:ascii="Times New Roman" w:hAnsi="Times New Roman" w:eastAsia="华文中宋" w:cs="Times New Roman"/>
          <w:sz w:val="24"/>
          <w:lang w:val="en-US" w:eastAsia="zh-CN"/>
        </w:rPr>
        <w:t>矿开采过程中产生的生态影响及恢复治理。</w:t>
      </w:r>
    </w:p>
    <w:p w14:paraId="7C78FC4F">
      <w:pPr>
        <w:pStyle w:val="3"/>
        <w:spacing w:before="120" w:after="120" w:line="500" w:lineRule="exact"/>
        <w:ind w:left="375" w:hanging="375" w:firstLineChars="0"/>
        <w:contextualSpacing/>
        <w:rPr>
          <w:rFonts w:hint="default" w:ascii="Times New Roman" w:hAnsi="Times New Roman" w:eastAsia="华文中宋" w:cs="Times New Roman"/>
          <w:snapToGrid w:val="0"/>
          <w:kern w:val="0"/>
          <w:sz w:val="28"/>
          <w:szCs w:val="28"/>
          <w:lang w:val="en-US" w:eastAsia="zh-CN"/>
        </w:rPr>
      </w:pPr>
      <w:bookmarkStart w:id="66" w:name="_Toc11915"/>
      <w:bookmarkStart w:id="67" w:name="_Toc9731"/>
      <w:r>
        <w:rPr>
          <w:rFonts w:hint="default" w:ascii="Times New Roman" w:hAnsi="Times New Roman" w:eastAsia="华文中宋" w:cs="Times New Roman"/>
          <w:snapToGrid w:val="0"/>
          <w:kern w:val="0"/>
          <w:sz w:val="28"/>
          <w:szCs w:val="28"/>
          <w:lang w:val="en-US" w:eastAsia="zh-CN"/>
        </w:rPr>
        <w:t>2.8主要环境</w:t>
      </w:r>
      <w:r>
        <w:rPr>
          <w:rFonts w:hint="eastAsia" w:ascii="Times New Roman" w:hAnsi="Times New Roman" w:eastAsia="华文中宋" w:cs="Times New Roman"/>
          <w:snapToGrid w:val="0"/>
          <w:kern w:val="0"/>
          <w:sz w:val="28"/>
          <w:szCs w:val="28"/>
          <w:lang w:val="en-US" w:eastAsia="zh-CN"/>
        </w:rPr>
        <w:t>保护</w:t>
      </w:r>
      <w:r>
        <w:rPr>
          <w:rFonts w:hint="default" w:ascii="Times New Roman" w:hAnsi="Times New Roman" w:eastAsia="华文中宋" w:cs="Times New Roman"/>
          <w:snapToGrid w:val="0"/>
          <w:kern w:val="0"/>
          <w:sz w:val="28"/>
          <w:szCs w:val="28"/>
          <w:lang w:val="en-US" w:eastAsia="zh-CN"/>
        </w:rPr>
        <w:t>目标</w:t>
      </w:r>
      <w:bookmarkEnd w:id="66"/>
      <w:bookmarkEnd w:id="67"/>
    </w:p>
    <w:p w14:paraId="188DC4E9">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据实地调查，矿区建设用地未占用基本农田、林地等，本工程评价范围内不涉及各级自然保护区、风景名胜区及森林公园等需要特殊保护的敏感目标；矿区周边及矿区范围内无常年地表径流。</w:t>
      </w:r>
    </w:p>
    <w:p w14:paraId="6AF82F5A">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根据《新疆生态保护红线划定方案》及本项目占地范围坐标，本项目占地不属于《新疆生态保护红线方案》中的</w:t>
      </w:r>
      <w:r>
        <w:rPr>
          <w:rFonts w:hint="eastAsia" w:ascii="Times New Roman" w:hAnsi="Times New Roman" w:eastAsia="华文中宋" w:cs="Times New Roman"/>
          <w:sz w:val="24"/>
          <w:lang w:val="en-US" w:eastAsia="zh-CN"/>
        </w:rPr>
        <w:t>生态保护</w:t>
      </w:r>
      <w:r>
        <w:rPr>
          <w:rFonts w:hint="default" w:ascii="Times New Roman" w:hAnsi="Times New Roman" w:eastAsia="华文中宋" w:cs="Times New Roman"/>
          <w:sz w:val="24"/>
          <w:lang w:val="en-US" w:eastAsia="zh-CN"/>
        </w:rPr>
        <w:t>红线区域。</w:t>
      </w:r>
    </w:p>
    <w:p w14:paraId="249D74D1">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矿区范围内未发现珍稀濒危或国家重点保护野生植物分布，也无当地特有野生植物，本工程的主要环境敏感保护目标见表2.8-1。</w:t>
      </w:r>
      <w:r>
        <w:rPr>
          <w:rFonts w:hint="eastAsia" w:ascii="Times New Roman" w:hAnsi="Times New Roman" w:eastAsia="华文中宋" w:cs="Times New Roman"/>
          <w:sz w:val="24"/>
          <w:lang w:val="en-US" w:eastAsia="zh-CN"/>
        </w:rPr>
        <w:t>项目周边环境敏感目标见图2.8-1.</w:t>
      </w:r>
    </w:p>
    <w:p w14:paraId="3B819611">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表2.8-1  本工程的环境</w:t>
      </w:r>
      <w:r>
        <w:rPr>
          <w:rFonts w:hint="eastAsia" w:ascii="Times New Roman" w:hAnsi="Times New Roman" w:eastAsia="华文中宋" w:cs="Times New Roman"/>
          <w:b/>
          <w:szCs w:val="21"/>
          <w:lang w:val="en-US" w:eastAsia="zh-CN"/>
        </w:rPr>
        <w:t>保护</w:t>
      </w:r>
      <w:r>
        <w:rPr>
          <w:rFonts w:hint="default" w:ascii="Times New Roman" w:hAnsi="Times New Roman" w:eastAsia="华文中宋" w:cs="Times New Roman"/>
          <w:b/>
          <w:szCs w:val="21"/>
          <w:lang w:val="en-US" w:eastAsia="zh-CN"/>
        </w:rPr>
        <w:t>目标</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6"/>
        <w:gridCol w:w="667"/>
        <w:gridCol w:w="1290"/>
        <w:gridCol w:w="1506"/>
        <w:gridCol w:w="2004"/>
        <w:gridCol w:w="2609"/>
      </w:tblGrid>
      <w:tr w14:paraId="55DF1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97B43E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序号</w:t>
            </w:r>
          </w:p>
        </w:tc>
        <w:tc>
          <w:tcPr>
            <w:tcW w:w="667" w:type="dxa"/>
            <w:vAlign w:val="center"/>
          </w:tcPr>
          <w:p w14:paraId="281FEFC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名称</w:t>
            </w:r>
          </w:p>
        </w:tc>
        <w:tc>
          <w:tcPr>
            <w:tcW w:w="1290" w:type="dxa"/>
            <w:vAlign w:val="center"/>
          </w:tcPr>
          <w:p w14:paraId="235E2AC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保护对象</w:t>
            </w:r>
          </w:p>
        </w:tc>
        <w:tc>
          <w:tcPr>
            <w:tcW w:w="1506" w:type="dxa"/>
            <w:vAlign w:val="center"/>
          </w:tcPr>
          <w:p w14:paraId="53E6005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环境功能区划</w:t>
            </w:r>
          </w:p>
        </w:tc>
        <w:tc>
          <w:tcPr>
            <w:tcW w:w="2004" w:type="dxa"/>
            <w:vAlign w:val="center"/>
          </w:tcPr>
          <w:p w14:paraId="59C3A72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方位距离</w:t>
            </w:r>
          </w:p>
        </w:tc>
        <w:tc>
          <w:tcPr>
            <w:tcW w:w="2609" w:type="dxa"/>
            <w:vAlign w:val="center"/>
          </w:tcPr>
          <w:p w14:paraId="32BFDC4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执行标准</w:t>
            </w:r>
          </w:p>
        </w:tc>
      </w:tr>
      <w:tr w14:paraId="669C8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501789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w:t>
            </w:r>
          </w:p>
        </w:tc>
        <w:tc>
          <w:tcPr>
            <w:tcW w:w="667" w:type="dxa"/>
            <w:vAlign w:val="center"/>
          </w:tcPr>
          <w:p w14:paraId="58FA60C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环境空气</w:t>
            </w:r>
          </w:p>
        </w:tc>
        <w:tc>
          <w:tcPr>
            <w:tcW w:w="1290" w:type="dxa"/>
            <w:vAlign w:val="center"/>
          </w:tcPr>
          <w:p w14:paraId="5FC575F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矿区区域环境空气质量</w:t>
            </w:r>
          </w:p>
        </w:tc>
        <w:tc>
          <w:tcPr>
            <w:tcW w:w="1506" w:type="dxa"/>
            <w:vAlign w:val="center"/>
          </w:tcPr>
          <w:p w14:paraId="19614D3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环境空气二类功能区</w:t>
            </w:r>
          </w:p>
        </w:tc>
        <w:tc>
          <w:tcPr>
            <w:tcW w:w="2004" w:type="dxa"/>
            <w:vAlign w:val="center"/>
          </w:tcPr>
          <w:p w14:paraId="42DD3F6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以表土堆放场为中心，边长5km的矩形区域</w:t>
            </w:r>
          </w:p>
        </w:tc>
        <w:tc>
          <w:tcPr>
            <w:tcW w:w="2609" w:type="dxa"/>
            <w:vAlign w:val="center"/>
          </w:tcPr>
          <w:p w14:paraId="3E9D384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《环境空气质量标准》（GB3095-2012）二级</w:t>
            </w:r>
          </w:p>
        </w:tc>
      </w:tr>
      <w:tr w14:paraId="68242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AC9CFC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w:t>
            </w:r>
          </w:p>
        </w:tc>
        <w:tc>
          <w:tcPr>
            <w:tcW w:w="667" w:type="dxa"/>
            <w:vAlign w:val="center"/>
          </w:tcPr>
          <w:p w14:paraId="45254A1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地表水</w:t>
            </w:r>
          </w:p>
        </w:tc>
        <w:tc>
          <w:tcPr>
            <w:tcW w:w="1290" w:type="dxa"/>
            <w:vAlign w:val="center"/>
          </w:tcPr>
          <w:p w14:paraId="094E7C8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盼水河</w:t>
            </w:r>
          </w:p>
        </w:tc>
        <w:tc>
          <w:tcPr>
            <w:tcW w:w="1506" w:type="dxa"/>
            <w:vAlign w:val="center"/>
          </w:tcPr>
          <w:p w14:paraId="399ADC3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Ⅱ</w:t>
            </w:r>
            <w:r>
              <w:rPr>
                <w:rFonts w:hint="default" w:ascii="Times New Roman" w:hAnsi="Times New Roman" w:eastAsia="华文中宋" w:cs="Times New Roman"/>
                <w:szCs w:val="21"/>
                <w:lang w:val="en-US" w:eastAsia="zh-CN"/>
              </w:rPr>
              <w:t>类地</w:t>
            </w:r>
            <w:r>
              <w:rPr>
                <w:rFonts w:hint="eastAsia" w:ascii="Times New Roman" w:hAnsi="Times New Roman" w:eastAsia="华文中宋" w:cs="Times New Roman"/>
                <w:szCs w:val="21"/>
                <w:lang w:val="en-US" w:eastAsia="zh-CN"/>
              </w:rPr>
              <w:t>表</w:t>
            </w:r>
            <w:r>
              <w:rPr>
                <w:rFonts w:hint="default" w:ascii="Times New Roman" w:hAnsi="Times New Roman" w:eastAsia="华文中宋" w:cs="Times New Roman"/>
                <w:szCs w:val="21"/>
                <w:lang w:val="en-US" w:eastAsia="zh-CN"/>
              </w:rPr>
              <w:t>水功能区</w:t>
            </w:r>
          </w:p>
        </w:tc>
        <w:tc>
          <w:tcPr>
            <w:tcW w:w="2004" w:type="dxa"/>
            <w:vAlign w:val="center"/>
          </w:tcPr>
          <w:p w14:paraId="20C55ED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项目区东侧约600m处</w:t>
            </w:r>
          </w:p>
        </w:tc>
        <w:tc>
          <w:tcPr>
            <w:tcW w:w="2609" w:type="dxa"/>
            <w:vAlign w:val="center"/>
          </w:tcPr>
          <w:p w14:paraId="16D266A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《地表水环境质量标准》（GB3838-2002）中的</w:t>
            </w:r>
            <w:r>
              <w:rPr>
                <w:rFonts w:hint="eastAsia" w:ascii="Times New Roman" w:hAnsi="Times New Roman" w:eastAsia="华文中宋" w:cs="Times New Roman"/>
                <w:szCs w:val="21"/>
                <w:lang w:val="en-US" w:eastAsia="zh-CN"/>
              </w:rPr>
              <w:t>Ⅱ</w:t>
            </w:r>
            <w:r>
              <w:rPr>
                <w:rFonts w:hint="default" w:ascii="Times New Roman" w:hAnsi="Times New Roman" w:eastAsia="华文中宋" w:cs="Times New Roman"/>
                <w:szCs w:val="21"/>
                <w:lang w:val="en-US" w:eastAsia="zh-CN"/>
              </w:rPr>
              <w:t>类标准</w:t>
            </w:r>
          </w:p>
        </w:tc>
      </w:tr>
      <w:tr w14:paraId="6C0C3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549E54A">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3</w:t>
            </w:r>
          </w:p>
        </w:tc>
        <w:tc>
          <w:tcPr>
            <w:tcW w:w="667" w:type="dxa"/>
            <w:vAlign w:val="center"/>
          </w:tcPr>
          <w:p w14:paraId="04BC3DE1">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地下水环境</w:t>
            </w:r>
          </w:p>
        </w:tc>
        <w:tc>
          <w:tcPr>
            <w:tcW w:w="1290" w:type="dxa"/>
            <w:vAlign w:val="center"/>
          </w:tcPr>
          <w:p w14:paraId="3935A2E4">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矿区区域地下水</w:t>
            </w:r>
          </w:p>
        </w:tc>
        <w:tc>
          <w:tcPr>
            <w:tcW w:w="1506" w:type="dxa"/>
            <w:vAlign w:val="center"/>
          </w:tcPr>
          <w:p w14:paraId="7EC0DB01">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Ⅲ类地下水功能区</w:t>
            </w:r>
          </w:p>
        </w:tc>
        <w:tc>
          <w:tcPr>
            <w:tcW w:w="2004" w:type="dxa"/>
            <w:vAlign w:val="center"/>
          </w:tcPr>
          <w:p w14:paraId="4A5F0871">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矿区范围</w:t>
            </w:r>
            <w:r>
              <w:rPr>
                <w:rFonts w:hint="eastAsia" w:ascii="Times New Roman" w:hAnsi="Times New Roman" w:eastAsia="华文中宋" w:cs="Times New Roman"/>
                <w:szCs w:val="21"/>
                <w:highlight w:val="none"/>
                <w:lang w:val="en-US" w:eastAsia="zh-CN"/>
              </w:rPr>
              <w:t>上游1.5km、</w:t>
            </w:r>
            <w:r>
              <w:rPr>
                <w:rFonts w:hint="default" w:ascii="Times New Roman" w:hAnsi="Times New Roman" w:eastAsia="华文中宋" w:cs="Times New Roman"/>
                <w:szCs w:val="21"/>
                <w:highlight w:val="none"/>
                <w:lang w:val="en-US" w:eastAsia="zh-CN"/>
              </w:rPr>
              <w:t>下游</w:t>
            </w:r>
            <w:r>
              <w:rPr>
                <w:rFonts w:hint="eastAsia" w:ascii="Times New Roman" w:hAnsi="Times New Roman" w:eastAsia="华文中宋" w:cs="Times New Roman"/>
                <w:szCs w:val="21"/>
                <w:highlight w:val="none"/>
                <w:lang w:val="en-US" w:eastAsia="zh-CN"/>
              </w:rPr>
              <w:t>3.5</w:t>
            </w:r>
            <w:r>
              <w:rPr>
                <w:rFonts w:hint="default" w:ascii="Times New Roman" w:hAnsi="Times New Roman" w:eastAsia="华文中宋" w:cs="Times New Roman"/>
                <w:szCs w:val="21"/>
                <w:highlight w:val="none"/>
                <w:lang w:val="en-US" w:eastAsia="zh-CN"/>
              </w:rPr>
              <w:t>km，矿区两侧评价范围</w:t>
            </w:r>
            <w:r>
              <w:rPr>
                <w:rFonts w:hint="eastAsia" w:ascii="Times New Roman" w:hAnsi="Times New Roman" w:eastAsia="华文中宋" w:cs="Times New Roman"/>
                <w:szCs w:val="21"/>
                <w:highlight w:val="none"/>
                <w:lang w:val="en-US" w:eastAsia="zh-CN"/>
              </w:rPr>
              <w:t>2</w:t>
            </w:r>
            <w:r>
              <w:rPr>
                <w:rFonts w:hint="default" w:ascii="Times New Roman" w:hAnsi="Times New Roman" w:eastAsia="华文中宋" w:cs="Times New Roman"/>
                <w:szCs w:val="21"/>
                <w:highlight w:val="none"/>
                <w:lang w:val="en-US" w:eastAsia="zh-CN"/>
              </w:rPr>
              <w:t>km</w:t>
            </w:r>
          </w:p>
        </w:tc>
        <w:tc>
          <w:tcPr>
            <w:tcW w:w="2609" w:type="dxa"/>
            <w:vAlign w:val="center"/>
          </w:tcPr>
          <w:p w14:paraId="4883A8A4">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《地下水质量标准》（GB/T14848-2017）中的Ⅲ类标准</w:t>
            </w:r>
          </w:p>
        </w:tc>
      </w:tr>
      <w:tr w14:paraId="5A869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FF2904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4</w:t>
            </w:r>
          </w:p>
        </w:tc>
        <w:tc>
          <w:tcPr>
            <w:tcW w:w="667" w:type="dxa"/>
            <w:vAlign w:val="center"/>
          </w:tcPr>
          <w:p w14:paraId="7DB1E42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声环境</w:t>
            </w:r>
          </w:p>
        </w:tc>
        <w:tc>
          <w:tcPr>
            <w:tcW w:w="1290" w:type="dxa"/>
            <w:vAlign w:val="center"/>
          </w:tcPr>
          <w:p w14:paraId="0D9A7D7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项目区</w:t>
            </w:r>
          </w:p>
        </w:tc>
        <w:tc>
          <w:tcPr>
            <w:tcW w:w="1506" w:type="dxa"/>
            <w:vAlign w:val="center"/>
          </w:tcPr>
          <w:p w14:paraId="1583E59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2类声环境功能区</w:t>
            </w:r>
          </w:p>
        </w:tc>
        <w:tc>
          <w:tcPr>
            <w:tcW w:w="2004" w:type="dxa"/>
            <w:vAlign w:val="center"/>
          </w:tcPr>
          <w:p w14:paraId="1B3409D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矿区</w:t>
            </w:r>
            <w:r>
              <w:rPr>
                <w:rFonts w:hint="default" w:ascii="Times New Roman" w:hAnsi="Times New Roman" w:eastAsia="华文中宋" w:cs="Times New Roman"/>
                <w:szCs w:val="21"/>
                <w:lang w:val="en-US" w:eastAsia="zh-CN"/>
              </w:rPr>
              <w:t>周围200m以内范围，以及矿山运输道路两侧200m以内范围</w:t>
            </w:r>
          </w:p>
        </w:tc>
        <w:tc>
          <w:tcPr>
            <w:tcW w:w="2609" w:type="dxa"/>
            <w:vAlign w:val="center"/>
          </w:tcPr>
          <w:p w14:paraId="296AAA9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《声环境质量标准》（GB3096-2008</w:t>
            </w:r>
            <w:r>
              <w:rPr>
                <w:rFonts w:hint="eastAsia" w:ascii="Times New Roman" w:hAnsi="Times New Roman" w:eastAsia="华文中宋" w:cs="Times New Roman"/>
                <w:szCs w:val="21"/>
                <w:lang w:val="en-US" w:eastAsia="zh-CN"/>
              </w:rPr>
              <w:t>）第</w:t>
            </w:r>
            <w:r>
              <w:rPr>
                <w:rFonts w:hint="default" w:ascii="Times New Roman" w:hAnsi="Times New Roman" w:eastAsia="华文中宋" w:cs="Times New Roman"/>
                <w:szCs w:val="21"/>
                <w:lang w:val="en-US" w:eastAsia="zh-CN"/>
              </w:rPr>
              <w:t>2类声环境功能区</w:t>
            </w:r>
          </w:p>
        </w:tc>
      </w:tr>
      <w:tr w14:paraId="3655B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9DC495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w:t>
            </w:r>
          </w:p>
        </w:tc>
        <w:tc>
          <w:tcPr>
            <w:tcW w:w="667" w:type="dxa"/>
            <w:vAlign w:val="center"/>
          </w:tcPr>
          <w:p w14:paraId="0535309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生态环境</w:t>
            </w:r>
          </w:p>
        </w:tc>
        <w:tc>
          <w:tcPr>
            <w:tcW w:w="1290" w:type="dxa"/>
            <w:vAlign w:val="center"/>
          </w:tcPr>
          <w:p w14:paraId="3D953C3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矿区及影响范围内草地、植被、野生动物及生态系统</w:t>
            </w:r>
          </w:p>
        </w:tc>
        <w:tc>
          <w:tcPr>
            <w:tcW w:w="1506" w:type="dxa"/>
            <w:vAlign w:val="center"/>
          </w:tcPr>
          <w:p w14:paraId="3DC7549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帕米尔－昆仑山－阿尔金山高寒荒漠草原生态区—昆仑山高寒草原侵蚀控制生态亚区—中昆仑山高寒荒漠草原保护生态功能区</w:t>
            </w:r>
          </w:p>
        </w:tc>
        <w:tc>
          <w:tcPr>
            <w:tcW w:w="2004" w:type="dxa"/>
            <w:vAlign w:val="center"/>
          </w:tcPr>
          <w:p w14:paraId="1FDFA68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矿区范围四周边界和矿山运输道路各外扩1000m</w:t>
            </w:r>
          </w:p>
        </w:tc>
        <w:tc>
          <w:tcPr>
            <w:tcW w:w="2609" w:type="dxa"/>
            <w:vAlign w:val="center"/>
          </w:tcPr>
          <w:p w14:paraId="6398014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保护植被、控制水土流失，保护和维护工程地区的生态完整性，使因工程建设造成的自然景观和植被破坏得以尽快恢复，减轻项目带来的生态环境的影响</w:t>
            </w:r>
          </w:p>
        </w:tc>
      </w:tr>
      <w:tr w14:paraId="31667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9FE8AC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6</w:t>
            </w:r>
          </w:p>
        </w:tc>
        <w:tc>
          <w:tcPr>
            <w:tcW w:w="667" w:type="dxa"/>
            <w:vAlign w:val="center"/>
          </w:tcPr>
          <w:p w14:paraId="1ADDAFC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土壤环境</w:t>
            </w:r>
          </w:p>
        </w:tc>
        <w:tc>
          <w:tcPr>
            <w:tcW w:w="1290" w:type="dxa"/>
            <w:vAlign w:val="center"/>
          </w:tcPr>
          <w:p w14:paraId="68EA550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项目所在区域土壤</w:t>
            </w:r>
          </w:p>
        </w:tc>
        <w:tc>
          <w:tcPr>
            <w:tcW w:w="1506" w:type="dxa"/>
            <w:vAlign w:val="center"/>
          </w:tcPr>
          <w:p w14:paraId="3E00833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建设用地及</w:t>
            </w:r>
            <w:r>
              <w:rPr>
                <w:rFonts w:hint="eastAsia" w:ascii="Times New Roman" w:hAnsi="Times New Roman" w:eastAsia="华文中宋" w:cs="Times New Roman"/>
                <w:szCs w:val="21"/>
                <w:lang w:val="en-US" w:eastAsia="zh-CN"/>
              </w:rPr>
              <w:t>天然牧草地</w:t>
            </w:r>
          </w:p>
        </w:tc>
        <w:tc>
          <w:tcPr>
            <w:tcW w:w="2004" w:type="dxa"/>
            <w:vAlign w:val="center"/>
          </w:tcPr>
          <w:p w14:paraId="6C2AFE8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土壤生态环境评价范围是矿区及矿区外2km范围内；土壤污染环境评价范围为矿区及矿区外0.2km范围内</w:t>
            </w:r>
          </w:p>
        </w:tc>
        <w:tc>
          <w:tcPr>
            <w:tcW w:w="2609" w:type="dxa"/>
            <w:vAlign w:val="center"/>
          </w:tcPr>
          <w:p w14:paraId="4543167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《土壤环境质量 建设用地土壤污染风险管控标准</w:t>
            </w:r>
            <w:r>
              <w:rPr>
                <w:rFonts w:hint="eastAsia" w:ascii="Times New Roman" w:hAnsi="Times New Roman" w:eastAsia="华文中宋" w:cs="Times New Roman"/>
                <w:szCs w:val="21"/>
                <w:lang w:val="en-US" w:eastAsia="zh-CN"/>
              </w:rPr>
              <w:t>（试行）</w:t>
            </w:r>
            <w:r>
              <w:rPr>
                <w:rFonts w:hint="default" w:ascii="Times New Roman" w:hAnsi="Times New Roman" w:eastAsia="华文中宋" w:cs="Times New Roman"/>
                <w:szCs w:val="21"/>
                <w:lang w:val="en-US" w:eastAsia="zh-CN"/>
              </w:rPr>
              <w:t>》（GB36600-2018）和《土壤环境质量农用地土壤污染风险管控标准</w:t>
            </w:r>
            <w:r>
              <w:rPr>
                <w:rFonts w:hint="eastAsia" w:ascii="Times New Roman" w:hAnsi="Times New Roman" w:eastAsia="华文中宋" w:cs="Times New Roman"/>
                <w:szCs w:val="21"/>
                <w:lang w:val="en-US" w:eastAsia="zh-CN"/>
              </w:rPr>
              <w:t>（试行）</w:t>
            </w:r>
            <w:r>
              <w:rPr>
                <w:rFonts w:hint="default" w:ascii="Times New Roman" w:hAnsi="Times New Roman" w:eastAsia="华文中宋" w:cs="Times New Roman"/>
                <w:szCs w:val="21"/>
                <w:lang w:val="en-US" w:eastAsia="zh-CN"/>
              </w:rPr>
              <w:t>》（GB15618-2018）</w:t>
            </w:r>
          </w:p>
        </w:tc>
      </w:tr>
    </w:tbl>
    <w:p w14:paraId="016F1E1A">
      <w:r>
        <w:rPr>
          <w:rFonts w:hint="default" w:ascii="Times New Roman" w:hAnsi="Times New Roman" w:eastAsia="宋体" w:cs="Times New Roman"/>
          <w:b w:val="0"/>
          <w:bCs w:val="0"/>
          <w:color w:val="auto"/>
          <w:kern w:val="2"/>
          <w:sz w:val="24"/>
          <w:szCs w:val="24"/>
          <w:lang w:val="en-US" w:eastAsia="zh-CN" w:bidi="ar-SA"/>
        </w:rPr>
        <w:br w:type="page"/>
      </w:r>
    </w:p>
    <w:p w14:paraId="4C9DBE6C">
      <w:pPr>
        <w:pStyle w:val="2"/>
        <w:pageBreakBefore/>
        <w:spacing w:before="250" w:beforeLines="50" w:after="250" w:afterLines="50" w:line="560" w:lineRule="exact"/>
        <w:ind w:left="554" w:hanging="555" w:hangingChars="152"/>
        <w:rPr>
          <w:rFonts w:hint="default" w:ascii="Times New Roman" w:hAnsi="Times New Roman" w:eastAsia="华文中宋" w:cs="Times New Roman"/>
          <w:snapToGrid w:val="0"/>
          <w:spacing w:val="2"/>
          <w:sz w:val="36"/>
          <w:szCs w:val="44"/>
          <w:lang w:val="en-US" w:eastAsia="zh-CN"/>
        </w:rPr>
      </w:pPr>
      <w:bookmarkStart w:id="68" w:name="_Toc19208"/>
      <w:bookmarkStart w:id="69" w:name="_Toc23562"/>
      <w:r>
        <w:rPr>
          <w:rFonts w:hint="default" w:ascii="Times New Roman" w:hAnsi="Times New Roman" w:eastAsia="华文中宋" w:cs="Times New Roman"/>
          <w:snapToGrid w:val="0"/>
          <w:spacing w:val="2"/>
          <w:sz w:val="36"/>
          <w:szCs w:val="44"/>
          <w:lang w:val="en-US" w:eastAsia="zh-CN"/>
        </w:rPr>
        <w:t>3工程概况与工程分析</w:t>
      </w:r>
      <w:bookmarkEnd w:id="68"/>
      <w:bookmarkEnd w:id="69"/>
    </w:p>
    <w:p w14:paraId="403159DE">
      <w:pPr>
        <w:pStyle w:val="3"/>
        <w:spacing w:before="120" w:after="120" w:line="500" w:lineRule="exact"/>
        <w:ind w:left="375" w:hanging="375" w:firstLineChars="0"/>
        <w:contextualSpacing/>
        <w:rPr>
          <w:rFonts w:hint="default" w:ascii="Times New Roman" w:hAnsi="Times New Roman" w:eastAsia="华文中宋" w:cs="Times New Roman"/>
          <w:snapToGrid w:val="0"/>
          <w:kern w:val="0"/>
          <w:sz w:val="28"/>
          <w:szCs w:val="28"/>
          <w:lang w:val="en-US" w:eastAsia="zh-CN"/>
        </w:rPr>
      </w:pPr>
      <w:bookmarkStart w:id="70" w:name="_Toc5997"/>
      <w:bookmarkStart w:id="71" w:name="_Toc26322"/>
      <w:r>
        <w:rPr>
          <w:rFonts w:hint="default" w:ascii="Times New Roman" w:hAnsi="Times New Roman" w:eastAsia="华文中宋" w:cs="Times New Roman"/>
          <w:snapToGrid w:val="0"/>
          <w:kern w:val="0"/>
          <w:sz w:val="28"/>
          <w:szCs w:val="28"/>
          <w:lang w:val="en-US" w:eastAsia="zh-CN"/>
        </w:rPr>
        <w:t>3.1项目概括</w:t>
      </w:r>
      <w:bookmarkEnd w:id="70"/>
      <w:bookmarkEnd w:id="71"/>
    </w:p>
    <w:p w14:paraId="4436C31A">
      <w:pPr>
        <w:pStyle w:val="4"/>
        <w:spacing w:before="120" w:after="120" w:line="500" w:lineRule="exact"/>
        <w:rPr>
          <w:rFonts w:hint="default" w:ascii="Times New Roman" w:hAnsi="Times New Roman" w:eastAsia="华文中宋" w:cs="Times New Roman"/>
          <w:kern w:val="0"/>
          <w:sz w:val="24"/>
          <w:szCs w:val="24"/>
          <w:lang w:val="en-US" w:eastAsia="zh-CN"/>
        </w:rPr>
      </w:pPr>
      <w:bookmarkStart w:id="72" w:name="_Toc26452"/>
      <w:r>
        <w:rPr>
          <w:rFonts w:hint="default" w:ascii="Times New Roman" w:hAnsi="Times New Roman" w:eastAsia="华文中宋" w:cs="Times New Roman"/>
          <w:kern w:val="0"/>
          <w:sz w:val="24"/>
          <w:szCs w:val="24"/>
          <w:lang w:val="en-US" w:eastAsia="zh-CN"/>
        </w:rPr>
        <w:t>3.1.1项目基本情况</w:t>
      </w:r>
      <w:bookmarkEnd w:id="72"/>
    </w:p>
    <w:p w14:paraId="5104288D">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项目名称：</w:t>
      </w:r>
      <w:r>
        <w:rPr>
          <w:rFonts w:hint="eastAsia" w:ascii="Times New Roman" w:hAnsi="Times New Roman" w:cs="Times New Roman"/>
          <w:color w:val="auto"/>
          <w:lang w:val="en-US" w:eastAsia="zh-CN"/>
        </w:rPr>
        <w:t>民丰县盼水河铅锑矿工程</w:t>
      </w:r>
      <w:r>
        <w:rPr>
          <w:rFonts w:hint="default" w:ascii="Times New Roman" w:hAnsi="Times New Roman" w:cs="Times New Roman"/>
          <w:color w:val="auto"/>
          <w:lang w:val="en-US" w:eastAsia="zh-CN"/>
        </w:rPr>
        <w:t>项目；</w:t>
      </w:r>
    </w:p>
    <w:p w14:paraId="58881858">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建设单位：民丰县万水源矿业有限责任公司；</w:t>
      </w:r>
    </w:p>
    <w:p w14:paraId="6D3D5E6A">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项目性质：新建；</w:t>
      </w:r>
    </w:p>
    <w:p w14:paraId="1B8CB080">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建设地点：民丰县城170°方向、直距约140千米处。</w:t>
      </w:r>
    </w:p>
    <w:p w14:paraId="7BB2E071">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eastAsia" w:ascii="Times New Roman" w:hAnsi="Times New Roman" w:eastAsia="华文中宋" w:cs="Times New Roman"/>
          <w:b/>
          <w:szCs w:val="21"/>
          <w:lang w:val="en-US" w:eastAsia="zh-CN"/>
        </w:rPr>
        <w:t>表3.1-1  矿区拐点坐标一览表  （2000国家大地坐标系）</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5"/>
        <w:gridCol w:w="3906"/>
        <w:gridCol w:w="2841"/>
      </w:tblGrid>
      <w:tr w14:paraId="77768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5" w:type="dxa"/>
          </w:tcPr>
          <w:p w14:paraId="589C908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序号</w:t>
            </w:r>
          </w:p>
        </w:tc>
        <w:tc>
          <w:tcPr>
            <w:tcW w:w="3906" w:type="dxa"/>
          </w:tcPr>
          <w:p w14:paraId="297EA537">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X坐标</w:t>
            </w:r>
          </w:p>
        </w:tc>
        <w:tc>
          <w:tcPr>
            <w:tcW w:w="2841" w:type="dxa"/>
          </w:tcPr>
          <w:p w14:paraId="5FA410D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Y坐标</w:t>
            </w:r>
          </w:p>
        </w:tc>
      </w:tr>
      <w:tr w14:paraId="6298C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5" w:type="dxa"/>
          </w:tcPr>
          <w:p w14:paraId="1532A63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w:t>
            </w:r>
          </w:p>
        </w:tc>
        <w:tc>
          <w:tcPr>
            <w:tcW w:w="3906" w:type="dxa"/>
            <w:shd w:val="clear" w:color="auto" w:fill="auto"/>
            <w:vAlign w:val="top"/>
          </w:tcPr>
          <w:p w14:paraId="51AB4E5B">
            <w:pPr>
              <w:spacing w:line="300" w:lineRule="exact"/>
              <w:jc w:val="center"/>
              <w:rPr>
                <w:rFonts w:hint="default" w:ascii="Times New Roman" w:hAnsi="Times New Roman" w:eastAsia="华文中宋" w:cs="Times New Roman"/>
                <w:kern w:val="2"/>
                <w:sz w:val="21"/>
                <w:szCs w:val="21"/>
                <w:lang w:val="en-US" w:eastAsia="zh-CN" w:bidi="ar-SA"/>
              </w:rPr>
            </w:pPr>
          </w:p>
        </w:tc>
        <w:tc>
          <w:tcPr>
            <w:tcW w:w="2841" w:type="dxa"/>
            <w:shd w:val="clear" w:color="auto" w:fill="auto"/>
            <w:vAlign w:val="top"/>
          </w:tcPr>
          <w:p w14:paraId="3ECD96AD">
            <w:pPr>
              <w:spacing w:line="300" w:lineRule="exact"/>
              <w:jc w:val="center"/>
              <w:rPr>
                <w:rFonts w:hint="default" w:ascii="Times New Roman" w:hAnsi="Times New Roman" w:eastAsia="华文中宋" w:cs="Times New Roman"/>
                <w:kern w:val="2"/>
                <w:sz w:val="21"/>
                <w:szCs w:val="21"/>
                <w:lang w:val="en-US" w:eastAsia="zh-CN" w:bidi="ar-SA"/>
              </w:rPr>
            </w:pPr>
          </w:p>
        </w:tc>
      </w:tr>
      <w:tr w14:paraId="30A45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5" w:type="dxa"/>
          </w:tcPr>
          <w:p w14:paraId="4B2BBEA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w:t>
            </w:r>
          </w:p>
        </w:tc>
        <w:tc>
          <w:tcPr>
            <w:tcW w:w="3906" w:type="dxa"/>
            <w:shd w:val="clear" w:color="auto" w:fill="auto"/>
            <w:vAlign w:val="top"/>
          </w:tcPr>
          <w:p w14:paraId="2760C700">
            <w:pPr>
              <w:spacing w:line="300" w:lineRule="exact"/>
              <w:jc w:val="center"/>
              <w:rPr>
                <w:rFonts w:hint="default" w:ascii="Times New Roman" w:hAnsi="Times New Roman" w:eastAsia="华文中宋" w:cs="Times New Roman"/>
                <w:kern w:val="2"/>
                <w:sz w:val="21"/>
                <w:szCs w:val="21"/>
                <w:lang w:val="en-US" w:eastAsia="zh-CN" w:bidi="ar-SA"/>
              </w:rPr>
            </w:pPr>
          </w:p>
        </w:tc>
        <w:tc>
          <w:tcPr>
            <w:tcW w:w="2841" w:type="dxa"/>
            <w:shd w:val="clear" w:color="auto" w:fill="auto"/>
            <w:vAlign w:val="top"/>
          </w:tcPr>
          <w:p w14:paraId="25AFE7F8">
            <w:pPr>
              <w:spacing w:line="300" w:lineRule="exact"/>
              <w:jc w:val="center"/>
              <w:rPr>
                <w:rFonts w:hint="default" w:ascii="Times New Roman" w:hAnsi="Times New Roman" w:eastAsia="华文中宋" w:cs="Times New Roman"/>
                <w:kern w:val="2"/>
                <w:sz w:val="21"/>
                <w:szCs w:val="21"/>
                <w:lang w:val="en-US" w:eastAsia="zh-CN" w:bidi="ar-SA"/>
              </w:rPr>
            </w:pPr>
          </w:p>
        </w:tc>
      </w:tr>
      <w:tr w14:paraId="25DE4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5" w:type="dxa"/>
          </w:tcPr>
          <w:p w14:paraId="3A05536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w:t>
            </w:r>
          </w:p>
        </w:tc>
        <w:tc>
          <w:tcPr>
            <w:tcW w:w="3906" w:type="dxa"/>
            <w:shd w:val="clear" w:color="auto" w:fill="auto"/>
            <w:vAlign w:val="top"/>
          </w:tcPr>
          <w:p w14:paraId="58F17330">
            <w:pPr>
              <w:spacing w:line="300" w:lineRule="exact"/>
              <w:jc w:val="center"/>
              <w:rPr>
                <w:rFonts w:hint="default" w:ascii="Times New Roman" w:hAnsi="Times New Roman" w:eastAsia="华文中宋" w:cs="Times New Roman"/>
                <w:kern w:val="2"/>
                <w:sz w:val="21"/>
                <w:szCs w:val="21"/>
                <w:lang w:val="en-US" w:eastAsia="zh-CN" w:bidi="ar-SA"/>
              </w:rPr>
            </w:pPr>
          </w:p>
        </w:tc>
        <w:tc>
          <w:tcPr>
            <w:tcW w:w="2841" w:type="dxa"/>
            <w:shd w:val="clear" w:color="auto" w:fill="auto"/>
            <w:vAlign w:val="top"/>
          </w:tcPr>
          <w:p w14:paraId="37FD03C0">
            <w:pPr>
              <w:spacing w:line="300" w:lineRule="exact"/>
              <w:jc w:val="center"/>
              <w:rPr>
                <w:rFonts w:hint="default" w:ascii="Times New Roman" w:hAnsi="Times New Roman" w:eastAsia="华文中宋" w:cs="Times New Roman"/>
                <w:kern w:val="2"/>
                <w:sz w:val="21"/>
                <w:szCs w:val="21"/>
                <w:lang w:val="en-US" w:eastAsia="zh-CN" w:bidi="ar-SA"/>
              </w:rPr>
            </w:pPr>
          </w:p>
        </w:tc>
      </w:tr>
      <w:tr w14:paraId="4671B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5" w:type="dxa"/>
          </w:tcPr>
          <w:p w14:paraId="35C7B81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4</w:t>
            </w:r>
          </w:p>
        </w:tc>
        <w:tc>
          <w:tcPr>
            <w:tcW w:w="3906" w:type="dxa"/>
            <w:shd w:val="clear" w:color="auto" w:fill="auto"/>
            <w:vAlign w:val="top"/>
          </w:tcPr>
          <w:p w14:paraId="1159874F">
            <w:pPr>
              <w:spacing w:line="300" w:lineRule="exact"/>
              <w:jc w:val="center"/>
              <w:rPr>
                <w:rFonts w:hint="default" w:ascii="Times New Roman" w:hAnsi="Times New Roman" w:eastAsia="华文中宋" w:cs="Times New Roman"/>
                <w:kern w:val="2"/>
                <w:sz w:val="21"/>
                <w:szCs w:val="21"/>
                <w:lang w:val="en-US" w:eastAsia="zh-CN" w:bidi="ar-SA"/>
              </w:rPr>
            </w:pPr>
          </w:p>
        </w:tc>
        <w:tc>
          <w:tcPr>
            <w:tcW w:w="2841" w:type="dxa"/>
            <w:shd w:val="clear" w:color="auto" w:fill="auto"/>
            <w:vAlign w:val="top"/>
          </w:tcPr>
          <w:p w14:paraId="382BD0DF">
            <w:pPr>
              <w:spacing w:line="300" w:lineRule="exact"/>
              <w:jc w:val="center"/>
              <w:rPr>
                <w:rFonts w:hint="default" w:ascii="Times New Roman" w:hAnsi="Times New Roman" w:eastAsia="华文中宋" w:cs="Times New Roman"/>
                <w:kern w:val="2"/>
                <w:sz w:val="21"/>
                <w:szCs w:val="21"/>
                <w:lang w:val="en-US" w:eastAsia="zh-CN" w:bidi="ar-SA"/>
              </w:rPr>
            </w:pPr>
          </w:p>
        </w:tc>
      </w:tr>
      <w:tr w14:paraId="20882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5" w:type="dxa"/>
          </w:tcPr>
          <w:p w14:paraId="3CA24FA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w:t>
            </w:r>
          </w:p>
        </w:tc>
        <w:tc>
          <w:tcPr>
            <w:tcW w:w="3906" w:type="dxa"/>
            <w:shd w:val="clear" w:color="auto" w:fill="auto"/>
            <w:vAlign w:val="top"/>
          </w:tcPr>
          <w:p w14:paraId="1D057F41">
            <w:pPr>
              <w:spacing w:line="300" w:lineRule="exact"/>
              <w:jc w:val="center"/>
              <w:rPr>
                <w:rFonts w:hint="default" w:ascii="Times New Roman" w:hAnsi="Times New Roman" w:eastAsia="华文中宋" w:cs="Times New Roman"/>
                <w:kern w:val="2"/>
                <w:sz w:val="21"/>
                <w:szCs w:val="21"/>
                <w:lang w:val="en-US" w:eastAsia="zh-CN" w:bidi="ar-SA"/>
              </w:rPr>
            </w:pPr>
          </w:p>
        </w:tc>
        <w:tc>
          <w:tcPr>
            <w:tcW w:w="2841" w:type="dxa"/>
            <w:shd w:val="clear" w:color="auto" w:fill="auto"/>
            <w:vAlign w:val="top"/>
          </w:tcPr>
          <w:p w14:paraId="4E015713">
            <w:pPr>
              <w:spacing w:line="300" w:lineRule="exact"/>
              <w:jc w:val="center"/>
              <w:rPr>
                <w:rFonts w:hint="default" w:ascii="Times New Roman" w:hAnsi="Times New Roman" w:eastAsia="华文中宋" w:cs="Times New Roman"/>
                <w:kern w:val="2"/>
                <w:sz w:val="21"/>
                <w:szCs w:val="21"/>
                <w:lang w:val="en-US" w:eastAsia="zh-CN" w:bidi="ar-SA"/>
              </w:rPr>
            </w:pPr>
          </w:p>
        </w:tc>
      </w:tr>
      <w:tr w14:paraId="156DA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5" w:type="dxa"/>
          </w:tcPr>
          <w:p w14:paraId="760456B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6</w:t>
            </w:r>
          </w:p>
        </w:tc>
        <w:tc>
          <w:tcPr>
            <w:tcW w:w="3906" w:type="dxa"/>
            <w:shd w:val="clear" w:color="auto" w:fill="auto"/>
            <w:vAlign w:val="top"/>
          </w:tcPr>
          <w:p w14:paraId="0ECCB952">
            <w:pPr>
              <w:spacing w:line="300" w:lineRule="exact"/>
              <w:jc w:val="center"/>
              <w:rPr>
                <w:rFonts w:hint="default" w:ascii="Times New Roman" w:hAnsi="Times New Roman" w:eastAsia="华文中宋" w:cs="Times New Roman"/>
                <w:kern w:val="2"/>
                <w:sz w:val="21"/>
                <w:szCs w:val="21"/>
                <w:lang w:val="en-US" w:eastAsia="zh-CN" w:bidi="ar-SA"/>
              </w:rPr>
            </w:pPr>
          </w:p>
        </w:tc>
        <w:tc>
          <w:tcPr>
            <w:tcW w:w="2841" w:type="dxa"/>
            <w:shd w:val="clear" w:color="auto" w:fill="auto"/>
            <w:vAlign w:val="top"/>
          </w:tcPr>
          <w:p w14:paraId="0163F8A6">
            <w:pPr>
              <w:spacing w:line="300" w:lineRule="exact"/>
              <w:jc w:val="center"/>
              <w:rPr>
                <w:rFonts w:hint="default" w:ascii="Times New Roman" w:hAnsi="Times New Roman" w:eastAsia="华文中宋" w:cs="Times New Roman"/>
                <w:kern w:val="2"/>
                <w:sz w:val="21"/>
                <w:szCs w:val="21"/>
                <w:lang w:val="en-US" w:eastAsia="zh-CN" w:bidi="ar-SA"/>
              </w:rPr>
            </w:pPr>
          </w:p>
        </w:tc>
      </w:tr>
    </w:tbl>
    <w:p w14:paraId="4DCD58B1">
      <w:pPr>
        <w:pStyle w:val="24"/>
        <w:snapToGrid w:val="0"/>
        <w:ind w:left="0" w:leftChars="0" w:firstLine="480" w:firstLineChars="20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项目投资：本项目总投资</w:t>
      </w:r>
      <w:r>
        <w:rPr>
          <w:rFonts w:hint="eastAsia" w:ascii="Times New Roman" w:hAnsi="Times New Roman" w:cs="Times New Roman"/>
          <w:color w:val="auto"/>
          <w:lang w:val="en-US" w:eastAsia="zh-CN"/>
        </w:rPr>
        <w:t>6131</w:t>
      </w:r>
      <w:r>
        <w:rPr>
          <w:rFonts w:hint="default" w:ascii="Times New Roman" w:hAnsi="Times New Roman" w:cs="Times New Roman"/>
          <w:color w:val="auto"/>
          <w:lang w:val="en-US" w:eastAsia="zh-CN"/>
        </w:rPr>
        <w:t>万元；</w:t>
      </w:r>
    </w:p>
    <w:p w14:paraId="78A25D0C">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开采规模：矿山设计开采能力为12万吨/年；</w:t>
      </w:r>
    </w:p>
    <w:p w14:paraId="78AB75AE">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开采年限：矿山设计服务年限为5.09年；</w:t>
      </w:r>
    </w:p>
    <w:p w14:paraId="08EAECDC">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矿区面积：0.9168平方千米；</w:t>
      </w:r>
    </w:p>
    <w:p w14:paraId="6231B606">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采矿许可证号：C6500002013053210129869；</w:t>
      </w:r>
    </w:p>
    <w:p w14:paraId="792CE61F">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开采方式：露天开采</w:t>
      </w:r>
      <w:r>
        <w:rPr>
          <w:rFonts w:hint="eastAsia" w:ascii="Times New Roman" w:hAnsi="Times New Roman" w:cs="Times New Roman"/>
          <w:color w:val="auto"/>
          <w:lang w:val="en-US" w:eastAsia="zh-CN"/>
        </w:rPr>
        <w:t>。</w:t>
      </w:r>
    </w:p>
    <w:p w14:paraId="029DC98D">
      <w:pPr>
        <w:pStyle w:val="4"/>
        <w:spacing w:before="120" w:after="120" w:line="500" w:lineRule="exact"/>
        <w:rPr>
          <w:rFonts w:hint="default" w:ascii="Times New Roman" w:hAnsi="Times New Roman" w:eastAsia="华文中宋" w:cs="Times New Roman"/>
          <w:kern w:val="0"/>
          <w:sz w:val="24"/>
          <w:szCs w:val="24"/>
          <w:lang w:val="en-US" w:eastAsia="zh-CN"/>
        </w:rPr>
      </w:pPr>
      <w:bookmarkStart w:id="73" w:name="_Toc25098"/>
      <w:r>
        <w:rPr>
          <w:rFonts w:hint="default" w:ascii="Times New Roman" w:hAnsi="Times New Roman" w:eastAsia="华文中宋" w:cs="Times New Roman"/>
          <w:kern w:val="0"/>
          <w:sz w:val="24"/>
          <w:szCs w:val="24"/>
          <w:lang w:val="en-US" w:eastAsia="zh-CN"/>
        </w:rPr>
        <w:t>3.1.2工程组成</w:t>
      </w:r>
      <w:bookmarkEnd w:id="73"/>
    </w:p>
    <w:p w14:paraId="5E96D6BF">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根据项目开发利用方案设计内容，本项目组成见下表3.1-</w:t>
      </w:r>
      <w:r>
        <w:rPr>
          <w:rFonts w:hint="eastAsia" w:ascii="Times New Roman" w:hAnsi="Times New Roman" w:eastAsia="华文中宋" w:cs="Times New Roman"/>
          <w:sz w:val="24"/>
          <w:lang w:val="en-US" w:eastAsia="zh-CN"/>
        </w:rPr>
        <w:t>2</w:t>
      </w:r>
      <w:r>
        <w:rPr>
          <w:rFonts w:hint="default" w:ascii="Times New Roman" w:hAnsi="Times New Roman" w:eastAsia="华文中宋" w:cs="Times New Roman"/>
          <w:sz w:val="24"/>
          <w:lang w:val="en-US" w:eastAsia="zh-CN"/>
        </w:rPr>
        <w:t>。</w:t>
      </w:r>
    </w:p>
    <w:p w14:paraId="6B92F242">
      <w:pPr>
        <w:keepNext w:val="0"/>
        <w:keepLines w:val="0"/>
        <w:pageBreakBefore w:val="0"/>
        <w:widowControl w:val="0"/>
        <w:kinsoku/>
        <w:wordWrap/>
        <w:overflowPunct/>
        <w:topLinePunct w:val="0"/>
        <w:autoSpaceDE/>
        <w:autoSpaceDN/>
        <w:bidi w:val="0"/>
        <w:adjustRightInd w:val="0"/>
        <w:snapToGrid w:val="0"/>
        <w:spacing w:line="240" w:lineRule="auto"/>
        <w:ind w:firstLine="560"/>
        <w:jc w:val="center"/>
        <w:textAlignment w:val="auto"/>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表3.1-</w:t>
      </w:r>
      <w:r>
        <w:rPr>
          <w:rFonts w:hint="eastAsia" w:ascii="Times New Roman" w:hAnsi="Times New Roman" w:eastAsia="华文中宋" w:cs="Times New Roman"/>
          <w:b/>
          <w:szCs w:val="21"/>
          <w:lang w:val="en-US" w:eastAsia="zh-CN"/>
        </w:rPr>
        <w:t>2</w:t>
      </w:r>
      <w:r>
        <w:rPr>
          <w:rFonts w:hint="default" w:ascii="Times New Roman" w:hAnsi="Times New Roman" w:eastAsia="华文中宋" w:cs="Times New Roman"/>
          <w:b/>
          <w:szCs w:val="21"/>
          <w:lang w:val="en-US" w:eastAsia="zh-CN"/>
        </w:rPr>
        <w:t xml:space="preserve">  项目组成</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426"/>
        <w:gridCol w:w="1154"/>
        <w:gridCol w:w="6191"/>
      </w:tblGrid>
      <w:tr w14:paraId="77814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pct"/>
            <w:gridSpan w:val="3"/>
            <w:vAlign w:val="center"/>
          </w:tcPr>
          <w:p w14:paraId="40BB0C8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工程类别</w:t>
            </w:r>
          </w:p>
        </w:tc>
        <w:tc>
          <w:tcPr>
            <w:tcW w:w="3633" w:type="pct"/>
            <w:vAlign w:val="center"/>
          </w:tcPr>
          <w:p w14:paraId="08703C1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设计方案</w:t>
            </w:r>
          </w:p>
        </w:tc>
      </w:tr>
      <w:tr w14:paraId="2939F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439" w:type="pct"/>
            <w:vMerge w:val="restart"/>
            <w:vAlign w:val="center"/>
          </w:tcPr>
          <w:p w14:paraId="6A309F5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主体工程</w:t>
            </w:r>
          </w:p>
        </w:tc>
        <w:tc>
          <w:tcPr>
            <w:tcW w:w="250" w:type="pct"/>
            <w:vMerge w:val="restart"/>
            <w:vAlign w:val="center"/>
          </w:tcPr>
          <w:p w14:paraId="0432F0D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露天采矿</w:t>
            </w:r>
          </w:p>
        </w:tc>
        <w:tc>
          <w:tcPr>
            <w:tcW w:w="677" w:type="pct"/>
            <w:vAlign w:val="center"/>
          </w:tcPr>
          <w:p w14:paraId="6890095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开采对象</w:t>
            </w:r>
          </w:p>
        </w:tc>
        <w:tc>
          <w:tcPr>
            <w:tcW w:w="3633" w:type="pct"/>
            <w:vAlign w:val="center"/>
          </w:tcPr>
          <w:p w14:paraId="6D8C605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北露天采坑（Ⅲ</w:t>
            </w:r>
            <w:r>
              <w:rPr>
                <w:rFonts w:hint="default" w:ascii="Times New Roman" w:hAnsi="Times New Roman" w:eastAsia="华文中宋" w:cs="Times New Roman"/>
                <w:szCs w:val="21"/>
                <w:vertAlign w:val="subscript"/>
                <w:lang w:val="en-US" w:eastAsia="zh-CN"/>
              </w:rPr>
              <w:t>2</w:t>
            </w:r>
            <w:r>
              <w:rPr>
                <w:rFonts w:hint="default" w:ascii="Times New Roman" w:hAnsi="Times New Roman" w:eastAsia="华文中宋" w:cs="Times New Roman"/>
                <w:szCs w:val="21"/>
                <w:lang w:val="en-US" w:eastAsia="zh-CN"/>
              </w:rPr>
              <w:t>号矿体）、南露天采坑（Ⅲ</w:t>
            </w:r>
            <w:r>
              <w:rPr>
                <w:rFonts w:hint="default" w:ascii="Times New Roman" w:hAnsi="Times New Roman" w:eastAsia="华文中宋" w:cs="Times New Roman"/>
                <w:szCs w:val="21"/>
                <w:vertAlign w:val="subscript"/>
                <w:lang w:val="en-US" w:eastAsia="zh-CN"/>
              </w:rPr>
              <w:t>6</w:t>
            </w:r>
            <w:r>
              <w:rPr>
                <w:rFonts w:hint="default" w:ascii="Times New Roman" w:hAnsi="Times New Roman" w:eastAsia="华文中宋" w:cs="Times New Roman"/>
                <w:szCs w:val="21"/>
                <w:lang w:val="en-US" w:eastAsia="zh-CN"/>
              </w:rPr>
              <w:t>号矿体）</w:t>
            </w:r>
          </w:p>
        </w:tc>
      </w:tr>
      <w:tr w14:paraId="52F3E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vMerge w:val="continue"/>
            <w:vAlign w:val="center"/>
          </w:tcPr>
          <w:p w14:paraId="5F7A451A">
            <w:pPr>
              <w:spacing w:line="300" w:lineRule="exact"/>
              <w:jc w:val="center"/>
              <w:rPr>
                <w:rFonts w:hint="default" w:ascii="Times New Roman" w:hAnsi="Times New Roman" w:eastAsia="华文中宋" w:cs="Times New Roman"/>
                <w:szCs w:val="21"/>
                <w:lang w:val="en-US" w:eastAsia="zh-CN"/>
              </w:rPr>
            </w:pPr>
          </w:p>
        </w:tc>
        <w:tc>
          <w:tcPr>
            <w:tcW w:w="250" w:type="pct"/>
            <w:vMerge w:val="continue"/>
            <w:vAlign w:val="center"/>
          </w:tcPr>
          <w:p w14:paraId="170A7873">
            <w:pPr>
              <w:spacing w:line="300" w:lineRule="exact"/>
              <w:jc w:val="center"/>
              <w:rPr>
                <w:rFonts w:hint="default" w:ascii="Times New Roman" w:hAnsi="Times New Roman" w:eastAsia="华文中宋" w:cs="Times New Roman"/>
                <w:szCs w:val="21"/>
                <w:lang w:val="en-US" w:eastAsia="zh-CN"/>
              </w:rPr>
            </w:pPr>
          </w:p>
        </w:tc>
        <w:tc>
          <w:tcPr>
            <w:tcW w:w="677" w:type="pct"/>
            <w:vAlign w:val="center"/>
          </w:tcPr>
          <w:p w14:paraId="3DCF3C3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开拓方案</w:t>
            </w:r>
          </w:p>
        </w:tc>
        <w:tc>
          <w:tcPr>
            <w:tcW w:w="3633" w:type="pct"/>
            <w:vAlign w:val="center"/>
          </w:tcPr>
          <w:p w14:paraId="1CF25FA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公路开拓</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汽车运输方案</w:t>
            </w:r>
          </w:p>
        </w:tc>
      </w:tr>
      <w:tr w14:paraId="2E44C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vMerge w:val="continue"/>
            <w:vAlign w:val="center"/>
          </w:tcPr>
          <w:p w14:paraId="56C19419">
            <w:pPr>
              <w:spacing w:line="300" w:lineRule="exact"/>
              <w:jc w:val="center"/>
              <w:rPr>
                <w:rFonts w:hint="default" w:ascii="Times New Roman" w:hAnsi="Times New Roman" w:eastAsia="华文中宋" w:cs="Times New Roman"/>
                <w:szCs w:val="21"/>
                <w:lang w:val="en-US" w:eastAsia="zh-CN"/>
              </w:rPr>
            </w:pPr>
          </w:p>
        </w:tc>
        <w:tc>
          <w:tcPr>
            <w:tcW w:w="250" w:type="pct"/>
            <w:vMerge w:val="continue"/>
            <w:vAlign w:val="center"/>
          </w:tcPr>
          <w:p w14:paraId="07188A6E">
            <w:pPr>
              <w:spacing w:line="300" w:lineRule="exact"/>
              <w:jc w:val="center"/>
              <w:rPr>
                <w:rFonts w:hint="default" w:ascii="Times New Roman" w:hAnsi="Times New Roman" w:eastAsia="华文中宋" w:cs="Times New Roman"/>
                <w:szCs w:val="21"/>
                <w:lang w:val="en-US" w:eastAsia="zh-CN"/>
              </w:rPr>
            </w:pPr>
          </w:p>
        </w:tc>
        <w:tc>
          <w:tcPr>
            <w:tcW w:w="677" w:type="pct"/>
            <w:vAlign w:val="center"/>
          </w:tcPr>
          <w:p w14:paraId="2979364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开采标高</w:t>
            </w:r>
          </w:p>
        </w:tc>
        <w:tc>
          <w:tcPr>
            <w:tcW w:w="3633" w:type="pct"/>
            <w:vAlign w:val="center"/>
          </w:tcPr>
          <w:p w14:paraId="2BF6184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北露天采矿场开采标高5152m，最低开采标高5088m。南露天采矿场最高开采标高5132m，最低开采标高5088m。</w:t>
            </w:r>
          </w:p>
        </w:tc>
      </w:tr>
      <w:tr w14:paraId="0130B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vMerge w:val="continue"/>
            <w:vAlign w:val="center"/>
          </w:tcPr>
          <w:p w14:paraId="12714D80">
            <w:pPr>
              <w:spacing w:line="300" w:lineRule="exact"/>
              <w:jc w:val="center"/>
              <w:rPr>
                <w:rFonts w:hint="default" w:ascii="Times New Roman" w:hAnsi="Times New Roman" w:eastAsia="华文中宋" w:cs="Times New Roman"/>
                <w:szCs w:val="21"/>
                <w:lang w:val="en-US" w:eastAsia="zh-CN"/>
              </w:rPr>
            </w:pPr>
          </w:p>
        </w:tc>
        <w:tc>
          <w:tcPr>
            <w:tcW w:w="250" w:type="pct"/>
            <w:vMerge w:val="continue"/>
            <w:vAlign w:val="center"/>
          </w:tcPr>
          <w:p w14:paraId="0931FF9A">
            <w:pPr>
              <w:spacing w:line="300" w:lineRule="exact"/>
              <w:jc w:val="center"/>
              <w:rPr>
                <w:rFonts w:hint="default" w:ascii="Times New Roman" w:hAnsi="Times New Roman" w:eastAsia="华文中宋" w:cs="Times New Roman"/>
                <w:szCs w:val="21"/>
                <w:lang w:val="en-US" w:eastAsia="zh-CN"/>
              </w:rPr>
            </w:pPr>
          </w:p>
        </w:tc>
        <w:tc>
          <w:tcPr>
            <w:tcW w:w="677" w:type="pct"/>
            <w:vAlign w:val="center"/>
          </w:tcPr>
          <w:p w14:paraId="3FBC8BF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采矿方式</w:t>
            </w:r>
          </w:p>
        </w:tc>
        <w:tc>
          <w:tcPr>
            <w:tcW w:w="3633" w:type="pct"/>
            <w:vAlign w:val="center"/>
          </w:tcPr>
          <w:p w14:paraId="7CE6118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矿山采用自上而下、水平分层组合台阶式开采，最终形成</w:t>
            </w:r>
            <w:r>
              <w:rPr>
                <w:rFonts w:hint="default" w:ascii="Times New Roman" w:hAnsi="Times New Roman" w:eastAsia="华文中宋" w:cs="Times New Roman"/>
                <w:szCs w:val="21"/>
                <w:lang w:eastAsia="zh-CN"/>
              </w:rPr>
              <w:t>两</w:t>
            </w:r>
            <w:r>
              <w:rPr>
                <w:rFonts w:hint="default" w:ascii="Times New Roman" w:hAnsi="Times New Roman" w:eastAsia="华文中宋" w:cs="Times New Roman"/>
                <w:szCs w:val="21"/>
              </w:rPr>
              <w:t>处山坡</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凹陷式露天采场</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四周为高陡边坡</w:t>
            </w:r>
            <w:r>
              <w:rPr>
                <w:rFonts w:hint="default" w:ascii="Times New Roman" w:hAnsi="Times New Roman" w:eastAsia="华文中宋" w:cs="Times New Roman"/>
                <w:szCs w:val="21"/>
                <w:lang w:eastAsia="zh-CN"/>
              </w:rPr>
              <w:t>。</w:t>
            </w:r>
          </w:p>
        </w:tc>
      </w:tr>
      <w:tr w14:paraId="555A7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vMerge w:val="continue"/>
            <w:vAlign w:val="center"/>
          </w:tcPr>
          <w:p w14:paraId="70F4A33C">
            <w:pPr>
              <w:spacing w:line="300" w:lineRule="exact"/>
              <w:jc w:val="center"/>
              <w:rPr>
                <w:rFonts w:hint="default" w:ascii="Times New Roman" w:hAnsi="Times New Roman" w:eastAsia="华文中宋" w:cs="Times New Roman"/>
                <w:szCs w:val="21"/>
                <w:lang w:val="en-US" w:eastAsia="zh-CN"/>
              </w:rPr>
            </w:pPr>
          </w:p>
        </w:tc>
        <w:tc>
          <w:tcPr>
            <w:tcW w:w="250" w:type="pct"/>
            <w:vMerge w:val="continue"/>
            <w:vAlign w:val="center"/>
          </w:tcPr>
          <w:p w14:paraId="4424850D">
            <w:pPr>
              <w:spacing w:line="300" w:lineRule="exact"/>
              <w:jc w:val="center"/>
              <w:rPr>
                <w:rFonts w:hint="default" w:ascii="Times New Roman" w:hAnsi="Times New Roman" w:eastAsia="华文中宋" w:cs="Times New Roman"/>
                <w:szCs w:val="21"/>
                <w:lang w:val="en-US" w:eastAsia="zh-CN"/>
              </w:rPr>
            </w:pPr>
          </w:p>
        </w:tc>
        <w:tc>
          <w:tcPr>
            <w:tcW w:w="677" w:type="pct"/>
            <w:vAlign w:val="center"/>
          </w:tcPr>
          <w:p w14:paraId="1303698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开采规模</w:t>
            </w:r>
          </w:p>
        </w:tc>
        <w:tc>
          <w:tcPr>
            <w:tcW w:w="3633" w:type="pct"/>
            <w:vAlign w:val="center"/>
          </w:tcPr>
          <w:p w14:paraId="4AB1422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12万吨/年</w:t>
            </w:r>
          </w:p>
        </w:tc>
      </w:tr>
      <w:tr w14:paraId="6E151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vMerge w:val="continue"/>
            <w:vAlign w:val="center"/>
          </w:tcPr>
          <w:p w14:paraId="26BEE9F6">
            <w:pPr>
              <w:spacing w:line="300" w:lineRule="exact"/>
              <w:jc w:val="center"/>
              <w:rPr>
                <w:rFonts w:hint="default" w:ascii="Times New Roman" w:hAnsi="Times New Roman" w:eastAsia="华文中宋" w:cs="Times New Roman"/>
                <w:szCs w:val="21"/>
                <w:lang w:val="en-US" w:eastAsia="zh-CN"/>
              </w:rPr>
            </w:pPr>
          </w:p>
        </w:tc>
        <w:tc>
          <w:tcPr>
            <w:tcW w:w="250" w:type="pct"/>
            <w:vMerge w:val="continue"/>
            <w:vAlign w:val="center"/>
          </w:tcPr>
          <w:p w14:paraId="718A67DE">
            <w:pPr>
              <w:spacing w:line="300" w:lineRule="exact"/>
              <w:jc w:val="center"/>
              <w:rPr>
                <w:rFonts w:hint="default" w:ascii="Times New Roman" w:hAnsi="Times New Roman" w:eastAsia="华文中宋" w:cs="Times New Roman"/>
                <w:szCs w:val="21"/>
                <w:lang w:val="en-US" w:eastAsia="zh-CN"/>
              </w:rPr>
            </w:pPr>
          </w:p>
        </w:tc>
        <w:tc>
          <w:tcPr>
            <w:tcW w:w="677" w:type="pct"/>
            <w:vAlign w:val="center"/>
          </w:tcPr>
          <w:p w14:paraId="6F88967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服务年限</w:t>
            </w:r>
          </w:p>
        </w:tc>
        <w:tc>
          <w:tcPr>
            <w:tcW w:w="3633" w:type="pct"/>
            <w:vAlign w:val="center"/>
          </w:tcPr>
          <w:p w14:paraId="5B4F569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5.09年</w:t>
            </w:r>
          </w:p>
        </w:tc>
      </w:tr>
      <w:tr w14:paraId="0355B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vMerge w:val="restart"/>
            <w:vAlign w:val="center"/>
          </w:tcPr>
          <w:p w14:paraId="107D989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储运</w:t>
            </w:r>
            <w:r>
              <w:rPr>
                <w:rFonts w:hint="default" w:ascii="Times New Roman" w:hAnsi="Times New Roman" w:eastAsia="华文中宋" w:cs="Times New Roman"/>
                <w:szCs w:val="21"/>
                <w:lang w:val="en-US" w:eastAsia="zh-CN"/>
              </w:rPr>
              <w:t>工程</w:t>
            </w:r>
          </w:p>
        </w:tc>
        <w:tc>
          <w:tcPr>
            <w:tcW w:w="927" w:type="pct"/>
            <w:gridSpan w:val="2"/>
            <w:vAlign w:val="center"/>
          </w:tcPr>
          <w:p w14:paraId="1BB4A67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废石堆放场</w:t>
            </w:r>
          </w:p>
        </w:tc>
        <w:tc>
          <w:tcPr>
            <w:tcW w:w="3633" w:type="pct"/>
            <w:vAlign w:val="center"/>
          </w:tcPr>
          <w:p w14:paraId="3F22545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eastAsia="zh-CN"/>
              </w:rPr>
              <w:t>废石堆放场</w:t>
            </w:r>
            <w:r>
              <w:rPr>
                <w:rFonts w:hint="default" w:ascii="Times New Roman" w:hAnsi="Times New Roman" w:eastAsia="华文中宋" w:cs="Times New Roman"/>
                <w:szCs w:val="21"/>
              </w:rPr>
              <w:t>布置在</w:t>
            </w:r>
            <w:r>
              <w:rPr>
                <w:rFonts w:hint="default" w:ascii="Times New Roman" w:hAnsi="Times New Roman" w:eastAsia="华文中宋" w:cs="Times New Roman"/>
                <w:szCs w:val="21"/>
                <w:lang w:eastAsia="zh-CN"/>
              </w:rPr>
              <w:t>南</w:t>
            </w:r>
            <w:r>
              <w:rPr>
                <w:rFonts w:hint="default" w:ascii="Times New Roman" w:hAnsi="Times New Roman" w:eastAsia="华文中宋" w:cs="Times New Roman"/>
                <w:szCs w:val="21"/>
              </w:rPr>
              <w:t>露天采场东侧</w:t>
            </w:r>
            <w:r>
              <w:rPr>
                <w:rFonts w:hint="default" w:ascii="Times New Roman" w:hAnsi="Times New Roman" w:eastAsia="华文中宋" w:cs="Times New Roman"/>
                <w:szCs w:val="21"/>
                <w:lang w:val="en-US" w:eastAsia="zh-CN"/>
              </w:rPr>
              <w:t>160</w:t>
            </w:r>
            <w:r>
              <w:rPr>
                <w:rFonts w:hint="default" w:ascii="Times New Roman" w:hAnsi="Times New Roman" w:eastAsia="华文中宋" w:cs="Times New Roman"/>
                <w:szCs w:val="21"/>
                <w:lang w:eastAsia="zh-CN"/>
              </w:rPr>
              <w:t>米</w:t>
            </w:r>
            <w:r>
              <w:rPr>
                <w:rFonts w:hint="default" w:ascii="Times New Roman" w:hAnsi="Times New Roman" w:eastAsia="华文中宋" w:cs="Times New Roman"/>
                <w:szCs w:val="21"/>
              </w:rPr>
              <w:t>处</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容积约</w:t>
            </w:r>
            <w:r>
              <w:rPr>
                <w:rFonts w:hint="eastAsia" w:ascii="Times New Roman" w:hAnsi="Times New Roman" w:eastAsia="华文中宋" w:cs="Times New Roman"/>
                <w:szCs w:val="21"/>
                <w:lang w:val="en-US" w:eastAsia="zh-CN"/>
              </w:rPr>
              <w:t>120</w:t>
            </w:r>
            <w:r>
              <w:rPr>
                <w:rFonts w:hint="default" w:ascii="Times New Roman" w:hAnsi="Times New Roman" w:eastAsia="华文中宋" w:cs="Times New Roman"/>
                <w:szCs w:val="21"/>
              </w:rPr>
              <w:t>万m</w:t>
            </w:r>
            <w:r>
              <w:rPr>
                <w:rFonts w:hint="default" w:ascii="Times New Roman" w:hAnsi="Times New Roman" w:eastAsia="华文中宋" w:cs="Times New Roman"/>
                <w:szCs w:val="21"/>
                <w:vertAlign w:val="superscript"/>
              </w:rPr>
              <w:t>3</w:t>
            </w:r>
            <w:r>
              <w:rPr>
                <w:rFonts w:hint="default" w:ascii="Times New Roman" w:hAnsi="Times New Roman" w:eastAsia="华文中宋" w:cs="Times New Roman"/>
                <w:szCs w:val="21"/>
              </w:rPr>
              <w:t>。</w:t>
            </w:r>
          </w:p>
        </w:tc>
      </w:tr>
      <w:tr w14:paraId="489F3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439" w:type="pct"/>
            <w:vMerge w:val="continue"/>
            <w:vAlign w:val="center"/>
          </w:tcPr>
          <w:p w14:paraId="62079660">
            <w:pPr>
              <w:spacing w:line="300" w:lineRule="exact"/>
              <w:jc w:val="center"/>
              <w:rPr>
                <w:rFonts w:hint="default" w:ascii="Times New Roman" w:hAnsi="Times New Roman" w:eastAsia="华文中宋" w:cs="Times New Roman"/>
                <w:szCs w:val="21"/>
                <w:lang w:val="en-US" w:eastAsia="zh-CN"/>
              </w:rPr>
            </w:pPr>
          </w:p>
        </w:tc>
        <w:tc>
          <w:tcPr>
            <w:tcW w:w="927" w:type="pct"/>
            <w:gridSpan w:val="2"/>
            <w:vAlign w:val="center"/>
          </w:tcPr>
          <w:p w14:paraId="6EA0265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矿石转运场</w:t>
            </w:r>
          </w:p>
        </w:tc>
        <w:tc>
          <w:tcPr>
            <w:tcW w:w="3633" w:type="pct"/>
            <w:vAlign w:val="center"/>
          </w:tcPr>
          <w:p w14:paraId="7740DF9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eastAsia="zh-CN"/>
              </w:rPr>
              <w:t>位于矿区西部，占地面积</w:t>
            </w:r>
            <w:r>
              <w:rPr>
                <w:rFonts w:hint="default" w:ascii="Times New Roman" w:hAnsi="Times New Roman" w:eastAsia="华文中宋" w:cs="Times New Roman"/>
                <w:szCs w:val="21"/>
                <w:lang w:val="en-US" w:eastAsia="zh-CN"/>
              </w:rPr>
              <w:t>0.52公顷</w:t>
            </w:r>
            <w:r>
              <w:rPr>
                <w:rFonts w:hint="default" w:ascii="Times New Roman" w:hAnsi="Times New Roman" w:eastAsia="华文中宋" w:cs="Times New Roman"/>
                <w:szCs w:val="21"/>
              </w:rPr>
              <w:t>，</w:t>
            </w:r>
            <w:r>
              <w:rPr>
                <w:rFonts w:hint="default" w:ascii="Times New Roman" w:hAnsi="Times New Roman" w:eastAsia="华文中宋" w:cs="Times New Roman"/>
                <w:szCs w:val="21"/>
                <w:lang w:eastAsia="zh-CN"/>
              </w:rPr>
              <w:t>设计场地内矿石单层堆放，</w:t>
            </w:r>
            <w:r>
              <w:rPr>
                <w:rFonts w:hint="default" w:ascii="Times New Roman" w:hAnsi="Times New Roman" w:eastAsia="华文中宋" w:cs="Times New Roman"/>
                <w:szCs w:val="21"/>
              </w:rPr>
              <w:t>堆放高度</w:t>
            </w:r>
            <w:r>
              <w:rPr>
                <w:rFonts w:hint="default" w:ascii="Times New Roman" w:hAnsi="Times New Roman" w:eastAsia="华文中宋" w:cs="Times New Roman"/>
                <w:szCs w:val="21"/>
                <w:lang w:val="en-US" w:eastAsia="zh-CN"/>
              </w:rPr>
              <w:t>5</w:t>
            </w:r>
            <w:r>
              <w:rPr>
                <w:rFonts w:hint="default" w:ascii="Times New Roman" w:hAnsi="Times New Roman" w:eastAsia="华文中宋" w:cs="Times New Roman"/>
                <w:szCs w:val="21"/>
              </w:rPr>
              <w:t>米</w:t>
            </w:r>
            <w:r>
              <w:rPr>
                <w:rFonts w:hint="eastAsia" w:ascii="Times New Roman" w:hAnsi="Times New Roman" w:eastAsia="华文中宋" w:cs="Times New Roman"/>
                <w:szCs w:val="21"/>
                <w:lang w:eastAsia="zh-CN"/>
              </w:rPr>
              <w:t>，</w:t>
            </w:r>
            <w:r>
              <w:rPr>
                <w:rFonts w:hint="eastAsia" w:ascii="Times New Roman" w:hAnsi="Times New Roman" w:eastAsia="华文中宋" w:cs="Times New Roman"/>
                <w:szCs w:val="21"/>
                <w:lang w:val="en-US" w:eastAsia="zh-CN"/>
              </w:rPr>
              <w:t>边坡30°</w:t>
            </w:r>
            <w:r>
              <w:rPr>
                <w:rFonts w:hint="default" w:ascii="Times New Roman" w:hAnsi="Times New Roman" w:cs="Times New Roman" w:eastAsiaTheme="minorEastAsia"/>
                <w:b w:val="0"/>
                <w:bCs w:val="0"/>
                <w:color w:val="000000"/>
                <w:sz w:val="21"/>
                <w:szCs w:val="21"/>
                <w:lang w:bidi="ar"/>
              </w:rPr>
              <w:t>。</w:t>
            </w:r>
          </w:p>
        </w:tc>
      </w:tr>
      <w:tr w14:paraId="307ED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vMerge w:val="continue"/>
            <w:vAlign w:val="center"/>
          </w:tcPr>
          <w:p w14:paraId="55108B5B">
            <w:pPr>
              <w:spacing w:line="300" w:lineRule="exact"/>
              <w:jc w:val="center"/>
              <w:rPr>
                <w:rFonts w:hint="default" w:ascii="Times New Roman" w:hAnsi="Times New Roman" w:eastAsia="华文中宋" w:cs="Times New Roman"/>
                <w:szCs w:val="21"/>
                <w:lang w:val="en-US" w:eastAsia="zh-CN"/>
              </w:rPr>
            </w:pPr>
          </w:p>
        </w:tc>
        <w:tc>
          <w:tcPr>
            <w:tcW w:w="927" w:type="pct"/>
            <w:gridSpan w:val="2"/>
            <w:vAlign w:val="center"/>
          </w:tcPr>
          <w:p w14:paraId="27705A0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表土堆放场</w:t>
            </w:r>
          </w:p>
        </w:tc>
        <w:tc>
          <w:tcPr>
            <w:tcW w:w="3633" w:type="pct"/>
            <w:vAlign w:val="center"/>
          </w:tcPr>
          <w:p w14:paraId="5C07852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位于</w:t>
            </w:r>
            <w:r>
              <w:rPr>
                <w:rFonts w:hint="default" w:ascii="Times New Roman" w:hAnsi="Times New Roman" w:eastAsia="华文中宋" w:cs="Times New Roman"/>
                <w:szCs w:val="21"/>
                <w:lang w:eastAsia="zh-CN"/>
              </w:rPr>
              <w:t>北露天采场南侧，</w:t>
            </w:r>
            <w:r>
              <w:rPr>
                <w:rFonts w:hint="default" w:ascii="Times New Roman" w:hAnsi="Times New Roman" w:eastAsia="华文中宋" w:cs="Times New Roman"/>
                <w:szCs w:val="21"/>
              </w:rPr>
              <w:t>表土堆放场面积</w:t>
            </w:r>
            <w:r>
              <w:rPr>
                <w:rFonts w:hint="default" w:ascii="Times New Roman" w:hAnsi="Times New Roman" w:eastAsia="华文中宋" w:cs="Times New Roman"/>
                <w:szCs w:val="21"/>
                <w:lang w:val="en-US" w:eastAsia="zh-CN"/>
              </w:rPr>
              <w:t>0.8</w:t>
            </w:r>
            <w:r>
              <w:rPr>
                <w:rFonts w:hint="default" w:ascii="Times New Roman" w:hAnsi="Times New Roman" w:eastAsia="华文中宋" w:cs="Times New Roman"/>
                <w:szCs w:val="21"/>
              </w:rPr>
              <w:t>公顷，表土采用分层压实堆放，堆放高度</w:t>
            </w:r>
            <w:r>
              <w:rPr>
                <w:rFonts w:hint="default" w:ascii="Times New Roman" w:hAnsi="Times New Roman" w:eastAsia="华文中宋" w:cs="Times New Roman"/>
                <w:szCs w:val="21"/>
                <w:lang w:val="en-US" w:eastAsia="zh-CN"/>
              </w:rPr>
              <w:t>10</w:t>
            </w:r>
            <w:r>
              <w:rPr>
                <w:rFonts w:hint="default" w:ascii="Times New Roman" w:hAnsi="Times New Roman" w:eastAsia="华文中宋" w:cs="Times New Roman"/>
                <w:szCs w:val="21"/>
              </w:rPr>
              <w:t>米，分层高</w:t>
            </w:r>
            <w:r>
              <w:rPr>
                <w:rFonts w:hint="default" w:ascii="Times New Roman" w:hAnsi="Times New Roman" w:eastAsia="华文中宋" w:cs="Times New Roman"/>
                <w:szCs w:val="21"/>
                <w:lang w:val="en-US" w:eastAsia="zh-CN"/>
              </w:rPr>
              <w:t>5</w:t>
            </w:r>
            <w:r>
              <w:rPr>
                <w:rFonts w:hint="default" w:ascii="Times New Roman" w:hAnsi="Times New Roman" w:eastAsia="华文中宋" w:cs="Times New Roman"/>
                <w:szCs w:val="21"/>
              </w:rPr>
              <w:t>米，层间留3米宽平台，边坡坡度30°</w:t>
            </w:r>
            <w:r>
              <w:rPr>
                <w:rFonts w:hint="default" w:ascii="Times New Roman" w:hAnsi="Times New Roman" w:eastAsia="华文中宋" w:cs="Times New Roman"/>
                <w:szCs w:val="21"/>
                <w:lang w:eastAsia="zh-CN"/>
              </w:rPr>
              <w:t>。</w:t>
            </w:r>
          </w:p>
        </w:tc>
      </w:tr>
      <w:tr w14:paraId="76348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vMerge w:val="continue"/>
            <w:vAlign w:val="center"/>
          </w:tcPr>
          <w:p w14:paraId="164AC201">
            <w:pPr>
              <w:spacing w:line="300" w:lineRule="exact"/>
              <w:jc w:val="center"/>
              <w:rPr>
                <w:rFonts w:hint="default" w:ascii="Times New Roman" w:hAnsi="Times New Roman" w:eastAsia="华文中宋" w:cs="Times New Roman"/>
                <w:szCs w:val="21"/>
                <w:lang w:val="en-US" w:eastAsia="zh-CN"/>
              </w:rPr>
            </w:pPr>
          </w:p>
        </w:tc>
        <w:tc>
          <w:tcPr>
            <w:tcW w:w="927" w:type="pct"/>
            <w:gridSpan w:val="2"/>
            <w:vAlign w:val="center"/>
          </w:tcPr>
          <w:p w14:paraId="33AEB8B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cs="Times New Roman" w:eastAsiaTheme="minorEastAsia"/>
                <w:b w:val="0"/>
                <w:bCs w:val="0"/>
                <w:sz w:val="21"/>
                <w:szCs w:val="21"/>
                <w:vertAlign w:val="baseline"/>
                <w:lang w:val="en-US" w:eastAsia="zh-CN"/>
              </w:rPr>
              <w:t>运输条件</w:t>
            </w:r>
          </w:p>
        </w:tc>
        <w:tc>
          <w:tcPr>
            <w:tcW w:w="3633" w:type="pct"/>
            <w:vAlign w:val="center"/>
          </w:tcPr>
          <w:p w14:paraId="2870BB7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设计矿山运输公路布置在露天开采最终境界外西北侧，矿山公路沿山坡布置。</w:t>
            </w:r>
          </w:p>
          <w:p w14:paraId="1F9FB89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矿区内设置道路2.7km，矿区外设置道路12.3km，满足本项目矿石运输要求。</w:t>
            </w:r>
          </w:p>
        </w:tc>
      </w:tr>
      <w:tr w14:paraId="5B247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vMerge w:val="continue"/>
            <w:vAlign w:val="center"/>
          </w:tcPr>
          <w:p w14:paraId="5D0F945B">
            <w:pPr>
              <w:spacing w:line="300" w:lineRule="exact"/>
              <w:jc w:val="center"/>
              <w:rPr>
                <w:rFonts w:hint="default" w:ascii="Times New Roman" w:hAnsi="Times New Roman" w:eastAsia="华文中宋" w:cs="Times New Roman"/>
                <w:szCs w:val="21"/>
                <w:highlight w:val="none"/>
                <w:lang w:val="en-US" w:eastAsia="zh-CN"/>
              </w:rPr>
            </w:pPr>
          </w:p>
        </w:tc>
        <w:tc>
          <w:tcPr>
            <w:tcW w:w="927" w:type="pct"/>
            <w:gridSpan w:val="2"/>
            <w:vAlign w:val="center"/>
          </w:tcPr>
          <w:p w14:paraId="36F6629D">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油库</w:t>
            </w:r>
          </w:p>
        </w:tc>
        <w:tc>
          <w:tcPr>
            <w:tcW w:w="3633" w:type="pct"/>
            <w:vAlign w:val="center"/>
          </w:tcPr>
          <w:p w14:paraId="046B2E2F">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设计矿山采用40t的双层柴油油罐，油罐采用地埋方式储存于储油室外，油罐外壁采用环氧沥青加强级防腐。</w:t>
            </w:r>
          </w:p>
        </w:tc>
      </w:tr>
      <w:tr w14:paraId="24866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vAlign w:val="center"/>
          </w:tcPr>
          <w:p w14:paraId="6F74D2E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辅助工程</w:t>
            </w:r>
          </w:p>
        </w:tc>
        <w:tc>
          <w:tcPr>
            <w:tcW w:w="927" w:type="pct"/>
            <w:gridSpan w:val="2"/>
            <w:shd w:val="clear" w:color="auto" w:fill="auto"/>
            <w:vAlign w:val="center"/>
          </w:tcPr>
          <w:p w14:paraId="755E8E6E">
            <w:pPr>
              <w:spacing w:line="300" w:lineRule="exact"/>
              <w:jc w:val="center"/>
              <w:rPr>
                <w:rFonts w:hint="default" w:ascii="Times New Roman" w:hAnsi="Times New Roman" w:eastAsia="华文中宋" w:cs="Times New Roman"/>
                <w:kern w:val="2"/>
                <w:sz w:val="21"/>
                <w:szCs w:val="21"/>
                <w:lang w:val="en-US" w:eastAsia="zh-CN" w:bidi="ar-SA"/>
              </w:rPr>
            </w:pPr>
            <w:r>
              <w:rPr>
                <w:rFonts w:hint="default" w:ascii="Times New Roman" w:hAnsi="Times New Roman" w:cs="Times New Roman" w:eastAsiaTheme="minorEastAsia"/>
                <w:b w:val="0"/>
                <w:bCs w:val="0"/>
                <w:sz w:val="21"/>
                <w:szCs w:val="21"/>
                <w:vertAlign w:val="baseline"/>
                <w:lang w:val="en-US" w:eastAsia="zh-CN"/>
              </w:rPr>
              <w:t>矿部生活区</w:t>
            </w:r>
          </w:p>
        </w:tc>
        <w:tc>
          <w:tcPr>
            <w:tcW w:w="3633" w:type="pct"/>
            <w:shd w:val="clear" w:color="auto" w:fill="auto"/>
            <w:vAlign w:val="center"/>
          </w:tcPr>
          <w:p w14:paraId="674083C7">
            <w:pPr>
              <w:spacing w:line="300" w:lineRule="exact"/>
              <w:jc w:val="center"/>
              <w:rPr>
                <w:rFonts w:hint="default" w:ascii="Times New Roman" w:hAnsi="Times New Roman" w:eastAsia="华文中宋" w:cs="Times New Roman"/>
                <w:kern w:val="2"/>
                <w:sz w:val="21"/>
                <w:szCs w:val="21"/>
                <w:lang w:val="en-US" w:eastAsia="zh-CN" w:bidi="ar-SA"/>
              </w:rPr>
            </w:pPr>
            <w:r>
              <w:rPr>
                <w:rFonts w:hint="default" w:ascii="Times New Roman" w:hAnsi="Times New Roman" w:eastAsia="华文中宋" w:cs="Times New Roman"/>
                <w:szCs w:val="21"/>
                <w:lang w:val="en-US" w:eastAsia="zh-CN"/>
              </w:rPr>
              <w:t>矿部生活区布设于矿区西南部，距南露天采场直线距离320米，规划</w:t>
            </w:r>
            <w:r>
              <w:rPr>
                <w:spacing w:val="1"/>
              </w:rPr>
              <w:t>区内建设办公室、宿</w:t>
            </w:r>
            <w:r>
              <w:t>舍、食堂、仓库、车库及修理车间等</w:t>
            </w:r>
            <w:r>
              <w:rPr>
                <w:rFonts w:hint="default" w:ascii="Times New Roman" w:hAnsi="Times New Roman" w:eastAsia="华文中宋" w:cs="Times New Roman"/>
                <w:szCs w:val="21"/>
                <w:lang w:val="en-US" w:eastAsia="zh-CN"/>
              </w:rPr>
              <w:t>，建筑面积约595平方米，高度3米。</w:t>
            </w:r>
          </w:p>
        </w:tc>
      </w:tr>
      <w:tr w14:paraId="2AF10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vMerge w:val="restart"/>
            <w:vAlign w:val="center"/>
          </w:tcPr>
          <w:p w14:paraId="581346C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公用工程</w:t>
            </w:r>
          </w:p>
        </w:tc>
        <w:tc>
          <w:tcPr>
            <w:tcW w:w="927" w:type="pct"/>
            <w:gridSpan w:val="2"/>
            <w:vAlign w:val="center"/>
          </w:tcPr>
          <w:p w14:paraId="748D4FC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给水</w:t>
            </w:r>
          </w:p>
        </w:tc>
        <w:tc>
          <w:tcPr>
            <w:tcW w:w="3633" w:type="pct"/>
            <w:vAlign w:val="center"/>
          </w:tcPr>
          <w:p w14:paraId="67E8496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项目生产用水使用周边地表水，生产用水主要用于矿区洒水抑尘。</w:t>
            </w:r>
          </w:p>
          <w:p w14:paraId="1F5D301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项目生活用水从民丰县拉运至矿区，项目在矿区内设置20m</w:t>
            </w:r>
            <w:r>
              <w:rPr>
                <w:rFonts w:hint="default" w:ascii="Times New Roman" w:hAnsi="Times New Roman" w:eastAsia="华文中宋" w:cs="Times New Roman"/>
                <w:szCs w:val="21"/>
                <w:vertAlign w:val="superscript"/>
                <w:lang w:val="en-US" w:eastAsia="zh-CN"/>
              </w:rPr>
              <w:t>3</w:t>
            </w:r>
            <w:r>
              <w:rPr>
                <w:rFonts w:hint="eastAsia" w:ascii="Times New Roman" w:hAnsi="Times New Roman" w:eastAsia="华文中宋" w:cs="Times New Roman"/>
                <w:szCs w:val="21"/>
                <w:lang w:val="en-US" w:eastAsia="zh-CN"/>
              </w:rPr>
              <w:t>生活用水</w:t>
            </w:r>
            <w:r>
              <w:rPr>
                <w:rFonts w:hint="default" w:ascii="Times New Roman" w:hAnsi="Times New Roman" w:eastAsia="华文中宋" w:cs="Times New Roman"/>
                <w:szCs w:val="21"/>
                <w:lang w:val="en-US" w:eastAsia="zh-CN"/>
              </w:rPr>
              <w:t>储水罐</w:t>
            </w:r>
            <w:r>
              <w:rPr>
                <w:rFonts w:hint="eastAsia" w:ascii="Times New Roman" w:hAnsi="Times New Roman" w:eastAsia="华文中宋" w:cs="Times New Roman"/>
                <w:szCs w:val="21"/>
                <w:lang w:val="en-US" w:eastAsia="zh-CN"/>
              </w:rPr>
              <w:t>1</w:t>
            </w:r>
            <w:r>
              <w:rPr>
                <w:rFonts w:hint="default" w:ascii="Times New Roman" w:hAnsi="Times New Roman" w:eastAsia="华文中宋" w:cs="Times New Roman"/>
                <w:szCs w:val="21"/>
                <w:lang w:val="en-US" w:eastAsia="zh-CN"/>
              </w:rPr>
              <w:t>个。</w:t>
            </w:r>
          </w:p>
        </w:tc>
      </w:tr>
      <w:tr w14:paraId="5F738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9" w:type="pct"/>
            <w:vMerge w:val="continue"/>
            <w:vAlign w:val="center"/>
          </w:tcPr>
          <w:p w14:paraId="75848CF6">
            <w:pPr>
              <w:spacing w:line="300" w:lineRule="exact"/>
              <w:jc w:val="center"/>
              <w:rPr>
                <w:rFonts w:hint="default" w:ascii="Times New Roman" w:hAnsi="Times New Roman" w:eastAsia="华文中宋" w:cs="Times New Roman"/>
                <w:szCs w:val="21"/>
                <w:lang w:val="en-US" w:eastAsia="zh-CN"/>
              </w:rPr>
            </w:pPr>
          </w:p>
        </w:tc>
        <w:tc>
          <w:tcPr>
            <w:tcW w:w="927" w:type="pct"/>
            <w:gridSpan w:val="2"/>
            <w:vAlign w:val="center"/>
          </w:tcPr>
          <w:p w14:paraId="0F4C44F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排水</w:t>
            </w:r>
          </w:p>
        </w:tc>
        <w:tc>
          <w:tcPr>
            <w:tcW w:w="3633" w:type="pct"/>
            <w:vAlign w:val="center"/>
          </w:tcPr>
          <w:p w14:paraId="440F8D6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项目生产用水全部自然蒸发，不外排，不产生生产废水；</w:t>
            </w:r>
            <w:r>
              <w:rPr>
                <w:rFonts w:hint="default" w:ascii="Times New Roman" w:hAnsi="Times New Roman" w:eastAsia="华文中宋" w:cs="Times New Roman"/>
                <w:szCs w:val="21"/>
                <w:lang w:val="en-US" w:eastAsia="zh-CN"/>
              </w:rPr>
              <w:t>项目区生活用水量为</w:t>
            </w:r>
            <w:r>
              <w:rPr>
                <w:rFonts w:hint="eastAsia" w:ascii="Times New Roman" w:hAnsi="Times New Roman" w:eastAsia="华文中宋" w:cs="Times New Roman"/>
                <w:szCs w:val="21"/>
                <w:lang w:val="en-US" w:eastAsia="zh-CN"/>
              </w:rPr>
              <w:t>5</w:t>
            </w:r>
            <w:r>
              <w:rPr>
                <w:rFonts w:hint="default" w:ascii="Times New Roman" w:hAnsi="Times New Roman" w:eastAsia="华文中宋" w:cs="Times New Roman"/>
                <w:szCs w:val="21"/>
                <w:lang w:val="en-US" w:eastAsia="zh-CN"/>
              </w:rPr>
              <w:t>m</w:t>
            </w:r>
            <w:r>
              <w:rPr>
                <w:rFonts w:hint="default" w:ascii="Times New Roman" w:hAnsi="Times New Roman" w:eastAsia="华文中宋" w:cs="Times New Roman"/>
                <w:szCs w:val="21"/>
                <w:vertAlign w:val="superscript"/>
                <w:lang w:val="en-US" w:eastAsia="zh-CN"/>
              </w:rPr>
              <w:t>3</w:t>
            </w:r>
            <w:r>
              <w:rPr>
                <w:rFonts w:hint="default" w:ascii="Times New Roman" w:hAnsi="Times New Roman" w:eastAsia="华文中宋" w:cs="Times New Roman"/>
                <w:szCs w:val="21"/>
                <w:lang w:val="en-US" w:eastAsia="zh-CN"/>
              </w:rPr>
              <w:t>/d，在矿山生活区建造一座地埋式一体化污水处理设备（容积10m</w:t>
            </w:r>
            <w:r>
              <w:rPr>
                <w:rFonts w:hint="default" w:ascii="Times New Roman" w:hAnsi="Times New Roman" w:eastAsia="华文中宋" w:cs="Times New Roman"/>
                <w:szCs w:val="21"/>
                <w:vertAlign w:val="superscript"/>
                <w:lang w:val="en-US" w:eastAsia="zh-CN"/>
              </w:rPr>
              <w:t>3</w:t>
            </w:r>
            <w:r>
              <w:rPr>
                <w:rFonts w:hint="default" w:ascii="Times New Roman" w:hAnsi="Times New Roman" w:eastAsia="华文中宋" w:cs="Times New Roman"/>
                <w:szCs w:val="21"/>
                <w:lang w:val="en-US" w:eastAsia="zh-CN"/>
              </w:rPr>
              <w:t>），将处理后的污水用于矿山洒水降尘</w:t>
            </w:r>
            <w:r>
              <w:rPr>
                <w:rFonts w:hint="eastAsia" w:ascii="Times New Roman" w:hAnsi="Times New Roman" w:eastAsia="华文中宋" w:cs="Times New Roman"/>
                <w:szCs w:val="21"/>
                <w:lang w:val="en-US" w:eastAsia="zh-CN"/>
              </w:rPr>
              <w:t>；</w:t>
            </w:r>
            <w:r>
              <w:rPr>
                <w:rFonts w:hint="eastAsia"/>
                <w:lang w:val="en-US" w:eastAsia="zh-CN"/>
              </w:rPr>
              <w:t>矿坑水经矿坑底部集水池收集后全部自然蒸发。</w:t>
            </w:r>
          </w:p>
        </w:tc>
      </w:tr>
      <w:tr w14:paraId="00BF2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vMerge w:val="continue"/>
            <w:vAlign w:val="center"/>
          </w:tcPr>
          <w:p w14:paraId="09A1685A">
            <w:pPr>
              <w:spacing w:line="300" w:lineRule="exact"/>
              <w:jc w:val="center"/>
              <w:rPr>
                <w:rFonts w:hint="default" w:ascii="Times New Roman" w:hAnsi="Times New Roman" w:eastAsia="华文中宋" w:cs="Times New Roman"/>
                <w:szCs w:val="21"/>
                <w:lang w:val="en-US" w:eastAsia="zh-CN"/>
              </w:rPr>
            </w:pPr>
          </w:p>
        </w:tc>
        <w:tc>
          <w:tcPr>
            <w:tcW w:w="927" w:type="pct"/>
            <w:gridSpan w:val="2"/>
            <w:vAlign w:val="center"/>
          </w:tcPr>
          <w:p w14:paraId="012EA26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供热</w:t>
            </w:r>
          </w:p>
        </w:tc>
        <w:tc>
          <w:tcPr>
            <w:tcW w:w="3633" w:type="pct"/>
            <w:vAlign w:val="center"/>
          </w:tcPr>
          <w:p w14:paraId="2E908B2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项目区冬季不生产，无集中供热设施，留守人员采用电锅炉取暖，矿山设置一台48</w:t>
            </w:r>
            <w:r>
              <w:rPr>
                <w:rFonts w:hint="eastAsia" w:ascii="Times New Roman" w:hAnsi="Times New Roman" w:eastAsia="华文中宋" w:cs="Times New Roman"/>
                <w:szCs w:val="21"/>
                <w:lang w:val="en-US" w:eastAsia="zh-CN"/>
              </w:rPr>
              <w:t>k</w:t>
            </w:r>
            <w:r>
              <w:rPr>
                <w:rFonts w:hint="default" w:ascii="Times New Roman" w:hAnsi="Times New Roman" w:eastAsia="华文中宋" w:cs="Times New Roman"/>
                <w:szCs w:val="21"/>
                <w:lang w:val="en-US" w:eastAsia="zh-CN"/>
              </w:rPr>
              <w:t>W热水型电锅炉。</w:t>
            </w:r>
          </w:p>
        </w:tc>
      </w:tr>
      <w:tr w14:paraId="57939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vMerge w:val="continue"/>
            <w:vAlign w:val="center"/>
          </w:tcPr>
          <w:p w14:paraId="4299F04A">
            <w:pPr>
              <w:spacing w:line="300" w:lineRule="exact"/>
              <w:jc w:val="center"/>
              <w:rPr>
                <w:rFonts w:hint="default" w:ascii="Times New Roman" w:hAnsi="Times New Roman" w:eastAsia="华文中宋" w:cs="Times New Roman"/>
                <w:szCs w:val="21"/>
                <w:lang w:val="en-US" w:eastAsia="zh-CN"/>
              </w:rPr>
            </w:pPr>
          </w:p>
        </w:tc>
        <w:tc>
          <w:tcPr>
            <w:tcW w:w="927" w:type="pct"/>
            <w:gridSpan w:val="2"/>
            <w:vAlign w:val="center"/>
          </w:tcPr>
          <w:p w14:paraId="07A32EC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供电</w:t>
            </w:r>
          </w:p>
        </w:tc>
        <w:tc>
          <w:tcPr>
            <w:tcW w:w="3633" w:type="pct"/>
            <w:vAlign w:val="center"/>
          </w:tcPr>
          <w:p w14:paraId="4D33711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cs="Times New Roman" w:eastAsiaTheme="minorEastAsia"/>
                <w:b w:val="0"/>
                <w:bCs w:val="0"/>
                <w:sz w:val="21"/>
                <w:szCs w:val="21"/>
                <w:vertAlign w:val="baseline"/>
                <w:lang w:val="en-US" w:eastAsia="zh-CN"/>
              </w:rPr>
              <w:t>项目区根据用电负荷，</w:t>
            </w:r>
            <w:r>
              <w:rPr>
                <w:rFonts w:hint="default" w:ascii="Times New Roman" w:hAnsi="Times New Roman" w:cs="Times New Roman" w:eastAsiaTheme="minorEastAsia"/>
                <w:b w:val="0"/>
                <w:bCs w:val="0"/>
                <w:color w:val="000000"/>
                <w:sz w:val="21"/>
                <w:szCs w:val="21"/>
              </w:rPr>
              <w:t>选</w:t>
            </w:r>
            <w:r>
              <w:rPr>
                <w:rFonts w:hint="default" w:ascii="Times New Roman" w:hAnsi="Times New Roman" w:cs="Times New Roman" w:eastAsiaTheme="minorEastAsia"/>
                <w:b w:val="0"/>
                <w:bCs w:val="0"/>
                <w:color w:val="000000"/>
                <w:sz w:val="21"/>
                <w:szCs w:val="21"/>
                <w:lang w:val="en-US" w:eastAsia="zh-CN"/>
              </w:rPr>
              <w:t>用</w:t>
            </w:r>
            <w:r>
              <w:rPr>
                <w:rFonts w:hint="eastAsia" w:ascii="Times New Roman" w:hAnsi="Times New Roman" w:cs="Times New Roman"/>
                <w:b w:val="0"/>
                <w:bCs w:val="0"/>
                <w:color w:val="000000"/>
                <w:sz w:val="21"/>
                <w:szCs w:val="21"/>
                <w:lang w:val="en-US" w:eastAsia="zh-CN"/>
              </w:rPr>
              <w:t>2</w:t>
            </w:r>
            <w:r>
              <w:rPr>
                <w:rFonts w:hint="default" w:ascii="Times New Roman" w:hAnsi="Times New Roman" w:cs="Times New Roman" w:eastAsiaTheme="minorEastAsia"/>
                <w:b w:val="0"/>
                <w:bCs w:val="0"/>
                <w:color w:val="000000"/>
                <w:sz w:val="21"/>
                <w:szCs w:val="21"/>
              </w:rPr>
              <w:t>台</w:t>
            </w:r>
            <w:r>
              <w:rPr>
                <w:rFonts w:hint="eastAsia" w:ascii="Times New Roman" w:hAnsi="Times New Roman" w:cs="Times New Roman"/>
                <w:b w:val="0"/>
                <w:bCs w:val="0"/>
                <w:color w:val="000000"/>
                <w:sz w:val="21"/>
                <w:szCs w:val="21"/>
                <w:lang w:val="en-US" w:eastAsia="zh-CN"/>
              </w:rPr>
              <w:t>100</w:t>
            </w:r>
            <w:r>
              <w:rPr>
                <w:rFonts w:hint="default" w:ascii="Times New Roman" w:hAnsi="Times New Roman" w:cs="Times New Roman" w:eastAsiaTheme="minorEastAsia"/>
                <w:b w:val="0"/>
                <w:bCs w:val="0"/>
                <w:color w:val="000000"/>
                <w:sz w:val="21"/>
                <w:szCs w:val="21"/>
              </w:rPr>
              <w:t>kW柴油发电机组可满足采矿用电需要</w:t>
            </w:r>
            <w:r>
              <w:rPr>
                <w:rFonts w:hint="default" w:ascii="Times New Roman" w:hAnsi="Times New Roman" w:cs="Times New Roman" w:eastAsiaTheme="minorEastAsia"/>
                <w:b w:val="0"/>
                <w:bCs w:val="0"/>
                <w:color w:val="000000"/>
                <w:sz w:val="21"/>
                <w:szCs w:val="21"/>
                <w:lang w:eastAsia="zh-CN"/>
              </w:rPr>
              <w:t>。</w:t>
            </w:r>
          </w:p>
        </w:tc>
      </w:tr>
      <w:tr w14:paraId="6C81A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vMerge w:val="restart"/>
            <w:vAlign w:val="center"/>
          </w:tcPr>
          <w:p w14:paraId="34CECD4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cs="Times New Roman" w:eastAsiaTheme="minorEastAsia"/>
                <w:b w:val="0"/>
                <w:bCs w:val="0"/>
                <w:sz w:val="21"/>
                <w:szCs w:val="21"/>
                <w:vertAlign w:val="baseline"/>
                <w:lang w:val="en-US" w:eastAsia="zh-CN"/>
              </w:rPr>
              <w:t>环保工程</w:t>
            </w:r>
          </w:p>
        </w:tc>
        <w:tc>
          <w:tcPr>
            <w:tcW w:w="927" w:type="pct"/>
            <w:gridSpan w:val="2"/>
            <w:vAlign w:val="center"/>
          </w:tcPr>
          <w:p w14:paraId="34017B5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废气</w:t>
            </w:r>
            <w:r>
              <w:rPr>
                <w:rFonts w:hint="eastAsia" w:ascii="Times New Roman" w:hAnsi="Times New Roman" w:eastAsia="华文中宋" w:cs="Times New Roman"/>
                <w:szCs w:val="21"/>
                <w:lang w:val="en-US" w:eastAsia="zh-CN"/>
              </w:rPr>
              <w:t>治理</w:t>
            </w:r>
          </w:p>
        </w:tc>
        <w:tc>
          <w:tcPr>
            <w:tcW w:w="3633" w:type="pct"/>
            <w:vAlign w:val="center"/>
          </w:tcPr>
          <w:p w14:paraId="6679039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项目凿岩采取</w:t>
            </w:r>
            <w:r>
              <w:rPr>
                <w:rFonts w:hint="eastAsia" w:ascii="Times New Roman" w:hAnsi="Times New Roman" w:eastAsia="华文中宋" w:cs="Times New Roman"/>
                <w:szCs w:val="21"/>
                <w:lang w:val="en-US" w:eastAsia="zh-CN"/>
              </w:rPr>
              <w:t>湿式凿岩</w:t>
            </w:r>
            <w:r>
              <w:rPr>
                <w:rFonts w:hint="default" w:ascii="Times New Roman" w:hAnsi="Times New Roman" w:eastAsia="华文中宋" w:cs="Times New Roman"/>
                <w:szCs w:val="21"/>
                <w:lang w:val="en-US" w:eastAsia="zh-CN"/>
              </w:rPr>
              <w:t>，表土堆场、矿石</w:t>
            </w:r>
            <w:r>
              <w:rPr>
                <w:rFonts w:hint="eastAsia" w:ascii="Times New Roman" w:hAnsi="Times New Roman" w:eastAsia="华文中宋" w:cs="Times New Roman"/>
                <w:szCs w:val="21"/>
                <w:lang w:val="en-US" w:eastAsia="zh-CN"/>
              </w:rPr>
              <w:t>转运场</w:t>
            </w:r>
            <w:r>
              <w:rPr>
                <w:rFonts w:hint="default" w:ascii="Times New Roman" w:hAnsi="Times New Roman" w:eastAsia="华文中宋" w:cs="Times New Roman"/>
                <w:szCs w:val="21"/>
                <w:lang w:val="en-US" w:eastAsia="zh-CN"/>
              </w:rPr>
              <w:t>、废石堆场、运输道路等处顶部遮盖或定时洒水降尘。</w:t>
            </w:r>
          </w:p>
        </w:tc>
      </w:tr>
      <w:tr w14:paraId="548B4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vMerge w:val="continue"/>
            <w:vAlign w:val="center"/>
          </w:tcPr>
          <w:p w14:paraId="5A1C4C0E">
            <w:pPr>
              <w:spacing w:line="300" w:lineRule="exact"/>
              <w:jc w:val="center"/>
              <w:rPr>
                <w:rFonts w:hint="default" w:ascii="Times New Roman" w:hAnsi="Times New Roman" w:cs="Times New Roman" w:eastAsiaTheme="minorEastAsia"/>
                <w:b w:val="0"/>
                <w:bCs w:val="0"/>
                <w:sz w:val="21"/>
                <w:szCs w:val="21"/>
                <w:vertAlign w:val="baseline"/>
                <w:lang w:val="en-US" w:eastAsia="zh-CN"/>
              </w:rPr>
            </w:pPr>
          </w:p>
        </w:tc>
        <w:tc>
          <w:tcPr>
            <w:tcW w:w="927" w:type="pct"/>
            <w:gridSpan w:val="2"/>
            <w:vAlign w:val="center"/>
          </w:tcPr>
          <w:p w14:paraId="4CC50DB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废水治理</w:t>
            </w:r>
          </w:p>
        </w:tc>
        <w:tc>
          <w:tcPr>
            <w:tcW w:w="3633" w:type="pct"/>
            <w:vAlign w:val="center"/>
          </w:tcPr>
          <w:p w14:paraId="137B3F4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项目生活污水经地埋式一体化污水处理设施处理后，用于矿区洒水降尘</w:t>
            </w:r>
            <w:r>
              <w:rPr>
                <w:rFonts w:hint="eastAsia" w:ascii="Times New Roman" w:hAnsi="Times New Roman" w:eastAsia="华文中宋" w:cs="Times New Roman"/>
                <w:szCs w:val="21"/>
                <w:lang w:val="en-US" w:eastAsia="zh-CN"/>
              </w:rPr>
              <w:t>；</w:t>
            </w:r>
            <w:r>
              <w:rPr>
                <w:rFonts w:hint="eastAsia"/>
                <w:lang w:val="en-US" w:eastAsia="zh-CN"/>
              </w:rPr>
              <w:t>矿坑水经矿坑底部集水池收集后全部自然蒸发不外排。</w:t>
            </w:r>
          </w:p>
        </w:tc>
      </w:tr>
      <w:tr w14:paraId="7DCEC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vMerge w:val="continue"/>
            <w:vAlign w:val="center"/>
          </w:tcPr>
          <w:p w14:paraId="7B0D76E0">
            <w:pPr>
              <w:spacing w:line="300" w:lineRule="exact"/>
              <w:jc w:val="center"/>
              <w:rPr>
                <w:rFonts w:hint="default" w:ascii="Times New Roman" w:hAnsi="Times New Roman" w:cs="Times New Roman" w:eastAsiaTheme="minorEastAsia"/>
                <w:b w:val="0"/>
                <w:bCs w:val="0"/>
                <w:sz w:val="21"/>
                <w:szCs w:val="21"/>
                <w:vertAlign w:val="baseline"/>
                <w:lang w:val="en-US" w:eastAsia="zh-CN"/>
              </w:rPr>
            </w:pPr>
          </w:p>
        </w:tc>
        <w:tc>
          <w:tcPr>
            <w:tcW w:w="927" w:type="pct"/>
            <w:gridSpan w:val="2"/>
            <w:vAlign w:val="center"/>
          </w:tcPr>
          <w:p w14:paraId="73C3061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噪声治理</w:t>
            </w:r>
          </w:p>
        </w:tc>
        <w:tc>
          <w:tcPr>
            <w:tcW w:w="3633" w:type="pct"/>
            <w:vAlign w:val="center"/>
          </w:tcPr>
          <w:p w14:paraId="3D7639B3">
            <w:pPr>
              <w:spacing w:line="300" w:lineRule="exact"/>
              <w:jc w:val="center"/>
              <w:rPr>
                <w:rFonts w:hint="default" w:ascii="Times New Roman" w:hAnsi="Times New Roman" w:eastAsia="华文中宋" w:cs="Times New Roman"/>
                <w:szCs w:val="21"/>
                <w:lang w:val="en-US" w:eastAsia="zh-CN"/>
              </w:rPr>
            </w:pPr>
            <w:r>
              <w:rPr>
                <w:rFonts w:hint="eastAsia"/>
                <w:snapToGrid w:val="0"/>
                <w:color w:val="auto"/>
                <w:lang w:val="en-US" w:eastAsia="zh-CN"/>
              </w:rPr>
              <w:t>对项目</w:t>
            </w:r>
            <w:r>
              <w:rPr>
                <w:rFonts w:hint="eastAsia"/>
                <w:snapToGrid w:val="0"/>
                <w:color w:val="auto"/>
              </w:rPr>
              <w:t>产噪设备</w:t>
            </w:r>
            <w:r>
              <w:rPr>
                <w:rFonts w:hint="eastAsia"/>
                <w:snapToGrid w:val="0"/>
                <w:color w:val="auto"/>
                <w:lang w:val="en-US" w:eastAsia="zh-CN"/>
              </w:rPr>
              <w:t>以及场地</w:t>
            </w:r>
            <w:r>
              <w:rPr>
                <w:rFonts w:hint="eastAsia"/>
                <w:snapToGrid w:val="0"/>
                <w:color w:val="auto"/>
              </w:rPr>
              <w:t>采取隔声、减震、吸声、消声等措施</w:t>
            </w:r>
          </w:p>
        </w:tc>
      </w:tr>
      <w:tr w14:paraId="40614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vMerge w:val="continue"/>
            <w:vAlign w:val="center"/>
          </w:tcPr>
          <w:p w14:paraId="7D4E557B">
            <w:pPr>
              <w:spacing w:line="300" w:lineRule="exact"/>
              <w:jc w:val="center"/>
              <w:rPr>
                <w:rFonts w:hint="default" w:ascii="Times New Roman" w:hAnsi="Times New Roman" w:cs="Times New Roman" w:eastAsiaTheme="minorEastAsia"/>
                <w:b w:val="0"/>
                <w:bCs w:val="0"/>
                <w:sz w:val="21"/>
                <w:szCs w:val="21"/>
                <w:vertAlign w:val="baseline"/>
                <w:lang w:val="en-US" w:eastAsia="zh-CN"/>
              </w:rPr>
            </w:pPr>
          </w:p>
        </w:tc>
        <w:tc>
          <w:tcPr>
            <w:tcW w:w="927" w:type="pct"/>
            <w:gridSpan w:val="2"/>
            <w:vAlign w:val="center"/>
          </w:tcPr>
          <w:p w14:paraId="6853DA4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固废处理与治理</w:t>
            </w:r>
          </w:p>
        </w:tc>
        <w:tc>
          <w:tcPr>
            <w:tcW w:w="3633" w:type="pct"/>
            <w:vAlign w:val="center"/>
          </w:tcPr>
          <w:p w14:paraId="2FBD3EEE">
            <w:pPr>
              <w:spacing w:line="300" w:lineRule="exact"/>
              <w:jc w:val="center"/>
              <w:rPr>
                <w:rFonts w:hint="eastAsia"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项目北露天采矿场</w:t>
            </w:r>
            <w:r>
              <w:rPr>
                <w:rFonts w:hint="eastAsia" w:ascii="Times New Roman" w:hAnsi="Times New Roman" w:eastAsia="华文中宋" w:cs="Times New Roman"/>
                <w:szCs w:val="21"/>
                <w:lang w:val="en-US" w:eastAsia="zh-CN"/>
              </w:rPr>
              <w:t>废石</w:t>
            </w:r>
            <w:r>
              <w:rPr>
                <w:rFonts w:hint="default" w:ascii="Times New Roman" w:hAnsi="Times New Roman" w:eastAsia="华文中宋" w:cs="Times New Roman"/>
                <w:szCs w:val="21"/>
                <w:lang w:val="en-US" w:eastAsia="zh-CN"/>
              </w:rPr>
              <w:t>堆放在废石堆放场，南露天采矿场开采废石直接回填至北露天采矿场矿坑内</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rPr>
              <w:t>剥离的表土集中堆放在</w:t>
            </w:r>
            <w:r>
              <w:rPr>
                <w:rFonts w:hint="default" w:ascii="Times New Roman" w:hAnsi="Times New Roman" w:eastAsia="华文中宋" w:cs="Times New Roman"/>
                <w:szCs w:val="21"/>
                <w:lang w:val="en-US" w:eastAsia="zh-CN"/>
              </w:rPr>
              <w:t>矿区表土堆放场</w:t>
            </w:r>
            <w:r>
              <w:rPr>
                <w:rFonts w:hint="eastAsia" w:ascii="Times New Roman" w:hAnsi="Times New Roman" w:eastAsia="华文中宋" w:cs="Times New Roman"/>
                <w:szCs w:val="21"/>
                <w:lang w:val="en-US" w:eastAsia="zh-CN"/>
              </w:rPr>
              <w:t>，后期用于开挖场地回填恢复；</w:t>
            </w:r>
            <w:r>
              <w:rPr>
                <w:rFonts w:hint="default" w:ascii="Times New Roman" w:hAnsi="Times New Roman" w:eastAsia="华文中宋" w:cs="Times New Roman"/>
                <w:szCs w:val="21"/>
              </w:rPr>
              <w:t>矿区生活垃圾在</w:t>
            </w:r>
            <w:r>
              <w:rPr>
                <w:rFonts w:hint="default" w:ascii="Times New Roman" w:hAnsi="Times New Roman" w:eastAsia="华文中宋" w:cs="Times New Roman"/>
                <w:szCs w:val="21"/>
                <w:lang w:eastAsia="zh-CN"/>
              </w:rPr>
              <w:t>垃圾桶</w:t>
            </w:r>
            <w:r>
              <w:rPr>
                <w:rFonts w:hint="default" w:ascii="Times New Roman" w:hAnsi="Times New Roman" w:eastAsia="华文中宋" w:cs="Times New Roman"/>
                <w:szCs w:val="21"/>
              </w:rPr>
              <w:t>内临时堆放，每月定期将生活垃圾运至</w:t>
            </w:r>
            <w:r>
              <w:rPr>
                <w:rFonts w:hint="default" w:ascii="Times New Roman" w:hAnsi="Times New Roman" w:eastAsia="华文中宋" w:cs="Times New Roman"/>
                <w:szCs w:val="21"/>
                <w:lang w:eastAsia="zh-CN"/>
              </w:rPr>
              <w:t>民丰县</w:t>
            </w:r>
            <w:r>
              <w:rPr>
                <w:rFonts w:hint="default" w:ascii="Times New Roman" w:hAnsi="Times New Roman" w:eastAsia="华文中宋" w:cs="Times New Roman"/>
                <w:szCs w:val="21"/>
              </w:rPr>
              <w:t>垃圾</w:t>
            </w:r>
            <w:r>
              <w:rPr>
                <w:rFonts w:hint="default" w:ascii="Times New Roman" w:hAnsi="Times New Roman" w:eastAsia="华文中宋" w:cs="Times New Roman"/>
                <w:szCs w:val="21"/>
                <w:lang w:eastAsia="zh-CN"/>
              </w:rPr>
              <w:t>填埋场</w:t>
            </w:r>
            <w:r>
              <w:rPr>
                <w:rFonts w:hint="default" w:ascii="Times New Roman" w:hAnsi="Times New Roman" w:eastAsia="华文中宋" w:cs="Times New Roman"/>
                <w:szCs w:val="21"/>
              </w:rPr>
              <w:t>统一处理</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矿山不设置垃圾填埋场</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lang w:val="en-US" w:eastAsia="zh-CN"/>
              </w:rPr>
              <w:t>项目区地埋式一体化污水处理设备内</w:t>
            </w:r>
            <w:r>
              <w:rPr>
                <w:rFonts w:hint="eastAsia" w:ascii="Times New Roman" w:hAnsi="Times New Roman" w:eastAsia="华文中宋" w:cs="Times New Roman"/>
                <w:szCs w:val="21"/>
                <w:lang w:val="en-US" w:eastAsia="zh-CN"/>
              </w:rPr>
              <w:t>污泥</w:t>
            </w:r>
            <w:r>
              <w:rPr>
                <w:rFonts w:hint="default" w:ascii="Times New Roman" w:hAnsi="Times New Roman" w:eastAsia="华文中宋" w:cs="Times New Roman"/>
                <w:szCs w:val="21"/>
                <w:lang w:val="en-US" w:eastAsia="zh-CN"/>
              </w:rPr>
              <w:t>定期清掏，随生活垃圾一同拉运至</w:t>
            </w:r>
            <w:r>
              <w:rPr>
                <w:rFonts w:hint="default" w:ascii="Times New Roman" w:hAnsi="Times New Roman" w:eastAsia="华文中宋" w:cs="Times New Roman"/>
                <w:szCs w:val="21"/>
                <w:lang w:eastAsia="zh-CN"/>
              </w:rPr>
              <w:t>民丰县</w:t>
            </w:r>
            <w:r>
              <w:rPr>
                <w:rFonts w:hint="default" w:ascii="Times New Roman" w:hAnsi="Times New Roman" w:eastAsia="华文中宋" w:cs="Times New Roman"/>
                <w:szCs w:val="21"/>
              </w:rPr>
              <w:t>垃圾</w:t>
            </w:r>
            <w:r>
              <w:rPr>
                <w:rFonts w:hint="default" w:ascii="Times New Roman" w:hAnsi="Times New Roman" w:eastAsia="华文中宋" w:cs="Times New Roman"/>
                <w:szCs w:val="21"/>
                <w:lang w:eastAsia="zh-CN"/>
              </w:rPr>
              <w:t>填埋场</w:t>
            </w:r>
            <w:r>
              <w:rPr>
                <w:rFonts w:hint="default" w:ascii="Times New Roman" w:hAnsi="Times New Roman" w:eastAsia="华文中宋" w:cs="Times New Roman"/>
                <w:szCs w:val="21"/>
              </w:rPr>
              <w:t>统一处理</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lang w:val="en-US" w:eastAsia="zh-CN"/>
              </w:rPr>
              <w:t>项目在矿区机修间修建一座10m</w:t>
            </w:r>
            <w:r>
              <w:rPr>
                <w:rFonts w:hint="eastAsia" w:ascii="Times New Roman" w:hAnsi="Times New Roman" w:eastAsia="华文中宋" w:cs="Times New Roman"/>
                <w:szCs w:val="21"/>
                <w:vertAlign w:val="superscript"/>
                <w:lang w:val="en-US" w:eastAsia="zh-CN"/>
              </w:rPr>
              <w:t>2</w:t>
            </w:r>
            <w:r>
              <w:rPr>
                <w:rFonts w:hint="default" w:ascii="Times New Roman" w:hAnsi="Times New Roman" w:eastAsia="华文中宋" w:cs="Times New Roman"/>
                <w:szCs w:val="21"/>
                <w:lang w:val="en-US" w:eastAsia="zh-CN"/>
              </w:rPr>
              <w:t>危废贮存间，用于储存采矿机械设备产生的废机油等危废</w:t>
            </w:r>
            <w:r>
              <w:rPr>
                <w:rFonts w:hint="eastAsia" w:ascii="Times New Roman" w:hAnsi="Times New Roman" w:eastAsia="华文中宋" w:cs="Times New Roman"/>
                <w:szCs w:val="21"/>
                <w:lang w:val="en-US" w:eastAsia="zh-CN"/>
              </w:rPr>
              <w:t>，危险废物暂存于危险废物暂存间，定期交由有资质单位处置。</w:t>
            </w:r>
          </w:p>
        </w:tc>
      </w:tr>
      <w:tr w14:paraId="0AB3B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439" w:type="pct"/>
            <w:vMerge w:val="continue"/>
            <w:vAlign w:val="center"/>
          </w:tcPr>
          <w:p w14:paraId="2EB30555">
            <w:pPr>
              <w:spacing w:line="300" w:lineRule="exact"/>
              <w:jc w:val="center"/>
              <w:rPr>
                <w:rFonts w:hint="default" w:ascii="Times New Roman" w:hAnsi="Times New Roman" w:eastAsia="华文中宋" w:cs="Times New Roman"/>
                <w:szCs w:val="21"/>
                <w:lang w:val="en-US" w:eastAsia="zh-CN"/>
              </w:rPr>
            </w:pPr>
          </w:p>
        </w:tc>
        <w:tc>
          <w:tcPr>
            <w:tcW w:w="927" w:type="pct"/>
            <w:gridSpan w:val="2"/>
            <w:vMerge w:val="restart"/>
            <w:vAlign w:val="center"/>
          </w:tcPr>
          <w:p w14:paraId="2CEF4B3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环境风险源</w:t>
            </w:r>
          </w:p>
        </w:tc>
        <w:tc>
          <w:tcPr>
            <w:tcW w:w="3633" w:type="pct"/>
            <w:vAlign w:val="center"/>
          </w:tcPr>
          <w:p w14:paraId="466954C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炸药库的建设及后期运营建设单位委托第三方全权负责，因此本项目炸药库环评手续由第三方公司负责，第三方正在办理相关手续中，具体见附件《民丰县万水源矿业有限责任公司关于盼水河锑铅矿炸药库另行履行环保手续的承诺》。</w:t>
            </w:r>
          </w:p>
        </w:tc>
      </w:tr>
      <w:tr w14:paraId="2E93C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vMerge w:val="continue"/>
            <w:vAlign w:val="center"/>
          </w:tcPr>
          <w:p w14:paraId="2E1C0E90">
            <w:pPr>
              <w:spacing w:line="300" w:lineRule="exact"/>
              <w:jc w:val="center"/>
              <w:rPr>
                <w:rFonts w:hint="default" w:ascii="Times New Roman" w:hAnsi="Times New Roman" w:eastAsia="华文中宋" w:cs="Times New Roman"/>
                <w:szCs w:val="21"/>
                <w:lang w:val="en-US" w:eastAsia="zh-CN"/>
              </w:rPr>
            </w:pPr>
          </w:p>
        </w:tc>
        <w:tc>
          <w:tcPr>
            <w:tcW w:w="927" w:type="pct"/>
            <w:gridSpan w:val="2"/>
            <w:vMerge w:val="continue"/>
            <w:vAlign w:val="center"/>
          </w:tcPr>
          <w:p w14:paraId="7D522D28">
            <w:pPr>
              <w:spacing w:line="300" w:lineRule="exact"/>
              <w:jc w:val="center"/>
              <w:rPr>
                <w:rFonts w:hint="default" w:ascii="Times New Roman" w:hAnsi="Times New Roman" w:eastAsia="华文中宋" w:cs="Times New Roman"/>
                <w:szCs w:val="21"/>
                <w:lang w:val="en-US" w:eastAsia="zh-CN"/>
              </w:rPr>
            </w:pPr>
          </w:p>
        </w:tc>
        <w:tc>
          <w:tcPr>
            <w:tcW w:w="3633" w:type="pct"/>
            <w:vAlign w:val="center"/>
          </w:tcPr>
          <w:p w14:paraId="1D16605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表土堆场、矿石转运场、废石堆放场上游设置截、排洪设施，及时回填露天采坑，采场台阶高度与坡度应符合设计要求，定期开展露天采场山坡台阶和堆场边坡稳定检查，及时排除滑坡与坍塌隐患等。</w:t>
            </w:r>
          </w:p>
        </w:tc>
      </w:tr>
      <w:tr w14:paraId="35BF8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439" w:type="pct"/>
            <w:vMerge w:val="continue"/>
            <w:vAlign w:val="center"/>
          </w:tcPr>
          <w:p w14:paraId="6D8A5922">
            <w:pPr>
              <w:spacing w:line="300" w:lineRule="exact"/>
              <w:jc w:val="center"/>
              <w:rPr>
                <w:rFonts w:hint="default" w:ascii="Times New Roman" w:hAnsi="Times New Roman" w:eastAsia="华文中宋" w:cs="Times New Roman"/>
                <w:szCs w:val="21"/>
                <w:lang w:val="en-US" w:eastAsia="zh-CN"/>
              </w:rPr>
            </w:pPr>
          </w:p>
        </w:tc>
        <w:tc>
          <w:tcPr>
            <w:tcW w:w="927" w:type="pct"/>
            <w:gridSpan w:val="2"/>
            <w:vMerge w:val="restart"/>
            <w:vAlign w:val="center"/>
          </w:tcPr>
          <w:p w14:paraId="6010AC3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生态恢复</w:t>
            </w:r>
          </w:p>
        </w:tc>
        <w:tc>
          <w:tcPr>
            <w:tcW w:w="3633" w:type="pct"/>
            <w:vAlign w:val="center"/>
          </w:tcPr>
          <w:p w14:paraId="78D1DC8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施工期临时占地恢复</w:t>
            </w:r>
            <w:r>
              <w:rPr>
                <w:rFonts w:hint="eastAsia" w:ascii="Times New Roman" w:hAnsi="Times New Roman" w:eastAsia="华文中宋" w:cs="Times New Roman"/>
                <w:szCs w:val="21"/>
                <w:lang w:val="en-US" w:eastAsia="zh-CN"/>
              </w:rPr>
              <w:t>。采矿期</w:t>
            </w:r>
            <w:r>
              <w:rPr>
                <w:rFonts w:hint="default" w:ascii="Times New Roman" w:hAnsi="Times New Roman" w:eastAsia="华文中宋" w:cs="Times New Roman"/>
                <w:szCs w:val="21"/>
                <w:lang w:val="en-US" w:eastAsia="zh-CN"/>
              </w:rPr>
              <w:t>按顺序回填露天采坑，修整露天采场山坡台阶，恢复开采完毕区域生态环境。</w:t>
            </w:r>
          </w:p>
        </w:tc>
      </w:tr>
      <w:tr w14:paraId="0F63E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vMerge w:val="continue"/>
            <w:vAlign w:val="center"/>
          </w:tcPr>
          <w:p w14:paraId="03CAD35D">
            <w:pPr>
              <w:spacing w:line="300" w:lineRule="exact"/>
              <w:jc w:val="center"/>
              <w:rPr>
                <w:rFonts w:hint="default" w:ascii="Times New Roman" w:hAnsi="Times New Roman" w:eastAsia="华文中宋" w:cs="Times New Roman"/>
                <w:szCs w:val="21"/>
                <w:lang w:val="en-US" w:eastAsia="zh-CN"/>
              </w:rPr>
            </w:pPr>
          </w:p>
        </w:tc>
        <w:tc>
          <w:tcPr>
            <w:tcW w:w="927" w:type="pct"/>
            <w:gridSpan w:val="2"/>
            <w:vMerge w:val="continue"/>
            <w:vAlign w:val="center"/>
          </w:tcPr>
          <w:p w14:paraId="7F588444">
            <w:pPr>
              <w:spacing w:line="300" w:lineRule="exact"/>
              <w:jc w:val="center"/>
              <w:rPr>
                <w:rFonts w:hint="default" w:ascii="Times New Roman" w:hAnsi="Times New Roman" w:eastAsia="华文中宋" w:cs="Times New Roman"/>
                <w:szCs w:val="21"/>
                <w:lang w:val="en-US" w:eastAsia="zh-CN"/>
              </w:rPr>
            </w:pPr>
          </w:p>
        </w:tc>
        <w:tc>
          <w:tcPr>
            <w:tcW w:w="3633" w:type="pct"/>
            <w:vAlign w:val="center"/>
          </w:tcPr>
          <w:p w14:paraId="1109CBE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闭矿期废石堆场、办公生活区、运输道路等工程区域的生态恢复治理。</w:t>
            </w:r>
          </w:p>
        </w:tc>
      </w:tr>
    </w:tbl>
    <w:p w14:paraId="1E6A0B88">
      <w:pPr>
        <w:pStyle w:val="4"/>
        <w:spacing w:before="120" w:after="120" w:line="500" w:lineRule="exact"/>
        <w:rPr>
          <w:rFonts w:hint="default" w:ascii="Times New Roman" w:hAnsi="Times New Roman" w:eastAsia="华文中宋" w:cs="Times New Roman"/>
          <w:kern w:val="0"/>
          <w:sz w:val="24"/>
          <w:szCs w:val="24"/>
          <w:lang w:val="en-US" w:eastAsia="zh-CN"/>
        </w:rPr>
      </w:pPr>
      <w:bookmarkStart w:id="74" w:name="_Toc21908"/>
      <w:r>
        <w:rPr>
          <w:rFonts w:hint="default" w:ascii="Times New Roman" w:hAnsi="Times New Roman" w:eastAsia="华文中宋" w:cs="Times New Roman"/>
          <w:kern w:val="0"/>
          <w:sz w:val="24"/>
          <w:szCs w:val="24"/>
          <w:lang w:val="en-US" w:eastAsia="zh-CN"/>
        </w:rPr>
        <w:t>3.1</w:t>
      </w:r>
      <w:r>
        <w:rPr>
          <w:rFonts w:hint="eastAsia" w:ascii="Times New Roman" w:hAnsi="Times New Roman" w:eastAsia="华文中宋" w:cs="Times New Roman"/>
          <w:kern w:val="0"/>
          <w:sz w:val="24"/>
          <w:szCs w:val="24"/>
          <w:lang w:val="en-US" w:eastAsia="zh-CN"/>
        </w:rPr>
        <w:t>.3产品规模及开采方案</w:t>
      </w:r>
      <w:bookmarkEnd w:id="74"/>
    </w:p>
    <w:p w14:paraId="4BFD5BB4">
      <w:pPr>
        <w:pStyle w:val="24"/>
        <w:snapToGrid w:val="0"/>
        <w:jc w:val="left"/>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1）矿山开采能力</w:t>
      </w:r>
    </w:p>
    <w:p w14:paraId="324742F0">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矿山设计开采能力12万m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/a。</w:t>
      </w:r>
    </w:p>
    <w:p w14:paraId="334EA2C1">
      <w:pPr>
        <w:pStyle w:val="24"/>
        <w:snapToGrid w:val="0"/>
        <w:jc w:val="left"/>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2</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资源储量</w:t>
      </w:r>
    </w:p>
    <w:p w14:paraId="5EF76BA5">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本次设计利用资源量为《</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新疆民丰县盼水河铅锑矿详查报告</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矿产资源储量评审意见书》（新国土资储评</w:t>
      </w:r>
      <w:r>
        <w:rPr>
          <w:rFonts w:hint="eastAsia" w:ascii="Times New Roman" w:hAnsi="Times New Roman" w:cs="Times New Roman"/>
          <w:color w:val="auto"/>
          <w:lang w:val="en-US" w:eastAsia="zh-CN"/>
        </w:rPr>
        <w:t>〔2010〕47号</w:t>
      </w:r>
      <w:r>
        <w:rPr>
          <w:rFonts w:hint="default" w:ascii="Times New Roman" w:hAnsi="Times New Roman" w:cs="Times New Roman"/>
          <w:color w:val="auto"/>
          <w:lang w:val="en-US" w:eastAsia="zh-CN"/>
        </w:rPr>
        <w:t>）评审通过的矿区范围内资源量：（332+333）类矿石资源储量64.33万吨，铅矿石平均品位6.045%，铅金属量为38689.98吨，锑矿石平均品位1.084%，锑金属量为6973.66吨。</w:t>
      </w:r>
    </w:p>
    <w:p w14:paraId="360DDBA1">
      <w:pPr>
        <w:pStyle w:val="24"/>
        <w:snapToGrid w:val="0"/>
        <w:jc w:val="left"/>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3</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服务年限</w:t>
      </w:r>
    </w:p>
    <w:p w14:paraId="12CCE05B">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本矿山为新建矿山，矿山基建期1年；矿山生产服务年限5年1个月（首先开采北露天采坑（Ⅲ</w:t>
      </w:r>
      <w:r>
        <w:rPr>
          <w:rFonts w:hint="default"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号矿体），开采规模为12万吨/年，服务年限为3.12年；当北露天采坑（Ⅲ</w:t>
      </w:r>
      <w:r>
        <w:rPr>
          <w:rFonts w:hint="default"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号矿体）开采结束后再开采南露天采坑（Ⅲ</w:t>
      </w:r>
      <w:r>
        <w:rPr>
          <w:rFonts w:hint="default" w:ascii="Times New Roman" w:hAnsi="Times New Roman" w:cs="Times New Roman"/>
          <w:color w:val="auto"/>
          <w:vertAlign w:val="subscript"/>
          <w:lang w:val="en-US" w:eastAsia="zh-CN"/>
        </w:rPr>
        <w:t>6</w:t>
      </w:r>
      <w:r>
        <w:rPr>
          <w:rFonts w:hint="default" w:ascii="Times New Roman" w:hAnsi="Times New Roman" w:cs="Times New Roman"/>
          <w:color w:val="auto"/>
          <w:lang w:val="en-US" w:eastAsia="zh-CN"/>
        </w:rPr>
        <w:t>号矿体），开采规模仍为12万吨/年，服务年限为1.97年）；矿山闭坑后地质环境保护与土地复垦期0.5年；植被管护期3年。</w:t>
      </w:r>
    </w:p>
    <w:p w14:paraId="45B19EA2">
      <w:pPr>
        <w:pStyle w:val="4"/>
        <w:spacing w:before="120" w:after="120" w:line="500" w:lineRule="exact"/>
        <w:rPr>
          <w:rFonts w:hint="default" w:ascii="Times New Roman" w:hAnsi="Times New Roman" w:eastAsia="华文中宋" w:cs="Times New Roman"/>
          <w:kern w:val="0"/>
          <w:sz w:val="24"/>
          <w:szCs w:val="24"/>
          <w:highlight w:val="none"/>
          <w:lang w:val="en-US" w:eastAsia="zh-CN"/>
        </w:rPr>
      </w:pPr>
      <w:bookmarkStart w:id="75" w:name="_Toc10018"/>
      <w:r>
        <w:rPr>
          <w:rFonts w:hint="default" w:ascii="Times New Roman" w:hAnsi="Times New Roman" w:eastAsia="华文中宋" w:cs="Times New Roman"/>
          <w:kern w:val="0"/>
          <w:sz w:val="24"/>
          <w:szCs w:val="24"/>
          <w:highlight w:val="none"/>
          <w:lang w:val="en-US" w:eastAsia="zh-CN"/>
        </w:rPr>
        <w:t>3.1</w:t>
      </w:r>
      <w:r>
        <w:rPr>
          <w:rFonts w:hint="eastAsia" w:ascii="Times New Roman" w:hAnsi="Times New Roman" w:eastAsia="华文中宋" w:cs="Times New Roman"/>
          <w:kern w:val="0"/>
          <w:sz w:val="24"/>
          <w:szCs w:val="24"/>
          <w:highlight w:val="none"/>
          <w:lang w:val="en-US" w:eastAsia="zh-CN"/>
        </w:rPr>
        <w:t>.4</w:t>
      </w:r>
      <w:r>
        <w:rPr>
          <w:rFonts w:hint="default" w:ascii="Times New Roman" w:hAnsi="Times New Roman" w:eastAsia="华文中宋" w:cs="Times New Roman"/>
          <w:kern w:val="0"/>
          <w:sz w:val="24"/>
          <w:szCs w:val="24"/>
          <w:highlight w:val="none"/>
          <w:lang w:val="en-US" w:eastAsia="zh-CN"/>
        </w:rPr>
        <w:t>主体工程</w:t>
      </w:r>
      <w:bookmarkEnd w:id="75"/>
    </w:p>
    <w:p w14:paraId="461F06ED">
      <w:pPr>
        <w:pStyle w:val="24"/>
        <w:snapToGrid w:val="0"/>
        <w:ind w:left="0" w:leftChars="0" w:firstLine="0" w:firstLineChars="0"/>
        <w:jc w:val="left"/>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3.1.4.1</w:t>
      </w:r>
      <w:r>
        <w:rPr>
          <w:rFonts w:hint="default" w:ascii="Times New Roman" w:hAnsi="Times New Roman" w:cs="Times New Roman"/>
          <w:b/>
          <w:bCs/>
          <w:color w:val="auto"/>
          <w:highlight w:val="none"/>
          <w:lang w:val="en-US" w:eastAsia="zh-CN"/>
        </w:rPr>
        <w:t>露天采场</w:t>
      </w:r>
    </w:p>
    <w:p w14:paraId="328C20EB">
      <w:pPr>
        <w:pStyle w:val="24"/>
        <w:snapToGrid w:val="0"/>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矿山规划2处露天采场，分别为北露天采场和南露天采场，规划露天采矿场总占地面积约</w:t>
      </w:r>
      <w:r>
        <w:rPr>
          <w:rFonts w:hint="eastAsia" w:ascii="Times New Roman" w:hAnsi="Times New Roman" w:cs="Times New Roman"/>
          <w:color w:val="auto"/>
          <w:highlight w:val="none"/>
          <w:lang w:val="en-US" w:eastAsia="zh-CN"/>
        </w:rPr>
        <w:t>10.68</w:t>
      </w:r>
      <w:r>
        <w:rPr>
          <w:rFonts w:hint="default" w:ascii="Times New Roman" w:hAnsi="Times New Roman" w:cs="Times New Roman"/>
          <w:color w:val="auto"/>
          <w:highlight w:val="none"/>
          <w:lang w:val="en-US" w:eastAsia="zh-CN"/>
        </w:rPr>
        <w:t>公顷，现分述如下：</w:t>
      </w:r>
    </w:p>
    <w:p w14:paraId="2A1702D3">
      <w:pPr>
        <w:pStyle w:val="24"/>
        <w:snapToGrid w:val="0"/>
        <w:jc w:val="left"/>
        <w:rPr>
          <w:rFonts w:hint="default" w:ascii="Times New Roman" w:hAnsi="Times New Roman" w:cs="Times New Roman"/>
          <w:color w:val="auto"/>
          <w:highlight w:val="none"/>
          <w:lang w:val="en-US" w:eastAsia="zh-CN"/>
        </w:rPr>
      </w:pPr>
      <w:r>
        <w:rPr>
          <w:rFonts w:hint="eastAsia" w:ascii="Calibri" w:hAnsi="Calibri" w:cs="Calibri"/>
          <w:color w:val="auto"/>
          <w:highlight w:val="none"/>
          <w:lang w:val="en-US" w:eastAsia="zh-CN"/>
        </w:rPr>
        <w:t>（1）</w:t>
      </w:r>
      <w:r>
        <w:rPr>
          <w:rFonts w:hint="default" w:ascii="Times New Roman" w:hAnsi="Times New Roman" w:cs="Times New Roman"/>
          <w:color w:val="auto"/>
          <w:highlight w:val="none"/>
          <w:lang w:val="en-US" w:eastAsia="zh-CN"/>
        </w:rPr>
        <w:t>北露天采场</w:t>
      </w:r>
    </w:p>
    <w:p w14:paraId="438F6D88">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规划北露天采场位于矿区北部，为规划开采Ⅲ</w:t>
      </w:r>
      <w:r>
        <w:rPr>
          <w:rFonts w:hint="default"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号矿体，露天采矿场地表境界东西长720米，南北宽88</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110米，底部境界南北长640米，东西宽20米，占地面积约7.22公顷，原始地形坡度约为5-20°。采场最高开采标高5152米，最低开采标高5088米，共规划5个台段，台阶标高为5088、5100、5112、5124、5136米，台阶高度12米，台阶坡面角65°，安全平台宽度4米，最终帮坡角50-58°，最大采深54米</w:t>
      </w:r>
      <w:r>
        <w:rPr>
          <w:rFonts w:hint="eastAsia" w:ascii="Times New Roman" w:hAnsi="Times New Roman" w:cs="Times New Roman"/>
          <w:color w:val="auto"/>
          <w:lang w:val="en-US" w:eastAsia="zh-CN"/>
        </w:rPr>
        <w:t>。</w:t>
      </w:r>
    </w:p>
    <w:p w14:paraId="4CB29740">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Calibri" w:hAnsi="Calibri" w:eastAsia="华文中宋" w:cs="Calibri"/>
          <w:sz w:val="24"/>
          <w:lang w:val="en-US" w:eastAsia="zh-CN"/>
        </w:rPr>
        <w:t>（2）</w:t>
      </w:r>
      <w:r>
        <w:rPr>
          <w:rFonts w:hint="default" w:ascii="Times New Roman" w:hAnsi="Times New Roman" w:eastAsia="华文中宋" w:cs="Times New Roman"/>
          <w:sz w:val="24"/>
          <w:lang w:val="en-US" w:eastAsia="zh-CN"/>
        </w:rPr>
        <w:t>南露天采场</w:t>
      </w:r>
    </w:p>
    <w:p w14:paraId="7D52C731">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lang w:val="en-US" w:eastAsia="zh-CN"/>
        </w:rPr>
        <w:t>规划南露天采场位于矿区南部，为规划开采Ⅲ</w:t>
      </w:r>
      <w:r>
        <w:rPr>
          <w:rFonts w:hint="default" w:ascii="Times New Roman" w:hAnsi="Times New Roman" w:eastAsia="华文中宋" w:cs="Times New Roman"/>
          <w:sz w:val="24"/>
          <w:vertAlign w:val="subscript"/>
          <w:lang w:val="en-US" w:eastAsia="zh-CN"/>
        </w:rPr>
        <w:t>6</w:t>
      </w:r>
      <w:r>
        <w:rPr>
          <w:rFonts w:hint="default" w:ascii="Times New Roman" w:hAnsi="Times New Roman" w:eastAsia="华文中宋" w:cs="Times New Roman"/>
          <w:sz w:val="24"/>
          <w:lang w:val="en-US" w:eastAsia="zh-CN"/>
        </w:rPr>
        <w:t>号矿体，露天采矿场地表境界东西长420米，南北宽96米，底部境界南北长350米，东西宽20米，占地面积约3.46公顷，原始地形坡度约为5-20°。采场最高开采标高5132米，最低开采标高5088米，共规划4个台段，台阶标高为5088、5100、5112、5124米，台阶高度12米，台阶坡面角65°，安全平台宽度4米，最终帮坡角51-46°，最大采深44米</w:t>
      </w:r>
      <w:r>
        <w:rPr>
          <w:rFonts w:hint="default" w:ascii="Times New Roman" w:hAnsi="Times New Roman" w:eastAsia="华文中宋" w:cs="Times New Roman"/>
          <w:sz w:val="24"/>
          <w:highlight w:val="none"/>
          <w:lang w:val="en-US" w:eastAsia="zh-CN"/>
        </w:rPr>
        <w:t>。</w:t>
      </w:r>
    </w:p>
    <w:p w14:paraId="513EF911">
      <w:pPr>
        <w:pStyle w:val="24"/>
        <w:snapToGrid w:val="0"/>
        <w:jc w:val="left"/>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开</w:t>
      </w:r>
      <w:r>
        <w:rPr>
          <w:rFonts w:hint="default" w:ascii="Times New Roman" w:hAnsi="Times New Roman" w:cs="Times New Roman"/>
          <w:color w:val="auto"/>
          <w:highlight w:val="none"/>
          <w:lang w:val="en-US" w:eastAsia="zh-CN"/>
        </w:rPr>
        <w:t>采过程中首采北露天采场产生的废石堆放在废石堆放场，北露天采场闭坑后开采南露天采场产生的废石直接回填至北露天采场。矿山闭坑后首先对露天采坑利用废石进行回填，对回填区及边坡台阶平台进行覆土。矿体采用露天开采方式合理，有利于矿产资源全部开发利用，开采方法和开采顺序有利于保护矿区生态环境，环境风险可控。</w:t>
      </w:r>
    </w:p>
    <w:p w14:paraId="045E57FA">
      <w:pPr>
        <w:pStyle w:val="4"/>
        <w:spacing w:before="120" w:after="120" w:line="500" w:lineRule="exact"/>
        <w:rPr>
          <w:rFonts w:hint="default" w:ascii="Times New Roman" w:hAnsi="Times New Roman" w:eastAsia="华文中宋" w:cs="Times New Roman"/>
          <w:kern w:val="0"/>
          <w:sz w:val="24"/>
          <w:szCs w:val="24"/>
          <w:lang w:val="en-US" w:eastAsia="zh-CN"/>
        </w:rPr>
      </w:pPr>
      <w:bookmarkStart w:id="76" w:name="_Toc26725"/>
      <w:r>
        <w:rPr>
          <w:rFonts w:hint="default" w:ascii="Times New Roman" w:hAnsi="Times New Roman" w:eastAsia="华文中宋" w:cs="Times New Roman"/>
          <w:kern w:val="0"/>
          <w:sz w:val="24"/>
          <w:szCs w:val="24"/>
          <w:lang w:val="en-US" w:eastAsia="zh-CN"/>
        </w:rPr>
        <w:t>3.1.</w:t>
      </w:r>
      <w:r>
        <w:rPr>
          <w:rFonts w:hint="eastAsia" w:ascii="Times New Roman" w:hAnsi="Times New Roman" w:eastAsia="华文中宋" w:cs="Times New Roman"/>
          <w:kern w:val="0"/>
          <w:sz w:val="24"/>
          <w:szCs w:val="24"/>
          <w:lang w:val="en-US" w:eastAsia="zh-CN"/>
        </w:rPr>
        <w:t>5储运</w:t>
      </w:r>
      <w:r>
        <w:rPr>
          <w:rFonts w:hint="default" w:ascii="Times New Roman" w:hAnsi="Times New Roman" w:eastAsia="华文中宋" w:cs="Times New Roman"/>
          <w:kern w:val="0"/>
          <w:sz w:val="24"/>
          <w:szCs w:val="24"/>
          <w:lang w:val="en-US" w:eastAsia="zh-CN"/>
        </w:rPr>
        <w:t>工程</w:t>
      </w:r>
      <w:bookmarkEnd w:id="76"/>
    </w:p>
    <w:p w14:paraId="1AD99868">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（1）废石堆放场</w:t>
      </w:r>
    </w:p>
    <w:p w14:paraId="3DF968DE">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为满足废石堆放需要，集中建设一个废石堆放场，</w:t>
      </w:r>
      <w:r>
        <w:rPr>
          <w:rFonts w:hint="eastAsia" w:ascii="Times New Roman" w:hAnsi="Times New Roman" w:cs="Times New Roman"/>
          <w:color w:val="auto"/>
          <w:lang w:val="en-US" w:eastAsia="zh-CN"/>
        </w:rPr>
        <w:t>用于</w:t>
      </w:r>
      <w:r>
        <w:rPr>
          <w:rFonts w:hint="default" w:ascii="Times New Roman" w:hAnsi="Times New Roman" w:eastAsia="华文中宋" w:cs="Times New Roman"/>
          <w:color w:val="auto"/>
          <w:lang w:val="en-US" w:eastAsia="zh-CN"/>
        </w:rPr>
        <w:t>堆放北露天采场剥离废石，南露天采场开采期间剥离的废石直接回填至北露天采场。矿区北露天采场剥离废石为</w:t>
      </w:r>
      <w:r>
        <w:rPr>
          <w:rFonts w:hint="default" w:ascii="Times New Roman" w:hAnsi="Times New Roman" w:eastAsia="华文中宋" w:cs="Times New Roman"/>
          <w:color w:val="auto"/>
          <w:highlight w:val="none"/>
          <w:lang w:val="en-US" w:eastAsia="zh-CN"/>
        </w:rPr>
        <w:t>308.11万t（</w:t>
      </w:r>
      <w:r>
        <w:rPr>
          <w:rFonts w:hint="eastAsia" w:ascii="Times New Roman" w:hAnsi="Times New Roman" w:cs="Times New Roman"/>
          <w:color w:val="auto"/>
          <w:highlight w:val="none"/>
          <w:lang w:val="en-US" w:eastAsia="zh-CN"/>
        </w:rPr>
        <w:t>106.25</w:t>
      </w:r>
      <w:r>
        <w:rPr>
          <w:rFonts w:hint="default" w:ascii="Times New Roman" w:hAnsi="Times New Roman" w:eastAsia="华文中宋" w:cs="Times New Roman"/>
          <w:color w:val="auto"/>
          <w:highlight w:val="none"/>
          <w:lang w:val="en-US" w:eastAsia="zh-CN"/>
        </w:rPr>
        <w:t>万m</w:t>
      </w:r>
      <w:r>
        <w:rPr>
          <w:rFonts w:hint="default" w:ascii="Times New Roman" w:hAnsi="Times New Roman" w:eastAsia="华文中宋" w:cs="Times New Roman"/>
          <w:color w:val="auto"/>
          <w:highlight w:val="none"/>
          <w:vertAlign w:val="superscript"/>
          <w:lang w:val="en-US" w:eastAsia="zh-CN"/>
        </w:rPr>
        <w:t>3</w:t>
      </w:r>
      <w:r>
        <w:rPr>
          <w:rFonts w:hint="default" w:ascii="Times New Roman" w:hAnsi="Times New Roman" w:eastAsia="华文中宋" w:cs="Times New Roman"/>
          <w:color w:val="auto"/>
          <w:highlight w:val="none"/>
          <w:lang w:val="en-US" w:eastAsia="zh-CN"/>
        </w:rPr>
        <w:t>），考虑到岩土松散、下沉及有一定的富余容量，废石堆放场容积</w:t>
      </w:r>
      <w:r>
        <w:rPr>
          <w:rFonts w:hint="default" w:ascii="Times New Roman" w:hAnsi="Times New Roman" w:cs="Times New Roman"/>
          <w:color w:val="auto"/>
          <w:highlight w:val="none"/>
          <w:lang w:eastAsia="zh-CN"/>
        </w:rPr>
        <w:t>所需</w:t>
      </w:r>
      <w:r>
        <w:rPr>
          <w:rFonts w:hint="default" w:ascii="Times New Roman" w:hAnsi="Times New Roman" w:eastAsia="华文中宋" w:cs="Times New Roman"/>
          <w:color w:val="auto"/>
          <w:highlight w:val="none"/>
          <w:lang w:val="en-US" w:eastAsia="zh-CN"/>
        </w:rPr>
        <w:t>约</w:t>
      </w:r>
      <w:r>
        <w:rPr>
          <w:rFonts w:hint="eastAsia" w:ascii="Times New Roman" w:hAnsi="Times New Roman" w:cs="Times New Roman"/>
          <w:color w:val="auto"/>
          <w:highlight w:val="none"/>
          <w:lang w:val="en-US" w:eastAsia="zh-CN"/>
        </w:rPr>
        <w:t>120</w:t>
      </w:r>
      <w:r>
        <w:rPr>
          <w:rFonts w:hint="default" w:ascii="Times New Roman" w:hAnsi="Times New Roman" w:eastAsia="华文中宋" w:cs="Times New Roman"/>
          <w:color w:val="auto"/>
          <w:highlight w:val="none"/>
          <w:lang w:val="en-US" w:eastAsia="zh-CN"/>
        </w:rPr>
        <w:t>万m</w:t>
      </w:r>
      <w:r>
        <w:rPr>
          <w:rFonts w:hint="default" w:ascii="Times New Roman" w:hAnsi="Times New Roman" w:eastAsia="华文中宋" w:cs="Times New Roman"/>
          <w:color w:val="auto"/>
          <w:highlight w:val="none"/>
          <w:vertAlign w:val="superscript"/>
          <w:lang w:val="en-US" w:eastAsia="zh-CN"/>
        </w:rPr>
        <w:t>3</w:t>
      </w:r>
      <w:r>
        <w:rPr>
          <w:rFonts w:hint="default" w:ascii="Times New Roman" w:hAnsi="Times New Roman" w:eastAsia="华文中宋" w:cs="Times New Roman"/>
          <w:color w:val="auto"/>
          <w:highlight w:val="none"/>
          <w:lang w:val="en-US" w:eastAsia="zh-CN"/>
        </w:rPr>
        <w:t>。</w:t>
      </w:r>
    </w:p>
    <w:p w14:paraId="2AF1C7A8">
      <w:pPr>
        <w:adjustRightInd w:val="0"/>
        <w:snapToGrid w:val="0"/>
        <w:spacing w:line="500" w:lineRule="exact"/>
        <w:ind w:firstLine="480" w:firstLineChars="200"/>
        <w:jc w:val="left"/>
        <w:rPr>
          <w:rFonts w:hint="default" w:ascii="Times New Roman" w:hAnsi="Times New Roman" w:eastAsia="华文中宋" w:cs="Times New Roman"/>
          <w:snapToGrid w:val="0"/>
          <w:color w:val="auto"/>
          <w:kern w:val="0"/>
          <w:sz w:val="24"/>
          <w:szCs w:val="20"/>
          <w:highlight w:val="none"/>
          <w:lang w:val="en-US" w:eastAsia="zh-CN" w:bidi="ar-SA"/>
        </w:rPr>
      </w:pPr>
      <w:r>
        <w:rPr>
          <w:rFonts w:hint="default" w:ascii="Times New Roman" w:hAnsi="Times New Roman" w:eastAsia="华文中宋" w:cs="Times New Roman"/>
          <w:snapToGrid w:val="0"/>
          <w:color w:val="auto"/>
          <w:kern w:val="0"/>
          <w:sz w:val="24"/>
          <w:szCs w:val="20"/>
          <w:highlight w:val="none"/>
          <w:lang w:val="en-US" w:eastAsia="zh-CN" w:bidi="ar-SA"/>
        </w:rPr>
        <w:t>废石堆放场布置在南露天采场东侧160米处，海拔5110</w:t>
      </w:r>
      <w:r>
        <w:rPr>
          <w:rFonts w:hint="eastAsia" w:ascii="Times New Roman" w:hAnsi="Times New Roman" w:eastAsia="华文中宋" w:cs="Times New Roman"/>
          <w:snapToGrid w:val="0"/>
          <w:color w:val="auto"/>
          <w:kern w:val="0"/>
          <w:sz w:val="24"/>
          <w:szCs w:val="20"/>
          <w:highlight w:val="none"/>
          <w:lang w:val="en-US" w:eastAsia="zh-CN" w:bidi="ar-SA"/>
        </w:rPr>
        <w:t>～</w:t>
      </w:r>
      <w:r>
        <w:rPr>
          <w:rFonts w:hint="default" w:ascii="Times New Roman" w:hAnsi="Times New Roman" w:eastAsia="华文中宋" w:cs="Times New Roman"/>
          <w:snapToGrid w:val="0"/>
          <w:color w:val="auto"/>
          <w:kern w:val="0"/>
          <w:sz w:val="24"/>
          <w:szCs w:val="20"/>
          <w:highlight w:val="none"/>
          <w:lang w:val="en-US" w:eastAsia="zh-CN" w:bidi="ar-SA"/>
        </w:rPr>
        <w:t>5120米，场地地形平缓，地形坡度3-12°，废石堆放场面积7.0公顷，设计最大堆高30米，有效容积</w:t>
      </w:r>
      <w:r>
        <w:rPr>
          <w:rFonts w:hint="eastAsia" w:ascii="Times New Roman" w:hAnsi="Times New Roman" w:eastAsia="华文中宋" w:cs="Times New Roman"/>
          <w:snapToGrid w:val="0"/>
          <w:color w:val="auto"/>
          <w:kern w:val="0"/>
          <w:sz w:val="24"/>
          <w:szCs w:val="20"/>
          <w:highlight w:val="none"/>
          <w:lang w:val="en-US" w:eastAsia="zh-CN" w:bidi="ar-SA"/>
        </w:rPr>
        <w:t>120</w:t>
      </w:r>
      <w:r>
        <w:rPr>
          <w:rFonts w:hint="default" w:ascii="Times New Roman" w:hAnsi="Times New Roman" w:eastAsia="华文中宋" w:cs="Times New Roman"/>
          <w:snapToGrid w:val="0"/>
          <w:color w:val="auto"/>
          <w:kern w:val="0"/>
          <w:sz w:val="24"/>
          <w:szCs w:val="20"/>
          <w:highlight w:val="none"/>
          <w:lang w:val="en-US" w:eastAsia="zh-CN" w:bidi="ar-SA"/>
        </w:rPr>
        <w:t>万立方米，可满足废石的堆放需求。废石采用分层压实堆放，分层高5米，层间留3米宽平台，台阶坡面角30°。</w:t>
      </w:r>
    </w:p>
    <w:p w14:paraId="74C3178D">
      <w:pPr>
        <w:adjustRightInd w:val="0"/>
        <w:snapToGrid w:val="0"/>
        <w:spacing w:line="500" w:lineRule="exact"/>
        <w:ind w:firstLine="480" w:firstLineChars="200"/>
        <w:jc w:val="left"/>
        <w:rPr>
          <w:rFonts w:hint="eastAsia" w:ascii="Times New Roman" w:hAnsi="Times New Roman" w:eastAsia="华文中宋" w:cs="Times New Roman"/>
          <w:snapToGrid w:val="0"/>
          <w:color w:val="auto"/>
          <w:kern w:val="0"/>
          <w:sz w:val="24"/>
          <w:szCs w:val="20"/>
          <w:highlight w:val="none"/>
          <w:lang w:val="en-US" w:eastAsia="zh-CN" w:bidi="ar-SA"/>
        </w:rPr>
      </w:pPr>
      <w:r>
        <w:rPr>
          <w:rFonts w:hint="eastAsia" w:ascii="Times New Roman" w:hAnsi="Times New Roman" w:eastAsia="华文中宋" w:cs="Times New Roman"/>
          <w:snapToGrid w:val="0"/>
          <w:color w:val="auto"/>
          <w:kern w:val="0"/>
          <w:sz w:val="24"/>
          <w:szCs w:val="20"/>
          <w:highlight w:val="none"/>
          <w:lang w:val="en-US" w:eastAsia="zh-CN" w:bidi="ar-SA"/>
        </w:rPr>
        <w:t>设计在废石场上游设置截水沟，截水沟采用倒梯形断面，上宽1.0m，下底宽0.5m，深0.5m。排土场顶部及安全平台设置3%的反坡，顶部和安全平台内侧设置排水沟，排水沟采用倒梯形断面，上宽0.6m，下底宽0.3m，深0.3m。</w:t>
      </w:r>
    </w:p>
    <w:p w14:paraId="31C70F13">
      <w:pPr>
        <w:adjustRightInd w:val="0"/>
        <w:snapToGrid w:val="0"/>
        <w:spacing w:line="500" w:lineRule="exact"/>
        <w:ind w:firstLine="480" w:firstLineChars="200"/>
        <w:jc w:val="left"/>
        <w:rPr>
          <w:rFonts w:hint="default" w:ascii="Times New Roman" w:hAnsi="Times New Roman" w:eastAsia="华文中宋" w:cs="Times New Roman"/>
          <w:snapToGrid w:val="0"/>
          <w:color w:val="auto"/>
          <w:kern w:val="0"/>
          <w:sz w:val="24"/>
          <w:szCs w:val="20"/>
          <w:highlight w:val="none"/>
          <w:lang w:val="en-US" w:eastAsia="zh-CN" w:bidi="ar-SA"/>
        </w:rPr>
      </w:pPr>
      <w:r>
        <w:rPr>
          <w:rFonts w:hint="default" w:ascii="Times New Roman" w:hAnsi="Times New Roman" w:eastAsia="华文中宋" w:cs="Times New Roman"/>
          <w:snapToGrid w:val="0"/>
          <w:color w:val="auto"/>
          <w:kern w:val="0"/>
          <w:sz w:val="24"/>
          <w:szCs w:val="20"/>
          <w:highlight w:val="none"/>
          <w:lang w:eastAsia="zh-CN" w:bidi="ar-SA"/>
        </w:rPr>
        <w:t>本项目周边</w:t>
      </w:r>
      <w:r>
        <w:rPr>
          <w:rFonts w:hint="eastAsia" w:ascii="Times New Roman" w:hAnsi="Times New Roman" w:eastAsia="华文中宋" w:cs="Times New Roman"/>
          <w:sz w:val="24"/>
          <w:highlight w:val="none"/>
          <w:lang w:val="en-US" w:eastAsia="zh-CN"/>
        </w:rPr>
        <w:t>无重要工业区、大型水利工程设施、城镇市政工程设施所在区域，军事管理区、机场、国防工程设施圈定的区域，居民聚集区以及重要河流和具有饮用功能的河流。废石堆放场位于北露天采场东南侧约250m，紧靠矿区东侧边界，废石运输距离较短，</w:t>
      </w:r>
      <w:r>
        <w:rPr>
          <w:rFonts w:hint="default" w:ascii="Times New Roman" w:hAnsi="Times New Roman" w:eastAsia="华文中宋" w:cs="Times New Roman"/>
          <w:snapToGrid w:val="0"/>
          <w:color w:val="auto"/>
          <w:kern w:val="0"/>
          <w:sz w:val="24"/>
          <w:szCs w:val="20"/>
          <w:highlight w:val="none"/>
          <w:lang w:val="en-US" w:eastAsia="zh-CN" w:bidi="ar-SA"/>
        </w:rPr>
        <w:t>场地地形平缓，地形坡度3-12°，</w:t>
      </w:r>
      <w:r>
        <w:rPr>
          <w:rFonts w:hint="eastAsia" w:ascii="Times New Roman" w:hAnsi="Times New Roman" w:eastAsia="华文中宋" w:cs="Times New Roman"/>
          <w:snapToGrid w:val="0"/>
          <w:color w:val="auto"/>
          <w:kern w:val="0"/>
          <w:sz w:val="24"/>
          <w:szCs w:val="20"/>
          <w:highlight w:val="none"/>
          <w:lang w:val="en-US" w:eastAsia="zh-CN" w:bidi="ar-SA"/>
        </w:rPr>
        <w:t>选址较为合理。</w:t>
      </w:r>
    </w:p>
    <w:p w14:paraId="2F98B56E">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w:t>
      </w:r>
      <w:r>
        <w:rPr>
          <w:rFonts w:hint="eastAsia" w:ascii="Times New Roman" w:hAnsi="Times New Roman" w:cs="Times New Roman"/>
          <w:color w:val="auto"/>
          <w:lang w:val="en-US" w:eastAsia="zh-CN"/>
        </w:rPr>
        <w:t>2</w:t>
      </w:r>
      <w:r>
        <w:rPr>
          <w:rFonts w:hint="default" w:ascii="Times New Roman" w:hAnsi="Times New Roman" w:eastAsia="华文中宋" w:cs="Times New Roman"/>
          <w:color w:val="auto"/>
          <w:lang w:val="en-US" w:eastAsia="zh-CN"/>
        </w:rPr>
        <w:t>）矿石转运场</w:t>
      </w:r>
    </w:p>
    <w:p w14:paraId="1E476E12">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露天采场采出的矿石由自卸汽车拉运至位于矿区西部的矿石转运场临时堆放，再由第三方运输公司车辆拉运销售。矿石转运场海拔5108</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5117米，由地磅房和堆放场地组成，</w:t>
      </w:r>
      <w:r>
        <w:rPr>
          <w:rFonts w:hint="eastAsia" w:ascii="Times New Roman" w:hAnsi="Times New Roman" w:cs="Times New Roman"/>
          <w:color w:val="auto"/>
          <w:lang w:val="en-US" w:eastAsia="zh-CN"/>
        </w:rPr>
        <w:t>磅房</w:t>
      </w:r>
      <w:r>
        <w:rPr>
          <w:rFonts w:hint="default" w:ascii="Times New Roman" w:hAnsi="Times New Roman" w:eastAsia="华文中宋" w:cs="Times New Roman"/>
          <w:color w:val="auto"/>
          <w:lang w:val="en-US" w:eastAsia="zh-CN"/>
        </w:rPr>
        <w:t>为砖混结构，建筑面积约25平方米。场地地形平缓，地形坡度3-6°，占地面积0.52公顷，设计场地内矿石单层堆放，堆放高度5米，有效容积2万立方米。</w:t>
      </w:r>
      <w:r>
        <w:rPr>
          <w:rFonts w:hint="eastAsia" w:ascii="Times New Roman" w:hAnsi="Times New Roman" w:cs="Times New Roman"/>
          <w:color w:val="auto"/>
          <w:lang w:val="en-US" w:eastAsia="zh-CN"/>
        </w:rPr>
        <w:t>项目矿石转运场位于矿区道路出口，可减少外来运输车辆在矿区内行驶产生的运输粉尘，选址布局合理。</w:t>
      </w:r>
    </w:p>
    <w:p w14:paraId="05CB0DC9">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w:t>
      </w:r>
      <w:r>
        <w:rPr>
          <w:rFonts w:hint="eastAsia" w:ascii="Times New Roman" w:hAnsi="Times New Roman" w:cs="Times New Roman"/>
          <w:color w:val="auto"/>
          <w:lang w:val="en-US" w:eastAsia="zh-CN"/>
        </w:rPr>
        <w:t>3</w:t>
      </w:r>
      <w:r>
        <w:rPr>
          <w:rFonts w:hint="default" w:ascii="Times New Roman" w:hAnsi="Times New Roman" w:eastAsia="华文中宋" w:cs="Times New Roman"/>
          <w:color w:val="auto"/>
          <w:lang w:val="en-US" w:eastAsia="zh-CN"/>
        </w:rPr>
        <w:t>）表土堆放场</w:t>
      </w:r>
    </w:p>
    <w:p w14:paraId="42F9233E">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对各规划场地境界内表土进行剥离，剥离的表土进行集中堆放在北露天采场南侧的表土堆放场，场地</w:t>
      </w:r>
      <w:r>
        <w:rPr>
          <w:rFonts w:hint="eastAsia" w:ascii="Times New Roman" w:hAnsi="Times New Roman" w:cs="Times New Roman"/>
          <w:color w:val="auto"/>
          <w:lang w:val="en-US" w:eastAsia="zh-CN"/>
        </w:rPr>
        <w:t>海拔</w:t>
      </w:r>
      <w:r>
        <w:rPr>
          <w:rFonts w:hint="default" w:ascii="Times New Roman" w:hAnsi="Times New Roman" w:eastAsia="华文中宋" w:cs="Times New Roman"/>
          <w:color w:val="auto"/>
          <w:lang w:val="en-US" w:eastAsia="zh-CN"/>
        </w:rPr>
        <w:t>5120</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5126米，地形平缓，地形坡度3</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10°，表土堆放量约58530立方米，表土堆放场面积0.8公顷，表土采用分层压实堆放，堆放高度10米，分层高5米，层间留3米宽平台，边坡坡度30°。</w:t>
      </w:r>
      <w:r>
        <w:rPr>
          <w:rFonts w:hint="eastAsia" w:ascii="Times New Roman" w:hAnsi="Times New Roman" w:cs="Times New Roman"/>
          <w:color w:val="auto"/>
          <w:lang w:val="en-US" w:eastAsia="zh-CN"/>
        </w:rPr>
        <w:t>项目表土堆场位于矿区中部，用于堆放施工过程中各类地面工程开挖的表土，表土堆放场位置居中，方便矿区内各类地面工程开挖时表土运输工作，选址布局合理。</w:t>
      </w:r>
    </w:p>
    <w:p w14:paraId="714260A2">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w:t>
      </w:r>
      <w:r>
        <w:rPr>
          <w:rFonts w:hint="eastAsia" w:ascii="Times New Roman" w:hAnsi="Times New Roman" w:cs="Times New Roman"/>
          <w:color w:val="auto"/>
          <w:lang w:val="en-US" w:eastAsia="zh-CN"/>
        </w:rPr>
        <w:t>4</w:t>
      </w:r>
      <w:r>
        <w:rPr>
          <w:rFonts w:hint="default" w:ascii="Times New Roman" w:hAnsi="Times New Roman" w:eastAsia="华文中宋" w:cs="Times New Roman"/>
          <w:color w:val="auto"/>
          <w:lang w:val="en-US" w:eastAsia="zh-CN"/>
        </w:rPr>
        <w:t>）矿区道路</w:t>
      </w:r>
    </w:p>
    <w:p w14:paraId="4AC8818B">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①</w:t>
      </w:r>
      <w:r>
        <w:rPr>
          <w:rFonts w:hint="eastAsia" w:ascii="Times New Roman" w:hAnsi="Times New Roman" w:eastAsia="华文中宋" w:cs="Times New Roman"/>
          <w:color w:val="auto"/>
          <w:lang w:val="en-US" w:eastAsia="zh-CN"/>
        </w:rPr>
        <w:t>矿区内部运输道路</w:t>
      </w:r>
    </w:p>
    <w:p w14:paraId="0F40D8B1">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矿山公路沿山坡布置</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设计矿区道路按照《厂矿道路设计规范》矿山Ⅲ级道路标准进行修建，泥结碎石路面，单车道，路面宽度5.5m，路基宽度8.5m，道平均纵坡3%，最大纵坡度6%，最小转弯半径15m，最高车速20km/h。矿山道路较短，可不设应急避险车道，道路设置缓坡段，缓坡段长度为50m，坡度≤3％。</w:t>
      </w:r>
    </w:p>
    <w:p w14:paraId="2D36C6D0">
      <w:pPr>
        <w:pStyle w:val="24"/>
        <w:snapToGrid w:val="0"/>
        <w:jc w:val="left"/>
        <w:rPr>
          <w:rFonts w:hint="eastAsia"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②</w:t>
      </w:r>
      <w:r>
        <w:rPr>
          <w:rFonts w:hint="eastAsia" w:ascii="Times New Roman" w:hAnsi="Times New Roman" w:eastAsia="华文中宋" w:cs="Times New Roman"/>
          <w:color w:val="auto"/>
          <w:lang w:val="en-US" w:eastAsia="zh-CN"/>
        </w:rPr>
        <w:t>外部运输道路</w:t>
      </w:r>
    </w:p>
    <w:p w14:paraId="54FE88CC">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矿区外部运输道路，主要为矿石运输道路，</w:t>
      </w:r>
      <w:r>
        <w:rPr>
          <w:rFonts w:hint="eastAsia" w:ascii="Times New Roman" w:hAnsi="Times New Roman" w:cs="Times New Roman"/>
          <w:color w:val="auto"/>
          <w:lang w:val="en-US" w:eastAsia="zh-CN"/>
        </w:rPr>
        <w:t>道路总长约12.3km</w:t>
      </w:r>
      <w:r>
        <w:rPr>
          <w:rFonts w:hint="default" w:ascii="Times New Roman" w:hAnsi="Times New Roman" w:eastAsia="华文中宋" w:cs="Times New Roman"/>
          <w:color w:val="auto"/>
          <w:lang w:val="en-US" w:eastAsia="zh-CN"/>
        </w:rPr>
        <w:t>，</w:t>
      </w:r>
      <w:r>
        <w:rPr>
          <w:rFonts w:hint="eastAsia" w:ascii="Times New Roman" w:hAnsi="Times New Roman" w:cs="Times New Roman"/>
          <w:color w:val="auto"/>
          <w:lang w:val="en-US" w:eastAsia="zh-CN"/>
        </w:rPr>
        <w:t>道路宽4m，占地4.918hm</w:t>
      </w:r>
      <w:r>
        <w:rPr>
          <w:rFonts w:hint="eastAsia" w:ascii="Times New Roman" w:hAnsi="Times New Roman" w:cs="Times New Roman"/>
          <w:color w:val="auto"/>
          <w:vertAlign w:val="superscript"/>
          <w:lang w:val="en-US" w:eastAsia="zh-CN"/>
        </w:rPr>
        <w:t>2</w:t>
      </w:r>
      <w:r>
        <w:rPr>
          <w:rFonts w:hint="eastAsia" w:ascii="Times New Roman" w:hAnsi="Times New Roman" w:cs="Times New Roman"/>
          <w:color w:val="auto"/>
          <w:vertAlign w:val="baseline"/>
          <w:lang w:val="en-US" w:eastAsia="zh-CN"/>
        </w:rPr>
        <w:t>，</w:t>
      </w:r>
      <w:r>
        <w:rPr>
          <w:rFonts w:hint="default" w:ascii="Times New Roman" w:hAnsi="Times New Roman" w:eastAsia="华文中宋" w:cs="Times New Roman"/>
          <w:color w:val="auto"/>
          <w:lang w:val="en-US" w:eastAsia="zh-CN"/>
        </w:rPr>
        <w:t>平均坡度3.5%，最大坡度8%，曲率半径20m，曲线段坡度3%。</w:t>
      </w:r>
    </w:p>
    <w:p w14:paraId="0E012A2D">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3.1-</w:t>
      </w:r>
      <w:r>
        <w:rPr>
          <w:rFonts w:hint="eastAsia" w:ascii="Times New Roman" w:hAnsi="Times New Roman" w:eastAsia="华文中宋" w:cs="Times New Roman"/>
          <w:b/>
          <w:szCs w:val="21"/>
          <w:lang w:val="en-US" w:eastAsia="zh-CN"/>
        </w:rPr>
        <w:t>3</w:t>
      </w:r>
      <w:r>
        <w:rPr>
          <w:rFonts w:hint="default" w:ascii="Times New Roman" w:hAnsi="Times New Roman" w:eastAsia="华文中宋" w:cs="Times New Roman"/>
          <w:b/>
          <w:szCs w:val="21"/>
          <w:lang w:val="en-US" w:eastAsia="zh-CN"/>
        </w:rPr>
        <w:t xml:space="preserve">  项目建设内容占地面积一览表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9"/>
        <w:gridCol w:w="2840"/>
        <w:gridCol w:w="2840"/>
      </w:tblGrid>
      <w:tr w14:paraId="44DBC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5EE6164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工程名称</w:t>
            </w:r>
          </w:p>
        </w:tc>
        <w:tc>
          <w:tcPr>
            <w:tcW w:w="1666" w:type="pct"/>
            <w:vAlign w:val="center"/>
          </w:tcPr>
          <w:p w14:paraId="59610B2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占地面积（hm</w:t>
            </w:r>
            <w:r>
              <w:rPr>
                <w:rFonts w:hint="default" w:ascii="Times New Roman" w:hAnsi="Times New Roman" w:eastAsia="华文中宋" w:cs="Times New Roman"/>
                <w:szCs w:val="21"/>
                <w:vertAlign w:val="superscript"/>
                <w:lang w:val="en-US" w:eastAsia="zh-CN"/>
              </w:rPr>
              <w:t>2</w:t>
            </w:r>
            <w:r>
              <w:rPr>
                <w:rFonts w:hint="default" w:ascii="Times New Roman" w:hAnsi="Times New Roman" w:eastAsia="华文中宋" w:cs="Times New Roman"/>
                <w:szCs w:val="21"/>
                <w:lang w:val="en-US" w:eastAsia="zh-CN"/>
              </w:rPr>
              <w:t>）</w:t>
            </w:r>
          </w:p>
        </w:tc>
        <w:tc>
          <w:tcPr>
            <w:tcW w:w="1666" w:type="pct"/>
            <w:vAlign w:val="center"/>
          </w:tcPr>
          <w:p w14:paraId="4FFCF39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分布位置</w:t>
            </w:r>
          </w:p>
        </w:tc>
      </w:tr>
      <w:tr w14:paraId="0A658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4E6453E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北露天采矿场</w:t>
            </w:r>
          </w:p>
        </w:tc>
        <w:tc>
          <w:tcPr>
            <w:tcW w:w="1666" w:type="pct"/>
            <w:vAlign w:val="center"/>
          </w:tcPr>
          <w:p w14:paraId="439F003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7.22</w:t>
            </w:r>
          </w:p>
        </w:tc>
        <w:tc>
          <w:tcPr>
            <w:tcW w:w="1666" w:type="pct"/>
            <w:vAlign w:val="center"/>
          </w:tcPr>
          <w:p w14:paraId="307EC4D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界内</w:t>
            </w:r>
          </w:p>
        </w:tc>
      </w:tr>
      <w:tr w14:paraId="7C40A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034DDF9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南露天采矿场</w:t>
            </w:r>
          </w:p>
        </w:tc>
        <w:tc>
          <w:tcPr>
            <w:tcW w:w="1666" w:type="pct"/>
            <w:vAlign w:val="center"/>
          </w:tcPr>
          <w:p w14:paraId="1F2F89C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3.46</w:t>
            </w:r>
          </w:p>
        </w:tc>
        <w:tc>
          <w:tcPr>
            <w:tcW w:w="1666" w:type="pct"/>
            <w:vAlign w:val="center"/>
          </w:tcPr>
          <w:p w14:paraId="013A1CE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界内</w:t>
            </w:r>
          </w:p>
        </w:tc>
      </w:tr>
      <w:tr w14:paraId="1AA86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4916A8D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矿部生活区</w:t>
            </w:r>
          </w:p>
        </w:tc>
        <w:tc>
          <w:tcPr>
            <w:tcW w:w="1666" w:type="pct"/>
            <w:vAlign w:val="center"/>
          </w:tcPr>
          <w:p w14:paraId="47E640E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0.29</w:t>
            </w:r>
          </w:p>
        </w:tc>
        <w:tc>
          <w:tcPr>
            <w:tcW w:w="1666" w:type="pct"/>
            <w:vAlign w:val="center"/>
          </w:tcPr>
          <w:p w14:paraId="4A454A7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界内</w:t>
            </w:r>
          </w:p>
        </w:tc>
      </w:tr>
      <w:tr w14:paraId="160A5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7B1AB8D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矿石转运区</w:t>
            </w:r>
          </w:p>
        </w:tc>
        <w:tc>
          <w:tcPr>
            <w:tcW w:w="1666" w:type="pct"/>
            <w:vAlign w:val="center"/>
          </w:tcPr>
          <w:p w14:paraId="346C8B3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0.52</w:t>
            </w:r>
          </w:p>
        </w:tc>
        <w:tc>
          <w:tcPr>
            <w:tcW w:w="1666" w:type="pct"/>
            <w:vAlign w:val="center"/>
          </w:tcPr>
          <w:p w14:paraId="7CDACC4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界内</w:t>
            </w:r>
          </w:p>
        </w:tc>
      </w:tr>
      <w:tr w14:paraId="70A92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014BEAD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表土堆场</w:t>
            </w:r>
          </w:p>
        </w:tc>
        <w:tc>
          <w:tcPr>
            <w:tcW w:w="1666" w:type="pct"/>
            <w:vAlign w:val="center"/>
          </w:tcPr>
          <w:p w14:paraId="4AFECE8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0.8</w:t>
            </w:r>
          </w:p>
        </w:tc>
        <w:tc>
          <w:tcPr>
            <w:tcW w:w="1666" w:type="pct"/>
            <w:vAlign w:val="center"/>
          </w:tcPr>
          <w:p w14:paraId="26F19D8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界内</w:t>
            </w:r>
          </w:p>
        </w:tc>
      </w:tr>
      <w:tr w14:paraId="46C66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34C46C4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废石堆放场</w:t>
            </w:r>
          </w:p>
        </w:tc>
        <w:tc>
          <w:tcPr>
            <w:tcW w:w="1666" w:type="pct"/>
            <w:vAlign w:val="center"/>
          </w:tcPr>
          <w:p w14:paraId="216544E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7.0</w:t>
            </w:r>
          </w:p>
        </w:tc>
        <w:tc>
          <w:tcPr>
            <w:tcW w:w="1666" w:type="pct"/>
            <w:vAlign w:val="center"/>
          </w:tcPr>
          <w:p w14:paraId="726FCB7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界内</w:t>
            </w:r>
          </w:p>
        </w:tc>
      </w:tr>
      <w:tr w14:paraId="052E3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53DABB26">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规划矿山道路</w:t>
            </w:r>
          </w:p>
        </w:tc>
        <w:tc>
          <w:tcPr>
            <w:tcW w:w="1666" w:type="pct"/>
            <w:vAlign w:val="center"/>
          </w:tcPr>
          <w:p w14:paraId="592BA86D">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5.938</w:t>
            </w:r>
          </w:p>
        </w:tc>
        <w:tc>
          <w:tcPr>
            <w:tcW w:w="1666" w:type="pct"/>
            <w:vAlign w:val="center"/>
          </w:tcPr>
          <w:p w14:paraId="10B55F26">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界内/外</w:t>
            </w:r>
          </w:p>
        </w:tc>
      </w:tr>
      <w:tr w14:paraId="0395F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666" w:type="pct"/>
            <w:vAlign w:val="center"/>
          </w:tcPr>
          <w:p w14:paraId="1C592E5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总计</w:t>
            </w:r>
          </w:p>
        </w:tc>
        <w:tc>
          <w:tcPr>
            <w:tcW w:w="1666" w:type="pct"/>
            <w:vAlign w:val="center"/>
          </w:tcPr>
          <w:p w14:paraId="4585F83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25.228</w:t>
            </w:r>
          </w:p>
        </w:tc>
        <w:tc>
          <w:tcPr>
            <w:tcW w:w="1666" w:type="pct"/>
            <w:vAlign w:val="center"/>
          </w:tcPr>
          <w:p w14:paraId="646E902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界内/外</w:t>
            </w:r>
          </w:p>
        </w:tc>
      </w:tr>
    </w:tbl>
    <w:p w14:paraId="41062849">
      <w:pPr>
        <w:pStyle w:val="24"/>
        <w:snapToGrid w:val="0"/>
        <w:jc w:val="left"/>
        <w:rPr>
          <w:rFonts w:hint="eastAsia"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（5）</w:t>
      </w:r>
      <w:r>
        <w:rPr>
          <w:rFonts w:hint="eastAsia" w:ascii="Times New Roman" w:hAnsi="Times New Roman" w:eastAsia="华文中宋" w:cs="Times New Roman"/>
          <w:color w:val="auto"/>
          <w:lang w:val="en-US" w:eastAsia="zh-CN"/>
        </w:rPr>
        <w:t>储油设施</w:t>
      </w:r>
    </w:p>
    <w:p w14:paraId="32B2F0BC">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设计矿山采用40t的双层柴油油罐，满足7天用油量，油罐采用地埋方式储存于储油室外，油罐外壁采用环氧沥青加强级防腐。</w:t>
      </w:r>
    </w:p>
    <w:p w14:paraId="57B9463B">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储油区配备1台手摇泵及2个MFZ8型干粉灭火器和1个35kg手推式干粉灭火器，同时配备消防桶、消防铲，沙池等消防设施。</w:t>
      </w:r>
    </w:p>
    <w:p w14:paraId="6544AA78">
      <w:pPr>
        <w:pStyle w:val="24"/>
        <w:snapToGrid w:val="0"/>
        <w:jc w:val="left"/>
        <w:rPr>
          <w:rFonts w:hint="default"/>
          <w:lang w:val="en-US" w:eastAsia="zh-CN"/>
        </w:rPr>
      </w:pPr>
      <w:r>
        <w:rPr>
          <w:rFonts w:hint="default" w:ascii="Times New Roman" w:hAnsi="Times New Roman" w:eastAsia="华文中宋" w:cs="Times New Roman"/>
          <w:color w:val="auto"/>
          <w:lang w:val="en-US" w:eastAsia="zh-CN"/>
        </w:rPr>
        <w:t>金属油罐必须</w:t>
      </w:r>
      <w:r>
        <w:rPr>
          <w:rFonts w:hint="eastAsia" w:ascii="Times New Roman" w:hAnsi="Times New Roman" w:cs="Times New Roman"/>
          <w:color w:val="auto"/>
          <w:lang w:val="en-US" w:eastAsia="zh-CN"/>
        </w:rPr>
        <w:t>做</w:t>
      </w:r>
      <w:r>
        <w:rPr>
          <w:rFonts w:hint="default" w:ascii="Times New Roman" w:hAnsi="Times New Roman" w:eastAsia="华文中宋" w:cs="Times New Roman"/>
          <w:color w:val="auto"/>
          <w:lang w:val="en-US" w:eastAsia="zh-CN"/>
        </w:rPr>
        <w:t>环形接地，其接地点不少于两处，其间弧形距离20m，接地体距罐壁为3m。柴油罐的通气管管口高出地面4m及以上</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通气管的公称直径不应小于50mm</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通气管管口安装GZ-IDN50型阻火器。</w:t>
      </w:r>
      <w:r>
        <w:rPr>
          <w:rFonts w:hint="eastAsia" w:ascii="Times New Roman" w:hAnsi="Times New Roman" w:cs="Times New Roman"/>
          <w:color w:val="auto"/>
          <w:lang w:val="en-US" w:eastAsia="zh-CN"/>
        </w:rPr>
        <w:t>项目储油设施设置在办公生活区东侧，在采取设计防渗措施后，基本不会发生泄漏事故，设置在生活区一侧，一旦发生泄漏事故，便于来往人员及时发现，选址合理。</w:t>
      </w:r>
    </w:p>
    <w:p w14:paraId="07BFFD6A">
      <w:pPr>
        <w:pStyle w:val="4"/>
        <w:spacing w:before="120" w:after="120" w:line="500" w:lineRule="exact"/>
        <w:rPr>
          <w:rFonts w:hint="eastAsia" w:ascii="Times New Roman" w:hAnsi="Times New Roman" w:eastAsia="华文中宋" w:cs="Times New Roman"/>
          <w:kern w:val="0"/>
          <w:sz w:val="24"/>
          <w:szCs w:val="24"/>
          <w:lang w:val="en-US" w:eastAsia="zh-CN"/>
        </w:rPr>
      </w:pPr>
      <w:bookmarkStart w:id="77" w:name="_Toc4999"/>
      <w:r>
        <w:rPr>
          <w:rFonts w:hint="eastAsia" w:ascii="Times New Roman" w:hAnsi="Times New Roman" w:eastAsia="华文中宋" w:cs="Times New Roman"/>
          <w:kern w:val="0"/>
          <w:sz w:val="24"/>
          <w:szCs w:val="24"/>
          <w:lang w:val="en-US" w:eastAsia="zh-CN"/>
        </w:rPr>
        <w:t>3.1.6辅助工程</w:t>
      </w:r>
      <w:bookmarkEnd w:id="77"/>
    </w:p>
    <w:p w14:paraId="63645DCC">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w:t>
      </w:r>
      <w:r>
        <w:rPr>
          <w:rFonts w:hint="eastAsia" w:ascii="Times New Roman" w:hAnsi="Times New Roman" w:cs="Times New Roman"/>
          <w:color w:val="auto"/>
          <w:lang w:val="en-US" w:eastAsia="zh-CN"/>
        </w:rPr>
        <w:t>1</w:t>
      </w:r>
      <w:r>
        <w:rPr>
          <w:rFonts w:hint="default" w:ascii="Times New Roman" w:hAnsi="Times New Roman" w:eastAsia="华文中宋" w:cs="Times New Roman"/>
          <w:color w:val="auto"/>
          <w:lang w:val="en-US" w:eastAsia="zh-CN"/>
        </w:rPr>
        <w:t>）矿部生活区</w:t>
      </w:r>
    </w:p>
    <w:p w14:paraId="1A17F593">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矿部生活区布设于矿区西南部，距南露天采场直线距离320米，海拔5090</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5092米，原始地形坡度约为3</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5°，占地面积0.29公顷。区内建设办公室、宿舍、食堂、仓库、车库及修理车间等，建筑面积约595平方米，高度3米。</w:t>
      </w:r>
    </w:p>
    <w:p w14:paraId="120A5918">
      <w:pPr>
        <w:pStyle w:val="4"/>
        <w:spacing w:before="120" w:after="120" w:line="500" w:lineRule="exact"/>
        <w:rPr>
          <w:rFonts w:hint="eastAsia" w:ascii="Times New Roman" w:hAnsi="Times New Roman" w:eastAsia="华文中宋" w:cs="Times New Roman"/>
          <w:kern w:val="0"/>
          <w:sz w:val="24"/>
          <w:szCs w:val="24"/>
          <w:lang w:val="en-US" w:eastAsia="zh-CN"/>
        </w:rPr>
      </w:pPr>
      <w:bookmarkStart w:id="78" w:name="_Toc21329"/>
      <w:r>
        <w:rPr>
          <w:rFonts w:hint="eastAsia" w:ascii="Times New Roman" w:hAnsi="Times New Roman" w:eastAsia="华文中宋" w:cs="Times New Roman"/>
          <w:kern w:val="0"/>
          <w:sz w:val="24"/>
          <w:szCs w:val="24"/>
          <w:lang w:val="en-US" w:eastAsia="zh-CN"/>
        </w:rPr>
        <w:t>3.1.7选址的合理性分析</w:t>
      </w:r>
      <w:bookmarkEnd w:id="78"/>
    </w:p>
    <w:p w14:paraId="7DA953F3">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本项目主要由</w:t>
      </w:r>
      <w:r>
        <w:rPr>
          <w:rFonts w:hint="eastAsia" w:ascii="Times New Roman" w:hAnsi="Times New Roman" w:cs="Times New Roman"/>
          <w:color w:val="auto"/>
          <w:lang w:val="en-US" w:eastAsia="zh-CN"/>
        </w:rPr>
        <w:t>南</w:t>
      </w:r>
      <w:r>
        <w:rPr>
          <w:rFonts w:hint="default" w:ascii="Times New Roman" w:hAnsi="Times New Roman" w:eastAsia="华文中宋" w:cs="Times New Roman"/>
          <w:color w:val="auto"/>
          <w:lang w:val="en-US" w:eastAsia="zh-CN"/>
        </w:rPr>
        <w:t>露天采场、</w:t>
      </w:r>
      <w:r>
        <w:rPr>
          <w:rFonts w:hint="eastAsia" w:ascii="Times New Roman" w:hAnsi="Times New Roman" w:cs="Times New Roman"/>
          <w:color w:val="auto"/>
          <w:lang w:val="en-US" w:eastAsia="zh-CN"/>
        </w:rPr>
        <w:t>北</w:t>
      </w:r>
      <w:r>
        <w:rPr>
          <w:rFonts w:hint="eastAsia" w:ascii="Times New Roman" w:hAnsi="Times New Roman" w:eastAsia="华文中宋" w:cs="Times New Roman"/>
          <w:color w:val="auto"/>
          <w:lang w:val="en-US" w:eastAsia="zh-CN"/>
        </w:rPr>
        <w:t>露天采场</w:t>
      </w:r>
      <w:r>
        <w:rPr>
          <w:rFonts w:hint="default" w:ascii="Times New Roman" w:hAnsi="Times New Roman" w:eastAsia="华文中宋" w:cs="Times New Roman"/>
          <w:color w:val="auto"/>
          <w:lang w:val="en-US" w:eastAsia="zh-CN"/>
        </w:rPr>
        <w:t>、</w:t>
      </w:r>
      <w:r>
        <w:rPr>
          <w:rFonts w:hint="eastAsia" w:ascii="Times New Roman" w:hAnsi="Times New Roman" w:eastAsia="华文中宋" w:cs="Times New Roman"/>
          <w:color w:val="auto"/>
          <w:lang w:val="en-US" w:eastAsia="zh-CN"/>
        </w:rPr>
        <w:t>废石堆放场</w:t>
      </w:r>
      <w:r>
        <w:rPr>
          <w:rFonts w:hint="default" w:ascii="Times New Roman" w:hAnsi="Times New Roman" w:eastAsia="华文中宋" w:cs="Times New Roman"/>
          <w:color w:val="auto"/>
          <w:lang w:val="en-US" w:eastAsia="zh-CN"/>
        </w:rPr>
        <w:t>、</w:t>
      </w:r>
      <w:r>
        <w:rPr>
          <w:rFonts w:hint="eastAsia" w:ascii="Times New Roman" w:hAnsi="Times New Roman" w:eastAsia="华文中宋" w:cs="Times New Roman"/>
          <w:color w:val="auto"/>
          <w:lang w:val="en-US" w:eastAsia="zh-CN"/>
        </w:rPr>
        <w:t>矿</w:t>
      </w:r>
      <w:r>
        <w:rPr>
          <w:rFonts w:hint="default" w:ascii="Times New Roman" w:hAnsi="Times New Roman" w:eastAsia="华文中宋" w:cs="Times New Roman"/>
          <w:color w:val="auto"/>
          <w:lang w:val="en-US" w:eastAsia="zh-CN"/>
        </w:rPr>
        <w:t>石</w:t>
      </w:r>
      <w:r>
        <w:rPr>
          <w:rFonts w:hint="eastAsia" w:ascii="Times New Roman" w:hAnsi="Times New Roman" w:eastAsia="华文中宋" w:cs="Times New Roman"/>
          <w:color w:val="auto"/>
          <w:lang w:val="en-US" w:eastAsia="zh-CN"/>
        </w:rPr>
        <w:t>转运</w:t>
      </w:r>
      <w:r>
        <w:rPr>
          <w:rFonts w:hint="default" w:ascii="Times New Roman" w:hAnsi="Times New Roman" w:eastAsia="华文中宋" w:cs="Times New Roman"/>
          <w:color w:val="auto"/>
          <w:lang w:val="en-US" w:eastAsia="zh-CN"/>
        </w:rPr>
        <w:t>场、</w:t>
      </w:r>
      <w:r>
        <w:rPr>
          <w:rFonts w:hint="eastAsia" w:ascii="Times New Roman" w:hAnsi="Times New Roman" w:eastAsia="华文中宋" w:cs="Times New Roman"/>
          <w:color w:val="auto"/>
          <w:lang w:val="en-US" w:eastAsia="zh-CN"/>
        </w:rPr>
        <w:t>表土堆放场、</w:t>
      </w:r>
      <w:r>
        <w:rPr>
          <w:rFonts w:hint="default" w:ascii="Times New Roman" w:hAnsi="Times New Roman" w:eastAsia="华文中宋" w:cs="Times New Roman"/>
          <w:color w:val="auto"/>
          <w:lang w:val="en-US" w:eastAsia="zh-CN"/>
        </w:rPr>
        <w:t>办公生活区及矿区道路等组成。</w:t>
      </w:r>
    </w:p>
    <w:p w14:paraId="6EE3F65A">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根据现场调查及资料搜索，本项目不涉及</w:t>
      </w:r>
      <w:r>
        <w:rPr>
          <w:rFonts w:hint="default" w:ascii="Times New Roman" w:hAnsi="Times New Roman" w:eastAsia="华文中宋" w:cs="Times New Roman"/>
          <w:color w:val="auto"/>
          <w:lang w:val="en-US" w:eastAsia="zh-CN"/>
        </w:rPr>
        <w:t>自然保护区、风景名胜区和饮用水水源保护区等特殊敏感区域和重要生态敏感区域。</w:t>
      </w:r>
      <w:r>
        <w:rPr>
          <w:rFonts w:hint="eastAsia" w:ascii="Times New Roman" w:hAnsi="Times New Roman" w:eastAsia="华文中宋" w:cs="Times New Roman"/>
          <w:color w:val="auto"/>
          <w:lang w:val="en-US" w:eastAsia="zh-CN"/>
        </w:rPr>
        <w:t>因此本项目重点分析项目废石堆放场选址合理性。根据分析废石毒性浸出</w:t>
      </w:r>
      <w:r>
        <w:rPr>
          <w:rFonts w:hint="eastAsia" w:ascii="Times New Roman" w:hAnsi="Times New Roman" w:cs="Times New Roman"/>
          <w:color w:val="auto"/>
          <w:lang w:val="en-US" w:eastAsia="zh-CN"/>
        </w:rPr>
        <w:t>试验报告</w:t>
      </w:r>
      <w:r>
        <w:rPr>
          <w:rFonts w:hint="eastAsia" w:ascii="Times New Roman" w:hAnsi="Times New Roman" w:eastAsia="华文中宋" w:cs="Times New Roman"/>
          <w:color w:val="auto"/>
          <w:lang w:val="en-US" w:eastAsia="zh-CN"/>
        </w:rPr>
        <w:t>，本项目废石属于第Ⅰ类一般固废，因此按照本次评价主要根据《一般工业固体废物贮存和填埋污染控制标准》（GB18599-2020）中Ⅰ类场场址的环境保护要求，对废石堆场选址合理性进行分析，见表 3.1-4</w:t>
      </w:r>
    </w:p>
    <w:p w14:paraId="51EF3837">
      <w:pPr>
        <w:adjustRightInd w:val="0"/>
        <w:snapToGrid w:val="0"/>
        <w:spacing w:before="250" w:beforeLines="50"/>
        <w:ind w:firstLine="422" w:firstLineChars="200"/>
        <w:jc w:val="center"/>
        <w:rPr>
          <w:rFonts w:hint="eastAsia" w:ascii="Times New Roman" w:hAnsi="Times New Roman" w:eastAsia="华文中宋" w:cs="Times New Roman"/>
          <w:b/>
          <w:szCs w:val="21"/>
          <w:lang w:val="en-US" w:eastAsia="zh-CN"/>
        </w:rPr>
      </w:pPr>
      <w:r>
        <w:rPr>
          <w:rFonts w:hint="eastAsia" w:ascii="Times New Roman" w:hAnsi="Times New Roman" w:eastAsia="华文中宋" w:cs="Times New Roman"/>
          <w:b/>
          <w:szCs w:val="21"/>
          <w:lang w:val="en-US" w:eastAsia="zh-CN"/>
        </w:rPr>
        <w:t>表3.1-4  废石堆放场选址合理性分析</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2"/>
        <w:gridCol w:w="3733"/>
        <w:gridCol w:w="677"/>
      </w:tblGrid>
      <w:tr w14:paraId="0D801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2" w:type="dxa"/>
            <w:vAlign w:val="center"/>
          </w:tcPr>
          <w:p w14:paraId="1C206310">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标准要求</w:t>
            </w:r>
          </w:p>
        </w:tc>
        <w:tc>
          <w:tcPr>
            <w:tcW w:w="3733" w:type="dxa"/>
            <w:vAlign w:val="center"/>
          </w:tcPr>
          <w:p w14:paraId="5871CEB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本项目情况</w:t>
            </w:r>
          </w:p>
        </w:tc>
        <w:tc>
          <w:tcPr>
            <w:tcW w:w="677" w:type="dxa"/>
            <w:vAlign w:val="center"/>
          </w:tcPr>
          <w:p w14:paraId="6526A47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是否符合</w:t>
            </w:r>
          </w:p>
        </w:tc>
      </w:tr>
      <w:tr w14:paraId="2A644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2" w:type="dxa"/>
            <w:vAlign w:val="center"/>
          </w:tcPr>
          <w:p w14:paraId="6C21899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贮存场、填埋场的位置与周围居民区的距离应依据环境影响评价文件及审批意见确定。</w:t>
            </w:r>
          </w:p>
        </w:tc>
        <w:tc>
          <w:tcPr>
            <w:tcW w:w="3733" w:type="dxa"/>
            <w:vAlign w:val="center"/>
          </w:tcPr>
          <w:p w14:paraId="2907A43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项目废石堆放场位于矿区东侧，场地下风向5km范围内均无居民区。</w:t>
            </w:r>
          </w:p>
        </w:tc>
        <w:tc>
          <w:tcPr>
            <w:tcW w:w="677" w:type="dxa"/>
            <w:vAlign w:val="center"/>
          </w:tcPr>
          <w:p w14:paraId="419A985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符合</w:t>
            </w:r>
          </w:p>
        </w:tc>
      </w:tr>
      <w:tr w14:paraId="5DC08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2" w:type="dxa"/>
            <w:vAlign w:val="center"/>
          </w:tcPr>
          <w:p w14:paraId="30A3531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贮存场、填埋场不得选在生态保护红线区域、永久基本农田集中区域和其他需要特别保护的区域内。</w:t>
            </w:r>
          </w:p>
        </w:tc>
        <w:tc>
          <w:tcPr>
            <w:tcW w:w="3733" w:type="dxa"/>
            <w:vAlign w:val="center"/>
          </w:tcPr>
          <w:p w14:paraId="6A82FF9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项目不在生态红线内，矿区及周边无永久基本农田，经调查矿山及周边5km范围内无其他特别保护区域。</w:t>
            </w:r>
          </w:p>
        </w:tc>
        <w:tc>
          <w:tcPr>
            <w:tcW w:w="677" w:type="dxa"/>
            <w:vAlign w:val="center"/>
          </w:tcPr>
          <w:p w14:paraId="27D8844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符合</w:t>
            </w:r>
          </w:p>
        </w:tc>
      </w:tr>
      <w:tr w14:paraId="56D50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2" w:type="dxa"/>
            <w:vAlign w:val="center"/>
          </w:tcPr>
          <w:p w14:paraId="0A63B4D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贮存场、填埋场应避开活动断层、溶洞区、天然滑坡或泥石流影响区以及湿地等区域。</w:t>
            </w:r>
          </w:p>
        </w:tc>
        <w:tc>
          <w:tcPr>
            <w:tcW w:w="3733" w:type="dxa"/>
            <w:vAlign w:val="center"/>
          </w:tcPr>
          <w:p w14:paraId="6ACF5E6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根据项目水文地质资料可知，矿区不在活动断层、溶洞区、天然滑坡或泥石流影响及湿地等区域。排土场与废石堆场均设置在矿区内，也不在以上区域内。</w:t>
            </w:r>
          </w:p>
        </w:tc>
        <w:tc>
          <w:tcPr>
            <w:tcW w:w="677" w:type="dxa"/>
            <w:vAlign w:val="center"/>
          </w:tcPr>
          <w:p w14:paraId="1BEDEA27">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符合</w:t>
            </w:r>
          </w:p>
        </w:tc>
      </w:tr>
      <w:tr w14:paraId="73F17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2" w:type="dxa"/>
            <w:vAlign w:val="center"/>
          </w:tcPr>
          <w:p w14:paraId="39254BE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贮存场、填埋场不得选在江河、湖泊、运河、渠道、水库最高水位线以下的滩地和岸坡，以及国家和地方长远规划中的水库等人工蓄水 设施的淹没区和保护区之内</w:t>
            </w:r>
          </w:p>
        </w:tc>
        <w:tc>
          <w:tcPr>
            <w:tcW w:w="3733" w:type="dxa"/>
            <w:vAlign w:val="center"/>
          </w:tcPr>
          <w:p w14:paraId="2EC6101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矿区土地利用现状为</w:t>
            </w:r>
            <w:r>
              <w:rPr>
                <w:rFonts w:hint="eastAsia" w:ascii="Times New Roman" w:hAnsi="Times New Roman" w:eastAsia="华文中宋" w:cs="Times New Roman"/>
                <w:szCs w:val="21"/>
                <w:lang w:val="en-US" w:eastAsia="zh-CN"/>
              </w:rPr>
              <w:t>天然牧草地，</w:t>
            </w:r>
            <w:r>
              <w:rPr>
                <w:rFonts w:hint="default" w:ascii="Times New Roman" w:hAnsi="Times New Roman" w:eastAsia="华文中宋" w:cs="Times New Roman"/>
                <w:szCs w:val="21"/>
                <w:lang w:val="en-US" w:eastAsia="zh-CN"/>
              </w:rPr>
              <w:t>废石堆</w:t>
            </w:r>
            <w:r>
              <w:rPr>
                <w:rFonts w:hint="eastAsia" w:ascii="Times New Roman" w:hAnsi="Times New Roman" w:eastAsia="华文中宋" w:cs="Times New Roman"/>
                <w:szCs w:val="21"/>
                <w:lang w:val="en-US" w:eastAsia="zh-CN"/>
              </w:rPr>
              <w:t>放</w:t>
            </w:r>
            <w:r>
              <w:rPr>
                <w:rFonts w:hint="default" w:ascii="Times New Roman" w:hAnsi="Times New Roman" w:eastAsia="华文中宋" w:cs="Times New Roman"/>
                <w:szCs w:val="21"/>
                <w:lang w:val="en-US" w:eastAsia="zh-CN"/>
              </w:rPr>
              <w:t>场及周边无常年地表径流与地下水露头。矿区及周边5km范围内无人工蓄水设施。</w:t>
            </w:r>
          </w:p>
        </w:tc>
        <w:tc>
          <w:tcPr>
            <w:tcW w:w="677" w:type="dxa"/>
            <w:vAlign w:val="center"/>
          </w:tcPr>
          <w:p w14:paraId="486C2D9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符合</w:t>
            </w:r>
          </w:p>
        </w:tc>
      </w:tr>
      <w:tr w14:paraId="4A8B8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2" w:type="dxa"/>
            <w:vAlign w:val="center"/>
          </w:tcPr>
          <w:p w14:paraId="601519D0">
            <w:pPr>
              <w:spacing w:line="300" w:lineRule="exact"/>
              <w:jc w:val="center"/>
              <w:rPr>
                <w:rFonts w:hint="eastAsia"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贮存场和填埋场一般应包括以下单元</w:t>
            </w:r>
            <w:r>
              <w:rPr>
                <w:rFonts w:hint="eastAsia" w:ascii="Times New Roman" w:hAnsi="Times New Roman" w:eastAsia="华文中宋" w:cs="Times New Roman"/>
                <w:szCs w:val="21"/>
                <w:lang w:val="en-US" w:eastAsia="zh-CN"/>
              </w:rPr>
              <w:t>：</w:t>
            </w:r>
          </w:p>
          <w:p w14:paraId="0431A105">
            <w:pPr>
              <w:numPr>
                <w:ilvl w:val="0"/>
                <w:numId w:val="0"/>
              </w:numPr>
              <w:spacing w:line="300" w:lineRule="exact"/>
              <w:jc w:val="both"/>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kern w:val="2"/>
                <w:sz w:val="21"/>
                <w:szCs w:val="21"/>
                <w:lang w:val="en-US" w:eastAsia="zh-CN" w:bidi="ar-SA"/>
              </w:rPr>
              <w:t>1.</w:t>
            </w:r>
            <w:r>
              <w:rPr>
                <w:rFonts w:hint="default" w:ascii="Times New Roman" w:hAnsi="Times New Roman" w:eastAsia="华文中宋" w:cs="Times New Roman"/>
                <w:szCs w:val="21"/>
                <w:lang w:val="en-US" w:eastAsia="zh-CN"/>
              </w:rPr>
              <w:t>防渗系统、漆滤液收集和导排系统</w:t>
            </w:r>
            <w:r>
              <w:rPr>
                <w:rFonts w:hint="eastAsia" w:ascii="Times New Roman" w:hAnsi="Times New Roman" w:eastAsia="华文中宋" w:cs="Times New Roman"/>
                <w:szCs w:val="21"/>
                <w:lang w:val="en-US" w:eastAsia="zh-CN"/>
              </w:rPr>
              <w:t>；</w:t>
            </w:r>
          </w:p>
          <w:p w14:paraId="196B898C">
            <w:pPr>
              <w:numPr>
                <w:ilvl w:val="0"/>
                <w:numId w:val="0"/>
              </w:numPr>
              <w:spacing w:line="300" w:lineRule="exact"/>
              <w:jc w:val="both"/>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雨污分流系统</w:t>
            </w:r>
            <w:r>
              <w:rPr>
                <w:rFonts w:hint="eastAsia" w:ascii="Times New Roman" w:hAnsi="Times New Roman" w:eastAsia="华文中宋" w:cs="Times New Roman"/>
                <w:szCs w:val="21"/>
                <w:lang w:val="en-US" w:eastAsia="zh-CN"/>
              </w:rPr>
              <w:t>；</w:t>
            </w:r>
          </w:p>
          <w:p w14:paraId="000576BD">
            <w:pPr>
              <w:spacing w:line="300" w:lineRule="exact"/>
              <w:jc w:val="both"/>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w:t>
            </w:r>
            <w:r>
              <w:rPr>
                <w:rFonts w:hint="default" w:ascii="Times New Roman" w:hAnsi="Times New Roman" w:eastAsia="华文中宋" w:cs="Times New Roman"/>
                <w:szCs w:val="21"/>
                <w:lang w:val="en-US" w:eastAsia="zh-CN"/>
              </w:rPr>
              <w:t>分析化验与环境监测系统</w:t>
            </w:r>
            <w:r>
              <w:rPr>
                <w:rFonts w:hint="eastAsia" w:ascii="Times New Roman" w:hAnsi="Times New Roman" w:eastAsia="华文中宋" w:cs="Times New Roman"/>
                <w:szCs w:val="21"/>
                <w:lang w:val="en-US" w:eastAsia="zh-CN"/>
              </w:rPr>
              <w:t>；</w:t>
            </w:r>
          </w:p>
          <w:p w14:paraId="47F5FEA2">
            <w:pPr>
              <w:spacing w:line="300" w:lineRule="exact"/>
              <w:jc w:val="both"/>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4.</w:t>
            </w:r>
            <w:r>
              <w:rPr>
                <w:rFonts w:hint="default" w:ascii="Times New Roman" w:hAnsi="Times New Roman" w:eastAsia="华文中宋" w:cs="Times New Roman"/>
                <w:szCs w:val="21"/>
                <w:lang w:val="en-US" w:eastAsia="zh-CN"/>
              </w:rPr>
              <w:t>公用工程和配套设施</w:t>
            </w:r>
            <w:r>
              <w:rPr>
                <w:rFonts w:hint="eastAsia" w:ascii="Times New Roman" w:hAnsi="Times New Roman" w:eastAsia="华文中宋" w:cs="Times New Roman"/>
                <w:szCs w:val="21"/>
                <w:lang w:val="en-US" w:eastAsia="zh-CN"/>
              </w:rPr>
              <w:t>；</w:t>
            </w:r>
          </w:p>
          <w:p w14:paraId="2604C9DD">
            <w:pPr>
              <w:spacing w:line="300" w:lineRule="exact"/>
              <w:jc w:val="both"/>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w:t>
            </w:r>
            <w:r>
              <w:rPr>
                <w:rFonts w:hint="default" w:ascii="Times New Roman" w:hAnsi="Times New Roman" w:eastAsia="华文中宋" w:cs="Times New Roman"/>
                <w:szCs w:val="21"/>
                <w:lang w:val="en-US" w:eastAsia="zh-CN"/>
              </w:rPr>
              <w:t>地下水导排系统和废水处理系统</w:t>
            </w:r>
            <w:r>
              <w:rPr>
                <w:rFonts w:hint="eastAsia" w:ascii="Times New Roman" w:hAnsi="Times New Roman" w:eastAsia="华文中宋" w:cs="Times New Roman"/>
                <w:szCs w:val="21"/>
                <w:lang w:val="en-US" w:eastAsia="zh-CN"/>
              </w:rPr>
              <w:t>。</w:t>
            </w:r>
          </w:p>
        </w:tc>
        <w:tc>
          <w:tcPr>
            <w:tcW w:w="3733" w:type="dxa"/>
            <w:vAlign w:val="center"/>
          </w:tcPr>
          <w:p w14:paraId="002DAF3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设施，废石含水率15%以下，无渗滤液产生，设计在排土场与废石堆场下游设置200m</w:t>
            </w:r>
            <w:r>
              <w:rPr>
                <w:rFonts w:hint="eastAsia" w:ascii="Times New Roman" w:hAnsi="Times New Roman" w:eastAsia="华文中宋" w:cs="Times New Roman"/>
                <w:szCs w:val="21"/>
                <w:vertAlign w:val="superscript"/>
                <w:lang w:val="en-US" w:eastAsia="zh-CN"/>
              </w:rPr>
              <w:t>3</w:t>
            </w:r>
            <w:r>
              <w:rPr>
                <w:rFonts w:hint="eastAsia" w:ascii="Times New Roman" w:hAnsi="Times New Roman" w:eastAsia="华文中宋" w:cs="Times New Roman"/>
                <w:szCs w:val="21"/>
                <w:lang w:val="en-US" w:eastAsia="zh-CN"/>
              </w:rPr>
              <w:t>的防渗型淋溶液收集池。</w:t>
            </w:r>
          </w:p>
        </w:tc>
        <w:tc>
          <w:tcPr>
            <w:tcW w:w="677" w:type="dxa"/>
            <w:vAlign w:val="center"/>
          </w:tcPr>
          <w:p w14:paraId="26868F7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符合</w:t>
            </w:r>
          </w:p>
        </w:tc>
      </w:tr>
    </w:tbl>
    <w:p w14:paraId="2014E149">
      <w:pPr>
        <w:pStyle w:val="24"/>
        <w:numPr>
          <w:ilvl w:val="0"/>
          <w:numId w:val="0"/>
        </w:numPr>
        <w:snapToGrid w:val="0"/>
        <w:ind w:firstLine="480" w:firstLineChars="20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根据表3.1-4内容分析可知，项目废石堆放场位置参数满足矿山运营期堆存需要和环境需求，选址和设计合理。</w:t>
      </w:r>
    </w:p>
    <w:p w14:paraId="169F070E">
      <w:pPr>
        <w:pStyle w:val="4"/>
        <w:spacing w:before="120" w:after="120" w:line="500" w:lineRule="exact"/>
        <w:rPr>
          <w:rFonts w:hint="default" w:ascii="Times New Roman" w:hAnsi="Times New Roman" w:eastAsia="华文中宋" w:cs="Times New Roman"/>
          <w:kern w:val="0"/>
          <w:sz w:val="24"/>
          <w:szCs w:val="24"/>
          <w:lang w:val="en-US" w:eastAsia="zh-CN"/>
        </w:rPr>
      </w:pPr>
      <w:bookmarkStart w:id="79" w:name="_Toc26260"/>
      <w:r>
        <w:rPr>
          <w:rFonts w:hint="default" w:ascii="Times New Roman" w:hAnsi="Times New Roman" w:eastAsia="华文中宋" w:cs="Times New Roman"/>
          <w:kern w:val="0"/>
          <w:sz w:val="24"/>
          <w:szCs w:val="24"/>
          <w:lang w:val="en-US" w:eastAsia="zh-CN"/>
        </w:rPr>
        <w:t>3.1.</w:t>
      </w:r>
      <w:r>
        <w:rPr>
          <w:rFonts w:hint="eastAsia" w:ascii="Times New Roman" w:hAnsi="Times New Roman" w:eastAsia="华文中宋" w:cs="Times New Roman"/>
          <w:kern w:val="0"/>
          <w:sz w:val="24"/>
          <w:szCs w:val="24"/>
          <w:lang w:val="en-US" w:eastAsia="zh-CN"/>
        </w:rPr>
        <w:t>8</w:t>
      </w:r>
      <w:r>
        <w:rPr>
          <w:rFonts w:hint="default" w:ascii="Times New Roman" w:hAnsi="Times New Roman" w:eastAsia="华文中宋" w:cs="Times New Roman"/>
          <w:kern w:val="0"/>
          <w:sz w:val="24"/>
          <w:szCs w:val="24"/>
          <w:lang w:val="en-US" w:eastAsia="zh-CN"/>
        </w:rPr>
        <w:t>公用工程</w:t>
      </w:r>
      <w:bookmarkEnd w:id="79"/>
    </w:p>
    <w:p w14:paraId="2A23842B">
      <w:pPr>
        <w:pStyle w:val="24"/>
        <w:snapToGrid w:val="0"/>
        <w:ind w:left="0" w:leftChars="0" w:firstLine="0" w:firstLineChars="0"/>
        <w:jc w:val="left"/>
        <w:rPr>
          <w:rFonts w:hint="default" w:ascii="Times New Roman" w:hAnsi="Times New Roman" w:eastAsia="华文中宋" w:cs="Times New Roman"/>
          <w:b/>
          <w:bCs/>
          <w:color w:val="auto"/>
          <w:lang w:val="en-US" w:eastAsia="zh-CN"/>
        </w:rPr>
      </w:pPr>
      <w:r>
        <w:rPr>
          <w:rFonts w:hint="eastAsia" w:ascii="Times New Roman" w:hAnsi="Times New Roman" w:cs="Times New Roman"/>
          <w:b/>
          <w:bCs/>
          <w:color w:val="auto"/>
          <w:lang w:val="en-US" w:eastAsia="zh-CN"/>
        </w:rPr>
        <w:t>3.1.8.1</w:t>
      </w:r>
      <w:r>
        <w:rPr>
          <w:rFonts w:hint="default" w:ascii="Times New Roman" w:hAnsi="Times New Roman" w:eastAsia="华文中宋" w:cs="Times New Roman"/>
          <w:b/>
          <w:bCs/>
          <w:color w:val="auto"/>
          <w:lang w:val="en-US" w:eastAsia="zh-CN"/>
        </w:rPr>
        <w:t>供水、排水</w:t>
      </w:r>
    </w:p>
    <w:p w14:paraId="611B696A">
      <w:pPr>
        <w:pStyle w:val="24"/>
        <w:numPr>
          <w:ilvl w:val="0"/>
          <w:numId w:val="0"/>
        </w:numPr>
        <w:snapToGrid w:val="0"/>
        <w:ind w:firstLine="480" w:firstLineChars="20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snapToGrid w:val="0"/>
          <w:color w:val="auto"/>
          <w:kern w:val="0"/>
          <w:sz w:val="24"/>
          <w:szCs w:val="20"/>
          <w:lang w:val="en-US" w:eastAsia="zh-CN" w:bidi="ar-SA"/>
        </w:rPr>
        <w:t>（</w:t>
      </w:r>
      <w:r>
        <w:rPr>
          <w:rFonts w:hint="eastAsia" w:ascii="Times New Roman" w:hAnsi="Times New Roman" w:cs="Times New Roman"/>
          <w:snapToGrid w:val="0"/>
          <w:color w:val="auto"/>
          <w:kern w:val="0"/>
          <w:sz w:val="24"/>
          <w:szCs w:val="20"/>
          <w:lang w:val="en-US" w:eastAsia="zh-CN" w:bidi="ar-SA"/>
        </w:rPr>
        <w:t>1</w:t>
      </w:r>
      <w:r>
        <w:rPr>
          <w:rFonts w:hint="default" w:ascii="Times New Roman" w:hAnsi="Times New Roman" w:eastAsia="华文中宋" w:cs="Times New Roman"/>
          <w:snapToGrid w:val="0"/>
          <w:color w:val="auto"/>
          <w:kern w:val="0"/>
          <w:sz w:val="24"/>
          <w:szCs w:val="20"/>
          <w:lang w:val="en-US" w:eastAsia="zh-CN" w:bidi="ar-SA"/>
        </w:rPr>
        <w:t>）</w:t>
      </w:r>
      <w:r>
        <w:rPr>
          <w:rFonts w:hint="default" w:ascii="Times New Roman" w:hAnsi="Times New Roman" w:eastAsia="华文中宋" w:cs="Times New Roman"/>
          <w:color w:val="auto"/>
          <w:lang w:val="en-US" w:eastAsia="zh-CN"/>
        </w:rPr>
        <w:t>给水</w:t>
      </w:r>
    </w:p>
    <w:p w14:paraId="33524ECF">
      <w:pPr>
        <w:pStyle w:val="24"/>
        <w:numPr>
          <w:ilvl w:val="0"/>
          <w:numId w:val="0"/>
        </w:numPr>
        <w:snapToGrid w:val="0"/>
        <w:ind w:firstLine="480" w:firstLineChars="200"/>
        <w:jc w:val="left"/>
        <w:rPr>
          <w:rFonts w:hint="default" w:ascii="Times New Roman" w:hAnsi="Times New Roman" w:eastAsia="华文中宋" w:cs="Times New Roman"/>
          <w:color w:val="auto"/>
          <w:lang w:val="en-US" w:eastAsia="zh-CN"/>
        </w:rPr>
      </w:pPr>
      <w:r>
        <w:rPr>
          <w:rFonts w:hint="default" w:ascii="Times New Roman" w:hAnsi="Times New Roman" w:cs="Times New Roman"/>
          <w:color w:val="auto"/>
          <w:lang w:val="en-US" w:eastAsia="zh-CN"/>
        </w:rPr>
        <w:t>①生活用水</w:t>
      </w:r>
    </w:p>
    <w:p w14:paraId="2A88F89E">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矿部生活用水</w:t>
      </w:r>
      <w:r>
        <w:rPr>
          <w:rFonts w:hint="default" w:ascii="Times New Roman" w:hAnsi="Times New Roman" w:cs="Times New Roman"/>
          <w:color w:val="auto"/>
          <w:lang w:val="en-US" w:eastAsia="zh-CN"/>
        </w:rPr>
        <w:t>主要为矿山人员用水，设计劳动定员为50人，按0.1m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/人·计，用水</w:t>
      </w:r>
      <w:r>
        <w:rPr>
          <w:rFonts w:hint="default" w:ascii="Times New Roman" w:hAnsi="Times New Roman" w:eastAsia="华文中宋" w:cs="Times New Roman"/>
          <w:color w:val="auto"/>
          <w:lang w:val="en-US" w:eastAsia="zh-CN"/>
        </w:rPr>
        <w:t>量</w:t>
      </w:r>
      <w:r>
        <w:rPr>
          <w:rFonts w:hint="default" w:ascii="Times New Roman" w:hAnsi="Times New Roman" w:cs="Times New Roman"/>
          <w:color w:val="auto"/>
          <w:lang w:val="en-US" w:eastAsia="zh-CN"/>
        </w:rPr>
        <w:t>为5</w:t>
      </w:r>
      <w:r>
        <w:rPr>
          <w:rFonts w:hint="default" w:ascii="Times New Roman" w:hAnsi="Times New Roman" w:eastAsia="华文中宋" w:cs="Times New Roman"/>
          <w:color w:val="auto"/>
          <w:lang w:val="en-US" w:eastAsia="zh-CN"/>
        </w:rPr>
        <w:t>m</w:t>
      </w:r>
      <w:r>
        <w:rPr>
          <w:rFonts w:hint="default" w:ascii="Times New Roman" w:hAnsi="Times New Roman" w:eastAsia="华文中宋" w:cs="Times New Roman"/>
          <w:color w:val="auto"/>
          <w:vertAlign w:val="superscript"/>
          <w:lang w:val="en-US" w:eastAsia="zh-CN"/>
        </w:rPr>
        <w:t>3</w:t>
      </w:r>
      <w:r>
        <w:rPr>
          <w:rFonts w:hint="default" w:ascii="Times New Roman" w:hAnsi="Times New Roman" w:eastAsia="华文中宋" w:cs="Times New Roman"/>
          <w:color w:val="auto"/>
          <w:lang w:val="en-US" w:eastAsia="zh-CN"/>
        </w:rPr>
        <w:t>/d，矿部生活区设20m</w:t>
      </w:r>
      <w:r>
        <w:rPr>
          <w:rFonts w:hint="default" w:ascii="Times New Roman" w:hAnsi="Times New Roman" w:eastAsia="华文中宋" w:cs="Times New Roman"/>
          <w:color w:val="auto"/>
          <w:vertAlign w:val="superscript"/>
          <w:lang w:val="en-US" w:eastAsia="zh-CN"/>
        </w:rPr>
        <w:t>3</w:t>
      </w:r>
      <w:r>
        <w:rPr>
          <w:rFonts w:hint="default" w:ascii="Times New Roman" w:hAnsi="Times New Roman" w:eastAsia="华文中宋" w:cs="Times New Roman"/>
          <w:color w:val="auto"/>
          <w:lang w:val="en-US" w:eastAsia="zh-CN"/>
        </w:rPr>
        <w:t>储水罐一个，生活用水定期由民丰县拉运至矿区。</w:t>
      </w:r>
    </w:p>
    <w:p w14:paraId="6C5E75CF">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cs="Times New Roman"/>
          <w:color w:val="auto"/>
          <w:lang w:val="en-US" w:eastAsia="zh-CN"/>
        </w:rPr>
        <w:t>②生产用水</w:t>
      </w:r>
    </w:p>
    <w:p w14:paraId="2FDED7CC">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cs="Times New Roman"/>
          <w:color w:val="auto"/>
          <w:lang w:val="en-US" w:eastAsia="zh-CN"/>
        </w:rPr>
        <w:t>矿山生产用水主要</w:t>
      </w:r>
      <w:r>
        <w:rPr>
          <w:rFonts w:hint="eastAsia" w:ascii="Times New Roman" w:hAnsi="Times New Roman" w:cs="Times New Roman"/>
          <w:color w:val="auto"/>
          <w:lang w:val="en-US" w:eastAsia="zh-CN"/>
        </w:rPr>
        <w:t>为露天采场、废石堆放场、表土堆场、矿石转运场、运输道路洒水降尘用水，参考同类型项目，其中露天采场降尘用水量为12m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/d，废石堆场洒水降尘用水为80m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/d，表土堆场洒水降尘用水为10m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/d，矿石转运场洒水降尘用水为8m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/d，道路及其他区域洒水为30m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/d。生产用水均为周边地表水和处理后生活污水。</w:t>
      </w:r>
    </w:p>
    <w:p w14:paraId="336B7232">
      <w:pPr>
        <w:pStyle w:val="24"/>
        <w:snapToGrid w:val="0"/>
        <w:jc w:val="left"/>
        <w:rPr>
          <w:rFonts w:hint="default" w:ascii="Times New Roman" w:hAnsi="Times New Roman" w:eastAsia="华文中宋" w:cs="Times New Roman"/>
          <w:color w:val="auto"/>
          <w:highlight w:val="none"/>
          <w:lang w:val="en-US" w:eastAsia="zh-CN"/>
        </w:rPr>
      </w:pPr>
      <w:r>
        <w:rPr>
          <w:rFonts w:hint="eastAsia" w:ascii="Times New Roman" w:hAnsi="Times New Roman" w:cs="Times New Roman"/>
          <w:color w:val="auto"/>
          <w:highlight w:val="none"/>
          <w:lang w:val="en-US" w:eastAsia="zh-CN"/>
        </w:rPr>
        <w:t>（2）</w:t>
      </w:r>
      <w:r>
        <w:rPr>
          <w:rFonts w:hint="default" w:ascii="Times New Roman" w:hAnsi="Times New Roman" w:eastAsia="华文中宋" w:cs="Times New Roman"/>
          <w:color w:val="auto"/>
          <w:highlight w:val="none"/>
          <w:lang w:val="en-US" w:eastAsia="zh-CN"/>
        </w:rPr>
        <w:t>排水</w:t>
      </w:r>
    </w:p>
    <w:p w14:paraId="44265115">
      <w:pPr>
        <w:pStyle w:val="24"/>
        <w:snapToGrid w:val="0"/>
        <w:jc w:val="left"/>
        <w:rPr>
          <w:rFonts w:hint="default" w:ascii="Times New Roman" w:hAnsi="Times New Roman" w:eastAsia="华文中宋" w:cs="Times New Roman"/>
          <w:color w:val="auto"/>
          <w:highlight w:val="none"/>
          <w:lang w:val="en-US" w:eastAsia="zh-CN"/>
        </w:rPr>
      </w:pPr>
      <w:r>
        <w:rPr>
          <w:rFonts w:hint="default" w:ascii="Times New Roman" w:hAnsi="Times New Roman" w:cs="Times New Roman"/>
          <w:color w:val="auto"/>
          <w:highlight w:val="none"/>
          <w:lang w:val="en-US" w:eastAsia="zh-CN"/>
        </w:rPr>
        <w:t>①生产废水</w:t>
      </w:r>
      <w:r>
        <w:rPr>
          <w:rFonts w:hint="default" w:ascii="Times New Roman" w:hAnsi="Times New Roman" w:eastAsia="华文中宋" w:cs="Times New Roman"/>
          <w:color w:val="auto"/>
          <w:highlight w:val="none"/>
          <w:lang w:val="en-US" w:eastAsia="zh-CN"/>
        </w:rPr>
        <w:t>排水</w:t>
      </w:r>
    </w:p>
    <w:p w14:paraId="5B5DFAE8">
      <w:pPr>
        <w:pStyle w:val="24"/>
        <w:snapToGrid w:val="0"/>
        <w:jc w:val="left"/>
        <w:rPr>
          <w:rFonts w:hint="default" w:ascii="Times New Roman" w:hAnsi="Times New Roman" w:cs="Times New Roman"/>
          <w:color w:val="auto"/>
          <w:highlight w:val="none"/>
          <w:lang w:val="en-US" w:eastAsia="zh-CN"/>
        </w:rPr>
      </w:pPr>
      <w:r>
        <w:rPr>
          <w:rFonts w:hint="default" w:ascii="Times New Roman" w:hAnsi="Times New Roman" w:eastAsia="华文中宋" w:cs="Times New Roman"/>
          <w:color w:val="auto"/>
          <w:highlight w:val="none"/>
          <w:lang w:val="en-US" w:eastAsia="zh-CN"/>
        </w:rPr>
        <w:t>矿区蒸发量远远大于降雨量，大气降水仅有少部分降水渗入地下补给地下水。地表水对矿床无补给，</w:t>
      </w:r>
      <w:r>
        <w:rPr>
          <w:rFonts w:hint="eastAsia" w:ascii="Times New Roman" w:hAnsi="Times New Roman" w:cs="Times New Roman"/>
          <w:color w:val="auto"/>
          <w:highlight w:val="none"/>
          <w:lang w:val="en-US" w:eastAsia="zh-CN"/>
        </w:rPr>
        <w:t>大气降水经露天采场底部集水池收集后全部自然蒸干，不外排</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项目洒水降尘用水</w:t>
      </w:r>
      <w:r>
        <w:rPr>
          <w:rFonts w:hint="default" w:ascii="Times New Roman" w:hAnsi="Times New Roman" w:cs="Times New Roman"/>
          <w:color w:val="auto"/>
          <w:highlight w:val="none"/>
          <w:lang w:val="en-US" w:eastAsia="zh-CN"/>
        </w:rPr>
        <w:t>全部自然蒸发，不产生生产废水。</w:t>
      </w:r>
    </w:p>
    <w:p w14:paraId="659A490E">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cs="Times New Roman"/>
          <w:color w:val="auto"/>
          <w:lang w:val="en-US" w:eastAsia="zh-CN"/>
        </w:rPr>
        <w:t>②生活污水</w:t>
      </w:r>
      <w:r>
        <w:rPr>
          <w:rFonts w:hint="default" w:ascii="Times New Roman" w:hAnsi="Times New Roman" w:eastAsia="华文中宋" w:cs="Times New Roman"/>
          <w:color w:val="auto"/>
          <w:lang w:val="en-US" w:eastAsia="zh-CN"/>
        </w:rPr>
        <w:t>排水</w:t>
      </w:r>
    </w:p>
    <w:p w14:paraId="6523DD00">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矿部生活用水量</w:t>
      </w:r>
      <w:r>
        <w:rPr>
          <w:rFonts w:hint="default" w:ascii="Times New Roman" w:hAnsi="Times New Roman" w:cs="Times New Roman"/>
          <w:color w:val="auto"/>
          <w:lang w:val="en-US" w:eastAsia="zh-CN"/>
        </w:rPr>
        <w:t>5</w:t>
      </w:r>
      <w:r>
        <w:rPr>
          <w:rFonts w:hint="default" w:ascii="Times New Roman" w:hAnsi="Times New Roman" w:eastAsia="华文中宋" w:cs="Times New Roman"/>
          <w:color w:val="auto"/>
          <w:lang w:val="en-US" w:eastAsia="zh-CN"/>
        </w:rPr>
        <w:t>m</w:t>
      </w:r>
      <w:r>
        <w:rPr>
          <w:rFonts w:hint="default" w:ascii="Times New Roman" w:hAnsi="Times New Roman" w:eastAsia="华文中宋" w:cs="Times New Roman"/>
          <w:color w:val="auto"/>
          <w:vertAlign w:val="superscript"/>
          <w:lang w:val="en-US" w:eastAsia="zh-CN"/>
        </w:rPr>
        <w:t>3</w:t>
      </w:r>
      <w:r>
        <w:rPr>
          <w:rFonts w:hint="default" w:ascii="Times New Roman" w:hAnsi="Times New Roman" w:eastAsia="华文中宋" w:cs="Times New Roman"/>
          <w:color w:val="auto"/>
          <w:lang w:val="en-US" w:eastAsia="zh-CN"/>
        </w:rPr>
        <w:t>/d，矿山</w:t>
      </w:r>
      <w:r>
        <w:rPr>
          <w:rFonts w:hint="eastAsia" w:ascii="Times New Roman" w:hAnsi="Times New Roman" w:eastAsia="华文中宋" w:cs="Times New Roman"/>
          <w:color w:val="auto"/>
          <w:lang w:val="en-US" w:eastAsia="zh-CN"/>
        </w:rPr>
        <w:t>建设一台地埋式一体化污水处理设施（容积10m</w:t>
      </w:r>
      <w:r>
        <w:rPr>
          <w:rFonts w:hint="eastAsia" w:ascii="Times New Roman" w:hAnsi="Times New Roman" w:eastAsia="华文中宋" w:cs="Times New Roman"/>
          <w:color w:val="auto"/>
          <w:vertAlign w:val="superscript"/>
          <w:lang w:val="en-US" w:eastAsia="zh-CN"/>
        </w:rPr>
        <w:t>3</w:t>
      </w:r>
      <w:r>
        <w:rPr>
          <w:rFonts w:hint="eastAsia" w:ascii="Times New Roman" w:hAnsi="Times New Roman" w:eastAsia="华文中宋" w:cs="Times New Roman"/>
          <w:color w:val="auto"/>
          <w:lang w:val="en-US" w:eastAsia="zh-CN"/>
        </w:rPr>
        <w:t>），生活污水经地埋式一体化污水处理设施处理完成后，用于矿区</w:t>
      </w:r>
      <w:r>
        <w:rPr>
          <w:rFonts w:hint="eastAsia" w:ascii="Times New Roman" w:hAnsi="Times New Roman" w:cs="Times New Roman"/>
          <w:color w:val="auto"/>
          <w:lang w:val="en-US" w:eastAsia="zh-CN"/>
        </w:rPr>
        <w:t>及周边</w:t>
      </w:r>
      <w:r>
        <w:rPr>
          <w:rFonts w:hint="eastAsia" w:ascii="Times New Roman" w:hAnsi="Times New Roman" w:eastAsia="华文中宋" w:cs="Times New Roman"/>
          <w:color w:val="auto"/>
          <w:lang w:val="en-US" w:eastAsia="zh-CN"/>
        </w:rPr>
        <w:t>洒水降尘，不外排</w:t>
      </w:r>
      <w:r>
        <w:rPr>
          <w:rFonts w:hint="default" w:ascii="Times New Roman" w:hAnsi="Times New Roman" w:eastAsia="华文中宋" w:cs="Times New Roman"/>
          <w:color w:val="auto"/>
          <w:lang w:val="en-US" w:eastAsia="zh-CN"/>
        </w:rPr>
        <w:t>。</w:t>
      </w:r>
    </w:p>
    <w:p w14:paraId="4DE844D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20" w:firstLineChars="200"/>
        <w:jc w:val="both"/>
        <w:textAlignment w:val="auto"/>
        <w:rPr>
          <w:rFonts w:hint="default" w:ascii="Times New Roman" w:hAnsi="Times New Roman" w:cs="Times New Roman" w:eastAsiaTheme="minorEastAsia"/>
          <w:b w:val="0"/>
          <w:bCs w:val="0"/>
          <w:kern w:val="2"/>
          <w:sz w:val="24"/>
          <w:szCs w:val="24"/>
          <w:highlight w:val="none"/>
          <w:lang w:val="en-US" w:eastAsia="zh-CN" w:bidi="ar-SA"/>
        </w:rPr>
      </w:pPr>
      <w:r>
        <w:drawing>
          <wp:inline distT="0" distB="0" distL="114300" distR="114300">
            <wp:extent cx="3152775" cy="22193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6"/>
                    <a:stretch>
                      <a:fillRect/>
                    </a:stretch>
                  </pic:blipFill>
                  <pic:spPr>
                    <a:xfrm>
                      <a:off x="0" y="0"/>
                      <a:ext cx="3152775" cy="2219325"/>
                    </a:xfrm>
                    <a:prstGeom prst="rect">
                      <a:avLst/>
                    </a:prstGeom>
                    <a:noFill/>
                    <a:ln>
                      <a:noFill/>
                    </a:ln>
                  </pic:spPr>
                </pic:pic>
              </a:graphicData>
            </a:graphic>
          </wp:inline>
        </w:drawing>
      </w:r>
    </w:p>
    <w:p w14:paraId="333D524C">
      <w:pPr>
        <w:snapToGrid w:val="0"/>
        <w:jc w:val="center"/>
        <w:rPr>
          <w:rFonts w:hint="default" w:ascii="Times New Roman" w:hAnsi="Times New Roman" w:eastAsia="华文中宋" w:cs="Times New Roman"/>
          <w:b/>
          <w:szCs w:val="21"/>
          <w:highlight w:val="none"/>
          <w:lang w:val="en-US" w:eastAsia="zh-CN"/>
        </w:rPr>
      </w:pPr>
      <w:r>
        <w:rPr>
          <w:rFonts w:hint="eastAsia" w:ascii="Times New Roman" w:hAnsi="Times New Roman" w:eastAsia="华文中宋" w:cs="Times New Roman"/>
          <w:b/>
          <w:szCs w:val="21"/>
          <w:highlight w:val="none"/>
          <w:lang w:val="en-US" w:eastAsia="zh-CN"/>
        </w:rPr>
        <w:t>图3.1-1  项目水平衡示意图    （m</w:t>
      </w:r>
      <w:r>
        <w:rPr>
          <w:rFonts w:hint="eastAsia" w:ascii="Times New Roman" w:hAnsi="Times New Roman" w:eastAsia="华文中宋" w:cs="Times New Roman"/>
          <w:b/>
          <w:szCs w:val="21"/>
          <w:highlight w:val="none"/>
          <w:vertAlign w:val="superscript"/>
          <w:lang w:val="en-US" w:eastAsia="zh-CN"/>
        </w:rPr>
        <w:t>3</w:t>
      </w:r>
      <w:r>
        <w:rPr>
          <w:rFonts w:hint="eastAsia" w:ascii="Times New Roman" w:hAnsi="Times New Roman" w:eastAsia="华文中宋" w:cs="Times New Roman"/>
          <w:b/>
          <w:szCs w:val="21"/>
          <w:highlight w:val="none"/>
          <w:lang w:val="en-US" w:eastAsia="zh-CN"/>
        </w:rPr>
        <w:t>/a）</w:t>
      </w:r>
    </w:p>
    <w:p w14:paraId="7B2AC85C">
      <w:pPr>
        <w:pStyle w:val="24"/>
        <w:snapToGrid w:val="0"/>
        <w:ind w:left="0" w:leftChars="0" w:firstLine="0" w:firstLineChars="0"/>
        <w:jc w:val="left"/>
        <w:rPr>
          <w:rFonts w:hint="default" w:ascii="Times New Roman" w:hAnsi="Times New Roman" w:eastAsia="华文中宋" w:cs="Times New Roman"/>
          <w:b/>
          <w:bCs/>
          <w:color w:val="auto"/>
          <w:lang w:val="en-US" w:eastAsia="zh-CN"/>
        </w:rPr>
      </w:pPr>
      <w:r>
        <w:rPr>
          <w:rFonts w:hint="eastAsia" w:ascii="Times New Roman" w:hAnsi="Times New Roman" w:cs="Times New Roman"/>
          <w:b/>
          <w:bCs/>
          <w:color w:val="auto"/>
          <w:lang w:val="en-US" w:eastAsia="zh-CN"/>
        </w:rPr>
        <w:t>3.1.8.2</w:t>
      </w:r>
      <w:r>
        <w:rPr>
          <w:rFonts w:hint="default" w:ascii="Times New Roman" w:hAnsi="Times New Roman" w:eastAsia="华文中宋" w:cs="Times New Roman"/>
          <w:b/>
          <w:bCs/>
          <w:color w:val="auto"/>
          <w:lang w:val="en-US" w:eastAsia="zh-CN"/>
        </w:rPr>
        <w:t>供热</w:t>
      </w:r>
    </w:p>
    <w:p w14:paraId="28EC838E">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矿山冬季不生产，无集中供热设施，留守人员采用电锅炉取暖。</w:t>
      </w:r>
    </w:p>
    <w:p w14:paraId="3138D331">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矿山洗浴选用1台CLDR0.048-85/65-48kW型热水锅炉，锅炉及洗浴劳动定员：1人/班。</w:t>
      </w:r>
    </w:p>
    <w:p w14:paraId="3F76EE19">
      <w:pPr>
        <w:pStyle w:val="24"/>
        <w:snapToGrid w:val="0"/>
        <w:ind w:left="0" w:leftChars="0" w:firstLine="0" w:firstLineChars="0"/>
        <w:jc w:val="left"/>
        <w:rPr>
          <w:rFonts w:hint="default" w:ascii="Times New Roman" w:hAnsi="Times New Roman" w:eastAsia="华文中宋" w:cs="Times New Roman"/>
          <w:b/>
          <w:bCs/>
          <w:color w:val="auto"/>
          <w:lang w:val="en-US" w:eastAsia="zh-CN"/>
        </w:rPr>
      </w:pPr>
      <w:r>
        <w:rPr>
          <w:rFonts w:hint="eastAsia" w:ascii="Times New Roman" w:hAnsi="Times New Roman" w:cs="Times New Roman"/>
          <w:b/>
          <w:bCs/>
          <w:color w:val="auto"/>
          <w:lang w:val="en-US" w:eastAsia="zh-CN"/>
        </w:rPr>
        <w:t>3.1.8.3</w:t>
      </w:r>
      <w:r>
        <w:rPr>
          <w:rFonts w:hint="default" w:ascii="Times New Roman" w:hAnsi="Times New Roman" w:eastAsia="华文中宋" w:cs="Times New Roman"/>
          <w:b/>
          <w:bCs/>
          <w:color w:val="auto"/>
          <w:lang w:val="en-US" w:eastAsia="zh-CN"/>
        </w:rPr>
        <w:t>供电</w:t>
      </w:r>
    </w:p>
    <w:p w14:paraId="2B7485A8">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根据用电负荷，设计选</w:t>
      </w:r>
      <w:r>
        <w:rPr>
          <w:rFonts w:hint="eastAsia" w:ascii="Times New Roman" w:hAnsi="Times New Roman" w:cs="Times New Roman"/>
          <w:color w:val="auto"/>
          <w:lang w:val="en-US" w:eastAsia="zh-CN"/>
        </w:rPr>
        <w:t>2</w:t>
      </w:r>
      <w:r>
        <w:rPr>
          <w:rFonts w:hint="default" w:ascii="Times New Roman" w:hAnsi="Times New Roman" w:eastAsia="华文中宋" w:cs="Times New Roman"/>
          <w:color w:val="auto"/>
          <w:lang w:val="en-US" w:eastAsia="zh-CN"/>
        </w:rPr>
        <w:t>台</w:t>
      </w:r>
      <w:r>
        <w:rPr>
          <w:rFonts w:hint="eastAsia" w:ascii="Times New Roman" w:hAnsi="Times New Roman" w:cs="Times New Roman"/>
          <w:color w:val="auto"/>
          <w:lang w:val="en-US" w:eastAsia="zh-CN"/>
        </w:rPr>
        <w:t>100</w:t>
      </w:r>
      <w:r>
        <w:rPr>
          <w:rFonts w:hint="default" w:ascii="Times New Roman" w:hAnsi="Times New Roman" w:eastAsia="华文中宋" w:cs="Times New Roman"/>
          <w:color w:val="auto"/>
          <w:lang w:val="en-US" w:eastAsia="zh-CN"/>
        </w:rPr>
        <w:t>kW柴油发电机组可满足采矿用电需要。发电机组布置在柴油电站内。柴油发电机组作为生活及采场照明电源。</w:t>
      </w:r>
    </w:p>
    <w:p w14:paraId="51007BFC">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用电负荷及性质</w:t>
      </w:r>
    </w:p>
    <w:p w14:paraId="27F433B4">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根据矿山生产性质及要求，矿山无一、二级负荷，均为三级负荷。</w:t>
      </w:r>
    </w:p>
    <w:p w14:paraId="15C585CB">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矿山主要电动设备总数10台，其中：工作台数4台。</w:t>
      </w:r>
    </w:p>
    <w:p w14:paraId="068E53A5">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总装机容量</w:t>
      </w:r>
      <w:r>
        <w:rPr>
          <w:rFonts w:hint="eastAsia" w:ascii="Times New Roman" w:hAnsi="Times New Roman" w:cs="Times New Roman"/>
          <w:color w:val="auto"/>
          <w:lang w:val="en-US" w:eastAsia="zh-CN"/>
        </w:rPr>
        <w:t>89</w:t>
      </w:r>
      <w:r>
        <w:rPr>
          <w:rFonts w:hint="default" w:ascii="Times New Roman" w:hAnsi="Times New Roman" w:eastAsia="华文中宋" w:cs="Times New Roman"/>
          <w:color w:val="auto"/>
          <w:lang w:val="en-US" w:eastAsia="zh-CN"/>
        </w:rPr>
        <w:t>kW，其中：工作设备功率</w:t>
      </w:r>
      <w:r>
        <w:rPr>
          <w:rFonts w:hint="eastAsia" w:ascii="Times New Roman" w:hAnsi="Times New Roman" w:cs="Times New Roman"/>
          <w:color w:val="auto"/>
          <w:lang w:val="en-US" w:eastAsia="zh-CN"/>
        </w:rPr>
        <w:t>87.5</w:t>
      </w:r>
      <w:r>
        <w:rPr>
          <w:rFonts w:hint="default" w:ascii="Times New Roman" w:hAnsi="Times New Roman" w:eastAsia="华文中宋" w:cs="Times New Roman"/>
          <w:color w:val="auto"/>
          <w:lang w:val="en-US" w:eastAsia="zh-CN"/>
        </w:rPr>
        <w:t>kW。</w:t>
      </w:r>
    </w:p>
    <w:p w14:paraId="31102926">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年耗电量：</w:t>
      </w:r>
      <w:r>
        <w:rPr>
          <w:rFonts w:hint="eastAsia" w:ascii="Times New Roman" w:hAnsi="Times New Roman" w:cs="Times New Roman"/>
          <w:color w:val="auto"/>
          <w:lang w:val="en-US" w:eastAsia="zh-CN"/>
        </w:rPr>
        <w:t>23784</w:t>
      </w:r>
      <w:r>
        <w:rPr>
          <w:rFonts w:hint="default" w:ascii="Times New Roman" w:hAnsi="Times New Roman" w:eastAsia="华文中宋" w:cs="Times New Roman"/>
          <w:color w:val="auto"/>
          <w:lang w:val="en-US" w:eastAsia="zh-CN"/>
        </w:rPr>
        <w:t>kWh；</w:t>
      </w:r>
    </w:p>
    <w:p w14:paraId="047D03F8">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耗电指标为：0.</w:t>
      </w:r>
      <w:r>
        <w:rPr>
          <w:rFonts w:hint="eastAsia" w:ascii="Times New Roman" w:hAnsi="Times New Roman" w:cs="Times New Roman"/>
          <w:color w:val="auto"/>
          <w:lang w:val="en-US" w:eastAsia="zh-CN"/>
        </w:rPr>
        <w:t>133</w:t>
      </w:r>
      <w:r>
        <w:rPr>
          <w:rFonts w:hint="default" w:ascii="Times New Roman" w:hAnsi="Times New Roman" w:eastAsia="华文中宋" w:cs="Times New Roman"/>
          <w:color w:val="auto"/>
          <w:lang w:val="en-US" w:eastAsia="zh-CN"/>
        </w:rPr>
        <w:t>kWh/t。</w:t>
      </w:r>
    </w:p>
    <w:p w14:paraId="77B777C5">
      <w:pPr>
        <w:pStyle w:val="24"/>
        <w:snapToGrid w:val="0"/>
        <w:ind w:left="0" w:leftChars="0" w:firstLine="0" w:firstLineChars="0"/>
        <w:jc w:val="left"/>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3.1.8.4炸药</w:t>
      </w:r>
    </w:p>
    <w:p w14:paraId="3107CE6E">
      <w:pPr>
        <w:pStyle w:val="24"/>
        <w:snapToGrid w:val="0"/>
        <w:ind w:left="0" w:leftChars="0" w:firstLine="480" w:firstLineChars="200"/>
        <w:jc w:val="left"/>
        <w:rPr>
          <w:rFonts w:hint="default" w:ascii="Times New Roman" w:hAnsi="Times New Roman" w:cs="Times New Roman"/>
          <w:b/>
          <w:bCs/>
          <w:color w:val="000000" w:themeColor="text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项目配套炸药库不在本项目矿区范围内，</w:t>
      </w:r>
      <w:r>
        <w:rPr>
          <w:rFonts w:hint="eastAsia" w:ascii="Times New Roman" w:hAnsi="Times New Roman" w:eastAsia="华文中宋" w:cs="Times New Roman"/>
          <w:color w:val="000000" w:themeColor="text1"/>
          <w:szCs w:val="21"/>
          <w:lang w:val="en-US" w:eastAsia="zh-CN"/>
          <w14:textFill>
            <w14:solidFill>
              <w14:schemeClr w14:val="tx1"/>
            </w14:solidFill>
          </w14:textFill>
        </w:rPr>
        <w:t>炸药库的建设及后期运营建设单位委托第三方全权负责，因此本项目炸药库环评手续由第三方公司负责，第三方正在办理相关手续中，具体见附件《民丰县万水源矿业有限责任公司关于盼水河锑铅矿炸药库另行履行环保手续的承诺》。</w:t>
      </w:r>
    </w:p>
    <w:p w14:paraId="255562F5">
      <w:pPr>
        <w:pStyle w:val="4"/>
        <w:spacing w:before="120" w:after="120" w:line="500" w:lineRule="exact"/>
        <w:rPr>
          <w:rFonts w:hint="default" w:ascii="Times New Roman" w:hAnsi="Times New Roman" w:eastAsia="华文中宋" w:cs="Times New Roman"/>
          <w:kern w:val="0"/>
          <w:sz w:val="24"/>
          <w:szCs w:val="24"/>
          <w:lang w:val="en-US" w:eastAsia="zh-CN"/>
        </w:rPr>
      </w:pPr>
      <w:bookmarkStart w:id="80" w:name="_Toc12887"/>
      <w:r>
        <w:rPr>
          <w:rFonts w:hint="default" w:ascii="Times New Roman" w:hAnsi="Times New Roman" w:eastAsia="华文中宋" w:cs="Times New Roman"/>
          <w:kern w:val="0"/>
          <w:sz w:val="24"/>
          <w:szCs w:val="24"/>
          <w:lang w:val="en-US" w:eastAsia="zh-CN"/>
        </w:rPr>
        <w:t>3.1.</w:t>
      </w:r>
      <w:r>
        <w:rPr>
          <w:rFonts w:hint="eastAsia" w:ascii="Times New Roman" w:hAnsi="Times New Roman" w:eastAsia="华文中宋" w:cs="Times New Roman"/>
          <w:kern w:val="0"/>
          <w:sz w:val="24"/>
          <w:szCs w:val="24"/>
          <w:lang w:val="en-US" w:eastAsia="zh-CN"/>
        </w:rPr>
        <w:t>9</w:t>
      </w:r>
      <w:r>
        <w:rPr>
          <w:rFonts w:hint="default" w:ascii="Times New Roman" w:hAnsi="Times New Roman" w:eastAsia="华文中宋" w:cs="Times New Roman"/>
          <w:kern w:val="0"/>
          <w:sz w:val="24"/>
          <w:szCs w:val="24"/>
          <w:lang w:val="en-US" w:eastAsia="zh-CN"/>
        </w:rPr>
        <w:t>建设项目主要设备</w:t>
      </w:r>
      <w:bookmarkEnd w:id="80"/>
    </w:p>
    <w:p w14:paraId="466C8ECD">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项目主要生产设备见下表。</w:t>
      </w:r>
    </w:p>
    <w:p w14:paraId="6C1202AC">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表3.1-</w:t>
      </w:r>
      <w:r>
        <w:rPr>
          <w:rFonts w:hint="eastAsia" w:ascii="Times New Roman" w:hAnsi="Times New Roman" w:eastAsia="华文中宋" w:cs="Times New Roman"/>
          <w:b/>
          <w:szCs w:val="21"/>
          <w:lang w:val="en-US" w:eastAsia="zh-CN"/>
        </w:rPr>
        <w:t>5</w:t>
      </w:r>
      <w:r>
        <w:rPr>
          <w:rFonts w:hint="default" w:ascii="Times New Roman" w:hAnsi="Times New Roman" w:eastAsia="华文中宋" w:cs="Times New Roman"/>
          <w:b/>
          <w:szCs w:val="21"/>
          <w:lang w:val="en-US" w:eastAsia="zh-CN"/>
        </w:rPr>
        <w:t xml:space="preserve">  项目主要生产设备一览表</w:t>
      </w:r>
    </w:p>
    <w:tbl>
      <w:tblPr>
        <w:tblStyle w:val="19"/>
        <w:tblW w:w="4732" w:type="pct"/>
        <w:tblInd w:w="0"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570"/>
        <w:gridCol w:w="2049"/>
        <w:gridCol w:w="3871"/>
        <w:gridCol w:w="849"/>
        <w:gridCol w:w="575"/>
      </w:tblGrid>
      <w:tr w14:paraId="7CBAFD69">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28" w:type="dxa"/>
            <w:bottom w:w="0" w:type="dxa"/>
            <w:right w:w="28" w:type="dxa"/>
          </w:tblCellMar>
        </w:tblPrEx>
        <w:trPr>
          <w:trHeight w:val="397" w:hRule="atLeast"/>
          <w:tblHeader/>
        </w:trPr>
        <w:tc>
          <w:tcPr>
            <w:tcW w:w="360" w:type="pct"/>
            <w:tcBorders>
              <w:top w:val="single" w:color="auto" w:sz="4" w:space="0"/>
              <w:left w:val="single" w:color="auto" w:sz="4" w:space="0"/>
              <w:bottom w:val="single" w:color="auto" w:sz="4" w:space="0"/>
              <w:right w:val="single" w:color="auto" w:sz="4" w:space="0"/>
            </w:tcBorders>
            <w:noWrap w:val="0"/>
            <w:vAlign w:val="center"/>
          </w:tcPr>
          <w:p w14:paraId="3B8DC6D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序号</w:t>
            </w:r>
          </w:p>
        </w:tc>
        <w:tc>
          <w:tcPr>
            <w:tcW w:w="1294" w:type="pct"/>
            <w:tcBorders>
              <w:top w:val="single" w:color="auto" w:sz="4" w:space="0"/>
              <w:left w:val="single" w:color="auto" w:sz="4" w:space="0"/>
              <w:bottom w:val="single" w:color="auto" w:sz="4" w:space="0"/>
              <w:right w:val="single" w:color="auto" w:sz="4" w:space="0"/>
            </w:tcBorders>
            <w:noWrap w:val="0"/>
            <w:vAlign w:val="center"/>
          </w:tcPr>
          <w:p w14:paraId="164583D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设备名称</w:t>
            </w:r>
          </w:p>
        </w:tc>
        <w:tc>
          <w:tcPr>
            <w:tcW w:w="2445" w:type="pct"/>
            <w:tcBorders>
              <w:top w:val="single" w:color="auto" w:sz="4" w:space="0"/>
              <w:left w:val="single" w:color="auto" w:sz="4" w:space="0"/>
              <w:bottom w:val="single" w:color="auto" w:sz="4" w:space="0"/>
              <w:right w:val="single" w:color="auto" w:sz="4" w:space="0"/>
            </w:tcBorders>
            <w:noWrap w:val="0"/>
            <w:vAlign w:val="center"/>
          </w:tcPr>
          <w:p w14:paraId="0A79BC6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型号规格</w:t>
            </w:r>
          </w:p>
        </w:tc>
        <w:tc>
          <w:tcPr>
            <w:tcW w:w="536" w:type="pct"/>
            <w:tcBorders>
              <w:top w:val="single" w:color="auto" w:sz="4" w:space="0"/>
              <w:left w:val="single" w:color="auto" w:sz="4" w:space="0"/>
              <w:bottom w:val="single" w:color="auto" w:sz="4" w:space="0"/>
              <w:right w:val="single" w:color="auto" w:sz="4" w:space="0"/>
            </w:tcBorders>
            <w:noWrap w:val="0"/>
            <w:vAlign w:val="center"/>
          </w:tcPr>
          <w:p w14:paraId="512379E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单位</w:t>
            </w:r>
          </w:p>
        </w:tc>
        <w:tc>
          <w:tcPr>
            <w:tcW w:w="363" w:type="pct"/>
            <w:tcBorders>
              <w:top w:val="single" w:color="auto" w:sz="4" w:space="0"/>
              <w:left w:val="single" w:color="auto" w:sz="4" w:space="0"/>
              <w:bottom w:val="single" w:color="auto" w:sz="4" w:space="0"/>
              <w:right w:val="single" w:color="auto" w:sz="4" w:space="0"/>
            </w:tcBorders>
            <w:noWrap w:val="0"/>
            <w:vAlign w:val="center"/>
          </w:tcPr>
          <w:p w14:paraId="5D2FF20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数量</w:t>
            </w:r>
          </w:p>
        </w:tc>
      </w:tr>
      <w:tr w14:paraId="22ED005F">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0" w:type="pct"/>
            <w:tcBorders>
              <w:top w:val="single" w:color="auto" w:sz="4" w:space="0"/>
              <w:left w:val="single" w:color="auto" w:sz="4" w:space="0"/>
              <w:bottom w:val="single" w:color="auto" w:sz="4" w:space="0"/>
              <w:right w:val="single" w:color="auto" w:sz="4" w:space="0"/>
            </w:tcBorders>
            <w:noWrap w:val="0"/>
            <w:vAlign w:val="center"/>
          </w:tcPr>
          <w:p w14:paraId="72561B1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w:t>
            </w:r>
          </w:p>
        </w:tc>
        <w:tc>
          <w:tcPr>
            <w:tcW w:w="1294" w:type="pct"/>
            <w:tcBorders>
              <w:top w:val="single" w:color="auto" w:sz="4" w:space="0"/>
              <w:left w:val="single" w:color="auto" w:sz="4" w:space="0"/>
              <w:bottom w:val="single" w:color="auto" w:sz="4" w:space="0"/>
              <w:right w:val="single" w:color="auto" w:sz="4" w:space="0"/>
            </w:tcBorders>
            <w:noWrap w:val="0"/>
            <w:vAlign w:val="center"/>
          </w:tcPr>
          <w:p w14:paraId="7251AA5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露天潜孔钻机</w:t>
            </w:r>
          </w:p>
        </w:tc>
        <w:tc>
          <w:tcPr>
            <w:tcW w:w="2445" w:type="pct"/>
            <w:tcBorders>
              <w:top w:val="single" w:color="auto" w:sz="4" w:space="0"/>
              <w:left w:val="single" w:color="auto" w:sz="4" w:space="0"/>
              <w:bottom w:val="single" w:color="auto" w:sz="4" w:space="0"/>
              <w:right w:val="single" w:color="auto" w:sz="4" w:space="0"/>
            </w:tcBorders>
            <w:noWrap w:val="0"/>
            <w:vAlign w:val="center"/>
          </w:tcPr>
          <w:p w14:paraId="718A387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PCR200-DH</w:t>
            </w:r>
          </w:p>
        </w:tc>
        <w:tc>
          <w:tcPr>
            <w:tcW w:w="536" w:type="pct"/>
            <w:tcBorders>
              <w:top w:val="single" w:color="auto" w:sz="4" w:space="0"/>
              <w:left w:val="single" w:color="auto" w:sz="4" w:space="0"/>
              <w:bottom w:val="single" w:color="auto" w:sz="4" w:space="0"/>
              <w:right w:val="single" w:color="auto" w:sz="4" w:space="0"/>
            </w:tcBorders>
            <w:noWrap w:val="0"/>
            <w:vAlign w:val="center"/>
          </w:tcPr>
          <w:p w14:paraId="7647EC1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台</w:t>
            </w:r>
          </w:p>
        </w:tc>
        <w:tc>
          <w:tcPr>
            <w:tcW w:w="363" w:type="pct"/>
            <w:tcBorders>
              <w:top w:val="single" w:color="auto" w:sz="4" w:space="0"/>
              <w:left w:val="single" w:color="auto" w:sz="4" w:space="0"/>
              <w:bottom w:val="single" w:color="auto" w:sz="4" w:space="0"/>
              <w:right w:val="single" w:color="auto" w:sz="4" w:space="0"/>
            </w:tcBorders>
            <w:noWrap w:val="0"/>
            <w:vAlign w:val="center"/>
          </w:tcPr>
          <w:p w14:paraId="7417510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w:t>
            </w:r>
          </w:p>
        </w:tc>
      </w:tr>
      <w:tr w14:paraId="470FFE90">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0" w:type="pct"/>
            <w:tcBorders>
              <w:top w:val="single" w:color="auto" w:sz="4" w:space="0"/>
              <w:left w:val="single" w:color="auto" w:sz="4" w:space="0"/>
              <w:bottom w:val="single" w:color="auto" w:sz="4" w:space="0"/>
              <w:right w:val="single" w:color="auto" w:sz="4" w:space="0"/>
            </w:tcBorders>
            <w:noWrap w:val="0"/>
            <w:vAlign w:val="center"/>
          </w:tcPr>
          <w:p w14:paraId="595CE6C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w:t>
            </w:r>
          </w:p>
        </w:tc>
        <w:tc>
          <w:tcPr>
            <w:tcW w:w="1294" w:type="pct"/>
            <w:tcBorders>
              <w:top w:val="single" w:color="auto" w:sz="4" w:space="0"/>
              <w:left w:val="single" w:color="auto" w:sz="4" w:space="0"/>
              <w:bottom w:val="single" w:color="auto" w:sz="4" w:space="0"/>
              <w:right w:val="single" w:color="auto" w:sz="4" w:space="0"/>
            </w:tcBorders>
            <w:noWrap w:val="0"/>
            <w:vAlign w:val="center"/>
          </w:tcPr>
          <w:p w14:paraId="1B18DAD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全液压挖掘机</w:t>
            </w:r>
          </w:p>
        </w:tc>
        <w:tc>
          <w:tcPr>
            <w:tcW w:w="2445" w:type="pct"/>
            <w:tcBorders>
              <w:top w:val="single" w:color="auto" w:sz="4" w:space="0"/>
              <w:left w:val="single" w:color="auto" w:sz="4" w:space="0"/>
              <w:bottom w:val="single" w:color="auto" w:sz="4" w:space="0"/>
              <w:right w:val="single" w:color="auto" w:sz="4" w:space="0"/>
            </w:tcBorders>
            <w:noWrap w:val="0"/>
            <w:vAlign w:val="center"/>
          </w:tcPr>
          <w:p w14:paraId="6630942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CAT3500</w:t>
            </w:r>
            <w:r>
              <w:rPr>
                <w:rFonts w:hint="eastAsia" w:ascii="Times New Roman" w:hAnsi="Times New Roman" w:eastAsia="华文中宋" w:cs="Times New Roman"/>
                <w:szCs w:val="21"/>
                <w:lang w:val="en-US" w:eastAsia="zh-CN"/>
              </w:rPr>
              <w:t>/斗山225</w:t>
            </w:r>
          </w:p>
        </w:tc>
        <w:tc>
          <w:tcPr>
            <w:tcW w:w="536" w:type="pct"/>
            <w:tcBorders>
              <w:top w:val="single" w:color="auto" w:sz="4" w:space="0"/>
              <w:left w:val="single" w:color="auto" w:sz="4" w:space="0"/>
              <w:bottom w:val="single" w:color="auto" w:sz="4" w:space="0"/>
              <w:right w:val="single" w:color="auto" w:sz="4" w:space="0"/>
            </w:tcBorders>
            <w:noWrap w:val="0"/>
            <w:vAlign w:val="center"/>
          </w:tcPr>
          <w:p w14:paraId="6BEA793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台</w:t>
            </w:r>
          </w:p>
        </w:tc>
        <w:tc>
          <w:tcPr>
            <w:tcW w:w="363" w:type="pct"/>
            <w:tcBorders>
              <w:top w:val="single" w:color="auto" w:sz="4" w:space="0"/>
              <w:left w:val="single" w:color="auto" w:sz="4" w:space="0"/>
              <w:bottom w:val="single" w:color="auto" w:sz="4" w:space="0"/>
              <w:right w:val="single" w:color="auto" w:sz="4" w:space="0"/>
            </w:tcBorders>
            <w:noWrap w:val="0"/>
            <w:vAlign w:val="center"/>
          </w:tcPr>
          <w:p w14:paraId="499EDE6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w:t>
            </w:r>
          </w:p>
        </w:tc>
      </w:tr>
      <w:tr w14:paraId="3FCFC13D">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0" w:type="pct"/>
            <w:tcBorders>
              <w:top w:val="single" w:color="auto" w:sz="4" w:space="0"/>
              <w:left w:val="single" w:color="auto" w:sz="4" w:space="0"/>
              <w:bottom w:val="single" w:color="auto" w:sz="4" w:space="0"/>
              <w:right w:val="single" w:color="auto" w:sz="4" w:space="0"/>
            </w:tcBorders>
            <w:noWrap w:val="0"/>
            <w:vAlign w:val="center"/>
          </w:tcPr>
          <w:p w14:paraId="491991C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w:t>
            </w:r>
          </w:p>
        </w:tc>
        <w:tc>
          <w:tcPr>
            <w:tcW w:w="1294" w:type="pct"/>
            <w:tcBorders>
              <w:top w:val="single" w:color="auto" w:sz="4" w:space="0"/>
              <w:left w:val="single" w:color="auto" w:sz="4" w:space="0"/>
              <w:bottom w:val="single" w:color="auto" w:sz="4" w:space="0"/>
              <w:right w:val="single" w:color="auto" w:sz="4" w:space="0"/>
            </w:tcBorders>
            <w:noWrap w:val="0"/>
            <w:vAlign w:val="center"/>
          </w:tcPr>
          <w:p w14:paraId="0AA23D7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移动式空压机</w:t>
            </w:r>
          </w:p>
        </w:tc>
        <w:tc>
          <w:tcPr>
            <w:tcW w:w="2445" w:type="pct"/>
            <w:tcBorders>
              <w:top w:val="single" w:color="auto" w:sz="4" w:space="0"/>
              <w:left w:val="single" w:color="auto" w:sz="4" w:space="0"/>
              <w:bottom w:val="single" w:color="auto" w:sz="4" w:space="0"/>
              <w:right w:val="single" w:color="auto" w:sz="4" w:space="0"/>
            </w:tcBorders>
            <w:noWrap w:val="0"/>
            <w:vAlign w:val="center"/>
          </w:tcPr>
          <w:p w14:paraId="30E8B53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埃索BACY-39/25</w:t>
            </w:r>
          </w:p>
        </w:tc>
        <w:tc>
          <w:tcPr>
            <w:tcW w:w="536" w:type="pct"/>
            <w:tcBorders>
              <w:top w:val="single" w:color="auto" w:sz="4" w:space="0"/>
              <w:left w:val="single" w:color="auto" w:sz="4" w:space="0"/>
              <w:bottom w:val="single" w:color="auto" w:sz="4" w:space="0"/>
              <w:right w:val="single" w:color="auto" w:sz="4" w:space="0"/>
            </w:tcBorders>
            <w:noWrap w:val="0"/>
            <w:vAlign w:val="center"/>
          </w:tcPr>
          <w:p w14:paraId="3CE98F2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台</w:t>
            </w:r>
          </w:p>
        </w:tc>
        <w:tc>
          <w:tcPr>
            <w:tcW w:w="363" w:type="pct"/>
            <w:tcBorders>
              <w:top w:val="single" w:color="auto" w:sz="4" w:space="0"/>
              <w:left w:val="single" w:color="auto" w:sz="4" w:space="0"/>
              <w:bottom w:val="single" w:color="auto" w:sz="4" w:space="0"/>
              <w:right w:val="single" w:color="auto" w:sz="4" w:space="0"/>
            </w:tcBorders>
            <w:noWrap w:val="0"/>
            <w:vAlign w:val="center"/>
          </w:tcPr>
          <w:p w14:paraId="2B655037">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4</w:t>
            </w:r>
          </w:p>
        </w:tc>
      </w:tr>
      <w:tr w14:paraId="5A3EE6F3">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0" w:type="pct"/>
            <w:tcBorders>
              <w:top w:val="single" w:color="auto" w:sz="4" w:space="0"/>
              <w:left w:val="single" w:color="auto" w:sz="4" w:space="0"/>
              <w:bottom w:val="single" w:color="auto" w:sz="4" w:space="0"/>
              <w:right w:val="single" w:color="auto" w:sz="4" w:space="0"/>
            </w:tcBorders>
            <w:noWrap w:val="0"/>
            <w:vAlign w:val="center"/>
          </w:tcPr>
          <w:p w14:paraId="20D640C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4</w:t>
            </w:r>
          </w:p>
        </w:tc>
        <w:tc>
          <w:tcPr>
            <w:tcW w:w="1294" w:type="pct"/>
            <w:tcBorders>
              <w:top w:val="single" w:color="auto" w:sz="4" w:space="0"/>
              <w:left w:val="single" w:color="auto" w:sz="4" w:space="0"/>
              <w:bottom w:val="single" w:color="auto" w:sz="4" w:space="0"/>
              <w:right w:val="single" w:color="auto" w:sz="4" w:space="0"/>
            </w:tcBorders>
            <w:noWrap w:val="0"/>
            <w:vAlign w:val="center"/>
          </w:tcPr>
          <w:p w14:paraId="22F33C6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轮胎式装载机</w:t>
            </w:r>
          </w:p>
        </w:tc>
        <w:tc>
          <w:tcPr>
            <w:tcW w:w="2445" w:type="pct"/>
            <w:tcBorders>
              <w:top w:val="single" w:color="auto" w:sz="4" w:space="0"/>
              <w:left w:val="single" w:color="auto" w:sz="4" w:space="0"/>
              <w:bottom w:val="single" w:color="auto" w:sz="4" w:space="0"/>
              <w:right w:val="single" w:color="auto" w:sz="4" w:space="0"/>
            </w:tcBorders>
            <w:noWrap w:val="0"/>
            <w:vAlign w:val="center"/>
          </w:tcPr>
          <w:p w14:paraId="2FCCC49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ZL50，斗容3m</w:t>
            </w:r>
            <w:r>
              <w:rPr>
                <w:rFonts w:hint="default" w:ascii="Times New Roman" w:hAnsi="Times New Roman" w:eastAsia="华文中宋" w:cs="Times New Roman"/>
                <w:szCs w:val="21"/>
                <w:vertAlign w:val="superscript"/>
                <w:lang w:val="en-US" w:eastAsia="zh-CN"/>
              </w:rPr>
              <w:t>3</w:t>
            </w:r>
            <w:r>
              <w:rPr>
                <w:rFonts w:hint="default" w:ascii="Times New Roman" w:hAnsi="Times New Roman" w:eastAsia="华文中宋" w:cs="Times New Roman"/>
                <w:szCs w:val="21"/>
                <w:lang w:val="en-US" w:eastAsia="zh-CN"/>
              </w:rPr>
              <w:t>，功率160kW。</w:t>
            </w:r>
          </w:p>
        </w:tc>
        <w:tc>
          <w:tcPr>
            <w:tcW w:w="536" w:type="pct"/>
            <w:tcBorders>
              <w:top w:val="single" w:color="auto" w:sz="4" w:space="0"/>
              <w:left w:val="single" w:color="auto" w:sz="4" w:space="0"/>
              <w:bottom w:val="single" w:color="auto" w:sz="4" w:space="0"/>
              <w:right w:val="single" w:color="auto" w:sz="4" w:space="0"/>
            </w:tcBorders>
            <w:noWrap w:val="0"/>
            <w:vAlign w:val="center"/>
          </w:tcPr>
          <w:p w14:paraId="2026E83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台</w:t>
            </w:r>
          </w:p>
        </w:tc>
        <w:tc>
          <w:tcPr>
            <w:tcW w:w="363" w:type="pct"/>
            <w:tcBorders>
              <w:top w:val="single" w:color="auto" w:sz="4" w:space="0"/>
              <w:left w:val="single" w:color="auto" w:sz="4" w:space="0"/>
              <w:bottom w:val="single" w:color="auto" w:sz="4" w:space="0"/>
              <w:right w:val="single" w:color="auto" w:sz="4" w:space="0"/>
            </w:tcBorders>
            <w:noWrap w:val="0"/>
            <w:vAlign w:val="center"/>
          </w:tcPr>
          <w:p w14:paraId="7F02121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4</w:t>
            </w:r>
          </w:p>
        </w:tc>
      </w:tr>
      <w:tr w14:paraId="6FC5A673">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0" w:type="pct"/>
            <w:tcBorders>
              <w:top w:val="single" w:color="auto" w:sz="4" w:space="0"/>
              <w:left w:val="single" w:color="auto" w:sz="4" w:space="0"/>
              <w:bottom w:val="single" w:color="auto" w:sz="4" w:space="0"/>
              <w:right w:val="single" w:color="auto" w:sz="4" w:space="0"/>
            </w:tcBorders>
            <w:noWrap w:val="0"/>
            <w:vAlign w:val="center"/>
          </w:tcPr>
          <w:p w14:paraId="1AAE93F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w:t>
            </w:r>
          </w:p>
        </w:tc>
        <w:tc>
          <w:tcPr>
            <w:tcW w:w="1294" w:type="pct"/>
            <w:tcBorders>
              <w:top w:val="single" w:color="auto" w:sz="4" w:space="0"/>
              <w:left w:val="single" w:color="auto" w:sz="4" w:space="0"/>
              <w:bottom w:val="single" w:color="auto" w:sz="4" w:space="0"/>
              <w:right w:val="single" w:color="auto" w:sz="4" w:space="0"/>
            </w:tcBorders>
            <w:noWrap w:val="0"/>
            <w:vAlign w:val="center"/>
          </w:tcPr>
          <w:p w14:paraId="76D760A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智能光电分选机</w:t>
            </w:r>
          </w:p>
        </w:tc>
        <w:tc>
          <w:tcPr>
            <w:tcW w:w="2445" w:type="pct"/>
            <w:tcBorders>
              <w:top w:val="single" w:color="auto" w:sz="4" w:space="0"/>
              <w:left w:val="single" w:color="auto" w:sz="4" w:space="0"/>
              <w:bottom w:val="single" w:color="auto" w:sz="4" w:space="0"/>
              <w:right w:val="single" w:color="auto" w:sz="4" w:space="0"/>
            </w:tcBorders>
            <w:noWrap w:val="0"/>
            <w:vAlign w:val="center"/>
          </w:tcPr>
          <w:p w14:paraId="512586C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XRT</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IXS160BP800</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24-60-S2</w:t>
            </w:r>
          </w:p>
        </w:tc>
        <w:tc>
          <w:tcPr>
            <w:tcW w:w="536" w:type="pct"/>
            <w:tcBorders>
              <w:top w:val="single" w:color="auto" w:sz="4" w:space="0"/>
              <w:left w:val="single" w:color="auto" w:sz="4" w:space="0"/>
              <w:bottom w:val="single" w:color="auto" w:sz="4" w:space="0"/>
              <w:right w:val="single" w:color="auto" w:sz="4" w:space="0"/>
            </w:tcBorders>
            <w:noWrap w:val="0"/>
            <w:vAlign w:val="center"/>
          </w:tcPr>
          <w:p w14:paraId="651BA2B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台</w:t>
            </w:r>
          </w:p>
        </w:tc>
        <w:tc>
          <w:tcPr>
            <w:tcW w:w="363" w:type="pct"/>
            <w:tcBorders>
              <w:top w:val="single" w:color="auto" w:sz="4" w:space="0"/>
              <w:left w:val="single" w:color="auto" w:sz="4" w:space="0"/>
              <w:bottom w:val="single" w:color="auto" w:sz="4" w:space="0"/>
              <w:right w:val="single" w:color="auto" w:sz="4" w:space="0"/>
            </w:tcBorders>
            <w:noWrap w:val="0"/>
            <w:vAlign w:val="center"/>
          </w:tcPr>
          <w:p w14:paraId="22D9E4F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w:t>
            </w:r>
          </w:p>
        </w:tc>
      </w:tr>
      <w:tr w14:paraId="029FDEFF">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0" w:type="pct"/>
            <w:tcBorders>
              <w:top w:val="single" w:color="auto" w:sz="4" w:space="0"/>
              <w:left w:val="single" w:color="auto" w:sz="4" w:space="0"/>
              <w:bottom w:val="single" w:color="auto" w:sz="4" w:space="0"/>
              <w:right w:val="single" w:color="auto" w:sz="4" w:space="0"/>
            </w:tcBorders>
            <w:noWrap w:val="0"/>
            <w:vAlign w:val="center"/>
          </w:tcPr>
          <w:p w14:paraId="2CF3DC1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6</w:t>
            </w:r>
          </w:p>
        </w:tc>
        <w:tc>
          <w:tcPr>
            <w:tcW w:w="1294" w:type="pct"/>
            <w:tcBorders>
              <w:top w:val="single" w:color="auto" w:sz="4" w:space="0"/>
              <w:left w:val="single" w:color="auto" w:sz="4" w:space="0"/>
              <w:bottom w:val="single" w:color="auto" w:sz="4" w:space="0"/>
              <w:right w:val="single" w:color="auto" w:sz="4" w:space="0"/>
            </w:tcBorders>
            <w:noWrap w:val="0"/>
            <w:vAlign w:val="center"/>
          </w:tcPr>
          <w:p w14:paraId="5A4B5F0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柴油发电机</w:t>
            </w:r>
          </w:p>
        </w:tc>
        <w:tc>
          <w:tcPr>
            <w:tcW w:w="2445" w:type="pct"/>
            <w:tcBorders>
              <w:top w:val="single" w:color="auto" w:sz="4" w:space="0"/>
              <w:left w:val="single" w:color="auto" w:sz="4" w:space="0"/>
              <w:bottom w:val="single" w:color="auto" w:sz="4" w:space="0"/>
              <w:right w:val="single" w:color="auto" w:sz="4" w:space="0"/>
            </w:tcBorders>
            <w:noWrap w:val="0"/>
            <w:vAlign w:val="center"/>
          </w:tcPr>
          <w:p w14:paraId="533FBDC4">
            <w:pPr>
              <w:spacing w:line="300" w:lineRule="exact"/>
              <w:jc w:val="center"/>
              <w:rPr>
                <w:rFonts w:hint="eastAsia"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100GF</w:t>
            </w:r>
            <w:r>
              <w:rPr>
                <w:rFonts w:hint="eastAsia" w:ascii="Times New Roman" w:hAnsi="Times New Roman" w:eastAsia="华文中宋" w:cs="Times New Roman"/>
                <w:szCs w:val="21"/>
                <w:lang w:val="en-US" w:eastAsia="zh-CN"/>
              </w:rPr>
              <w:t>(100kW)</w:t>
            </w:r>
          </w:p>
        </w:tc>
        <w:tc>
          <w:tcPr>
            <w:tcW w:w="536" w:type="pct"/>
            <w:tcBorders>
              <w:top w:val="single" w:color="auto" w:sz="4" w:space="0"/>
              <w:left w:val="single" w:color="auto" w:sz="4" w:space="0"/>
              <w:bottom w:val="single" w:color="auto" w:sz="4" w:space="0"/>
              <w:right w:val="single" w:color="auto" w:sz="4" w:space="0"/>
            </w:tcBorders>
            <w:noWrap w:val="0"/>
            <w:vAlign w:val="center"/>
          </w:tcPr>
          <w:p w14:paraId="754C111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台</w:t>
            </w:r>
          </w:p>
        </w:tc>
        <w:tc>
          <w:tcPr>
            <w:tcW w:w="363" w:type="pct"/>
            <w:tcBorders>
              <w:top w:val="single" w:color="auto" w:sz="4" w:space="0"/>
              <w:left w:val="single" w:color="auto" w:sz="4" w:space="0"/>
              <w:bottom w:val="single" w:color="auto" w:sz="4" w:space="0"/>
              <w:right w:val="single" w:color="auto" w:sz="4" w:space="0"/>
            </w:tcBorders>
            <w:noWrap w:val="0"/>
            <w:vAlign w:val="center"/>
          </w:tcPr>
          <w:p w14:paraId="70A6CC6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w:t>
            </w:r>
          </w:p>
        </w:tc>
      </w:tr>
      <w:tr w14:paraId="6C6739FD">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28" w:type="dxa"/>
            <w:bottom w:w="0" w:type="dxa"/>
            <w:right w:w="28" w:type="dxa"/>
          </w:tblCellMar>
        </w:tblPrEx>
        <w:trPr>
          <w:trHeight w:val="453" w:hRule="atLeast"/>
        </w:trPr>
        <w:tc>
          <w:tcPr>
            <w:tcW w:w="360" w:type="pct"/>
            <w:tcBorders>
              <w:top w:val="single" w:color="auto" w:sz="4" w:space="0"/>
              <w:left w:val="single" w:color="auto" w:sz="4" w:space="0"/>
              <w:bottom w:val="single" w:color="auto" w:sz="4" w:space="0"/>
              <w:right w:val="single" w:color="auto" w:sz="4" w:space="0"/>
            </w:tcBorders>
            <w:noWrap w:val="0"/>
            <w:vAlign w:val="center"/>
          </w:tcPr>
          <w:p w14:paraId="47BDFFB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7</w:t>
            </w:r>
          </w:p>
        </w:tc>
        <w:tc>
          <w:tcPr>
            <w:tcW w:w="1294" w:type="pct"/>
            <w:tcBorders>
              <w:top w:val="single" w:color="auto" w:sz="4" w:space="0"/>
              <w:left w:val="single" w:color="auto" w:sz="4" w:space="0"/>
              <w:bottom w:val="single" w:color="auto" w:sz="4" w:space="0"/>
              <w:right w:val="single" w:color="auto" w:sz="4" w:space="0"/>
            </w:tcBorders>
            <w:noWrap w:val="0"/>
            <w:vAlign w:val="center"/>
          </w:tcPr>
          <w:p w14:paraId="614AA34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洒水车</w:t>
            </w:r>
          </w:p>
        </w:tc>
        <w:tc>
          <w:tcPr>
            <w:tcW w:w="2445" w:type="pct"/>
            <w:tcBorders>
              <w:top w:val="single" w:color="auto" w:sz="4" w:space="0"/>
              <w:left w:val="single" w:color="auto" w:sz="4" w:space="0"/>
              <w:bottom w:val="single" w:color="auto" w:sz="4" w:space="0"/>
              <w:right w:val="single" w:color="auto" w:sz="4" w:space="0"/>
            </w:tcBorders>
            <w:noWrap w:val="0"/>
            <w:vAlign w:val="center"/>
          </w:tcPr>
          <w:p w14:paraId="4F4B9730">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10m</w:t>
            </w:r>
            <w:r>
              <w:rPr>
                <w:rFonts w:hint="eastAsia" w:ascii="Times New Roman" w:hAnsi="Times New Roman" w:eastAsia="华文中宋" w:cs="Times New Roman"/>
                <w:szCs w:val="21"/>
                <w:vertAlign w:val="superscript"/>
                <w:lang w:val="en-US" w:eastAsia="zh-CN"/>
              </w:rPr>
              <w:t>3</w:t>
            </w:r>
          </w:p>
        </w:tc>
        <w:tc>
          <w:tcPr>
            <w:tcW w:w="536" w:type="pct"/>
            <w:tcBorders>
              <w:top w:val="single" w:color="auto" w:sz="4" w:space="0"/>
              <w:left w:val="single" w:color="auto" w:sz="4" w:space="0"/>
              <w:bottom w:val="single" w:color="auto" w:sz="4" w:space="0"/>
              <w:right w:val="single" w:color="auto" w:sz="4" w:space="0"/>
            </w:tcBorders>
            <w:noWrap w:val="0"/>
            <w:vAlign w:val="center"/>
          </w:tcPr>
          <w:p w14:paraId="49D7705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辆</w:t>
            </w:r>
          </w:p>
        </w:tc>
        <w:tc>
          <w:tcPr>
            <w:tcW w:w="363" w:type="pct"/>
            <w:tcBorders>
              <w:top w:val="single" w:color="auto" w:sz="4" w:space="0"/>
              <w:left w:val="single" w:color="auto" w:sz="4" w:space="0"/>
              <w:bottom w:val="single" w:color="auto" w:sz="4" w:space="0"/>
              <w:right w:val="single" w:color="auto" w:sz="4" w:space="0"/>
            </w:tcBorders>
            <w:noWrap w:val="0"/>
            <w:vAlign w:val="center"/>
          </w:tcPr>
          <w:p w14:paraId="26CB912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w:t>
            </w:r>
          </w:p>
        </w:tc>
      </w:tr>
      <w:tr w14:paraId="7B032495">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0" w:type="pct"/>
            <w:tcBorders>
              <w:top w:val="single" w:color="auto" w:sz="4" w:space="0"/>
              <w:left w:val="single" w:color="auto" w:sz="4" w:space="0"/>
              <w:bottom w:val="single" w:color="auto" w:sz="4" w:space="0"/>
              <w:right w:val="single" w:color="auto" w:sz="4" w:space="0"/>
            </w:tcBorders>
            <w:noWrap w:val="0"/>
            <w:vAlign w:val="center"/>
          </w:tcPr>
          <w:p w14:paraId="5627A8F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8</w:t>
            </w:r>
          </w:p>
        </w:tc>
        <w:tc>
          <w:tcPr>
            <w:tcW w:w="1294" w:type="pct"/>
            <w:tcBorders>
              <w:top w:val="single" w:color="auto" w:sz="4" w:space="0"/>
              <w:left w:val="single" w:color="auto" w:sz="4" w:space="0"/>
              <w:bottom w:val="single" w:color="auto" w:sz="4" w:space="0"/>
              <w:right w:val="single" w:color="auto" w:sz="4" w:space="0"/>
            </w:tcBorders>
            <w:noWrap w:val="0"/>
            <w:vAlign w:val="center"/>
          </w:tcPr>
          <w:p w14:paraId="2D56CC8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排水泵</w:t>
            </w:r>
          </w:p>
        </w:tc>
        <w:tc>
          <w:tcPr>
            <w:tcW w:w="2445" w:type="pct"/>
            <w:tcBorders>
              <w:top w:val="single" w:color="auto" w:sz="4" w:space="0"/>
              <w:left w:val="single" w:color="auto" w:sz="4" w:space="0"/>
              <w:bottom w:val="single" w:color="auto" w:sz="4" w:space="0"/>
              <w:right w:val="single" w:color="auto" w:sz="4" w:space="0"/>
            </w:tcBorders>
            <w:noWrap w:val="0"/>
            <w:vAlign w:val="center"/>
          </w:tcPr>
          <w:p w14:paraId="29E306C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LK80DLH</w:t>
            </w:r>
          </w:p>
        </w:tc>
        <w:tc>
          <w:tcPr>
            <w:tcW w:w="536" w:type="pct"/>
            <w:tcBorders>
              <w:top w:val="single" w:color="auto" w:sz="4" w:space="0"/>
              <w:left w:val="single" w:color="auto" w:sz="4" w:space="0"/>
              <w:bottom w:val="single" w:color="auto" w:sz="4" w:space="0"/>
              <w:right w:val="single" w:color="auto" w:sz="4" w:space="0"/>
            </w:tcBorders>
            <w:noWrap w:val="0"/>
            <w:vAlign w:val="center"/>
          </w:tcPr>
          <w:p w14:paraId="2A71BD3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台</w:t>
            </w:r>
          </w:p>
        </w:tc>
        <w:tc>
          <w:tcPr>
            <w:tcW w:w="363" w:type="pct"/>
            <w:tcBorders>
              <w:top w:val="single" w:color="auto" w:sz="4" w:space="0"/>
              <w:left w:val="single" w:color="auto" w:sz="4" w:space="0"/>
              <w:bottom w:val="single" w:color="auto" w:sz="4" w:space="0"/>
              <w:right w:val="single" w:color="auto" w:sz="4" w:space="0"/>
            </w:tcBorders>
            <w:noWrap w:val="0"/>
            <w:vAlign w:val="center"/>
          </w:tcPr>
          <w:p w14:paraId="3E1AAE7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w:t>
            </w:r>
          </w:p>
        </w:tc>
      </w:tr>
      <w:tr w14:paraId="5D2CFD9F">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0" w:type="pct"/>
            <w:tcBorders>
              <w:top w:val="single" w:color="auto" w:sz="4" w:space="0"/>
              <w:left w:val="single" w:color="auto" w:sz="4" w:space="0"/>
              <w:bottom w:val="single" w:color="auto" w:sz="4" w:space="0"/>
              <w:right w:val="single" w:color="auto" w:sz="4" w:space="0"/>
            </w:tcBorders>
            <w:noWrap w:val="0"/>
            <w:vAlign w:val="center"/>
          </w:tcPr>
          <w:p w14:paraId="2F9C313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9</w:t>
            </w:r>
          </w:p>
        </w:tc>
        <w:tc>
          <w:tcPr>
            <w:tcW w:w="1294" w:type="pct"/>
            <w:tcBorders>
              <w:top w:val="single" w:color="auto" w:sz="4" w:space="0"/>
              <w:left w:val="single" w:color="auto" w:sz="4" w:space="0"/>
              <w:bottom w:val="single" w:color="auto" w:sz="4" w:space="0"/>
              <w:right w:val="single" w:color="auto" w:sz="4" w:space="0"/>
            </w:tcBorders>
            <w:noWrap w:val="0"/>
            <w:vAlign w:val="center"/>
          </w:tcPr>
          <w:p w14:paraId="610F803F">
            <w:pPr>
              <w:spacing w:line="300" w:lineRule="exact"/>
              <w:jc w:val="center"/>
              <w:rPr>
                <w:rFonts w:hint="eastAsia"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排水泵</w:t>
            </w:r>
          </w:p>
        </w:tc>
        <w:tc>
          <w:tcPr>
            <w:tcW w:w="2445" w:type="pct"/>
            <w:tcBorders>
              <w:top w:val="single" w:color="auto" w:sz="4" w:space="0"/>
              <w:left w:val="single" w:color="auto" w:sz="4" w:space="0"/>
              <w:bottom w:val="single" w:color="auto" w:sz="4" w:space="0"/>
              <w:right w:val="single" w:color="auto" w:sz="4" w:space="0"/>
            </w:tcBorders>
            <w:noWrap w:val="0"/>
            <w:vAlign w:val="center"/>
          </w:tcPr>
          <w:p w14:paraId="42B1D98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LK50DLH</w:t>
            </w:r>
          </w:p>
        </w:tc>
        <w:tc>
          <w:tcPr>
            <w:tcW w:w="536" w:type="pct"/>
            <w:tcBorders>
              <w:top w:val="single" w:color="auto" w:sz="4" w:space="0"/>
              <w:left w:val="single" w:color="auto" w:sz="4" w:space="0"/>
              <w:bottom w:val="single" w:color="auto" w:sz="4" w:space="0"/>
              <w:right w:val="single" w:color="auto" w:sz="4" w:space="0"/>
            </w:tcBorders>
            <w:noWrap w:val="0"/>
            <w:vAlign w:val="center"/>
          </w:tcPr>
          <w:p w14:paraId="3FB3DDA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台</w:t>
            </w:r>
          </w:p>
        </w:tc>
        <w:tc>
          <w:tcPr>
            <w:tcW w:w="363" w:type="pct"/>
            <w:tcBorders>
              <w:top w:val="single" w:color="auto" w:sz="4" w:space="0"/>
              <w:left w:val="single" w:color="auto" w:sz="4" w:space="0"/>
              <w:bottom w:val="single" w:color="auto" w:sz="4" w:space="0"/>
              <w:right w:val="single" w:color="auto" w:sz="4" w:space="0"/>
            </w:tcBorders>
            <w:noWrap w:val="0"/>
            <w:vAlign w:val="center"/>
          </w:tcPr>
          <w:p w14:paraId="3E75CCB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w:t>
            </w:r>
          </w:p>
        </w:tc>
      </w:tr>
    </w:tbl>
    <w:p w14:paraId="14B59522">
      <w:pPr>
        <w:pStyle w:val="4"/>
        <w:spacing w:before="120" w:after="120" w:line="500" w:lineRule="exact"/>
        <w:rPr>
          <w:rFonts w:hint="default" w:ascii="Times New Roman" w:hAnsi="Times New Roman" w:eastAsia="华文中宋" w:cs="Times New Roman"/>
          <w:kern w:val="0"/>
          <w:sz w:val="24"/>
          <w:szCs w:val="24"/>
          <w:lang w:val="en-US" w:eastAsia="zh-CN"/>
        </w:rPr>
      </w:pPr>
      <w:bookmarkStart w:id="81" w:name="_Toc1557"/>
      <w:r>
        <w:rPr>
          <w:rFonts w:hint="default" w:ascii="Times New Roman" w:hAnsi="Times New Roman" w:eastAsia="华文中宋" w:cs="Times New Roman"/>
          <w:kern w:val="0"/>
          <w:sz w:val="24"/>
          <w:szCs w:val="24"/>
          <w:lang w:val="en-US" w:eastAsia="zh-CN"/>
        </w:rPr>
        <w:t>3.1.</w:t>
      </w:r>
      <w:r>
        <w:rPr>
          <w:rFonts w:hint="eastAsia" w:ascii="Times New Roman" w:hAnsi="Times New Roman" w:eastAsia="华文中宋" w:cs="Times New Roman"/>
          <w:kern w:val="0"/>
          <w:sz w:val="24"/>
          <w:szCs w:val="24"/>
          <w:lang w:val="en-US" w:eastAsia="zh-CN"/>
        </w:rPr>
        <w:t>10</w:t>
      </w:r>
      <w:r>
        <w:rPr>
          <w:rFonts w:hint="default" w:ascii="Times New Roman" w:hAnsi="Times New Roman" w:eastAsia="华文中宋" w:cs="Times New Roman"/>
          <w:kern w:val="0"/>
          <w:sz w:val="24"/>
          <w:szCs w:val="24"/>
          <w:lang w:val="en-US" w:eastAsia="zh-CN"/>
        </w:rPr>
        <w:t>建设项目主要原辅材料</w:t>
      </w:r>
      <w:bookmarkEnd w:id="81"/>
    </w:p>
    <w:p w14:paraId="68355C58">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本项目主要原辅材料消耗见下表。</w:t>
      </w:r>
    </w:p>
    <w:p w14:paraId="596EBA4D">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表3.1-</w:t>
      </w:r>
      <w:r>
        <w:rPr>
          <w:rFonts w:hint="eastAsia" w:ascii="Times New Roman" w:hAnsi="Times New Roman" w:eastAsia="华文中宋" w:cs="Times New Roman"/>
          <w:b/>
          <w:szCs w:val="21"/>
          <w:lang w:val="en-US" w:eastAsia="zh-CN"/>
        </w:rPr>
        <w:t>6</w:t>
      </w:r>
      <w:r>
        <w:rPr>
          <w:rFonts w:hint="default" w:ascii="Times New Roman" w:hAnsi="Times New Roman" w:eastAsia="华文中宋" w:cs="Times New Roman"/>
          <w:b/>
          <w:szCs w:val="21"/>
          <w:lang w:val="en-US" w:eastAsia="zh-CN"/>
        </w:rPr>
        <w:t xml:space="preserve">  矿区开采主要材料消耗指标表</w:t>
      </w:r>
    </w:p>
    <w:tbl>
      <w:tblPr>
        <w:tblStyle w:val="20"/>
        <w:tblW w:w="4879" w:type="pct"/>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1"/>
        <w:gridCol w:w="1301"/>
        <w:gridCol w:w="1829"/>
        <w:gridCol w:w="1829"/>
        <w:gridCol w:w="1466"/>
      </w:tblGrid>
      <w:tr w14:paraId="1E6DB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pct"/>
            <w:vMerge w:val="restart"/>
            <w:vAlign w:val="center"/>
          </w:tcPr>
          <w:p w14:paraId="1CC347C7">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材料名称</w:t>
            </w:r>
          </w:p>
        </w:tc>
        <w:tc>
          <w:tcPr>
            <w:tcW w:w="782" w:type="pct"/>
            <w:vMerge w:val="restart"/>
            <w:vAlign w:val="center"/>
          </w:tcPr>
          <w:p w14:paraId="6DA63547">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单位</w:t>
            </w:r>
          </w:p>
        </w:tc>
        <w:tc>
          <w:tcPr>
            <w:tcW w:w="1099" w:type="pct"/>
            <w:vAlign w:val="center"/>
          </w:tcPr>
          <w:p w14:paraId="033D90C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2"/>
                <w:sz w:val="21"/>
                <w:szCs w:val="21"/>
                <w:highlight w:val="none"/>
                <w:lang w:val="en-US" w:eastAsia="zh-CN" w:bidi="ar-SA"/>
              </w:rPr>
            </w:pPr>
            <w:r>
              <w:rPr>
                <w:rFonts w:hint="eastAsia" w:ascii="Times New Roman" w:hAnsi="Times New Roman" w:cs="Times New Roman"/>
                <w:b w:val="0"/>
                <w:bCs w:val="0"/>
                <w:kern w:val="2"/>
                <w:sz w:val="21"/>
                <w:szCs w:val="21"/>
                <w:highlight w:val="none"/>
                <w:lang w:val="en-US" w:eastAsia="zh-CN" w:bidi="ar-SA"/>
              </w:rPr>
              <w:t>剥离量（4680t/d）</w:t>
            </w:r>
          </w:p>
        </w:tc>
        <w:tc>
          <w:tcPr>
            <w:tcW w:w="1099" w:type="pct"/>
            <w:vAlign w:val="center"/>
          </w:tcPr>
          <w:p w14:paraId="1CDF310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kern w:val="2"/>
                <w:sz w:val="21"/>
                <w:szCs w:val="21"/>
                <w:highlight w:val="none"/>
                <w:lang w:val="en-US" w:eastAsia="zh-CN" w:bidi="ar-SA"/>
              </w:rPr>
            </w:pPr>
            <w:r>
              <w:rPr>
                <w:rFonts w:hint="eastAsia" w:ascii="Times New Roman" w:hAnsi="Times New Roman" w:cs="Times New Roman"/>
                <w:b w:val="0"/>
                <w:bCs w:val="0"/>
                <w:kern w:val="2"/>
                <w:sz w:val="21"/>
                <w:szCs w:val="21"/>
                <w:highlight w:val="none"/>
                <w:lang w:val="en-US" w:eastAsia="zh-CN" w:bidi="ar-SA"/>
              </w:rPr>
              <w:t>采矿量（600t/d）</w:t>
            </w:r>
          </w:p>
        </w:tc>
        <w:tc>
          <w:tcPr>
            <w:tcW w:w="881" w:type="pct"/>
            <w:vMerge w:val="restart"/>
            <w:vAlign w:val="center"/>
          </w:tcPr>
          <w:p w14:paraId="2D8332F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年消耗（kg）</w:t>
            </w:r>
          </w:p>
        </w:tc>
      </w:tr>
      <w:tr w14:paraId="1C6BE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pct"/>
            <w:vMerge w:val="continue"/>
            <w:vAlign w:val="center"/>
          </w:tcPr>
          <w:p w14:paraId="549F3DFC">
            <w:pPr>
              <w:spacing w:line="300" w:lineRule="exact"/>
              <w:jc w:val="center"/>
              <w:rPr>
                <w:rFonts w:hint="default" w:ascii="Times New Roman" w:hAnsi="Times New Roman" w:eastAsia="华文中宋" w:cs="Times New Roman"/>
                <w:szCs w:val="21"/>
                <w:lang w:val="en-US" w:eastAsia="zh-CN"/>
              </w:rPr>
            </w:pPr>
          </w:p>
        </w:tc>
        <w:tc>
          <w:tcPr>
            <w:tcW w:w="782" w:type="pct"/>
            <w:vMerge w:val="continue"/>
            <w:vAlign w:val="center"/>
          </w:tcPr>
          <w:p w14:paraId="56A5A030">
            <w:pPr>
              <w:spacing w:line="300" w:lineRule="exact"/>
              <w:jc w:val="center"/>
              <w:rPr>
                <w:rFonts w:hint="default" w:ascii="Times New Roman" w:hAnsi="Times New Roman" w:eastAsia="华文中宋" w:cs="Times New Roman"/>
                <w:szCs w:val="21"/>
                <w:lang w:val="en-US" w:eastAsia="zh-CN"/>
              </w:rPr>
            </w:pPr>
          </w:p>
        </w:tc>
        <w:tc>
          <w:tcPr>
            <w:tcW w:w="1099" w:type="pct"/>
            <w:vAlign w:val="center"/>
          </w:tcPr>
          <w:p w14:paraId="5964F33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华文中宋" w:cs="Times New Roman"/>
                <w:szCs w:val="21"/>
                <w:lang w:val="en-US" w:eastAsia="zh-CN"/>
              </w:rPr>
            </w:pPr>
            <w:r>
              <w:rPr>
                <w:rFonts w:hint="default" w:ascii="Times New Roman" w:hAnsi="Times New Roman" w:cs="Times New Roman"/>
                <w:b w:val="0"/>
                <w:bCs w:val="0"/>
                <w:kern w:val="2"/>
                <w:sz w:val="21"/>
                <w:szCs w:val="21"/>
                <w:highlight w:val="none"/>
                <w:lang w:val="en-US" w:eastAsia="zh-CN" w:bidi="ar-SA"/>
              </w:rPr>
              <w:t>剥离</w:t>
            </w:r>
            <w:r>
              <w:rPr>
                <w:rFonts w:hint="eastAsia" w:ascii="Times New Roman" w:hAnsi="Times New Roman" w:cs="Times New Roman"/>
                <w:b w:val="0"/>
                <w:bCs w:val="0"/>
                <w:kern w:val="2"/>
                <w:sz w:val="21"/>
                <w:szCs w:val="21"/>
                <w:highlight w:val="none"/>
                <w:lang w:val="en-US" w:eastAsia="zh-CN" w:bidi="ar-SA"/>
              </w:rPr>
              <w:t>单耗（kg/t）</w:t>
            </w:r>
          </w:p>
        </w:tc>
        <w:tc>
          <w:tcPr>
            <w:tcW w:w="1099" w:type="pct"/>
            <w:vAlign w:val="center"/>
          </w:tcPr>
          <w:p w14:paraId="5A6EF89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华文中宋" w:cs="Times New Roman"/>
                <w:szCs w:val="21"/>
                <w:lang w:val="en-US" w:eastAsia="zh-CN"/>
              </w:rPr>
            </w:pPr>
            <w:r>
              <w:rPr>
                <w:rFonts w:hint="default" w:ascii="Times New Roman" w:hAnsi="Times New Roman" w:cs="Times New Roman"/>
                <w:b w:val="0"/>
                <w:bCs w:val="0"/>
                <w:kern w:val="2"/>
                <w:sz w:val="21"/>
                <w:szCs w:val="21"/>
                <w:highlight w:val="none"/>
                <w:lang w:val="en-US" w:eastAsia="zh-CN" w:bidi="ar-SA"/>
              </w:rPr>
              <w:t>采矿</w:t>
            </w:r>
            <w:r>
              <w:rPr>
                <w:rFonts w:hint="eastAsia" w:ascii="Times New Roman" w:hAnsi="Times New Roman" w:cs="Times New Roman"/>
                <w:b w:val="0"/>
                <w:bCs w:val="0"/>
                <w:kern w:val="2"/>
                <w:sz w:val="21"/>
                <w:szCs w:val="21"/>
                <w:highlight w:val="none"/>
                <w:lang w:val="en-US" w:eastAsia="zh-CN" w:bidi="ar-SA"/>
              </w:rPr>
              <w:t>单耗</w:t>
            </w:r>
            <w:r>
              <w:rPr>
                <w:rFonts w:hint="default" w:ascii="Times New Roman" w:hAnsi="Times New Roman" w:cs="Times New Roman"/>
                <w:b w:val="0"/>
                <w:bCs w:val="0"/>
                <w:kern w:val="2"/>
                <w:sz w:val="21"/>
                <w:szCs w:val="21"/>
                <w:highlight w:val="none"/>
                <w:lang w:val="en-US" w:eastAsia="zh-CN" w:bidi="ar-SA"/>
              </w:rPr>
              <w:t>（</w:t>
            </w:r>
            <w:r>
              <w:rPr>
                <w:rFonts w:hint="eastAsia" w:ascii="Times New Roman" w:hAnsi="Times New Roman" w:cs="Times New Roman"/>
                <w:b w:val="0"/>
                <w:bCs w:val="0"/>
                <w:kern w:val="2"/>
                <w:sz w:val="21"/>
                <w:szCs w:val="21"/>
                <w:highlight w:val="none"/>
                <w:lang w:val="en-US" w:eastAsia="zh-CN" w:bidi="ar-SA"/>
              </w:rPr>
              <w:t>kg/t</w:t>
            </w:r>
            <w:r>
              <w:rPr>
                <w:rFonts w:hint="default" w:ascii="Times New Roman" w:hAnsi="Times New Roman" w:cs="Times New Roman"/>
                <w:b w:val="0"/>
                <w:bCs w:val="0"/>
                <w:kern w:val="2"/>
                <w:sz w:val="21"/>
                <w:szCs w:val="21"/>
                <w:highlight w:val="none"/>
                <w:lang w:val="en-US" w:eastAsia="zh-CN" w:bidi="ar-SA"/>
              </w:rPr>
              <w:t>）</w:t>
            </w:r>
          </w:p>
        </w:tc>
        <w:tc>
          <w:tcPr>
            <w:tcW w:w="881" w:type="pct"/>
            <w:vMerge w:val="continue"/>
            <w:vAlign w:val="center"/>
          </w:tcPr>
          <w:p w14:paraId="7A07F65F">
            <w:pPr>
              <w:spacing w:line="300" w:lineRule="exact"/>
              <w:jc w:val="center"/>
              <w:rPr>
                <w:rFonts w:hint="default" w:ascii="Times New Roman" w:hAnsi="Times New Roman" w:eastAsia="华文中宋" w:cs="Times New Roman"/>
                <w:szCs w:val="21"/>
                <w:lang w:val="en-US" w:eastAsia="zh-CN"/>
              </w:rPr>
            </w:pPr>
          </w:p>
        </w:tc>
      </w:tr>
      <w:tr w14:paraId="54C17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pct"/>
            <w:shd w:val="clear" w:color="auto" w:fill="auto"/>
            <w:vAlign w:val="center"/>
          </w:tcPr>
          <w:p w14:paraId="2C075E7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炸药</w:t>
            </w:r>
          </w:p>
        </w:tc>
        <w:tc>
          <w:tcPr>
            <w:tcW w:w="782" w:type="pct"/>
            <w:vAlign w:val="center"/>
          </w:tcPr>
          <w:p w14:paraId="4EDC72A4">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kg</w:t>
            </w:r>
          </w:p>
        </w:tc>
        <w:tc>
          <w:tcPr>
            <w:tcW w:w="1099" w:type="pct"/>
            <w:shd w:val="clear" w:color="auto" w:fill="auto"/>
            <w:vAlign w:val="center"/>
          </w:tcPr>
          <w:p w14:paraId="3B8BAE7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0.1</w:t>
            </w:r>
            <w:r>
              <w:rPr>
                <w:rFonts w:hint="eastAsia" w:ascii="Times New Roman" w:hAnsi="Times New Roman" w:eastAsia="华文中宋" w:cs="Times New Roman"/>
                <w:szCs w:val="21"/>
                <w:lang w:val="en-US" w:eastAsia="zh-CN"/>
              </w:rPr>
              <w:t>468</w:t>
            </w:r>
          </w:p>
        </w:tc>
        <w:tc>
          <w:tcPr>
            <w:tcW w:w="1099" w:type="pct"/>
            <w:shd w:val="clear" w:color="auto" w:fill="auto"/>
            <w:vAlign w:val="center"/>
          </w:tcPr>
          <w:p w14:paraId="525EC78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0.118</w:t>
            </w:r>
            <w:r>
              <w:rPr>
                <w:rFonts w:hint="eastAsia" w:ascii="Times New Roman" w:hAnsi="Times New Roman" w:eastAsia="华文中宋" w:cs="Times New Roman"/>
                <w:szCs w:val="21"/>
                <w:lang w:val="en-US" w:eastAsia="zh-CN"/>
              </w:rPr>
              <w:t>7</w:t>
            </w:r>
          </w:p>
        </w:tc>
        <w:tc>
          <w:tcPr>
            <w:tcW w:w="881" w:type="pct"/>
            <w:vAlign w:val="center"/>
          </w:tcPr>
          <w:p w14:paraId="72D8996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151650</w:t>
            </w:r>
          </w:p>
        </w:tc>
      </w:tr>
      <w:tr w14:paraId="7137C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pct"/>
            <w:shd w:val="clear" w:color="auto" w:fill="auto"/>
            <w:vAlign w:val="center"/>
          </w:tcPr>
          <w:p w14:paraId="009F640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数码电子雷管</w:t>
            </w:r>
          </w:p>
        </w:tc>
        <w:tc>
          <w:tcPr>
            <w:tcW w:w="782" w:type="pct"/>
            <w:vAlign w:val="center"/>
          </w:tcPr>
          <w:p w14:paraId="33FB9D53">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个</w:t>
            </w:r>
          </w:p>
        </w:tc>
        <w:tc>
          <w:tcPr>
            <w:tcW w:w="1099" w:type="pct"/>
            <w:shd w:val="clear" w:color="auto" w:fill="auto"/>
            <w:vAlign w:val="center"/>
          </w:tcPr>
          <w:p w14:paraId="689BA5B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0.0015</w:t>
            </w:r>
          </w:p>
        </w:tc>
        <w:tc>
          <w:tcPr>
            <w:tcW w:w="1099" w:type="pct"/>
            <w:shd w:val="clear" w:color="auto" w:fill="auto"/>
            <w:vAlign w:val="center"/>
          </w:tcPr>
          <w:p w14:paraId="1597DC5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0.002</w:t>
            </w:r>
          </w:p>
        </w:tc>
        <w:tc>
          <w:tcPr>
            <w:tcW w:w="881" w:type="pct"/>
            <w:vAlign w:val="center"/>
          </w:tcPr>
          <w:p w14:paraId="5467B79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1644</w:t>
            </w:r>
          </w:p>
        </w:tc>
      </w:tr>
      <w:tr w14:paraId="2B2CA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pct"/>
            <w:shd w:val="clear" w:color="auto" w:fill="auto"/>
            <w:vAlign w:val="center"/>
          </w:tcPr>
          <w:p w14:paraId="055C5CB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电线</w:t>
            </w:r>
          </w:p>
        </w:tc>
        <w:tc>
          <w:tcPr>
            <w:tcW w:w="782" w:type="pct"/>
            <w:vAlign w:val="center"/>
          </w:tcPr>
          <w:p w14:paraId="3933EF69">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m</w:t>
            </w:r>
          </w:p>
        </w:tc>
        <w:tc>
          <w:tcPr>
            <w:tcW w:w="1099" w:type="pct"/>
            <w:shd w:val="clear" w:color="auto" w:fill="auto"/>
            <w:vAlign w:val="center"/>
          </w:tcPr>
          <w:p w14:paraId="2A48F13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0.08</w:t>
            </w:r>
          </w:p>
        </w:tc>
        <w:tc>
          <w:tcPr>
            <w:tcW w:w="1099" w:type="pct"/>
            <w:shd w:val="clear" w:color="auto" w:fill="auto"/>
            <w:vAlign w:val="center"/>
          </w:tcPr>
          <w:p w14:paraId="11F0A82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0.08</w:t>
            </w:r>
          </w:p>
        </w:tc>
        <w:tc>
          <w:tcPr>
            <w:tcW w:w="881" w:type="pct"/>
            <w:vAlign w:val="center"/>
          </w:tcPr>
          <w:p w14:paraId="5A7E4DF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84480</w:t>
            </w:r>
          </w:p>
        </w:tc>
      </w:tr>
      <w:tr w14:paraId="02872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pct"/>
            <w:shd w:val="clear" w:color="auto" w:fill="auto"/>
            <w:vAlign w:val="center"/>
          </w:tcPr>
          <w:p w14:paraId="512C06F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钻头</w:t>
            </w:r>
          </w:p>
        </w:tc>
        <w:tc>
          <w:tcPr>
            <w:tcW w:w="782" w:type="pct"/>
            <w:vAlign w:val="center"/>
          </w:tcPr>
          <w:p w14:paraId="7C306AF1">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个</w:t>
            </w:r>
          </w:p>
        </w:tc>
        <w:tc>
          <w:tcPr>
            <w:tcW w:w="1099" w:type="pct"/>
            <w:shd w:val="clear" w:color="auto" w:fill="auto"/>
            <w:vAlign w:val="center"/>
          </w:tcPr>
          <w:p w14:paraId="478021A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0.0001</w:t>
            </w:r>
          </w:p>
        </w:tc>
        <w:tc>
          <w:tcPr>
            <w:tcW w:w="1099" w:type="pct"/>
            <w:shd w:val="clear" w:color="auto" w:fill="auto"/>
            <w:vAlign w:val="center"/>
          </w:tcPr>
          <w:p w14:paraId="31012C0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0.0001</w:t>
            </w:r>
          </w:p>
        </w:tc>
        <w:tc>
          <w:tcPr>
            <w:tcW w:w="881" w:type="pct"/>
            <w:vAlign w:val="center"/>
          </w:tcPr>
          <w:p w14:paraId="7A58F3B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105.6</w:t>
            </w:r>
          </w:p>
        </w:tc>
      </w:tr>
      <w:tr w14:paraId="21AE8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pct"/>
            <w:shd w:val="clear" w:color="auto" w:fill="auto"/>
            <w:vAlign w:val="center"/>
          </w:tcPr>
          <w:p w14:paraId="1A1878D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铲齿</w:t>
            </w:r>
          </w:p>
        </w:tc>
        <w:tc>
          <w:tcPr>
            <w:tcW w:w="782" w:type="pct"/>
            <w:vAlign w:val="center"/>
          </w:tcPr>
          <w:p w14:paraId="66F501CB">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个</w:t>
            </w:r>
          </w:p>
        </w:tc>
        <w:tc>
          <w:tcPr>
            <w:tcW w:w="1099" w:type="pct"/>
            <w:shd w:val="clear" w:color="auto" w:fill="auto"/>
            <w:vAlign w:val="center"/>
          </w:tcPr>
          <w:p w14:paraId="5970EAC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0.00008</w:t>
            </w:r>
          </w:p>
        </w:tc>
        <w:tc>
          <w:tcPr>
            <w:tcW w:w="1099" w:type="pct"/>
            <w:shd w:val="clear" w:color="auto" w:fill="auto"/>
            <w:vAlign w:val="center"/>
          </w:tcPr>
          <w:p w14:paraId="55185D4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0.00008</w:t>
            </w:r>
          </w:p>
        </w:tc>
        <w:tc>
          <w:tcPr>
            <w:tcW w:w="881" w:type="pct"/>
            <w:vAlign w:val="center"/>
          </w:tcPr>
          <w:p w14:paraId="74F1197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84.48</w:t>
            </w:r>
          </w:p>
        </w:tc>
      </w:tr>
      <w:tr w14:paraId="4EE1C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pct"/>
            <w:shd w:val="clear" w:color="auto" w:fill="auto"/>
            <w:vAlign w:val="center"/>
          </w:tcPr>
          <w:p w14:paraId="12E1F27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装载机轮胎</w:t>
            </w:r>
          </w:p>
        </w:tc>
        <w:tc>
          <w:tcPr>
            <w:tcW w:w="782" w:type="pct"/>
            <w:vAlign w:val="center"/>
          </w:tcPr>
          <w:p w14:paraId="25AC5177">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条</w:t>
            </w:r>
          </w:p>
        </w:tc>
        <w:tc>
          <w:tcPr>
            <w:tcW w:w="1099" w:type="pct"/>
            <w:shd w:val="clear" w:color="auto" w:fill="auto"/>
            <w:vAlign w:val="center"/>
          </w:tcPr>
          <w:p w14:paraId="634D676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0.00001</w:t>
            </w:r>
          </w:p>
        </w:tc>
        <w:tc>
          <w:tcPr>
            <w:tcW w:w="1099" w:type="pct"/>
            <w:shd w:val="clear" w:color="auto" w:fill="auto"/>
            <w:vAlign w:val="center"/>
          </w:tcPr>
          <w:p w14:paraId="279374B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0.00001</w:t>
            </w:r>
          </w:p>
        </w:tc>
        <w:tc>
          <w:tcPr>
            <w:tcW w:w="881" w:type="pct"/>
            <w:vAlign w:val="center"/>
          </w:tcPr>
          <w:p w14:paraId="539A6BD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10.56</w:t>
            </w:r>
          </w:p>
        </w:tc>
      </w:tr>
      <w:tr w14:paraId="14840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pct"/>
            <w:shd w:val="clear" w:color="auto" w:fill="auto"/>
            <w:vAlign w:val="center"/>
          </w:tcPr>
          <w:p w14:paraId="3F5362C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汽车轮胎</w:t>
            </w:r>
          </w:p>
        </w:tc>
        <w:tc>
          <w:tcPr>
            <w:tcW w:w="782" w:type="pct"/>
            <w:vAlign w:val="center"/>
          </w:tcPr>
          <w:p w14:paraId="775A6BAC">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条</w:t>
            </w:r>
          </w:p>
        </w:tc>
        <w:tc>
          <w:tcPr>
            <w:tcW w:w="1099" w:type="pct"/>
            <w:shd w:val="clear" w:color="auto" w:fill="auto"/>
            <w:vAlign w:val="center"/>
          </w:tcPr>
          <w:p w14:paraId="05E278F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0.00005</w:t>
            </w:r>
          </w:p>
        </w:tc>
        <w:tc>
          <w:tcPr>
            <w:tcW w:w="1099" w:type="pct"/>
            <w:shd w:val="clear" w:color="auto" w:fill="auto"/>
            <w:vAlign w:val="center"/>
          </w:tcPr>
          <w:p w14:paraId="2503B59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0.00009</w:t>
            </w:r>
          </w:p>
        </w:tc>
        <w:tc>
          <w:tcPr>
            <w:tcW w:w="881" w:type="pct"/>
            <w:vAlign w:val="center"/>
          </w:tcPr>
          <w:p w14:paraId="3D07AD5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57.6</w:t>
            </w:r>
          </w:p>
        </w:tc>
      </w:tr>
      <w:tr w14:paraId="2052C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pct"/>
            <w:shd w:val="clear" w:color="auto" w:fill="auto"/>
            <w:vAlign w:val="center"/>
          </w:tcPr>
          <w:p w14:paraId="147F5E1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机油</w:t>
            </w:r>
          </w:p>
        </w:tc>
        <w:tc>
          <w:tcPr>
            <w:tcW w:w="782" w:type="pct"/>
            <w:vAlign w:val="center"/>
          </w:tcPr>
          <w:p w14:paraId="7DAF329A">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kg</w:t>
            </w:r>
          </w:p>
        </w:tc>
        <w:tc>
          <w:tcPr>
            <w:tcW w:w="1099" w:type="pct"/>
            <w:shd w:val="clear" w:color="auto" w:fill="auto"/>
            <w:vAlign w:val="center"/>
          </w:tcPr>
          <w:p w14:paraId="6BCE0B5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w:t>
            </w:r>
            <w:r>
              <w:rPr>
                <w:rFonts w:hint="eastAsia" w:ascii="Times New Roman" w:hAnsi="Times New Roman" w:eastAsia="华文中宋" w:cs="Times New Roman"/>
                <w:szCs w:val="21"/>
                <w:lang w:val="en-US" w:eastAsia="zh-CN"/>
              </w:rPr>
              <w:t>002</w:t>
            </w:r>
          </w:p>
        </w:tc>
        <w:tc>
          <w:tcPr>
            <w:tcW w:w="1099" w:type="pct"/>
            <w:shd w:val="clear" w:color="auto" w:fill="auto"/>
            <w:vAlign w:val="center"/>
          </w:tcPr>
          <w:p w14:paraId="7BB5E92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w:t>
            </w:r>
            <w:r>
              <w:rPr>
                <w:rFonts w:hint="eastAsia" w:ascii="Times New Roman" w:hAnsi="Times New Roman" w:eastAsia="华文中宋" w:cs="Times New Roman"/>
                <w:szCs w:val="21"/>
                <w:lang w:val="en-US" w:eastAsia="zh-CN"/>
              </w:rPr>
              <w:t>0014</w:t>
            </w:r>
          </w:p>
        </w:tc>
        <w:tc>
          <w:tcPr>
            <w:tcW w:w="881" w:type="pct"/>
            <w:vAlign w:val="center"/>
          </w:tcPr>
          <w:p w14:paraId="5C9428A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204</w:t>
            </w:r>
          </w:p>
        </w:tc>
      </w:tr>
    </w:tbl>
    <w:p w14:paraId="7BBF88DD">
      <w:pPr>
        <w:adjustRightInd w:val="0"/>
        <w:snapToGrid w:val="0"/>
        <w:spacing w:before="250" w:beforeLines="5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表3.1-</w:t>
      </w:r>
      <w:r>
        <w:rPr>
          <w:rFonts w:hint="eastAsia" w:ascii="Times New Roman" w:hAnsi="Times New Roman" w:eastAsia="华文中宋" w:cs="Times New Roman"/>
          <w:b/>
          <w:szCs w:val="21"/>
          <w:lang w:val="en-US" w:eastAsia="zh-CN"/>
        </w:rPr>
        <w:t>7</w:t>
      </w:r>
      <w:r>
        <w:rPr>
          <w:rFonts w:hint="default" w:ascii="Times New Roman" w:hAnsi="Times New Roman" w:eastAsia="华文中宋" w:cs="Times New Roman"/>
          <w:b/>
          <w:szCs w:val="21"/>
          <w:lang w:val="en-US" w:eastAsia="zh-CN"/>
        </w:rPr>
        <w:t xml:space="preserve">  矿山开采柴油消耗指标表</w:t>
      </w:r>
    </w:p>
    <w:tbl>
      <w:tblPr>
        <w:tblStyle w:val="19"/>
        <w:tblW w:w="4869" w:type="pct"/>
        <w:tblInd w:w="11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16"/>
        <w:gridCol w:w="1140"/>
        <w:gridCol w:w="1170"/>
        <w:gridCol w:w="1200"/>
        <w:gridCol w:w="1163"/>
        <w:gridCol w:w="1160"/>
        <w:gridCol w:w="1050"/>
      </w:tblGrid>
      <w:tr w14:paraId="309B42D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53" w:type="pct"/>
            <w:noWrap/>
            <w:vAlign w:val="center"/>
          </w:tcPr>
          <w:p w14:paraId="66865D7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设备</w:t>
            </w:r>
          </w:p>
          <w:p w14:paraId="4B4FEEA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名称</w:t>
            </w:r>
          </w:p>
        </w:tc>
        <w:tc>
          <w:tcPr>
            <w:tcW w:w="686" w:type="pct"/>
            <w:noWrap/>
            <w:vAlign w:val="center"/>
          </w:tcPr>
          <w:p w14:paraId="11081AD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同时工作台数/台</w:t>
            </w:r>
          </w:p>
        </w:tc>
        <w:tc>
          <w:tcPr>
            <w:tcW w:w="704" w:type="pct"/>
            <w:noWrap/>
            <w:vAlign w:val="center"/>
          </w:tcPr>
          <w:p w14:paraId="340D212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总功率/kW</w:t>
            </w:r>
          </w:p>
        </w:tc>
        <w:tc>
          <w:tcPr>
            <w:tcW w:w="722" w:type="pct"/>
            <w:noWrap/>
            <w:vAlign w:val="center"/>
          </w:tcPr>
          <w:p w14:paraId="1BDB5B5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每班工作系数</w:t>
            </w:r>
          </w:p>
        </w:tc>
        <w:tc>
          <w:tcPr>
            <w:tcW w:w="700" w:type="pct"/>
            <w:noWrap/>
            <w:vAlign w:val="center"/>
          </w:tcPr>
          <w:p w14:paraId="0C8D4A5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每天工作时间/h</w:t>
            </w:r>
          </w:p>
        </w:tc>
        <w:tc>
          <w:tcPr>
            <w:tcW w:w="698" w:type="pct"/>
            <w:tcBorders>
              <w:right w:val="single" w:color="auto" w:sz="4" w:space="0"/>
            </w:tcBorders>
            <w:noWrap/>
            <w:vAlign w:val="center"/>
          </w:tcPr>
          <w:p w14:paraId="2AA69BB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每天耗油量/kg</w:t>
            </w:r>
          </w:p>
        </w:tc>
        <w:tc>
          <w:tcPr>
            <w:tcW w:w="632" w:type="pct"/>
            <w:tcBorders>
              <w:left w:val="single" w:color="auto" w:sz="4" w:space="0"/>
            </w:tcBorders>
            <w:noWrap/>
            <w:vAlign w:val="center"/>
          </w:tcPr>
          <w:p w14:paraId="4077638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每年耗油量/kg</w:t>
            </w:r>
          </w:p>
        </w:tc>
      </w:tr>
      <w:tr w14:paraId="3665B4C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53" w:type="pct"/>
            <w:noWrap/>
            <w:vAlign w:val="center"/>
          </w:tcPr>
          <w:p w14:paraId="046CDA4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装载机</w:t>
            </w:r>
          </w:p>
        </w:tc>
        <w:tc>
          <w:tcPr>
            <w:tcW w:w="686" w:type="pct"/>
            <w:noWrap/>
            <w:vAlign w:val="center"/>
          </w:tcPr>
          <w:p w14:paraId="3DE2D5A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w:t>
            </w:r>
          </w:p>
        </w:tc>
        <w:tc>
          <w:tcPr>
            <w:tcW w:w="704" w:type="pct"/>
            <w:noWrap/>
            <w:vAlign w:val="center"/>
          </w:tcPr>
          <w:p w14:paraId="14B50CA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162</w:t>
            </w:r>
          </w:p>
        </w:tc>
        <w:tc>
          <w:tcPr>
            <w:tcW w:w="722" w:type="pct"/>
            <w:noWrap/>
            <w:vAlign w:val="center"/>
          </w:tcPr>
          <w:p w14:paraId="465567C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0.5</w:t>
            </w:r>
          </w:p>
        </w:tc>
        <w:tc>
          <w:tcPr>
            <w:tcW w:w="700" w:type="pct"/>
            <w:noWrap/>
            <w:vAlign w:val="center"/>
          </w:tcPr>
          <w:p w14:paraId="5EC5D80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w:t>
            </w:r>
          </w:p>
        </w:tc>
        <w:tc>
          <w:tcPr>
            <w:tcW w:w="698" w:type="pct"/>
            <w:tcBorders>
              <w:right w:val="single" w:color="auto" w:sz="4" w:space="0"/>
            </w:tcBorders>
            <w:noWrap/>
            <w:vAlign w:val="center"/>
          </w:tcPr>
          <w:p w14:paraId="6A5D5BB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194.4</w:t>
            </w:r>
          </w:p>
        </w:tc>
        <w:tc>
          <w:tcPr>
            <w:tcW w:w="632" w:type="pct"/>
            <w:tcBorders>
              <w:left w:val="single" w:color="auto" w:sz="4" w:space="0"/>
            </w:tcBorders>
            <w:noWrap/>
            <w:vAlign w:val="center"/>
          </w:tcPr>
          <w:p w14:paraId="5A6E9F2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38880</w:t>
            </w:r>
          </w:p>
        </w:tc>
      </w:tr>
      <w:tr w14:paraId="0F4986E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53" w:type="pct"/>
            <w:noWrap/>
            <w:vAlign w:val="center"/>
          </w:tcPr>
          <w:p w14:paraId="32E2051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挖掘机</w:t>
            </w:r>
          </w:p>
        </w:tc>
        <w:tc>
          <w:tcPr>
            <w:tcW w:w="686" w:type="pct"/>
            <w:noWrap/>
            <w:vAlign w:val="center"/>
          </w:tcPr>
          <w:p w14:paraId="3F4EDBB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w:t>
            </w:r>
          </w:p>
        </w:tc>
        <w:tc>
          <w:tcPr>
            <w:tcW w:w="704" w:type="pct"/>
            <w:noWrap/>
            <w:vAlign w:val="center"/>
          </w:tcPr>
          <w:p w14:paraId="4B95700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544</w:t>
            </w:r>
          </w:p>
        </w:tc>
        <w:tc>
          <w:tcPr>
            <w:tcW w:w="722" w:type="pct"/>
            <w:noWrap/>
            <w:vAlign w:val="center"/>
          </w:tcPr>
          <w:p w14:paraId="2B4A7A3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0.75</w:t>
            </w:r>
          </w:p>
        </w:tc>
        <w:tc>
          <w:tcPr>
            <w:tcW w:w="700" w:type="pct"/>
            <w:noWrap/>
            <w:vAlign w:val="center"/>
          </w:tcPr>
          <w:p w14:paraId="18E232D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12</w:t>
            </w:r>
          </w:p>
        </w:tc>
        <w:tc>
          <w:tcPr>
            <w:tcW w:w="698" w:type="pct"/>
            <w:tcBorders>
              <w:right w:val="single" w:color="auto" w:sz="4" w:space="0"/>
            </w:tcBorders>
            <w:noWrap/>
            <w:vAlign w:val="center"/>
          </w:tcPr>
          <w:p w14:paraId="6F012CA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979.2</w:t>
            </w:r>
          </w:p>
        </w:tc>
        <w:tc>
          <w:tcPr>
            <w:tcW w:w="632" w:type="pct"/>
            <w:tcBorders>
              <w:left w:val="single" w:color="auto" w:sz="4" w:space="0"/>
            </w:tcBorders>
            <w:noWrap/>
            <w:vAlign w:val="center"/>
          </w:tcPr>
          <w:p w14:paraId="6F0D9E8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195840</w:t>
            </w:r>
          </w:p>
        </w:tc>
      </w:tr>
      <w:tr w14:paraId="54B449F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53" w:type="pct"/>
            <w:noWrap/>
            <w:vAlign w:val="center"/>
          </w:tcPr>
          <w:p w14:paraId="7C776FA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运输汽车</w:t>
            </w:r>
          </w:p>
        </w:tc>
        <w:tc>
          <w:tcPr>
            <w:tcW w:w="686" w:type="pct"/>
            <w:noWrap/>
            <w:vAlign w:val="center"/>
          </w:tcPr>
          <w:p w14:paraId="30481AA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w:t>
            </w:r>
          </w:p>
        </w:tc>
        <w:tc>
          <w:tcPr>
            <w:tcW w:w="704" w:type="pct"/>
            <w:noWrap/>
            <w:vAlign w:val="center"/>
          </w:tcPr>
          <w:p w14:paraId="41AAD47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1350</w:t>
            </w:r>
          </w:p>
        </w:tc>
        <w:tc>
          <w:tcPr>
            <w:tcW w:w="722" w:type="pct"/>
            <w:noWrap/>
            <w:vAlign w:val="center"/>
          </w:tcPr>
          <w:p w14:paraId="6801E1C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0.7</w:t>
            </w:r>
          </w:p>
        </w:tc>
        <w:tc>
          <w:tcPr>
            <w:tcW w:w="700" w:type="pct"/>
            <w:noWrap/>
            <w:vAlign w:val="center"/>
          </w:tcPr>
          <w:p w14:paraId="00B12AA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11.2</w:t>
            </w:r>
          </w:p>
        </w:tc>
        <w:tc>
          <w:tcPr>
            <w:tcW w:w="698" w:type="pct"/>
            <w:tcBorders>
              <w:right w:val="single" w:color="auto" w:sz="4" w:space="0"/>
            </w:tcBorders>
            <w:noWrap/>
            <w:vAlign w:val="center"/>
          </w:tcPr>
          <w:p w14:paraId="4EFCDDC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2268</w:t>
            </w:r>
          </w:p>
        </w:tc>
        <w:tc>
          <w:tcPr>
            <w:tcW w:w="632" w:type="pct"/>
            <w:tcBorders>
              <w:left w:val="single" w:color="auto" w:sz="4" w:space="0"/>
            </w:tcBorders>
            <w:noWrap/>
            <w:vAlign w:val="center"/>
          </w:tcPr>
          <w:p w14:paraId="02DCACB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453600</w:t>
            </w:r>
          </w:p>
        </w:tc>
      </w:tr>
      <w:tr w14:paraId="32447D6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53" w:type="pct"/>
            <w:noWrap/>
            <w:vAlign w:val="center"/>
          </w:tcPr>
          <w:p w14:paraId="01934CB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空压机</w:t>
            </w:r>
          </w:p>
        </w:tc>
        <w:tc>
          <w:tcPr>
            <w:tcW w:w="686" w:type="pct"/>
            <w:noWrap/>
            <w:vAlign w:val="center"/>
          </w:tcPr>
          <w:p w14:paraId="73DE90E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w:t>
            </w:r>
          </w:p>
        </w:tc>
        <w:tc>
          <w:tcPr>
            <w:tcW w:w="704" w:type="pct"/>
            <w:noWrap/>
            <w:vAlign w:val="center"/>
          </w:tcPr>
          <w:p w14:paraId="20FAEB4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310</w:t>
            </w:r>
          </w:p>
        </w:tc>
        <w:tc>
          <w:tcPr>
            <w:tcW w:w="722" w:type="pct"/>
            <w:noWrap/>
            <w:vAlign w:val="center"/>
          </w:tcPr>
          <w:p w14:paraId="74E8FBE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0.75</w:t>
            </w:r>
          </w:p>
        </w:tc>
        <w:tc>
          <w:tcPr>
            <w:tcW w:w="700" w:type="pct"/>
            <w:noWrap/>
            <w:vAlign w:val="center"/>
          </w:tcPr>
          <w:p w14:paraId="0822E0F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12</w:t>
            </w:r>
          </w:p>
        </w:tc>
        <w:tc>
          <w:tcPr>
            <w:tcW w:w="698" w:type="pct"/>
            <w:tcBorders>
              <w:right w:val="single" w:color="auto" w:sz="4" w:space="0"/>
            </w:tcBorders>
            <w:noWrap/>
            <w:vAlign w:val="center"/>
          </w:tcPr>
          <w:p w14:paraId="7FC85CB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558</w:t>
            </w:r>
          </w:p>
        </w:tc>
        <w:tc>
          <w:tcPr>
            <w:tcW w:w="632" w:type="pct"/>
            <w:tcBorders>
              <w:left w:val="single" w:color="auto" w:sz="4" w:space="0"/>
            </w:tcBorders>
            <w:noWrap/>
            <w:vAlign w:val="center"/>
          </w:tcPr>
          <w:p w14:paraId="1CB676C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111600</w:t>
            </w:r>
          </w:p>
        </w:tc>
      </w:tr>
      <w:tr w14:paraId="4FED2C6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53" w:type="pct"/>
            <w:noWrap/>
            <w:vAlign w:val="center"/>
          </w:tcPr>
          <w:p w14:paraId="624ADD7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柴油发电机</w:t>
            </w:r>
          </w:p>
        </w:tc>
        <w:tc>
          <w:tcPr>
            <w:tcW w:w="686" w:type="pct"/>
            <w:noWrap/>
            <w:vAlign w:val="center"/>
          </w:tcPr>
          <w:p w14:paraId="351C06C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w:t>
            </w:r>
          </w:p>
        </w:tc>
        <w:tc>
          <w:tcPr>
            <w:tcW w:w="704" w:type="pct"/>
            <w:noWrap/>
            <w:vAlign w:val="center"/>
          </w:tcPr>
          <w:p w14:paraId="319F42B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50</w:t>
            </w:r>
          </w:p>
        </w:tc>
        <w:tc>
          <w:tcPr>
            <w:tcW w:w="722" w:type="pct"/>
            <w:noWrap/>
            <w:vAlign w:val="center"/>
          </w:tcPr>
          <w:p w14:paraId="648484E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0.5</w:t>
            </w:r>
          </w:p>
        </w:tc>
        <w:tc>
          <w:tcPr>
            <w:tcW w:w="700" w:type="pct"/>
            <w:noWrap/>
            <w:vAlign w:val="center"/>
          </w:tcPr>
          <w:p w14:paraId="46FEEC3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w:t>
            </w:r>
          </w:p>
        </w:tc>
        <w:tc>
          <w:tcPr>
            <w:tcW w:w="698" w:type="pct"/>
            <w:tcBorders>
              <w:right w:val="single" w:color="auto" w:sz="4" w:space="0"/>
            </w:tcBorders>
            <w:noWrap/>
            <w:vAlign w:val="center"/>
          </w:tcPr>
          <w:p w14:paraId="66BF9BC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19.2</w:t>
            </w:r>
          </w:p>
        </w:tc>
        <w:tc>
          <w:tcPr>
            <w:tcW w:w="632" w:type="pct"/>
            <w:tcBorders>
              <w:left w:val="single" w:color="auto" w:sz="4" w:space="0"/>
            </w:tcBorders>
            <w:noWrap/>
            <w:vAlign w:val="center"/>
          </w:tcPr>
          <w:p w14:paraId="2743624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3840</w:t>
            </w:r>
          </w:p>
        </w:tc>
      </w:tr>
      <w:tr w14:paraId="6A1A4A3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668" w:type="pct"/>
            <w:gridSpan w:val="5"/>
            <w:noWrap/>
            <w:vAlign w:val="center"/>
          </w:tcPr>
          <w:p w14:paraId="3B8CEE9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合计</w:t>
            </w:r>
          </w:p>
        </w:tc>
        <w:tc>
          <w:tcPr>
            <w:tcW w:w="698" w:type="pct"/>
            <w:tcBorders>
              <w:right w:val="single" w:color="auto" w:sz="4" w:space="0"/>
            </w:tcBorders>
            <w:noWrap/>
            <w:vAlign w:val="center"/>
          </w:tcPr>
          <w:p w14:paraId="1428C56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cs="Times New Roman"/>
                <w:b w:val="0"/>
                <w:bCs w:val="0"/>
                <w:kern w:val="2"/>
                <w:sz w:val="21"/>
                <w:szCs w:val="21"/>
                <w:highlight w:val="none"/>
                <w:lang w:val="en-US" w:eastAsia="zh-CN" w:bidi="ar-SA"/>
              </w:rPr>
              <w:t>4018.8</w:t>
            </w:r>
          </w:p>
        </w:tc>
        <w:tc>
          <w:tcPr>
            <w:tcW w:w="632" w:type="pct"/>
            <w:tcBorders>
              <w:left w:val="single" w:color="auto" w:sz="4" w:space="0"/>
            </w:tcBorders>
            <w:noWrap/>
            <w:vAlign w:val="center"/>
          </w:tcPr>
          <w:p w14:paraId="48AA919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803760</w:t>
            </w:r>
          </w:p>
        </w:tc>
      </w:tr>
    </w:tbl>
    <w:p w14:paraId="39E82919">
      <w:pPr>
        <w:pStyle w:val="4"/>
        <w:spacing w:before="120" w:after="120" w:line="500" w:lineRule="exact"/>
        <w:rPr>
          <w:rFonts w:hint="default" w:ascii="Times New Roman" w:hAnsi="Times New Roman" w:eastAsia="华文中宋" w:cs="Times New Roman"/>
          <w:kern w:val="0"/>
          <w:sz w:val="24"/>
          <w:szCs w:val="24"/>
          <w:lang w:val="en-US" w:eastAsia="zh-CN"/>
        </w:rPr>
      </w:pPr>
      <w:bookmarkStart w:id="82" w:name="_Toc20156"/>
      <w:r>
        <w:rPr>
          <w:rFonts w:hint="default" w:ascii="Times New Roman" w:hAnsi="Times New Roman" w:eastAsia="华文中宋" w:cs="Times New Roman"/>
          <w:kern w:val="0"/>
          <w:sz w:val="24"/>
          <w:szCs w:val="24"/>
          <w:lang w:val="en-US" w:eastAsia="zh-CN"/>
        </w:rPr>
        <w:t>3.1.</w:t>
      </w:r>
      <w:r>
        <w:rPr>
          <w:rFonts w:hint="eastAsia" w:ascii="Times New Roman" w:hAnsi="Times New Roman" w:eastAsia="华文中宋" w:cs="Times New Roman"/>
          <w:kern w:val="0"/>
          <w:sz w:val="24"/>
          <w:szCs w:val="24"/>
          <w:lang w:val="en-US" w:eastAsia="zh-CN"/>
        </w:rPr>
        <w:t>11</w:t>
      </w:r>
      <w:r>
        <w:rPr>
          <w:rFonts w:hint="default" w:ascii="Times New Roman" w:hAnsi="Times New Roman" w:eastAsia="华文中宋" w:cs="Times New Roman"/>
          <w:kern w:val="0"/>
          <w:sz w:val="24"/>
          <w:szCs w:val="24"/>
          <w:lang w:val="en-US" w:eastAsia="zh-CN"/>
        </w:rPr>
        <w:t>工程总平面布置</w:t>
      </w:r>
      <w:bookmarkEnd w:id="82"/>
    </w:p>
    <w:p w14:paraId="7D594EBB">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本项目主要由露天采场、矿石转运场、废石堆放场、表土堆放场、办公生活区及矿区道路</w:t>
      </w:r>
      <w:r>
        <w:rPr>
          <w:rFonts w:hint="default" w:ascii="Times New Roman" w:hAnsi="Times New Roman" w:eastAsia="华文中宋" w:cs="Times New Roman"/>
          <w:sz w:val="24"/>
          <w:highlight w:val="none"/>
          <w:lang w:val="en-US" w:eastAsia="zh-CN"/>
        </w:rPr>
        <w:t>等组成。</w:t>
      </w:r>
      <w:r>
        <w:rPr>
          <w:rFonts w:hint="eastAsia" w:ascii="Times New Roman" w:hAnsi="Times New Roman" w:eastAsia="华文中宋" w:cs="Times New Roman"/>
          <w:sz w:val="24"/>
          <w:highlight w:val="none"/>
          <w:lang w:val="en-US" w:eastAsia="zh-CN"/>
        </w:rPr>
        <w:t>矿区</w:t>
      </w:r>
      <w:r>
        <w:rPr>
          <w:rFonts w:hint="default" w:ascii="Times New Roman" w:hAnsi="Times New Roman" w:eastAsia="华文中宋" w:cs="Times New Roman"/>
          <w:sz w:val="24"/>
          <w:highlight w:val="none"/>
          <w:lang w:val="en-US" w:eastAsia="zh-CN"/>
        </w:rPr>
        <w:t>平面布置图见</w:t>
      </w:r>
      <w:r>
        <w:rPr>
          <w:rFonts w:hint="eastAsia" w:ascii="Times New Roman" w:hAnsi="Times New Roman" w:eastAsia="华文中宋" w:cs="Times New Roman"/>
          <w:sz w:val="24"/>
          <w:highlight w:val="none"/>
          <w:lang w:val="en-US" w:eastAsia="zh-CN"/>
        </w:rPr>
        <w:t>图3.1-2</w:t>
      </w:r>
      <w:r>
        <w:rPr>
          <w:rFonts w:hint="default" w:ascii="Times New Roman" w:hAnsi="Times New Roman" w:eastAsia="华文中宋" w:cs="Times New Roman"/>
          <w:sz w:val="24"/>
          <w:highlight w:val="none"/>
          <w:lang w:val="en-US" w:eastAsia="zh-CN"/>
        </w:rPr>
        <w:t>。</w:t>
      </w:r>
    </w:p>
    <w:p w14:paraId="189462A3">
      <w:pPr>
        <w:pStyle w:val="4"/>
        <w:spacing w:before="120" w:after="120" w:line="500" w:lineRule="exact"/>
        <w:rPr>
          <w:rFonts w:hint="default" w:ascii="Times New Roman" w:hAnsi="Times New Roman" w:eastAsia="华文中宋" w:cs="Times New Roman"/>
          <w:kern w:val="0"/>
          <w:sz w:val="24"/>
          <w:szCs w:val="24"/>
          <w:lang w:val="en-US" w:eastAsia="zh-CN"/>
        </w:rPr>
      </w:pPr>
      <w:bookmarkStart w:id="83" w:name="_Toc11864"/>
      <w:r>
        <w:rPr>
          <w:rFonts w:hint="default" w:ascii="Times New Roman" w:hAnsi="Times New Roman" w:eastAsia="华文中宋" w:cs="Times New Roman"/>
          <w:kern w:val="0"/>
          <w:sz w:val="24"/>
          <w:szCs w:val="24"/>
          <w:lang w:val="en-US" w:eastAsia="zh-CN"/>
        </w:rPr>
        <w:t>3.1.</w:t>
      </w:r>
      <w:r>
        <w:rPr>
          <w:rFonts w:hint="eastAsia" w:ascii="Times New Roman" w:hAnsi="Times New Roman" w:eastAsia="华文中宋" w:cs="Times New Roman"/>
          <w:kern w:val="0"/>
          <w:sz w:val="24"/>
          <w:szCs w:val="24"/>
          <w:lang w:val="en-US" w:eastAsia="zh-CN"/>
        </w:rPr>
        <w:t>12</w:t>
      </w:r>
      <w:r>
        <w:rPr>
          <w:rFonts w:hint="default" w:ascii="Times New Roman" w:hAnsi="Times New Roman" w:eastAsia="华文中宋" w:cs="Times New Roman"/>
          <w:kern w:val="0"/>
          <w:sz w:val="24"/>
          <w:szCs w:val="24"/>
          <w:lang w:val="en-US" w:eastAsia="zh-CN"/>
        </w:rPr>
        <w:t>劳动定员与工作制度</w:t>
      </w:r>
      <w:bookmarkEnd w:id="83"/>
    </w:p>
    <w:p w14:paraId="0BF28A90">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露天开采期间矿山劳动定员为50人，工作制度为200天/年，</w:t>
      </w:r>
      <w:r>
        <w:rPr>
          <w:rFonts w:hint="eastAsia" w:ascii="Times New Roman" w:hAnsi="Times New Roman" w:eastAsia="华文中宋" w:cs="Times New Roman"/>
          <w:sz w:val="24"/>
          <w:lang w:val="en-US" w:eastAsia="zh-CN"/>
        </w:rPr>
        <w:t>工作时长</w:t>
      </w:r>
      <w:r>
        <w:rPr>
          <w:rFonts w:hint="default" w:ascii="Times New Roman" w:hAnsi="Times New Roman" w:eastAsia="华文中宋" w:cs="Times New Roman"/>
          <w:sz w:val="24"/>
          <w:lang w:val="en-US" w:eastAsia="zh-CN"/>
        </w:rPr>
        <w:t>8h/</w:t>
      </w:r>
      <w:r>
        <w:rPr>
          <w:rFonts w:hint="eastAsia" w:ascii="Times New Roman" w:hAnsi="Times New Roman" w:eastAsia="华文中宋" w:cs="Times New Roman"/>
          <w:sz w:val="24"/>
          <w:lang w:val="en-US" w:eastAsia="zh-CN"/>
        </w:rPr>
        <w:t>d</w:t>
      </w:r>
      <w:r>
        <w:rPr>
          <w:rFonts w:hint="default" w:ascii="Times New Roman" w:hAnsi="Times New Roman" w:eastAsia="华文中宋" w:cs="Times New Roman"/>
          <w:sz w:val="24"/>
          <w:lang w:val="en-US" w:eastAsia="zh-CN"/>
        </w:rPr>
        <w:t>。</w:t>
      </w:r>
    </w:p>
    <w:p w14:paraId="5F8A7F48">
      <w:pPr>
        <w:pStyle w:val="4"/>
        <w:spacing w:before="120" w:after="120" w:line="500" w:lineRule="exact"/>
        <w:rPr>
          <w:rFonts w:hint="default" w:ascii="Times New Roman" w:hAnsi="Times New Roman" w:eastAsia="华文中宋" w:cs="Times New Roman"/>
          <w:kern w:val="0"/>
          <w:sz w:val="24"/>
          <w:szCs w:val="24"/>
          <w:lang w:val="en-US" w:eastAsia="zh-CN"/>
        </w:rPr>
      </w:pPr>
      <w:bookmarkStart w:id="84" w:name="_Toc4928"/>
      <w:r>
        <w:rPr>
          <w:rFonts w:hint="default" w:ascii="Times New Roman" w:hAnsi="Times New Roman" w:eastAsia="华文中宋" w:cs="Times New Roman"/>
          <w:kern w:val="0"/>
          <w:sz w:val="24"/>
          <w:szCs w:val="24"/>
          <w:lang w:val="en-US" w:eastAsia="zh-CN"/>
        </w:rPr>
        <w:t>3.1.1</w:t>
      </w:r>
      <w:r>
        <w:rPr>
          <w:rFonts w:hint="eastAsia" w:ascii="Times New Roman" w:hAnsi="Times New Roman" w:eastAsia="华文中宋" w:cs="Times New Roman"/>
          <w:kern w:val="0"/>
          <w:sz w:val="24"/>
          <w:szCs w:val="24"/>
          <w:lang w:val="en-US" w:eastAsia="zh-CN"/>
        </w:rPr>
        <w:t>3</w:t>
      </w:r>
      <w:r>
        <w:rPr>
          <w:rFonts w:hint="default" w:ascii="Times New Roman" w:hAnsi="Times New Roman" w:eastAsia="华文中宋" w:cs="Times New Roman"/>
          <w:kern w:val="0"/>
          <w:sz w:val="24"/>
          <w:szCs w:val="24"/>
          <w:lang w:val="en-US" w:eastAsia="zh-CN"/>
        </w:rPr>
        <w:t>开采技术条件</w:t>
      </w:r>
      <w:bookmarkEnd w:id="84"/>
    </w:p>
    <w:p w14:paraId="2EF471F4">
      <w:pPr>
        <w:pStyle w:val="24"/>
        <w:snapToGrid w:val="0"/>
        <w:ind w:left="0" w:leftChars="0" w:firstLine="0" w:firstLineChars="0"/>
        <w:jc w:val="left"/>
        <w:rPr>
          <w:rFonts w:hint="default" w:ascii="Times New Roman" w:hAnsi="Times New Roman" w:eastAsia="华文中宋" w:cs="Times New Roman"/>
          <w:b/>
          <w:bCs/>
          <w:color w:val="auto"/>
          <w:lang w:val="en-US" w:eastAsia="zh-CN"/>
        </w:rPr>
      </w:pPr>
      <w:r>
        <w:rPr>
          <w:rFonts w:hint="eastAsia" w:ascii="Times New Roman" w:hAnsi="Times New Roman" w:cs="Times New Roman"/>
          <w:b/>
          <w:bCs/>
          <w:color w:val="auto"/>
          <w:lang w:val="en-US" w:eastAsia="zh-CN"/>
        </w:rPr>
        <w:t>3.1.13.1</w:t>
      </w:r>
      <w:r>
        <w:rPr>
          <w:rFonts w:hint="default" w:ascii="Times New Roman" w:hAnsi="Times New Roman" w:eastAsia="华文中宋" w:cs="Times New Roman"/>
          <w:b/>
          <w:bCs/>
          <w:color w:val="auto"/>
          <w:lang w:val="en-US" w:eastAsia="zh-CN"/>
        </w:rPr>
        <w:t>矿体规模、形状、产状</w:t>
      </w:r>
      <w:r>
        <w:rPr>
          <w:rFonts w:hint="eastAsia" w:ascii="Times New Roman" w:hAnsi="Times New Roman" w:cs="Times New Roman"/>
          <w:b/>
          <w:bCs/>
          <w:color w:val="auto"/>
          <w:lang w:val="en-US" w:eastAsia="zh-CN"/>
        </w:rPr>
        <w:t>、矿物组成及化学成分</w:t>
      </w:r>
    </w:p>
    <w:p w14:paraId="6B59934B">
      <w:pPr>
        <w:pStyle w:val="24"/>
        <w:snapToGrid w:val="0"/>
        <w:jc w:val="left"/>
        <w:rPr>
          <w:rFonts w:hint="eastAsia" w:ascii="Times New Roman" w:hAnsi="Times New Roman" w:eastAsia="华文中宋" w:cs="Times New Roman"/>
          <w:b w:val="0"/>
          <w:bCs w:val="0"/>
          <w:snapToGrid w:val="0"/>
          <w:color w:val="auto"/>
          <w:kern w:val="0"/>
          <w:sz w:val="24"/>
          <w:szCs w:val="20"/>
          <w:vertAlign w:val="baseline"/>
          <w:lang w:val="en-US" w:eastAsia="zh-CN" w:bidi="ar-SA"/>
        </w:rPr>
      </w:pPr>
      <w:r>
        <w:rPr>
          <w:rFonts w:hint="eastAsia" w:ascii="Times New Roman" w:hAnsi="Times New Roman" w:eastAsia="华文中宋" w:cs="Times New Roman"/>
          <w:b w:val="0"/>
          <w:bCs w:val="0"/>
          <w:snapToGrid w:val="0"/>
          <w:color w:val="auto"/>
          <w:kern w:val="0"/>
          <w:sz w:val="24"/>
          <w:szCs w:val="20"/>
          <w:lang w:val="en-US" w:eastAsia="zh-CN" w:bidi="ar-SA"/>
        </w:rPr>
        <w:t>本矿床矿石成分比较复杂；矿石矿物主要为方铅矿、辉锑矿、毒砂，脉石矿物主要为方解石、石英等；主元素为铅，伴生</w:t>
      </w:r>
      <w:r>
        <w:rPr>
          <w:rFonts w:hint="eastAsia" w:ascii="Times New Roman" w:hAnsi="Times New Roman" w:cs="Times New Roman"/>
          <w:b w:val="0"/>
          <w:bCs w:val="0"/>
          <w:snapToGrid w:val="0"/>
          <w:color w:val="auto"/>
          <w:kern w:val="0"/>
          <w:sz w:val="24"/>
          <w:szCs w:val="20"/>
          <w:lang w:val="en-US" w:eastAsia="zh-CN" w:bidi="ar-SA"/>
        </w:rPr>
        <w:t>组分为</w:t>
      </w:r>
      <w:r>
        <w:rPr>
          <w:rFonts w:hint="eastAsia" w:ascii="Times New Roman" w:hAnsi="Times New Roman" w:eastAsia="华文中宋" w:cs="Times New Roman"/>
          <w:b w:val="0"/>
          <w:bCs w:val="0"/>
          <w:snapToGrid w:val="0"/>
          <w:color w:val="auto"/>
          <w:kern w:val="0"/>
          <w:sz w:val="24"/>
          <w:szCs w:val="20"/>
          <w:lang w:val="en-US" w:eastAsia="zh-CN" w:bidi="ar-SA"/>
        </w:rPr>
        <w:t>锑。矿石种类主要为原生矿石。其化学</w:t>
      </w:r>
      <w:r>
        <w:rPr>
          <w:rFonts w:hint="eastAsia" w:ascii="Times New Roman" w:hAnsi="Times New Roman" w:cs="Times New Roman"/>
          <w:b w:val="0"/>
          <w:bCs w:val="0"/>
          <w:snapToGrid w:val="0"/>
          <w:color w:val="auto"/>
          <w:kern w:val="0"/>
          <w:sz w:val="24"/>
          <w:szCs w:val="20"/>
          <w:lang w:val="en-US" w:eastAsia="zh-CN" w:bidi="ar-SA"/>
        </w:rPr>
        <w:t>组成</w:t>
      </w:r>
      <w:r>
        <w:rPr>
          <w:rFonts w:hint="eastAsia" w:ascii="Times New Roman" w:hAnsi="Times New Roman" w:eastAsia="华文中宋" w:cs="Times New Roman"/>
          <w:b w:val="0"/>
          <w:bCs w:val="0"/>
          <w:snapToGrid w:val="0"/>
          <w:color w:val="auto"/>
          <w:kern w:val="0"/>
          <w:sz w:val="24"/>
          <w:szCs w:val="20"/>
          <w:lang w:val="en-US" w:eastAsia="zh-CN" w:bidi="ar-SA"/>
        </w:rPr>
        <w:t>主要为PbS、</w:t>
      </w:r>
      <w:r>
        <w:rPr>
          <w:rFonts w:hint="default" w:ascii="Times New Roman" w:hAnsi="Times New Roman" w:eastAsia="华文中宋" w:cs="Times New Roman"/>
          <w:b w:val="0"/>
          <w:bCs w:val="0"/>
          <w:snapToGrid w:val="0"/>
          <w:color w:val="auto"/>
          <w:kern w:val="0"/>
          <w:sz w:val="24"/>
          <w:szCs w:val="20"/>
          <w:lang w:val="en-US" w:eastAsia="zh-CN" w:bidi="ar-SA"/>
        </w:rPr>
        <w:t>Sb</w:t>
      </w:r>
      <w:r>
        <w:rPr>
          <w:rFonts w:hint="default" w:ascii="Times New Roman" w:hAnsi="Times New Roman" w:eastAsia="华文中宋" w:cs="Times New Roman"/>
          <w:b w:val="0"/>
          <w:bCs w:val="0"/>
          <w:snapToGrid w:val="0"/>
          <w:color w:val="auto"/>
          <w:kern w:val="0"/>
          <w:sz w:val="24"/>
          <w:szCs w:val="20"/>
          <w:vertAlign w:val="subscript"/>
          <w:lang w:val="en-US" w:eastAsia="zh-CN" w:bidi="ar-SA"/>
        </w:rPr>
        <w:t>2</w:t>
      </w:r>
      <w:r>
        <w:rPr>
          <w:rFonts w:hint="default" w:ascii="Times New Roman" w:hAnsi="Times New Roman" w:eastAsia="华文中宋" w:cs="Times New Roman"/>
          <w:b w:val="0"/>
          <w:bCs w:val="0"/>
          <w:snapToGrid w:val="0"/>
          <w:color w:val="auto"/>
          <w:kern w:val="0"/>
          <w:sz w:val="24"/>
          <w:szCs w:val="20"/>
          <w:lang w:val="en-US" w:eastAsia="zh-CN" w:bidi="ar-SA"/>
        </w:rPr>
        <w:t>S</w:t>
      </w:r>
      <w:r>
        <w:rPr>
          <w:rFonts w:hint="default" w:ascii="Times New Roman" w:hAnsi="Times New Roman" w:eastAsia="华文中宋" w:cs="Times New Roman"/>
          <w:b w:val="0"/>
          <w:bCs w:val="0"/>
          <w:snapToGrid w:val="0"/>
          <w:color w:val="auto"/>
          <w:kern w:val="0"/>
          <w:sz w:val="24"/>
          <w:szCs w:val="20"/>
          <w:vertAlign w:val="subscript"/>
          <w:lang w:val="en-US" w:eastAsia="zh-CN" w:bidi="ar-SA"/>
        </w:rPr>
        <w:t>3</w:t>
      </w:r>
      <w:r>
        <w:rPr>
          <w:rFonts w:hint="eastAsia" w:ascii="Times New Roman" w:hAnsi="Times New Roman" w:eastAsia="华文中宋" w:cs="Times New Roman"/>
          <w:b w:val="0"/>
          <w:bCs w:val="0"/>
          <w:snapToGrid w:val="0"/>
          <w:color w:val="auto"/>
          <w:kern w:val="0"/>
          <w:sz w:val="24"/>
          <w:szCs w:val="20"/>
          <w:lang w:val="en-US" w:eastAsia="zh-CN" w:bidi="ar-SA"/>
        </w:rPr>
        <w:t>、</w:t>
      </w:r>
      <w:r>
        <w:rPr>
          <w:rFonts w:hint="default" w:ascii="Times New Roman" w:hAnsi="Times New Roman" w:eastAsia="华文中宋" w:cs="Times New Roman"/>
          <w:b w:val="0"/>
          <w:bCs w:val="0"/>
          <w:snapToGrid w:val="0"/>
          <w:color w:val="auto"/>
          <w:kern w:val="0"/>
          <w:sz w:val="24"/>
          <w:szCs w:val="20"/>
          <w:lang w:val="en-US" w:eastAsia="zh-CN" w:bidi="ar-SA"/>
        </w:rPr>
        <w:t>FeAsS</w:t>
      </w:r>
      <w:r>
        <w:rPr>
          <w:rFonts w:hint="eastAsia" w:ascii="Times New Roman" w:hAnsi="Times New Roman" w:eastAsia="华文中宋" w:cs="Times New Roman"/>
          <w:b w:val="0"/>
          <w:bCs w:val="0"/>
          <w:snapToGrid w:val="0"/>
          <w:color w:val="auto"/>
          <w:kern w:val="0"/>
          <w:sz w:val="24"/>
          <w:szCs w:val="20"/>
          <w:lang w:val="en-US" w:eastAsia="zh-CN" w:bidi="ar-SA"/>
        </w:rPr>
        <w:t>、</w:t>
      </w:r>
      <w:r>
        <w:rPr>
          <w:rFonts w:hint="default" w:ascii="Times New Roman" w:hAnsi="Times New Roman" w:eastAsia="华文中宋" w:cs="Times New Roman"/>
          <w:b w:val="0"/>
          <w:bCs w:val="0"/>
          <w:snapToGrid w:val="0"/>
          <w:color w:val="auto"/>
          <w:kern w:val="0"/>
          <w:sz w:val="24"/>
          <w:szCs w:val="20"/>
          <w:lang w:val="en-US" w:eastAsia="zh-CN" w:bidi="ar-SA"/>
        </w:rPr>
        <w:t>CaCO</w:t>
      </w:r>
      <w:r>
        <w:rPr>
          <w:rFonts w:hint="eastAsia" w:ascii="Times New Roman" w:hAnsi="Times New Roman" w:eastAsia="华文中宋" w:cs="Times New Roman"/>
          <w:b w:val="0"/>
          <w:bCs w:val="0"/>
          <w:snapToGrid w:val="0"/>
          <w:color w:val="auto"/>
          <w:kern w:val="0"/>
          <w:sz w:val="24"/>
          <w:szCs w:val="20"/>
          <w:vertAlign w:val="subscript"/>
          <w:lang w:val="en-US" w:eastAsia="zh-CN" w:bidi="ar-SA"/>
        </w:rPr>
        <w:t>3</w:t>
      </w:r>
      <w:r>
        <w:rPr>
          <w:rFonts w:hint="eastAsia" w:ascii="Times New Roman" w:hAnsi="Times New Roman" w:eastAsia="华文中宋" w:cs="Times New Roman"/>
          <w:b w:val="0"/>
          <w:bCs w:val="0"/>
          <w:snapToGrid w:val="0"/>
          <w:color w:val="auto"/>
          <w:kern w:val="0"/>
          <w:sz w:val="24"/>
          <w:szCs w:val="20"/>
          <w:lang w:val="en-US" w:eastAsia="zh-CN" w:bidi="ar-SA"/>
        </w:rPr>
        <w:t>、</w:t>
      </w:r>
      <w:r>
        <w:rPr>
          <w:rFonts w:hint="default" w:ascii="Times New Roman" w:hAnsi="Times New Roman" w:eastAsia="华文中宋" w:cs="Times New Roman"/>
          <w:b w:val="0"/>
          <w:bCs w:val="0"/>
          <w:snapToGrid w:val="0"/>
          <w:color w:val="auto"/>
          <w:kern w:val="0"/>
          <w:sz w:val="24"/>
          <w:szCs w:val="20"/>
          <w:lang w:val="en-US" w:eastAsia="zh-CN" w:bidi="ar-SA"/>
        </w:rPr>
        <w:t>SiO</w:t>
      </w:r>
      <w:r>
        <w:rPr>
          <w:rFonts w:hint="eastAsia" w:ascii="Times New Roman" w:hAnsi="Times New Roman" w:eastAsia="华文中宋" w:cs="Times New Roman"/>
          <w:b w:val="0"/>
          <w:bCs w:val="0"/>
          <w:snapToGrid w:val="0"/>
          <w:color w:val="auto"/>
          <w:kern w:val="0"/>
          <w:sz w:val="24"/>
          <w:szCs w:val="20"/>
          <w:vertAlign w:val="subscript"/>
          <w:lang w:val="en-US" w:eastAsia="zh-CN" w:bidi="ar-SA"/>
        </w:rPr>
        <w:t>2</w:t>
      </w:r>
      <w:r>
        <w:rPr>
          <w:rFonts w:hint="eastAsia" w:ascii="Times New Roman" w:hAnsi="Times New Roman" w:eastAsia="华文中宋" w:cs="Times New Roman"/>
          <w:b w:val="0"/>
          <w:bCs w:val="0"/>
          <w:snapToGrid w:val="0"/>
          <w:color w:val="auto"/>
          <w:kern w:val="0"/>
          <w:sz w:val="24"/>
          <w:szCs w:val="20"/>
          <w:vertAlign w:val="baseline"/>
          <w:lang w:val="en-US" w:eastAsia="zh-CN" w:bidi="ar-SA"/>
        </w:rPr>
        <w:t>。</w:t>
      </w:r>
    </w:p>
    <w:p w14:paraId="4000759D">
      <w:pPr>
        <w:pStyle w:val="24"/>
        <w:snapToGrid w:val="0"/>
        <w:jc w:val="left"/>
        <w:rPr>
          <w:rFonts w:hint="default" w:ascii="Times New Roman" w:hAnsi="Times New Roman" w:eastAsia="华文中宋" w:cs="Times New Roman"/>
          <w:b w:val="0"/>
          <w:bCs w:val="0"/>
          <w:snapToGrid w:val="0"/>
          <w:color w:val="auto"/>
          <w:kern w:val="0"/>
          <w:sz w:val="24"/>
          <w:szCs w:val="20"/>
          <w:lang w:val="en-US" w:eastAsia="zh-CN" w:bidi="ar-SA"/>
        </w:rPr>
      </w:pPr>
      <w:r>
        <w:rPr>
          <w:rFonts w:hint="eastAsia" w:ascii="Times New Roman" w:hAnsi="Times New Roman" w:eastAsia="华文中宋" w:cs="Times New Roman"/>
          <w:b w:val="0"/>
          <w:bCs w:val="0"/>
          <w:snapToGrid w:val="0"/>
          <w:color w:val="auto"/>
          <w:kern w:val="0"/>
          <w:sz w:val="24"/>
          <w:szCs w:val="20"/>
          <w:lang w:val="en-US" w:eastAsia="zh-CN" w:bidi="ar-SA"/>
        </w:rPr>
        <w:t>方铅矿：方铅矿是一种比较常见的矿物，它是一种硫化物，其中金属（铅）与硫的比例为1</w:t>
      </w:r>
      <w:r>
        <w:rPr>
          <w:rFonts w:hint="eastAsia" w:ascii="Times New Roman" w:hAnsi="Times New Roman" w:cs="Times New Roman"/>
          <w:b w:val="0"/>
          <w:bCs w:val="0"/>
          <w:snapToGrid w:val="0"/>
          <w:color w:val="auto"/>
          <w:kern w:val="0"/>
          <w:sz w:val="24"/>
          <w:szCs w:val="20"/>
          <w:lang w:val="en-US" w:eastAsia="zh-CN" w:bidi="ar-SA"/>
        </w:rPr>
        <w:t>:</w:t>
      </w:r>
      <w:r>
        <w:rPr>
          <w:rFonts w:hint="eastAsia" w:ascii="Times New Roman" w:hAnsi="Times New Roman" w:eastAsia="华文中宋" w:cs="Times New Roman"/>
          <w:b w:val="0"/>
          <w:bCs w:val="0"/>
          <w:snapToGrid w:val="0"/>
          <w:color w:val="auto"/>
          <w:kern w:val="0"/>
          <w:sz w:val="24"/>
          <w:szCs w:val="20"/>
          <w:lang w:val="en-US" w:eastAsia="zh-CN" w:bidi="ar-SA"/>
        </w:rPr>
        <w:t>1。方铅矿（PbS），方铅矿族矿物，等轴晶系，空间群Fm3m，其中也可以包含至1%的银。方铅矿常呈立方体的晶形，集合体通常为粒状或致密块状。铅灰色，条痕灰黑色，</w:t>
      </w:r>
      <w:r>
        <w:rPr>
          <w:rFonts w:hint="default" w:ascii="Times New Roman" w:hAnsi="Times New Roman" w:eastAsia="华文中宋" w:cs="Times New Roman"/>
          <w:b w:val="0"/>
          <w:bCs w:val="0"/>
          <w:snapToGrid w:val="0"/>
          <w:color w:val="auto"/>
          <w:kern w:val="0"/>
          <w:sz w:val="24"/>
          <w:szCs w:val="20"/>
          <w:lang w:val="en-US" w:eastAsia="zh-CN" w:bidi="ar-SA"/>
        </w:rPr>
        <w:fldChar w:fldCharType="begin"/>
      </w:r>
      <w:r>
        <w:rPr>
          <w:rFonts w:hint="default" w:ascii="Times New Roman" w:hAnsi="Times New Roman" w:eastAsia="华文中宋" w:cs="Times New Roman"/>
          <w:b w:val="0"/>
          <w:bCs w:val="0"/>
          <w:snapToGrid w:val="0"/>
          <w:color w:val="auto"/>
          <w:kern w:val="0"/>
          <w:sz w:val="24"/>
          <w:szCs w:val="20"/>
          <w:lang w:val="en-US" w:eastAsia="zh-CN" w:bidi="ar-SA"/>
        </w:rPr>
        <w:instrText xml:space="preserve"> HYPERLINK "https://baike.baidu.com/item/%E9%87%91%E5%B1%9E%E5%85%89%E6%B3%BD/9752524?fromModule=lemma_inlink" \t "https://baike.baidu.com/item/%E6%96%B9%E9%93%85%E7%9F%BF/_blank" </w:instrText>
      </w:r>
      <w:r>
        <w:rPr>
          <w:rFonts w:hint="default" w:ascii="Times New Roman" w:hAnsi="Times New Roman" w:eastAsia="华文中宋" w:cs="Times New Roman"/>
          <w:b w:val="0"/>
          <w:bCs w:val="0"/>
          <w:snapToGrid w:val="0"/>
          <w:color w:val="auto"/>
          <w:kern w:val="0"/>
          <w:sz w:val="24"/>
          <w:szCs w:val="20"/>
          <w:lang w:val="en-US" w:eastAsia="zh-CN" w:bidi="ar-SA"/>
        </w:rPr>
        <w:fldChar w:fldCharType="separate"/>
      </w:r>
      <w:r>
        <w:rPr>
          <w:rFonts w:hint="default" w:ascii="Times New Roman" w:hAnsi="Times New Roman" w:eastAsia="华文中宋" w:cs="Times New Roman"/>
          <w:b w:val="0"/>
          <w:bCs w:val="0"/>
          <w:snapToGrid w:val="0"/>
          <w:color w:val="auto"/>
          <w:kern w:val="0"/>
          <w:sz w:val="24"/>
          <w:szCs w:val="20"/>
          <w:lang w:val="en-US" w:eastAsia="zh-CN" w:bidi="ar-SA"/>
        </w:rPr>
        <w:t>金属光泽</w:t>
      </w:r>
      <w:r>
        <w:rPr>
          <w:rFonts w:hint="default" w:ascii="Times New Roman" w:hAnsi="Times New Roman" w:eastAsia="华文中宋" w:cs="Times New Roman"/>
          <w:b w:val="0"/>
          <w:bCs w:val="0"/>
          <w:snapToGrid w:val="0"/>
          <w:color w:val="auto"/>
          <w:kern w:val="0"/>
          <w:sz w:val="24"/>
          <w:szCs w:val="20"/>
          <w:lang w:val="en-US" w:eastAsia="zh-CN" w:bidi="ar-SA"/>
        </w:rPr>
        <w:fldChar w:fldCharType="end"/>
      </w:r>
      <w:r>
        <w:rPr>
          <w:rFonts w:hint="default" w:ascii="Times New Roman" w:hAnsi="Times New Roman" w:eastAsia="华文中宋" w:cs="Times New Roman"/>
          <w:b w:val="0"/>
          <w:bCs w:val="0"/>
          <w:snapToGrid w:val="0"/>
          <w:color w:val="auto"/>
          <w:kern w:val="0"/>
          <w:sz w:val="24"/>
          <w:szCs w:val="20"/>
          <w:lang w:val="en-US" w:eastAsia="zh-CN" w:bidi="ar-SA"/>
        </w:rPr>
        <w:t>，硬度为2.5，三组极完全解理，具有弱导电性和良检波性。</w:t>
      </w:r>
    </w:p>
    <w:p w14:paraId="2F4687C6">
      <w:pPr>
        <w:pStyle w:val="24"/>
        <w:snapToGrid w:val="0"/>
        <w:jc w:val="left"/>
        <w:rPr>
          <w:rFonts w:hint="default" w:ascii="Times New Roman" w:hAnsi="Times New Roman" w:eastAsia="华文中宋" w:cs="Times New Roman"/>
          <w:b w:val="0"/>
          <w:bCs w:val="0"/>
          <w:snapToGrid w:val="0"/>
          <w:color w:val="auto"/>
          <w:kern w:val="0"/>
          <w:sz w:val="24"/>
          <w:szCs w:val="20"/>
          <w:lang w:val="en-US" w:eastAsia="zh-CN" w:bidi="ar-SA"/>
        </w:rPr>
      </w:pPr>
      <w:r>
        <w:rPr>
          <w:rFonts w:hint="eastAsia" w:ascii="Times New Roman" w:hAnsi="Times New Roman" w:eastAsia="华文中宋" w:cs="Times New Roman"/>
          <w:b w:val="0"/>
          <w:bCs w:val="0"/>
          <w:snapToGrid w:val="0"/>
          <w:color w:val="auto"/>
          <w:kern w:val="0"/>
          <w:sz w:val="24"/>
          <w:szCs w:val="20"/>
          <w:lang w:val="en-US" w:eastAsia="zh-CN" w:bidi="ar-SA"/>
        </w:rPr>
        <w:t>辉锑矿：辉锑矿是锑的硫化物矿物。含锑71.69%，是锑的最重要的矿石矿物。属正交（斜方）</w:t>
      </w:r>
      <w:r>
        <w:rPr>
          <w:rFonts w:hint="default" w:ascii="Times New Roman" w:hAnsi="Times New Roman" w:eastAsia="华文中宋" w:cs="Times New Roman"/>
          <w:b w:val="0"/>
          <w:bCs w:val="0"/>
          <w:snapToGrid w:val="0"/>
          <w:color w:val="auto"/>
          <w:kern w:val="0"/>
          <w:sz w:val="24"/>
          <w:szCs w:val="20"/>
          <w:lang w:val="en-US" w:eastAsia="zh-CN" w:bidi="ar-SA"/>
        </w:rPr>
        <w:fldChar w:fldCharType="begin"/>
      </w:r>
      <w:r>
        <w:rPr>
          <w:rFonts w:hint="default" w:ascii="Times New Roman" w:hAnsi="Times New Roman" w:eastAsia="华文中宋" w:cs="Times New Roman"/>
          <w:b w:val="0"/>
          <w:bCs w:val="0"/>
          <w:snapToGrid w:val="0"/>
          <w:color w:val="auto"/>
          <w:kern w:val="0"/>
          <w:sz w:val="24"/>
          <w:szCs w:val="20"/>
          <w:lang w:val="en-US" w:eastAsia="zh-CN" w:bidi="ar-SA"/>
        </w:rPr>
        <w:instrText xml:space="preserve"> HYPERLINK "https://baike.baidu.com/item/%E6%99%B6%E7%B3%BB/440997?fromModule=lemma_inlink" \t "https://baike.baidu.com/item/_blank" </w:instrText>
      </w:r>
      <w:r>
        <w:rPr>
          <w:rFonts w:hint="default" w:ascii="Times New Roman" w:hAnsi="Times New Roman" w:eastAsia="华文中宋" w:cs="Times New Roman"/>
          <w:b w:val="0"/>
          <w:bCs w:val="0"/>
          <w:snapToGrid w:val="0"/>
          <w:color w:val="auto"/>
          <w:kern w:val="0"/>
          <w:sz w:val="24"/>
          <w:szCs w:val="20"/>
          <w:lang w:val="en-US" w:eastAsia="zh-CN" w:bidi="ar-SA"/>
        </w:rPr>
        <w:fldChar w:fldCharType="separate"/>
      </w:r>
      <w:r>
        <w:rPr>
          <w:rFonts w:hint="default" w:ascii="Times New Roman" w:hAnsi="Times New Roman" w:eastAsia="华文中宋" w:cs="Times New Roman"/>
          <w:b w:val="0"/>
          <w:bCs w:val="0"/>
          <w:snapToGrid w:val="0"/>
          <w:color w:val="auto"/>
          <w:kern w:val="0"/>
          <w:sz w:val="24"/>
          <w:szCs w:val="20"/>
          <w:lang w:val="en-US" w:eastAsia="zh-CN" w:bidi="ar-SA"/>
        </w:rPr>
        <w:t>晶系</w:t>
      </w:r>
      <w:r>
        <w:rPr>
          <w:rFonts w:hint="default" w:ascii="Times New Roman" w:hAnsi="Times New Roman" w:eastAsia="华文中宋" w:cs="Times New Roman"/>
          <w:b w:val="0"/>
          <w:bCs w:val="0"/>
          <w:snapToGrid w:val="0"/>
          <w:color w:val="auto"/>
          <w:kern w:val="0"/>
          <w:sz w:val="24"/>
          <w:szCs w:val="20"/>
          <w:lang w:val="en-US" w:eastAsia="zh-CN" w:bidi="ar-SA"/>
        </w:rPr>
        <w:fldChar w:fldCharType="end"/>
      </w:r>
      <w:r>
        <w:rPr>
          <w:rFonts w:hint="default" w:ascii="Times New Roman" w:hAnsi="Times New Roman" w:eastAsia="华文中宋" w:cs="Times New Roman"/>
          <w:b w:val="0"/>
          <w:bCs w:val="0"/>
          <w:snapToGrid w:val="0"/>
          <w:color w:val="auto"/>
          <w:kern w:val="0"/>
          <w:sz w:val="24"/>
          <w:szCs w:val="20"/>
          <w:lang w:val="en-US" w:eastAsia="zh-CN" w:bidi="ar-SA"/>
        </w:rPr>
        <w:t>。晶体常见，呈尖顶的长柱状，柱面具纵条纹。板面</w:t>
      </w:r>
      <w:r>
        <w:rPr>
          <w:rFonts w:hint="default" w:ascii="Times New Roman" w:hAnsi="Times New Roman" w:eastAsia="华文中宋" w:cs="Times New Roman"/>
          <w:b w:val="0"/>
          <w:bCs w:val="0"/>
          <w:snapToGrid w:val="0"/>
          <w:color w:val="auto"/>
          <w:kern w:val="0"/>
          <w:sz w:val="24"/>
          <w:szCs w:val="20"/>
          <w:lang w:val="en-US" w:eastAsia="zh-CN" w:bidi="ar-SA"/>
        </w:rPr>
        <w:fldChar w:fldCharType="begin"/>
      </w:r>
      <w:r>
        <w:rPr>
          <w:rFonts w:hint="default" w:ascii="Times New Roman" w:hAnsi="Times New Roman" w:eastAsia="华文中宋" w:cs="Times New Roman"/>
          <w:b w:val="0"/>
          <w:bCs w:val="0"/>
          <w:snapToGrid w:val="0"/>
          <w:color w:val="auto"/>
          <w:kern w:val="0"/>
          <w:sz w:val="24"/>
          <w:szCs w:val="20"/>
          <w:lang w:val="en-US" w:eastAsia="zh-CN" w:bidi="ar-SA"/>
        </w:rPr>
        <w:instrText xml:space="preserve"> HYPERLINK "https://baike.baidu.com/item/%E8%A7%A3%E7%90%86/0?fromModule=lemma_inlink" \t "https://baike.baidu.com/item/_blank" </w:instrText>
      </w:r>
      <w:r>
        <w:rPr>
          <w:rFonts w:hint="default" w:ascii="Times New Roman" w:hAnsi="Times New Roman" w:eastAsia="华文中宋" w:cs="Times New Roman"/>
          <w:b w:val="0"/>
          <w:bCs w:val="0"/>
          <w:snapToGrid w:val="0"/>
          <w:color w:val="auto"/>
          <w:kern w:val="0"/>
          <w:sz w:val="24"/>
          <w:szCs w:val="20"/>
          <w:lang w:val="en-US" w:eastAsia="zh-CN" w:bidi="ar-SA"/>
        </w:rPr>
        <w:fldChar w:fldCharType="separate"/>
      </w:r>
      <w:r>
        <w:rPr>
          <w:rFonts w:hint="default" w:ascii="Times New Roman" w:hAnsi="Times New Roman" w:eastAsia="华文中宋" w:cs="Times New Roman"/>
          <w:b w:val="0"/>
          <w:bCs w:val="0"/>
          <w:snapToGrid w:val="0"/>
          <w:color w:val="auto"/>
          <w:kern w:val="0"/>
          <w:sz w:val="24"/>
          <w:szCs w:val="20"/>
          <w:lang w:val="en-US" w:eastAsia="zh-CN" w:bidi="ar-SA"/>
        </w:rPr>
        <w:t>解理</w:t>
      </w:r>
      <w:r>
        <w:rPr>
          <w:rFonts w:hint="default" w:ascii="Times New Roman" w:hAnsi="Times New Roman" w:eastAsia="华文中宋" w:cs="Times New Roman"/>
          <w:b w:val="0"/>
          <w:bCs w:val="0"/>
          <w:snapToGrid w:val="0"/>
          <w:color w:val="auto"/>
          <w:kern w:val="0"/>
          <w:sz w:val="24"/>
          <w:szCs w:val="20"/>
          <w:lang w:val="en-US" w:eastAsia="zh-CN" w:bidi="ar-SA"/>
        </w:rPr>
        <w:fldChar w:fldCharType="end"/>
      </w:r>
      <w:r>
        <w:rPr>
          <w:rFonts w:hint="default" w:ascii="Times New Roman" w:hAnsi="Times New Roman" w:eastAsia="华文中宋" w:cs="Times New Roman"/>
          <w:b w:val="0"/>
          <w:bCs w:val="0"/>
          <w:snapToGrid w:val="0"/>
          <w:color w:val="auto"/>
          <w:kern w:val="0"/>
          <w:sz w:val="24"/>
          <w:szCs w:val="20"/>
          <w:lang w:val="en-US" w:eastAsia="zh-CN" w:bidi="ar-SA"/>
        </w:rPr>
        <w:t>完全；</w:t>
      </w:r>
      <w:r>
        <w:rPr>
          <w:rFonts w:hint="default" w:ascii="Times New Roman" w:hAnsi="Times New Roman" w:eastAsia="华文中宋" w:cs="Times New Roman"/>
          <w:b w:val="0"/>
          <w:bCs w:val="0"/>
          <w:snapToGrid w:val="0"/>
          <w:color w:val="auto"/>
          <w:kern w:val="0"/>
          <w:sz w:val="24"/>
          <w:szCs w:val="20"/>
          <w:lang w:val="en-US" w:eastAsia="zh-CN" w:bidi="ar-SA"/>
        </w:rPr>
        <w:fldChar w:fldCharType="begin"/>
      </w:r>
      <w:r>
        <w:rPr>
          <w:rFonts w:hint="default" w:ascii="Times New Roman" w:hAnsi="Times New Roman" w:eastAsia="华文中宋" w:cs="Times New Roman"/>
          <w:b w:val="0"/>
          <w:bCs w:val="0"/>
          <w:snapToGrid w:val="0"/>
          <w:color w:val="auto"/>
          <w:kern w:val="0"/>
          <w:sz w:val="24"/>
          <w:szCs w:val="20"/>
          <w:lang w:val="en-US" w:eastAsia="zh-CN" w:bidi="ar-SA"/>
        </w:rPr>
        <w:instrText xml:space="preserve"> HYPERLINK "https://baike.baidu.com/item/%E8%A7%A3%E7%90%86%E9%9D%A2/10404813?fromModule=lemma_inlink" \t "https://baike.baidu.com/item/_blank" </w:instrText>
      </w:r>
      <w:r>
        <w:rPr>
          <w:rFonts w:hint="default" w:ascii="Times New Roman" w:hAnsi="Times New Roman" w:eastAsia="华文中宋" w:cs="Times New Roman"/>
          <w:b w:val="0"/>
          <w:bCs w:val="0"/>
          <w:snapToGrid w:val="0"/>
          <w:color w:val="auto"/>
          <w:kern w:val="0"/>
          <w:sz w:val="24"/>
          <w:szCs w:val="20"/>
          <w:lang w:val="en-US" w:eastAsia="zh-CN" w:bidi="ar-SA"/>
        </w:rPr>
        <w:fldChar w:fldCharType="separate"/>
      </w:r>
      <w:r>
        <w:rPr>
          <w:rFonts w:hint="default" w:ascii="Times New Roman" w:hAnsi="Times New Roman" w:eastAsia="华文中宋" w:cs="Times New Roman"/>
          <w:b w:val="0"/>
          <w:bCs w:val="0"/>
          <w:snapToGrid w:val="0"/>
          <w:color w:val="auto"/>
          <w:kern w:val="0"/>
          <w:sz w:val="24"/>
          <w:szCs w:val="20"/>
          <w:lang w:val="en-US" w:eastAsia="zh-CN" w:bidi="ar-SA"/>
        </w:rPr>
        <w:t>解理面</w:t>
      </w:r>
      <w:r>
        <w:rPr>
          <w:rFonts w:hint="default" w:ascii="Times New Roman" w:hAnsi="Times New Roman" w:eastAsia="华文中宋" w:cs="Times New Roman"/>
          <w:b w:val="0"/>
          <w:bCs w:val="0"/>
          <w:snapToGrid w:val="0"/>
          <w:color w:val="auto"/>
          <w:kern w:val="0"/>
          <w:sz w:val="24"/>
          <w:szCs w:val="20"/>
          <w:lang w:val="en-US" w:eastAsia="zh-CN" w:bidi="ar-SA"/>
        </w:rPr>
        <w:fldChar w:fldCharType="end"/>
      </w:r>
      <w:r>
        <w:rPr>
          <w:rFonts w:hint="default" w:ascii="Times New Roman" w:hAnsi="Times New Roman" w:eastAsia="华文中宋" w:cs="Times New Roman"/>
          <w:b w:val="0"/>
          <w:bCs w:val="0"/>
          <w:snapToGrid w:val="0"/>
          <w:color w:val="auto"/>
          <w:kern w:val="0"/>
          <w:sz w:val="24"/>
          <w:szCs w:val="20"/>
          <w:lang w:val="en-US" w:eastAsia="zh-CN" w:bidi="ar-SA"/>
        </w:rPr>
        <w:t>现平行横纹。集合体呈块状、粒状或放射状。铅灰色，</w:t>
      </w:r>
      <w:r>
        <w:rPr>
          <w:rFonts w:hint="default" w:ascii="Times New Roman" w:hAnsi="Times New Roman" w:eastAsia="华文中宋" w:cs="Times New Roman"/>
          <w:b w:val="0"/>
          <w:bCs w:val="0"/>
          <w:snapToGrid w:val="0"/>
          <w:color w:val="auto"/>
          <w:kern w:val="0"/>
          <w:sz w:val="24"/>
          <w:szCs w:val="20"/>
          <w:lang w:val="en-US" w:eastAsia="zh-CN" w:bidi="ar-SA"/>
        </w:rPr>
        <w:fldChar w:fldCharType="begin"/>
      </w:r>
      <w:r>
        <w:rPr>
          <w:rFonts w:hint="default" w:ascii="Times New Roman" w:hAnsi="Times New Roman" w:eastAsia="华文中宋" w:cs="Times New Roman"/>
          <w:b w:val="0"/>
          <w:bCs w:val="0"/>
          <w:snapToGrid w:val="0"/>
          <w:color w:val="auto"/>
          <w:kern w:val="0"/>
          <w:sz w:val="24"/>
          <w:szCs w:val="20"/>
          <w:lang w:val="en-US" w:eastAsia="zh-CN" w:bidi="ar-SA"/>
        </w:rPr>
        <w:instrText xml:space="preserve"> HYPERLINK "https://baike.baidu.com/item/%E9%87%91%E5%B1%9E%E5%85%89%E6%B3%BD/9752524?fromModule=lemma_inlink" \t "https://baike.baidu.com/item/_blank" </w:instrText>
      </w:r>
      <w:r>
        <w:rPr>
          <w:rFonts w:hint="default" w:ascii="Times New Roman" w:hAnsi="Times New Roman" w:eastAsia="华文中宋" w:cs="Times New Roman"/>
          <w:b w:val="0"/>
          <w:bCs w:val="0"/>
          <w:snapToGrid w:val="0"/>
          <w:color w:val="auto"/>
          <w:kern w:val="0"/>
          <w:sz w:val="24"/>
          <w:szCs w:val="20"/>
          <w:lang w:val="en-US" w:eastAsia="zh-CN" w:bidi="ar-SA"/>
        </w:rPr>
        <w:fldChar w:fldCharType="separate"/>
      </w:r>
      <w:r>
        <w:rPr>
          <w:rFonts w:hint="default" w:ascii="Times New Roman" w:hAnsi="Times New Roman" w:eastAsia="华文中宋" w:cs="Times New Roman"/>
          <w:b w:val="0"/>
          <w:bCs w:val="0"/>
          <w:snapToGrid w:val="0"/>
          <w:color w:val="auto"/>
          <w:kern w:val="0"/>
          <w:sz w:val="24"/>
          <w:szCs w:val="20"/>
          <w:lang w:val="en-US" w:eastAsia="zh-CN" w:bidi="ar-SA"/>
        </w:rPr>
        <w:t>金属光泽</w:t>
      </w:r>
      <w:r>
        <w:rPr>
          <w:rFonts w:hint="default" w:ascii="Times New Roman" w:hAnsi="Times New Roman" w:eastAsia="华文中宋" w:cs="Times New Roman"/>
          <w:b w:val="0"/>
          <w:bCs w:val="0"/>
          <w:snapToGrid w:val="0"/>
          <w:color w:val="auto"/>
          <w:kern w:val="0"/>
          <w:sz w:val="24"/>
          <w:szCs w:val="20"/>
          <w:lang w:val="en-US" w:eastAsia="zh-CN" w:bidi="ar-SA"/>
        </w:rPr>
        <w:fldChar w:fldCharType="end"/>
      </w:r>
      <w:r>
        <w:rPr>
          <w:rFonts w:hint="default" w:ascii="Times New Roman" w:hAnsi="Times New Roman" w:eastAsia="华文中宋" w:cs="Times New Roman"/>
          <w:b w:val="0"/>
          <w:bCs w:val="0"/>
          <w:snapToGrid w:val="0"/>
          <w:color w:val="auto"/>
          <w:kern w:val="0"/>
          <w:sz w:val="24"/>
          <w:szCs w:val="20"/>
          <w:lang w:val="en-US" w:eastAsia="zh-CN" w:bidi="ar-SA"/>
        </w:rPr>
        <w:t>，</w:t>
      </w:r>
      <w:r>
        <w:rPr>
          <w:rFonts w:hint="default" w:ascii="Times New Roman" w:hAnsi="Times New Roman" w:eastAsia="华文中宋" w:cs="Times New Roman"/>
          <w:b w:val="0"/>
          <w:bCs w:val="0"/>
          <w:snapToGrid w:val="0"/>
          <w:color w:val="auto"/>
          <w:kern w:val="0"/>
          <w:sz w:val="24"/>
          <w:szCs w:val="20"/>
          <w:lang w:val="en-US" w:eastAsia="zh-CN" w:bidi="ar-SA"/>
        </w:rPr>
        <w:fldChar w:fldCharType="begin"/>
      </w:r>
      <w:r>
        <w:rPr>
          <w:rFonts w:hint="default" w:ascii="Times New Roman" w:hAnsi="Times New Roman" w:eastAsia="华文中宋" w:cs="Times New Roman"/>
          <w:b w:val="0"/>
          <w:bCs w:val="0"/>
          <w:snapToGrid w:val="0"/>
          <w:color w:val="auto"/>
          <w:kern w:val="0"/>
          <w:sz w:val="24"/>
          <w:szCs w:val="20"/>
          <w:lang w:val="en-US" w:eastAsia="zh-CN" w:bidi="ar-SA"/>
        </w:rPr>
        <w:instrText xml:space="preserve"> HYPERLINK "https://baike.baidu.com/item/%E8%8E%AB%E6%B0%8F%E7%A1%AC%E5%BA%A6/1605832?fromModule=lemma_inlink" \t "https://baike.baidu.com/item/_blank" </w:instrText>
      </w:r>
      <w:r>
        <w:rPr>
          <w:rFonts w:hint="default" w:ascii="Times New Roman" w:hAnsi="Times New Roman" w:eastAsia="华文中宋" w:cs="Times New Roman"/>
          <w:b w:val="0"/>
          <w:bCs w:val="0"/>
          <w:snapToGrid w:val="0"/>
          <w:color w:val="auto"/>
          <w:kern w:val="0"/>
          <w:sz w:val="24"/>
          <w:szCs w:val="20"/>
          <w:lang w:val="en-US" w:eastAsia="zh-CN" w:bidi="ar-SA"/>
        </w:rPr>
        <w:fldChar w:fldCharType="separate"/>
      </w:r>
      <w:r>
        <w:rPr>
          <w:rFonts w:hint="default" w:ascii="Times New Roman" w:hAnsi="Times New Roman" w:eastAsia="华文中宋" w:cs="Times New Roman"/>
          <w:b w:val="0"/>
          <w:bCs w:val="0"/>
          <w:snapToGrid w:val="0"/>
          <w:color w:val="auto"/>
          <w:kern w:val="0"/>
          <w:sz w:val="24"/>
          <w:szCs w:val="20"/>
          <w:lang w:val="en-US" w:eastAsia="zh-CN" w:bidi="ar-SA"/>
        </w:rPr>
        <w:t>莫氏硬度</w:t>
      </w:r>
      <w:r>
        <w:rPr>
          <w:rFonts w:hint="default" w:ascii="Times New Roman" w:hAnsi="Times New Roman" w:eastAsia="华文中宋" w:cs="Times New Roman"/>
          <w:b w:val="0"/>
          <w:bCs w:val="0"/>
          <w:snapToGrid w:val="0"/>
          <w:color w:val="auto"/>
          <w:kern w:val="0"/>
          <w:sz w:val="24"/>
          <w:szCs w:val="20"/>
          <w:lang w:val="en-US" w:eastAsia="zh-CN" w:bidi="ar-SA"/>
        </w:rPr>
        <w:fldChar w:fldCharType="end"/>
      </w:r>
      <w:r>
        <w:rPr>
          <w:rFonts w:hint="default" w:ascii="Times New Roman" w:hAnsi="Times New Roman" w:eastAsia="华文中宋" w:cs="Times New Roman"/>
          <w:b w:val="0"/>
          <w:bCs w:val="0"/>
          <w:snapToGrid w:val="0"/>
          <w:color w:val="auto"/>
          <w:kern w:val="0"/>
          <w:sz w:val="24"/>
          <w:szCs w:val="20"/>
          <w:lang w:val="en-US" w:eastAsia="zh-CN" w:bidi="ar-SA"/>
        </w:rPr>
        <w:t>2，比重4.6。性脆，易熔。主要产于中、低温</w:t>
      </w:r>
      <w:r>
        <w:rPr>
          <w:rFonts w:hint="default" w:ascii="Times New Roman" w:hAnsi="Times New Roman" w:eastAsia="华文中宋" w:cs="Times New Roman"/>
          <w:b w:val="0"/>
          <w:bCs w:val="0"/>
          <w:snapToGrid w:val="0"/>
          <w:color w:val="auto"/>
          <w:kern w:val="0"/>
          <w:sz w:val="24"/>
          <w:szCs w:val="20"/>
          <w:lang w:val="en-US" w:eastAsia="zh-CN" w:bidi="ar-SA"/>
        </w:rPr>
        <w:fldChar w:fldCharType="begin"/>
      </w:r>
      <w:r>
        <w:rPr>
          <w:rFonts w:hint="default" w:ascii="Times New Roman" w:hAnsi="Times New Roman" w:eastAsia="华文中宋" w:cs="Times New Roman"/>
          <w:b w:val="0"/>
          <w:bCs w:val="0"/>
          <w:snapToGrid w:val="0"/>
          <w:color w:val="auto"/>
          <w:kern w:val="0"/>
          <w:sz w:val="24"/>
          <w:szCs w:val="20"/>
          <w:lang w:val="en-US" w:eastAsia="zh-CN" w:bidi="ar-SA"/>
        </w:rPr>
        <w:instrText xml:space="preserve"> HYPERLINK "https://baike.baidu.com/item/%E7%83%AD%E6%B6%B2%E7%9F%BF%E5%BA%8A/0?fromModule=lemma_inlink" \t "https://baike.baidu.com/item/_blank" </w:instrText>
      </w:r>
      <w:r>
        <w:rPr>
          <w:rFonts w:hint="default" w:ascii="Times New Roman" w:hAnsi="Times New Roman" w:eastAsia="华文中宋" w:cs="Times New Roman"/>
          <w:b w:val="0"/>
          <w:bCs w:val="0"/>
          <w:snapToGrid w:val="0"/>
          <w:color w:val="auto"/>
          <w:kern w:val="0"/>
          <w:sz w:val="24"/>
          <w:szCs w:val="20"/>
          <w:lang w:val="en-US" w:eastAsia="zh-CN" w:bidi="ar-SA"/>
        </w:rPr>
        <w:fldChar w:fldCharType="separate"/>
      </w:r>
      <w:r>
        <w:rPr>
          <w:rFonts w:hint="default" w:ascii="Times New Roman" w:hAnsi="Times New Roman" w:eastAsia="华文中宋" w:cs="Times New Roman"/>
          <w:b w:val="0"/>
          <w:bCs w:val="0"/>
          <w:snapToGrid w:val="0"/>
          <w:color w:val="auto"/>
          <w:kern w:val="0"/>
          <w:sz w:val="24"/>
          <w:szCs w:val="20"/>
          <w:lang w:val="en-US" w:eastAsia="zh-CN" w:bidi="ar-SA"/>
        </w:rPr>
        <w:t>热液矿床</w:t>
      </w:r>
      <w:r>
        <w:rPr>
          <w:rFonts w:hint="default" w:ascii="Times New Roman" w:hAnsi="Times New Roman" w:eastAsia="华文中宋" w:cs="Times New Roman"/>
          <w:b w:val="0"/>
          <w:bCs w:val="0"/>
          <w:snapToGrid w:val="0"/>
          <w:color w:val="auto"/>
          <w:kern w:val="0"/>
          <w:sz w:val="24"/>
          <w:szCs w:val="20"/>
          <w:lang w:val="en-US" w:eastAsia="zh-CN" w:bidi="ar-SA"/>
        </w:rPr>
        <w:fldChar w:fldCharType="end"/>
      </w:r>
      <w:r>
        <w:rPr>
          <w:rFonts w:hint="default" w:ascii="Times New Roman" w:hAnsi="Times New Roman" w:eastAsia="华文中宋" w:cs="Times New Roman"/>
          <w:b w:val="0"/>
          <w:bCs w:val="0"/>
          <w:snapToGrid w:val="0"/>
          <w:color w:val="auto"/>
          <w:kern w:val="0"/>
          <w:sz w:val="24"/>
          <w:szCs w:val="20"/>
          <w:lang w:val="en-US" w:eastAsia="zh-CN" w:bidi="ar-SA"/>
        </w:rPr>
        <w:t>，常与辰砂、雄黄、</w:t>
      </w:r>
      <w:r>
        <w:rPr>
          <w:rFonts w:hint="default" w:ascii="Times New Roman" w:hAnsi="Times New Roman" w:eastAsia="华文中宋" w:cs="Times New Roman"/>
          <w:b w:val="0"/>
          <w:bCs w:val="0"/>
          <w:snapToGrid w:val="0"/>
          <w:color w:val="auto"/>
          <w:kern w:val="0"/>
          <w:sz w:val="24"/>
          <w:szCs w:val="20"/>
          <w:lang w:val="en-US" w:eastAsia="zh-CN" w:bidi="ar-SA"/>
        </w:rPr>
        <w:fldChar w:fldCharType="begin"/>
      </w:r>
      <w:r>
        <w:rPr>
          <w:rFonts w:hint="default" w:ascii="Times New Roman" w:hAnsi="Times New Roman" w:eastAsia="华文中宋" w:cs="Times New Roman"/>
          <w:b w:val="0"/>
          <w:bCs w:val="0"/>
          <w:snapToGrid w:val="0"/>
          <w:color w:val="auto"/>
          <w:kern w:val="0"/>
          <w:sz w:val="24"/>
          <w:szCs w:val="20"/>
          <w:lang w:val="en-US" w:eastAsia="zh-CN" w:bidi="ar-SA"/>
        </w:rPr>
        <w:instrText xml:space="preserve"> HYPERLINK "https://baike.baidu.com/item/%E9%9B%8C%E9%BB%84/907555?fromModule=lemma_inlink" \t "https://baike.baidu.com/item/_blank" </w:instrText>
      </w:r>
      <w:r>
        <w:rPr>
          <w:rFonts w:hint="default" w:ascii="Times New Roman" w:hAnsi="Times New Roman" w:eastAsia="华文中宋" w:cs="Times New Roman"/>
          <w:b w:val="0"/>
          <w:bCs w:val="0"/>
          <w:snapToGrid w:val="0"/>
          <w:color w:val="auto"/>
          <w:kern w:val="0"/>
          <w:sz w:val="24"/>
          <w:szCs w:val="20"/>
          <w:lang w:val="en-US" w:eastAsia="zh-CN" w:bidi="ar-SA"/>
        </w:rPr>
        <w:fldChar w:fldCharType="separate"/>
      </w:r>
      <w:r>
        <w:rPr>
          <w:rFonts w:hint="default" w:ascii="Times New Roman" w:hAnsi="Times New Roman" w:eastAsia="华文中宋" w:cs="Times New Roman"/>
          <w:b w:val="0"/>
          <w:bCs w:val="0"/>
          <w:snapToGrid w:val="0"/>
          <w:color w:val="auto"/>
          <w:kern w:val="0"/>
          <w:sz w:val="24"/>
          <w:szCs w:val="20"/>
          <w:lang w:val="en-US" w:eastAsia="zh-CN" w:bidi="ar-SA"/>
        </w:rPr>
        <w:t>雌黄</w:t>
      </w:r>
      <w:r>
        <w:rPr>
          <w:rFonts w:hint="default" w:ascii="Times New Roman" w:hAnsi="Times New Roman" w:eastAsia="华文中宋" w:cs="Times New Roman"/>
          <w:b w:val="0"/>
          <w:bCs w:val="0"/>
          <w:snapToGrid w:val="0"/>
          <w:color w:val="auto"/>
          <w:kern w:val="0"/>
          <w:sz w:val="24"/>
          <w:szCs w:val="20"/>
          <w:lang w:val="en-US" w:eastAsia="zh-CN" w:bidi="ar-SA"/>
        </w:rPr>
        <w:fldChar w:fldCharType="end"/>
      </w:r>
      <w:r>
        <w:rPr>
          <w:rFonts w:hint="default" w:ascii="Times New Roman" w:hAnsi="Times New Roman" w:eastAsia="华文中宋" w:cs="Times New Roman"/>
          <w:b w:val="0"/>
          <w:bCs w:val="0"/>
          <w:snapToGrid w:val="0"/>
          <w:color w:val="auto"/>
          <w:kern w:val="0"/>
          <w:sz w:val="24"/>
          <w:szCs w:val="20"/>
          <w:lang w:val="en-US" w:eastAsia="zh-CN" w:bidi="ar-SA"/>
        </w:rPr>
        <w:t>共生。</w:t>
      </w:r>
    </w:p>
    <w:p w14:paraId="2D4B545A">
      <w:pPr>
        <w:pStyle w:val="24"/>
        <w:snapToGrid w:val="0"/>
        <w:jc w:val="left"/>
        <w:rPr>
          <w:rFonts w:hint="eastAsia" w:ascii="Times New Roman" w:hAnsi="Times New Roman" w:eastAsia="华文中宋" w:cs="Times New Roman"/>
          <w:b w:val="0"/>
          <w:bCs w:val="0"/>
          <w:snapToGrid w:val="0"/>
          <w:color w:val="auto"/>
          <w:kern w:val="0"/>
          <w:sz w:val="24"/>
          <w:szCs w:val="20"/>
          <w:lang w:val="en-US" w:eastAsia="zh-CN" w:bidi="ar-SA"/>
        </w:rPr>
      </w:pPr>
      <w:r>
        <w:rPr>
          <w:rFonts w:hint="eastAsia" w:ascii="Times New Roman" w:hAnsi="Times New Roman" w:eastAsia="华文中宋" w:cs="Times New Roman"/>
          <w:b w:val="0"/>
          <w:bCs w:val="0"/>
          <w:snapToGrid w:val="0"/>
          <w:color w:val="auto"/>
          <w:kern w:val="0"/>
          <w:sz w:val="24"/>
          <w:szCs w:val="20"/>
          <w:lang w:val="en-US" w:eastAsia="zh-CN" w:bidi="ar-SA"/>
        </w:rPr>
        <w:t>毒砂：</w:t>
      </w:r>
      <w:r>
        <w:rPr>
          <w:rFonts w:hint="default" w:ascii="Times New Roman" w:hAnsi="Times New Roman" w:eastAsia="华文中宋" w:cs="Times New Roman"/>
          <w:b w:val="0"/>
          <w:bCs w:val="0"/>
          <w:snapToGrid w:val="0"/>
          <w:color w:val="auto"/>
          <w:kern w:val="0"/>
          <w:sz w:val="24"/>
          <w:szCs w:val="20"/>
          <w:lang w:val="en-US" w:eastAsia="zh-CN" w:bidi="ar-SA"/>
        </w:rPr>
        <w:t>毒砂中国旧称白砒石，可从中制取</w:t>
      </w:r>
      <w:r>
        <w:rPr>
          <w:rFonts w:hint="default" w:ascii="Times New Roman" w:hAnsi="Times New Roman" w:eastAsia="华文中宋" w:cs="Times New Roman"/>
          <w:b w:val="0"/>
          <w:bCs w:val="0"/>
          <w:snapToGrid w:val="0"/>
          <w:color w:val="auto"/>
          <w:kern w:val="0"/>
          <w:sz w:val="24"/>
          <w:szCs w:val="20"/>
          <w:lang w:val="en-US" w:eastAsia="zh-CN" w:bidi="ar-SA"/>
        </w:rPr>
        <w:fldChar w:fldCharType="begin"/>
      </w:r>
      <w:r>
        <w:rPr>
          <w:rFonts w:hint="default" w:ascii="Times New Roman" w:hAnsi="Times New Roman" w:eastAsia="华文中宋" w:cs="Times New Roman"/>
          <w:b w:val="0"/>
          <w:bCs w:val="0"/>
          <w:snapToGrid w:val="0"/>
          <w:color w:val="auto"/>
          <w:kern w:val="0"/>
          <w:sz w:val="24"/>
          <w:szCs w:val="20"/>
          <w:lang w:val="en-US" w:eastAsia="zh-CN" w:bidi="ar-SA"/>
        </w:rPr>
        <w:instrText xml:space="preserve"> HYPERLINK "https://baike.baidu.com/item/%E7%A0%92%E9%9C%9C/167604?fromModule=lemma_inlink" \t "https://baike.baidu.com/item/%E6%AF%92%E7%A0%82/_blank" </w:instrText>
      </w:r>
      <w:r>
        <w:rPr>
          <w:rFonts w:hint="default" w:ascii="Times New Roman" w:hAnsi="Times New Roman" w:eastAsia="华文中宋" w:cs="Times New Roman"/>
          <w:b w:val="0"/>
          <w:bCs w:val="0"/>
          <w:snapToGrid w:val="0"/>
          <w:color w:val="auto"/>
          <w:kern w:val="0"/>
          <w:sz w:val="24"/>
          <w:szCs w:val="20"/>
          <w:lang w:val="en-US" w:eastAsia="zh-CN" w:bidi="ar-SA"/>
        </w:rPr>
        <w:fldChar w:fldCharType="separate"/>
      </w:r>
      <w:r>
        <w:rPr>
          <w:rFonts w:hint="default" w:ascii="Times New Roman" w:hAnsi="Times New Roman" w:eastAsia="华文中宋" w:cs="Times New Roman"/>
          <w:b w:val="0"/>
          <w:bCs w:val="0"/>
          <w:snapToGrid w:val="0"/>
          <w:color w:val="auto"/>
          <w:kern w:val="0"/>
          <w:sz w:val="24"/>
          <w:szCs w:val="20"/>
          <w:lang w:val="en-US" w:eastAsia="zh-CN" w:bidi="ar-SA"/>
        </w:rPr>
        <w:t>砒霜</w:t>
      </w:r>
      <w:r>
        <w:rPr>
          <w:rFonts w:hint="default" w:ascii="Times New Roman" w:hAnsi="Times New Roman" w:eastAsia="华文中宋" w:cs="Times New Roman"/>
          <w:b w:val="0"/>
          <w:bCs w:val="0"/>
          <w:snapToGrid w:val="0"/>
          <w:color w:val="auto"/>
          <w:kern w:val="0"/>
          <w:sz w:val="24"/>
          <w:szCs w:val="20"/>
          <w:lang w:val="en-US" w:eastAsia="zh-CN" w:bidi="ar-SA"/>
        </w:rPr>
        <w:fldChar w:fldCharType="end"/>
      </w:r>
      <w:r>
        <w:rPr>
          <w:rFonts w:hint="default" w:ascii="Times New Roman" w:hAnsi="Times New Roman" w:eastAsia="华文中宋" w:cs="Times New Roman"/>
          <w:b w:val="0"/>
          <w:bCs w:val="0"/>
          <w:snapToGrid w:val="0"/>
          <w:color w:val="auto"/>
          <w:kern w:val="0"/>
          <w:sz w:val="24"/>
          <w:szCs w:val="20"/>
          <w:lang w:val="en-US" w:eastAsia="zh-CN" w:bidi="ar-SA"/>
        </w:rPr>
        <w:t>。毒砂是单斜或</w:t>
      </w:r>
      <w:r>
        <w:rPr>
          <w:rFonts w:hint="default" w:ascii="Times New Roman" w:hAnsi="Times New Roman" w:eastAsia="华文中宋" w:cs="Times New Roman"/>
          <w:b w:val="0"/>
          <w:bCs w:val="0"/>
          <w:snapToGrid w:val="0"/>
          <w:color w:val="auto"/>
          <w:kern w:val="0"/>
          <w:sz w:val="24"/>
          <w:szCs w:val="20"/>
          <w:lang w:val="en-US" w:eastAsia="zh-CN" w:bidi="ar-SA"/>
        </w:rPr>
        <w:fldChar w:fldCharType="begin"/>
      </w:r>
      <w:r>
        <w:rPr>
          <w:rFonts w:hint="default" w:ascii="Times New Roman" w:hAnsi="Times New Roman" w:eastAsia="华文中宋" w:cs="Times New Roman"/>
          <w:b w:val="0"/>
          <w:bCs w:val="0"/>
          <w:snapToGrid w:val="0"/>
          <w:color w:val="auto"/>
          <w:kern w:val="0"/>
          <w:sz w:val="24"/>
          <w:szCs w:val="20"/>
          <w:lang w:val="en-US" w:eastAsia="zh-CN" w:bidi="ar-SA"/>
        </w:rPr>
        <w:instrText xml:space="preserve"> HYPERLINK "https://baike.baidu.com/item/%E4%B8%89%E6%96%9C%E6%99%B6%E7%B3%BB/1685841?fromModule=lemma_inlink" \t "https://baike.baidu.com/item/%E6%AF%92%E7%A0%82/_blank" </w:instrText>
      </w:r>
      <w:r>
        <w:rPr>
          <w:rFonts w:hint="default" w:ascii="Times New Roman" w:hAnsi="Times New Roman" w:eastAsia="华文中宋" w:cs="Times New Roman"/>
          <w:b w:val="0"/>
          <w:bCs w:val="0"/>
          <w:snapToGrid w:val="0"/>
          <w:color w:val="auto"/>
          <w:kern w:val="0"/>
          <w:sz w:val="24"/>
          <w:szCs w:val="20"/>
          <w:lang w:val="en-US" w:eastAsia="zh-CN" w:bidi="ar-SA"/>
        </w:rPr>
        <w:fldChar w:fldCharType="separate"/>
      </w:r>
      <w:r>
        <w:rPr>
          <w:rFonts w:hint="default" w:ascii="Times New Roman" w:hAnsi="Times New Roman" w:eastAsia="华文中宋" w:cs="Times New Roman"/>
          <w:b w:val="0"/>
          <w:bCs w:val="0"/>
          <w:snapToGrid w:val="0"/>
          <w:color w:val="auto"/>
          <w:kern w:val="0"/>
          <w:sz w:val="24"/>
          <w:szCs w:val="20"/>
          <w:lang w:val="en-US" w:eastAsia="zh-CN" w:bidi="ar-SA"/>
        </w:rPr>
        <w:t>三斜晶系</w:t>
      </w:r>
      <w:r>
        <w:rPr>
          <w:rFonts w:hint="default" w:ascii="Times New Roman" w:hAnsi="Times New Roman" w:eastAsia="华文中宋" w:cs="Times New Roman"/>
          <w:b w:val="0"/>
          <w:bCs w:val="0"/>
          <w:snapToGrid w:val="0"/>
          <w:color w:val="auto"/>
          <w:kern w:val="0"/>
          <w:sz w:val="24"/>
          <w:szCs w:val="20"/>
          <w:lang w:val="en-US" w:eastAsia="zh-CN" w:bidi="ar-SA"/>
        </w:rPr>
        <w:fldChar w:fldCharType="end"/>
      </w:r>
      <w:r>
        <w:rPr>
          <w:rFonts w:hint="default" w:ascii="Times New Roman" w:hAnsi="Times New Roman" w:eastAsia="华文中宋" w:cs="Times New Roman"/>
          <w:b w:val="0"/>
          <w:bCs w:val="0"/>
          <w:snapToGrid w:val="0"/>
          <w:color w:val="auto"/>
          <w:kern w:val="0"/>
          <w:sz w:val="24"/>
          <w:szCs w:val="20"/>
          <w:lang w:val="en-US" w:eastAsia="zh-CN" w:bidi="ar-SA"/>
        </w:rPr>
        <w:t>，晶体呈柱状，</w:t>
      </w:r>
      <w:r>
        <w:rPr>
          <w:rFonts w:hint="default" w:ascii="Times New Roman" w:hAnsi="Times New Roman" w:eastAsia="华文中宋" w:cs="Times New Roman"/>
          <w:b w:val="0"/>
          <w:bCs w:val="0"/>
          <w:snapToGrid w:val="0"/>
          <w:color w:val="auto"/>
          <w:kern w:val="0"/>
          <w:sz w:val="24"/>
          <w:szCs w:val="20"/>
          <w:lang w:val="en-US" w:eastAsia="zh-CN" w:bidi="ar-SA"/>
        </w:rPr>
        <w:fldChar w:fldCharType="begin"/>
      </w:r>
      <w:r>
        <w:rPr>
          <w:rFonts w:hint="default" w:ascii="Times New Roman" w:hAnsi="Times New Roman" w:eastAsia="华文中宋" w:cs="Times New Roman"/>
          <w:b w:val="0"/>
          <w:bCs w:val="0"/>
          <w:snapToGrid w:val="0"/>
          <w:color w:val="auto"/>
          <w:kern w:val="0"/>
          <w:sz w:val="24"/>
          <w:szCs w:val="20"/>
          <w:lang w:val="en-US" w:eastAsia="zh-CN" w:bidi="ar-SA"/>
        </w:rPr>
        <w:instrText xml:space="preserve"> HYPERLINK "https://baike.baidu.com/item/%E9%9B%86%E5%90%88%E4%BD%93/10158782?fromModule=lemma_inlink" \t "https://baike.baidu.com/item/%E6%AF%92%E7%A0%82/_blank" </w:instrText>
      </w:r>
      <w:r>
        <w:rPr>
          <w:rFonts w:hint="default" w:ascii="Times New Roman" w:hAnsi="Times New Roman" w:eastAsia="华文中宋" w:cs="Times New Roman"/>
          <w:b w:val="0"/>
          <w:bCs w:val="0"/>
          <w:snapToGrid w:val="0"/>
          <w:color w:val="auto"/>
          <w:kern w:val="0"/>
          <w:sz w:val="24"/>
          <w:szCs w:val="20"/>
          <w:lang w:val="en-US" w:eastAsia="zh-CN" w:bidi="ar-SA"/>
        </w:rPr>
        <w:fldChar w:fldCharType="separate"/>
      </w:r>
      <w:r>
        <w:rPr>
          <w:rFonts w:hint="default" w:ascii="Times New Roman" w:hAnsi="Times New Roman" w:eastAsia="华文中宋" w:cs="Times New Roman"/>
          <w:b w:val="0"/>
          <w:bCs w:val="0"/>
          <w:snapToGrid w:val="0"/>
          <w:color w:val="auto"/>
          <w:kern w:val="0"/>
          <w:sz w:val="24"/>
          <w:szCs w:val="20"/>
          <w:lang w:val="en-US" w:eastAsia="zh-CN" w:bidi="ar-SA"/>
        </w:rPr>
        <w:t>集合体</w:t>
      </w:r>
      <w:r>
        <w:rPr>
          <w:rFonts w:hint="default" w:ascii="Times New Roman" w:hAnsi="Times New Roman" w:eastAsia="华文中宋" w:cs="Times New Roman"/>
          <w:b w:val="0"/>
          <w:bCs w:val="0"/>
          <w:snapToGrid w:val="0"/>
          <w:color w:val="auto"/>
          <w:kern w:val="0"/>
          <w:sz w:val="24"/>
          <w:szCs w:val="20"/>
          <w:lang w:val="en-US" w:eastAsia="zh-CN" w:bidi="ar-SA"/>
        </w:rPr>
        <w:fldChar w:fldCharType="end"/>
      </w:r>
      <w:r>
        <w:rPr>
          <w:rFonts w:hint="default" w:ascii="Times New Roman" w:hAnsi="Times New Roman" w:eastAsia="华文中宋" w:cs="Times New Roman"/>
          <w:b w:val="0"/>
          <w:bCs w:val="0"/>
          <w:snapToGrid w:val="0"/>
          <w:color w:val="auto"/>
          <w:kern w:val="0"/>
          <w:sz w:val="24"/>
          <w:szCs w:val="20"/>
          <w:lang w:val="en-US" w:eastAsia="zh-CN" w:bidi="ar-SA"/>
        </w:rPr>
        <w:t>成粒状或致密块状。锡白色，</w:t>
      </w:r>
      <w:r>
        <w:rPr>
          <w:rFonts w:hint="default" w:ascii="Times New Roman" w:hAnsi="Times New Roman" w:eastAsia="华文中宋" w:cs="Times New Roman"/>
          <w:b w:val="0"/>
          <w:bCs w:val="0"/>
          <w:snapToGrid w:val="0"/>
          <w:color w:val="auto"/>
          <w:kern w:val="0"/>
          <w:sz w:val="24"/>
          <w:szCs w:val="20"/>
          <w:lang w:val="en-US" w:eastAsia="zh-CN" w:bidi="ar-SA"/>
        </w:rPr>
        <w:fldChar w:fldCharType="begin"/>
      </w:r>
      <w:r>
        <w:rPr>
          <w:rFonts w:hint="default" w:ascii="Times New Roman" w:hAnsi="Times New Roman" w:eastAsia="华文中宋" w:cs="Times New Roman"/>
          <w:b w:val="0"/>
          <w:bCs w:val="0"/>
          <w:snapToGrid w:val="0"/>
          <w:color w:val="auto"/>
          <w:kern w:val="0"/>
          <w:sz w:val="24"/>
          <w:szCs w:val="20"/>
          <w:lang w:val="en-US" w:eastAsia="zh-CN" w:bidi="ar-SA"/>
        </w:rPr>
        <w:instrText xml:space="preserve"> HYPERLINK "https://baike.baidu.com/item/%E9%87%91%E5%B1%9E%E5%85%89%E6%B3%BD/9752524?fromModule=lemma_inlink" \t "https://baike.baidu.com/item/%E6%AF%92%E7%A0%82/_blank" </w:instrText>
      </w:r>
      <w:r>
        <w:rPr>
          <w:rFonts w:hint="default" w:ascii="Times New Roman" w:hAnsi="Times New Roman" w:eastAsia="华文中宋" w:cs="Times New Roman"/>
          <w:b w:val="0"/>
          <w:bCs w:val="0"/>
          <w:snapToGrid w:val="0"/>
          <w:color w:val="auto"/>
          <w:kern w:val="0"/>
          <w:sz w:val="24"/>
          <w:szCs w:val="20"/>
          <w:lang w:val="en-US" w:eastAsia="zh-CN" w:bidi="ar-SA"/>
        </w:rPr>
        <w:fldChar w:fldCharType="separate"/>
      </w:r>
      <w:r>
        <w:rPr>
          <w:rFonts w:hint="default" w:ascii="Times New Roman" w:hAnsi="Times New Roman" w:eastAsia="华文中宋" w:cs="Times New Roman"/>
          <w:b w:val="0"/>
          <w:bCs w:val="0"/>
          <w:snapToGrid w:val="0"/>
          <w:color w:val="auto"/>
          <w:kern w:val="0"/>
          <w:sz w:val="24"/>
          <w:szCs w:val="20"/>
          <w:lang w:val="en-US" w:eastAsia="zh-CN" w:bidi="ar-SA"/>
        </w:rPr>
        <w:t>金属光泽</w:t>
      </w:r>
      <w:r>
        <w:rPr>
          <w:rFonts w:hint="default" w:ascii="Times New Roman" w:hAnsi="Times New Roman" w:eastAsia="华文中宋" w:cs="Times New Roman"/>
          <w:b w:val="0"/>
          <w:bCs w:val="0"/>
          <w:snapToGrid w:val="0"/>
          <w:color w:val="auto"/>
          <w:kern w:val="0"/>
          <w:sz w:val="24"/>
          <w:szCs w:val="20"/>
          <w:lang w:val="en-US" w:eastAsia="zh-CN" w:bidi="ar-SA"/>
        </w:rPr>
        <w:fldChar w:fldCharType="end"/>
      </w:r>
      <w:r>
        <w:rPr>
          <w:rFonts w:hint="default" w:ascii="Times New Roman" w:hAnsi="Times New Roman" w:eastAsia="华文中宋" w:cs="Times New Roman"/>
          <w:b w:val="0"/>
          <w:bCs w:val="0"/>
          <w:snapToGrid w:val="0"/>
          <w:color w:val="auto"/>
          <w:kern w:val="0"/>
          <w:sz w:val="24"/>
          <w:szCs w:val="20"/>
          <w:lang w:val="en-US" w:eastAsia="zh-CN" w:bidi="ar-SA"/>
        </w:rPr>
        <w:t>，</w:t>
      </w:r>
      <w:r>
        <w:rPr>
          <w:rFonts w:hint="default" w:ascii="Times New Roman" w:hAnsi="Times New Roman" w:eastAsia="华文中宋" w:cs="Times New Roman"/>
          <w:b w:val="0"/>
          <w:bCs w:val="0"/>
          <w:snapToGrid w:val="0"/>
          <w:color w:val="auto"/>
          <w:kern w:val="0"/>
          <w:sz w:val="24"/>
          <w:szCs w:val="20"/>
          <w:lang w:val="en-US" w:eastAsia="zh-CN" w:bidi="ar-SA"/>
        </w:rPr>
        <w:fldChar w:fldCharType="begin"/>
      </w:r>
      <w:r>
        <w:rPr>
          <w:rFonts w:hint="default" w:ascii="Times New Roman" w:hAnsi="Times New Roman" w:eastAsia="华文中宋" w:cs="Times New Roman"/>
          <w:b w:val="0"/>
          <w:bCs w:val="0"/>
          <w:snapToGrid w:val="0"/>
          <w:color w:val="auto"/>
          <w:kern w:val="0"/>
          <w:sz w:val="24"/>
          <w:szCs w:val="20"/>
          <w:lang w:val="en-US" w:eastAsia="zh-CN" w:bidi="ar-SA"/>
        </w:rPr>
        <w:instrText xml:space="preserve"> HYPERLINK "https://baike.baidu.com/item/%E8%8E%AB%E6%B0%8F%E7%A1%AC%E5%BA%A6/1605832?fromModule=lemma_inlink" \t "https://baike.baidu.com/item/%E6%AF%92%E7%A0%82/_blank" </w:instrText>
      </w:r>
      <w:r>
        <w:rPr>
          <w:rFonts w:hint="default" w:ascii="Times New Roman" w:hAnsi="Times New Roman" w:eastAsia="华文中宋" w:cs="Times New Roman"/>
          <w:b w:val="0"/>
          <w:bCs w:val="0"/>
          <w:snapToGrid w:val="0"/>
          <w:color w:val="auto"/>
          <w:kern w:val="0"/>
          <w:sz w:val="24"/>
          <w:szCs w:val="20"/>
          <w:lang w:val="en-US" w:eastAsia="zh-CN" w:bidi="ar-SA"/>
        </w:rPr>
        <w:fldChar w:fldCharType="separate"/>
      </w:r>
      <w:r>
        <w:rPr>
          <w:rFonts w:hint="default" w:ascii="Times New Roman" w:hAnsi="Times New Roman" w:eastAsia="华文中宋" w:cs="Times New Roman"/>
          <w:b w:val="0"/>
          <w:bCs w:val="0"/>
          <w:snapToGrid w:val="0"/>
          <w:color w:val="auto"/>
          <w:kern w:val="0"/>
          <w:sz w:val="24"/>
          <w:szCs w:val="20"/>
          <w:lang w:val="en-US" w:eastAsia="zh-CN" w:bidi="ar-SA"/>
        </w:rPr>
        <w:t>莫氏硬度</w:t>
      </w:r>
      <w:r>
        <w:rPr>
          <w:rFonts w:hint="default" w:ascii="Times New Roman" w:hAnsi="Times New Roman" w:eastAsia="华文中宋" w:cs="Times New Roman"/>
          <w:b w:val="0"/>
          <w:bCs w:val="0"/>
          <w:snapToGrid w:val="0"/>
          <w:color w:val="auto"/>
          <w:kern w:val="0"/>
          <w:sz w:val="24"/>
          <w:szCs w:val="20"/>
          <w:lang w:val="en-US" w:eastAsia="zh-CN" w:bidi="ar-SA"/>
        </w:rPr>
        <w:fldChar w:fldCharType="end"/>
      </w:r>
      <w:r>
        <w:rPr>
          <w:rFonts w:hint="default" w:ascii="Times New Roman" w:hAnsi="Times New Roman" w:eastAsia="华文中宋" w:cs="Times New Roman"/>
          <w:b w:val="0"/>
          <w:bCs w:val="0"/>
          <w:snapToGrid w:val="0"/>
          <w:color w:val="auto"/>
          <w:kern w:val="0"/>
          <w:sz w:val="24"/>
          <w:szCs w:val="20"/>
          <w:lang w:val="en-US" w:eastAsia="zh-CN" w:bidi="ar-SA"/>
        </w:rPr>
        <w:t>5.5～6，比重5.9~6.3。敲击时发出蒜臭味，灼烧后有磁性。</w:t>
      </w:r>
    </w:p>
    <w:p w14:paraId="401563B3">
      <w:pPr>
        <w:pStyle w:val="24"/>
        <w:snapToGrid w:val="0"/>
        <w:jc w:val="left"/>
        <w:rPr>
          <w:rFonts w:hint="default" w:ascii="Times New Roman" w:hAnsi="Times New Roman" w:eastAsia="华文中宋" w:cs="Times New Roman"/>
          <w:b w:val="0"/>
          <w:bCs w:val="0"/>
          <w:snapToGrid w:val="0"/>
          <w:color w:val="auto"/>
          <w:kern w:val="0"/>
          <w:sz w:val="24"/>
          <w:szCs w:val="20"/>
          <w:lang w:val="en-US" w:eastAsia="zh-CN" w:bidi="ar-SA"/>
        </w:rPr>
      </w:pPr>
      <w:r>
        <w:rPr>
          <w:rFonts w:hint="default" w:ascii="Times New Roman" w:hAnsi="Times New Roman" w:eastAsia="华文中宋" w:cs="Times New Roman"/>
          <w:b w:val="0"/>
          <w:bCs w:val="0"/>
          <w:snapToGrid w:val="0"/>
          <w:color w:val="auto"/>
          <w:kern w:val="0"/>
          <w:sz w:val="24"/>
          <w:szCs w:val="20"/>
          <w:lang w:val="en-US" w:eastAsia="zh-CN" w:bidi="ar-SA"/>
        </w:rPr>
        <w:t>毒砂主要产于中低温热液矿床中，如我国西秦岭甘肃、陕西和四川等地和“金三角”滇黔桂地区造山型和类</w:t>
      </w:r>
      <w:r>
        <w:rPr>
          <w:rFonts w:hint="default" w:ascii="Times New Roman" w:hAnsi="Times New Roman" w:eastAsia="华文中宋" w:cs="Times New Roman"/>
          <w:b w:val="0"/>
          <w:bCs w:val="0"/>
          <w:snapToGrid w:val="0"/>
          <w:color w:val="auto"/>
          <w:kern w:val="0"/>
          <w:sz w:val="24"/>
          <w:szCs w:val="20"/>
          <w:lang w:val="en-US" w:eastAsia="zh-CN" w:bidi="ar-SA"/>
        </w:rPr>
        <w:fldChar w:fldCharType="begin"/>
      </w:r>
      <w:r>
        <w:rPr>
          <w:rFonts w:hint="default" w:ascii="Times New Roman" w:hAnsi="Times New Roman" w:eastAsia="华文中宋" w:cs="Times New Roman"/>
          <w:b w:val="0"/>
          <w:bCs w:val="0"/>
          <w:snapToGrid w:val="0"/>
          <w:color w:val="auto"/>
          <w:kern w:val="0"/>
          <w:sz w:val="24"/>
          <w:szCs w:val="20"/>
          <w:lang w:val="en-US" w:eastAsia="zh-CN" w:bidi="ar-SA"/>
        </w:rPr>
        <w:instrText xml:space="preserve"> HYPERLINK "https://baike.baidu.com/item/%E5%8D%A1%E6%9E%97%E5%9E%8B%E9%87%91%E7%9F%BF%E5%BA%8A/441648?fromModule=lemma_inlink" \t "https://baike.baidu.com/item/%E6%AF%92%E7%A0%82/_blank" </w:instrText>
      </w:r>
      <w:r>
        <w:rPr>
          <w:rFonts w:hint="default" w:ascii="Times New Roman" w:hAnsi="Times New Roman" w:eastAsia="华文中宋" w:cs="Times New Roman"/>
          <w:b w:val="0"/>
          <w:bCs w:val="0"/>
          <w:snapToGrid w:val="0"/>
          <w:color w:val="auto"/>
          <w:kern w:val="0"/>
          <w:sz w:val="24"/>
          <w:szCs w:val="20"/>
          <w:lang w:val="en-US" w:eastAsia="zh-CN" w:bidi="ar-SA"/>
        </w:rPr>
        <w:fldChar w:fldCharType="separate"/>
      </w:r>
      <w:r>
        <w:rPr>
          <w:rFonts w:hint="default" w:ascii="Times New Roman" w:hAnsi="Times New Roman" w:eastAsia="华文中宋" w:cs="Times New Roman"/>
          <w:b w:val="0"/>
          <w:bCs w:val="0"/>
          <w:snapToGrid w:val="0"/>
          <w:color w:val="auto"/>
          <w:kern w:val="0"/>
          <w:sz w:val="24"/>
          <w:szCs w:val="20"/>
          <w:lang w:val="en-US" w:eastAsia="zh-CN" w:bidi="ar-SA"/>
        </w:rPr>
        <w:t>卡林型金矿床</w:t>
      </w:r>
      <w:r>
        <w:rPr>
          <w:rFonts w:hint="default" w:ascii="Times New Roman" w:hAnsi="Times New Roman" w:eastAsia="华文中宋" w:cs="Times New Roman"/>
          <w:b w:val="0"/>
          <w:bCs w:val="0"/>
          <w:snapToGrid w:val="0"/>
          <w:color w:val="auto"/>
          <w:kern w:val="0"/>
          <w:sz w:val="24"/>
          <w:szCs w:val="20"/>
          <w:lang w:val="en-US" w:eastAsia="zh-CN" w:bidi="ar-SA"/>
        </w:rPr>
        <w:fldChar w:fldCharType="end"/>
      </w:r>
      <w:r>
        <w:rPr>
          <w:rFonts w:hint="default" w:ascii="Times New Roman" w:hAnsi="Times New Roman" w:eastAsia="华文中宋" w:cs="Times New Roman"/>
          <w:b w:val="0"/>
          <w:bCs w:val="0"/>
          <w:snapToGrid w:val="0"/>
          <w:color w:val="auto"/>
          <w:kern w:val="0"/>
          <w:sz w:val="24"/>
          <w:szCs w:val="20"/>
          <w:lang w:val="en-US" w:eastAsia="zh-CN" w:bidi="ar-SA"/>
        </w:rPr>
        <w:t>，也可产于矽卡岩型和</w:t>
      </w:r>
      <w:r>
        <w:rPr>
          <w:rFonts w:hint="default" w:ascii="Times New Roman" w:hAnsi="Times New Roman" w:eastAsia="华文中宋" w:cs="Times New Roman"/>
          <w:b w:val="0"/>
          <w:bCs w:val="0"/>
          <w:snapToGrid w:val="0"/>
          <w:color w:val="auto"/>
          <w:kern w:val="0"/>
          <w:sz w:val="24"/>
          <w:szCs w:val="20"/>
          <w:lang w:val="en-US" w:eastAsia="zh-CN" w:bidi="ar-SA"/>
        </w:rPr>
        <w:fldChar w:fldCharType="begin"/>
      </w:r>
      <w:r>
        <w:rPr>
          <w:rFonts w:hint="default" w:ascii="Times New Roman" w:hAnsi="Times New Roman" w:eastAsia="华文中宋" w:cs="Times New Roman"/>
          <w:b w:val="0"/>
          <w:bCs w:val="0"/>
          <w:snapToGrid w:val="0"/>
          <w:color w:val="auto"/>
          <w:kern w:val="0"/>
          <w:sz w:val="24"/>
          <w:szCs w:val="20"/>
          <w:lang w:val="en-US" w:eastAsia="zh-CN" w:bidi="ar-SA"/>
        </w:rPr>
        <w:instrText xml:space="preserve"> HYPERLINK "https://baike.baidu.com/item/%E9%AB%98%E6%B8%A9%E7%83%AD%E6%B6%B2%E7%9F%BF%E5%BA%8A/7438374?fromModule=lemma_inlink" \t "https://baike.baidu.com/item/%E6%AF%92%E7%A0%82/_blank" </w:instrText>
      </w:r>
      <w:r>
        <w:rPr>
          <w:rFonts w:hint="default" w:ascii="Times New Roman" w:hAnsi="Times New Roman" w:eastAsia="华文中宋" w:cs="Times New Roman"/>
          <w:b w:val="0"/>
          <w:bCs w:val="0"/>
          <w:snapToGrid w:val="0"/>
          <w:color w:val="auto"/>
          <w:kern w:val="0"/>
          <w:sz w:val="24"/>
          <w:szCs w:val="20"/>
          <w:lang w:val="en-US" w:eastAsia="zh-CN" w:bidi="ar-SA"/>
        </w:rPr>
        <w:fldChar w:fldCharType="separate"/>
      </w:r>
      <w:r>
        <w:rPr>
          <w:rFonts w:hint="default" w:ascii="Times New Roman" w:hAnsi="Times New Roman" w:eastAsia="华文中宋" w:cs="Times New Roman"/>
          <w:b w:val="0"/>
          <w:bCs w:val="0"/>
          <w:snapToGrid w:val="0"/>
          <w:color w:val="auto"/>
          <w:kern w:val="0"/>
          <w:sz w:val="24"/>
          <w:szCs w:val="20"/>
          <w:lang w:val="en-US" w:eastAsia="zh-CN" w:bidi="ar-SA"/>
        </w:rPr>
        <w:t>高温热液矿床</w:t>
      </w:r>
      <w:r>
        <w:rPr>
          <w:rFonts w:hint="default" w:ascii="Times New Roman" w:hAnsi="Times New Roman" w:eastAsia="华文中宋" w:cs="Times New Roman"/>
          <w:b w:val="0"/>
          <w:bCs w:val="0"/>
          <w:snapToGrid w:val="0"/>
          <w:color w:val="auto"/>
          <w:kern w:val="0"/>
          <w:sz w:val="24"/>
          <w:szCs w:val="20"/>
          <w:lang w:val="en-US" w:eastAsia="zh-CN" w:bidi="ar-SA"/>
        </w:rPr>
        <w:fldChar w:fldCharType="end"/>
      </w:r>
      <w:r>
        <w:rPr>
          <w:rFonts w:hint="default" w:ascii="Times New Roman" w:hAnsi="Times New Roman" w:eastAsia="华文中宋" w:cs="Times New Roman"/>
          <w:b w:val="0"/>
          <w:bCs w:val="0"/>
          <w:snapToGrid w:val="0"/>
          <w:color w:val="auto"/>
          <w:kern w:val="0"/>
          <w:sz w:val="24"/>
          <w:szCs w:val="20"/>
          <w:lang w:val="en-US" w:eastAsia="zh-CN" w:bidi="ar-SA"/>
        </w:rPr>
        <w:t>中，是金属矿床中分布最广的原生砷矿物。</w:t>
      </w:r>
    </w:p>
    <w:p w14:paraId="2BBCC8F1">
      <w:pPr>
        <w:pStyle w:val="24"/>
        <w:snapToGrid w:val="0"/>
        <w:jc w:val="left"/>
        <w:rPr>
          <w:rFonts w:hint="eastAsia" w:ascii="Times New Roman" w:hAnsi="Times New Roman" w:eastAsia="华文中宋" w:cs="Times New Roman"/>
          <w:b w:val="0"/>
          <w:bCs w:val="0"/>
          <w:snapToGrid w:val="0"/>
          <w:color w:val="auto"/>
          <w:kern w:val="0"/>
          <w:sz w:val="24"/>
          <w:szCs w:val="20"/>
          <w:lang w:val="en-US" w:eastAsia="zh-CN" w:bidi="ar-SA"/>
        </w:rPr>
      </w:pPr>
      <w:r>
        <w:rPr>
          <w:rFonts w:hint="eastAsia" w:ascii="Times New Roman" w:hAnsi="Times New Roman" w:eastAsia="华文中宋" w:cs="Times New Roman"/>
          <w:b w:val="0"/>
          <w:bCs w:val="0"/>
          <w:snapToGrid w:val="0"/>
          <w:color w:val="auto"/>
          <w:kern w:val="0"/>
          <w:sz w:val="24"/>
          <w:szCs w:val="20"/>
          <w:lang w:val="en-US" w:eastAsia="zh-CN" w:bidi="ar-SA"/>
        </w:rPr>
        <w:t>方解石：</w:t>
      </w:r>
      <w:r>
        <w:rPr>
          <w:rFonts w:hint="default" w:ascii="Times New Roman" w:hAnsi="Times New Roman" w:eastAsia="华文中宋" w:cs="Times New Roman"/>
          <w:b w:val="0"/>
          <w:bCs w:val="0"/>
          <w:snapToGrid w:val="0"/>
          <w:color w:val="auto"/>
          <w:kern w:val="0"/>
          <w:sz w:val="24"/>
          <w:szCs w:val="20"/>
          <w:lang w:val="en-US" w:eastAsia="zh-CN" w:bidi="ar-SA"/>
        </w:rPr>
        <w:t>方解石是一种碳酸钙矿物，化学式为CaCO</w:t>
      </w:r>
      <w:r>
        <w:rPr>
          <w:rFonts w:hint="eastAsia" w:ascii="Times New Roman" w:hAnsi="Times New Roman" w:cs="Times New Roman"/>
          <w:b w:val="0"/>
          <w:bCs w:val="0"/>
          <w:snapToGrid w:val="0"/>
          <w:color w:val="auto"/>
          <w:kern w:val="0"/>
          <w:sz w:val="24"/>
          <w:szCs w:val="20"/>
          <w:vertAlign w:val="subscript"/>
          <w:lang w:val="en-US" w:eastAsia="zh-CN" w:bidi="ar-SA"/>
        </w:rPr>
        <w:t>3</w:t>
      </w:r>
      <w:r>
        <w:rPr>
          <w:rFonts w:hint="default" w:ascii="Times New Roman" w:hAnsi="Times New Roman" w:eastAsia="华文中宋" w:cs="Times New Roman"/>
          <w:b w:val="0"/>
          <w:bCs w:val="0"/>
          <w:snapToGrid w:val="0"/>
          <w:color w:val="auto"/>
          <w:kern w:val="0"/>
          <w:sz w:val="24"/>
          <w:szCs w:val="20"/>
          <w:lang w:val="en-US" w:eastAsia="zh-CN" w:bidi="ar-SA"/>
        </w:rPr>
        <w:t>，是天然碳酸钙中最常见的矿物，因此方解石是一种分布非常广泛的矿物。作为碳酸钙的稳定形态，方解石通常呈现质软、色白或灰、透明的特征，其晶体形态多种多样，包括针状、板状、粒状、块状、纤维状、钟乳状等。而</w:t>
      </w:r>
      <w:r>
        <w:rPr>
          <w:rFonts w:hint="eastAsia" w:ascii="Times New Roman" w:hAnsi="Times New Roman" w:cs="Times New Roman"/>
          <w:b w:val="0"/>
          <w:bCs w:val="0"/>
          <w:snapToGrid w:val="0"/>
          <w:color w:val="auto"/>
          <w:kern w:val="0"/>
          <w:sz w:val="24"/>
          <w:szCs w:val="20"/>
          <w:lang w:val="en-US" w:eastAsia="zh-CN" w:bidi="ar-SA"/>
        </w:rPr>
        <w:t>“</w:t>
      </w:r>
      <w:r>
        <w:rPr>
          <w:rFonts w:hint="default" w:ascii="Times New Roman" w:hAnsi="Times New Roman" w:eastAsia="华文中宋" w:cs="Times New Roman"/>
          <w:b w:val="0"/>
          <w:bCs w:val="0"/>
          <w:snapToGrid w:val="0"/>
          <w:color w:val="auto"/>
          <w:kern w:val="0"/>
          <w:sz w:val="24"/>
          <w:szCs w:val="20"/>
          <w:lang w:val="en-US" w:eastAsia="zh-CN" w:bidi="ar-SA"/>
        </w:rPr>
        <w:t>方解石</w:t>
      </w:r>
      <w:r>
        <w:rPr>
          <w:rFonts w:hint="eastAsia" w:ascii="Times New Roman" w:hAnsi="Times New Roman" w:cs="Times New Roman"/>
          <w:b w:val="0"/>
          <w:bCs w:val="0"/>
          <w:snapToGrid w:val="0"/>
          <w:color w:val="auto"/>
          <w:kern w:val="0"/>
          <w:sz w:val="24"/>
          <w:szCs w:val="20"/>
          <w:lang w:val="en-US" w:eastAsia="zh-CN" w:bidi="ar-SA"/>
        </w:rPr>
        <w:t>”</w:t>
      </w:r>
      <w:r>
        <w:rPr>
          <w:rFonts w:hint="default" w:ascii="Times New Roman" w:hAnsi="Times New Roman" w:eastAsia="华文中宋" w:cs="Times New Roman"/>
          <w:b w:val="0"/>
          <w:bCs w:val="0"/>
          <w:snapToGrid w:val="0"/>
          <w:color w:val="auto"/>
          <w:kern w:val="0"/>
          <w:sz w:val="24"/>
          <w:szCs w:val="20"/>
          <w:lang w:val="en-US" w:eastAsia="zh-CN" w:bidi="ar-SA"/>
        </w:rPr>
        <w:t>这个名字源于其独特的解理特性——敲击方解石时，容易得到许多方形的碎块。</w:t>
      </w:r>
    </w:p>
    <w:p w14:paraId="69701456">
      <w:pPr>
        <w:pStyle w:val="24"/>
        <w:snapToGrid w:val="0"/>
        <w:jc w:val="left"/>
        <w:rPr>
          <w:rFonts w:hint="default" w:ascii="Times New Roman" w:hAnsi="Times New Roman" w:eastAsia="华文中宋" w:cs="Times New Roman"/>
          <w:b w:val="0"/>
          <w:bCs w:val="0"/>
          <w:snapToGrid w:val="0"/>
          <w:color w:val="auto"/>
          <w:kern w:val="0"/>
          <w:sz w:val="24"/>
          <w:szCs w:val="20"/>
          <w:lang w:val="en-US" w:eastAsia="zh-CN" w:bidi="ar-SA"/>
        </w:rPr>
      </w:pPr>
      <w:r>
        <w:rPr>
          <w:rFonts w:hint="eastAsia" w:ascii="Times New Roman" w:hAnsi="Times New Roman" w:cs="Times New Roman"/>
          <w:b w:val="0"/>
          <w:bCs w:val="0"/>
          <w:snapToGrid w:val="0"/>
          <w:color w:val="auto"/>
          <w:kern w:val="0"/>
          <w:sz w:val="24"/>
          <w:szCs w:val="20"/>
          <w:lang w:val="en-US" w:eastAsia="zh-CN" w:bidi="ar-SA"/>
        </w:rPr>
        <w:t>石英：</w:t>
      </w:r>
      <w:r>
        <w:rPr>
          <w:rFonts w:hint="default" w:ascii="Times New Roman" w:hAnsi="Times New Roman" w:eastAsia="华文中宋" w:cs="Times New Roman"/>
          <w:b w:val="0"/>
          <w:bCs w:val="0"/>
          <w:snapToGrid w:val="0"/>
          <w:color w:val="auto"/>
          <w:kern w:val="0"/>
          <w:sz w:val="24"/>
          <w:szCs w:val="20"/>
          <w:lang w:val="en-US" w:eastAsia="zh-CN" w:bidi="ar-SA"/>
        </w:rPr>
        <w:t>石英是主要</w:t>
      </w:r>
      <w:r>
        <w:rPr>
          <w:rFonts w:hint="default" w:ascii="Times New Roman" w:hAnsi="Times New Roman" w:eastAsia="华文中宋" w:cs="Times New Roman"/>
          <w:b w:val="0"/>
          <w:bCs w:val="0"/>
          <w:snapToGrid w:val="0"/>
          <w:color w:val="auto"/>
          <w:kern w:val="0"/>
          <w:sz w:val="24"/>
          <w:szCs w:val="20"/>
          <w:lang w:val="en-US" w:eastAsia="zh-CN" w:bidi="ar-SA"/>
        </w:rPr>
        <w:fldChar w:fldCharType="begin"/>
      </w:r>
      <w:r>
        <w:rPr>
          <w:rFonts w:hint="default" w:ascii="Times New Roman" w:hAnsi="Times New Roman" w:eastAsia="华文中宋" w:cs="Times New Roman"/>
          <w:b w:val="0"/>
          <w:bCs w:val="0"/>
          <w:snapToGrid w:val="0"/>
          <w:color w:val="auto"/>
          <w:kern w:val="0"/>
          <w:sz w:val="24"/>
          <w:szCs w:val="20"/>
          <w:lang w:val="en-US" w:eastAsia="zh-CN" w:bidi="ar-SA"/>
        </w:rPr>
        <w:instrText xml:space="preserve"> HYPERLINK "https://baike.baidu.com/item/%E9%80%A0%E5%B2%A9%E7%9F%BF%E7%89%A9/2213924?fromModule=lemma_inlink" \t "https://baike.baidu.com/item/%E7%9F%B3%E8%8B%B1/_blank" </w:instrText>
      </w:r>
      <w:r>
        <w:rPr>
          <w:rFonts w:hint="default" w:ascii="Times New Roman" w:hAnsi="Times New Roman" w:eastAsia="华文中宋" w:cs="Times New Roman"/>
          <w:b w:val="0"/>
          <w:bCs w:val="0"/>
          <w:snapToGrid w:val="0"/>
          <w:color w:val="auto"/>
          <w:kern w:val="0"/>
          <w:sz w:val="24"/>
          <w:szCs w:val="20"/>
          <w:lang w:val="en-US" w:eastAsia="zh-CN" w:bidi="ar-SA"/>
        </w:rPr>
        <w:fldChar w:fldCharType="separate"/>
      </w:r>
      <w:r>
        <w:rPr>
          <w:rFonts w:hint="default" w:ascii="Times New Roman" w:hAnsi="Times New Roman" w:eastAsia="华文中宋" w:cs="Times New Roman"/>
          <w:b w:val="0"/>
          <w:bCs w:val="0"/>
          <w:snapToGrid w:val="0"/>
          <w:color w:val="auto"/>
          <w:kern w:val="0"/>
          <w:sz w:val="24"/>
          <w:szCs w:val="20"/>
          <w:lang w:val="en-US" w:eastAsia="zh-CN" w:bidi="ar-SA"/>
        </w:rPr>
        <w:t>造岩矿物</w:t>
      </w:r>
      <w:r>
        <w:rPr>
          <w:rFonts w:hint="default" w:ascii="Times New Roman" w:hAnsi="Times New Roman" w:eastAsia="华文中宋" w:cs="Times New Roman"/>
          <w:b w:val="0"/>
          <w:bCs w:val="0"/>
          <w:snapToGrid w:val="0"/>
          <w:color w:val="auto"/>
          <w:kern w:val="0"/>
          <w:sz w:val="24"/>
          <w:szCs w:val="20"/>
          <w:lang w:val="en-US" w:eastAsia="zh-CN" w:bidi="ar-SA"/>
        </w:rPr>
        <w:fldChar w:fldCharType="end"/>
      </w:r>
      <w:r>
        <w:rPr>
          <w:rFonts w:hint="default" w:ascii="Times New Roman" w:hAnsi="Times New Roman" w:eastAsia="华文中宋" w:cs="Times New Roman"/>
          <w:b w:val="0"/>
          <w:bCs w:val="0"/>
          <w:snapToGrid w:val="0"/>
          <w:color w:val="auto"/>
          <w:kern w:val="0"/>
          <w:sz w:val="24"/>
          <w:szCs w:val="20"/>
          <w:lang w:val="en-US" w:eastAsia="zh-CN" w:bidi="ar-SA"/>
        </w:rPr>
        <w:t>之一，一般指低温石英（α-石英），是</w:t>
      </w:r>
      <w:r>
        <w:rPr>
          <w:rFonts w:hint="default" w:ascii="Times New Roman" w:hAnsi="Times New Roman" w:eastAsia="华文中宋" w:cs="Times New Roman"/>
          <w:b w:val="0"/>
          <w:bCs w:val="0"/>
          <w:snapToGrid w:val="0"/>
          <w:color w:val="auto"/>
          <w:kern w:val="0"/>
          <w:sz w:val="24"/>
          <w:szCs w:val="20"/>
          <w:lang w:val="en-US" w:eastAsia="zh-CN" w:bidi="ar-SA"/>
        </w:rPr>
        <w:fldChar w:fldCharType="begin"/>
      </w:r>
      <w:r>
        <w:rPr>
          <w:rFonts w:hint="default" w:ascii="Times New Roman" w:hAnsi="Times New Roman" w:eastAsia="华文中宋" w:cs="Times New Roman"/>
          <w:b w:val="0"/>
          <w:bCs w:val="0"/>
          <w:snapToGrid w:val="0"/>
          <w:color w:val="auto"/>
          <w:kern w:val="0"/>
          <w:sz w:val="24"/>
          <w:szCs w:val="20"/>
          <w:lang w:val="en-US" w:eastAsia="zh-CN" w:bidi="ar-SA"/>
        </w:rPr>
        <w:instrText xml:space="preserve"> HYPERLINK "https://baike.baidu.com/item/%E7%9F%B3%E8%8B%B1%E6%97%8F%E7%9F%BF%E7%89%A9/12607121?fromModule=lemma_inlink" \t "https://baike.baidu.com/item/%E7%9F%B3%E8%8B%B1/_blank" </w:instrText>
      </w:r>
      <w:r>
        <w:rPr>
          <w:rFonts w:hint="default" w:ascii="Times New Roman" w:hAnsi="Times New Roman" w:eastAsia="华文中宋" w:cs="Times New Roman"/>
          <w:b w:val="0"/>
          <w:bCs w:val="0"/>
          <w:snapToGrid w:val="0"/>
          <w:color w:val="auto"/>
          <w:kern w:val="0"/>
          <w:sz w:val="24"/>
          <w:szCs w:val="20"/>
          <w:lang w:val="en-US" w:eastAsia="zh-CN" w:bidi="ar-SA"/>
        </w:rPr>
        <w:fldChar w:fldCharType="separate"/>
      </w:r>
      <w:r>
        <w:rPr>
          <w:rFonts w:hint="default" w:ascii="Times New Roman" w:hAnsi="Times New Roman" w:eastAsia="华文中宋" w:cs="Times New Roman"/>
          <w:b w:val="0"/>
          <w:bCs w:val="0"/>
          <w:snapToGrid w:val="0"/>
          <w:color w:val="auto"/>
          <w:kern w:val="0"/>
          <w:sz w:val="24"/>
          <w:szCs w:val="20"/>
          <w:lang w:val="en-US" w:eastAsia="zh-CN" w:bidi="ar-SA"/>
        </w:rPr>
        <w:t>石英族矿物</w:t>
      </w:r>
      <w:r>
        <w:rPr>
          <w:rFonts w:hint="default" w:ascii="Times New Roman" w:hAnsi="Times New Roman" w:eastAsia="华文中宋" w:cs="Times New Roman"/>
          <w:b w:val="0"/>
          <w:bCs w:val="0"/>
          <w:snapToGrid w:val="0"/>
          <w:color w:val="auto"/>
          <w:kern w:val="0"/>
          <w:sz w:val="24"/>
          <w:szCs w:val="20"/>
          <w:lang w:val="en-US" w:eastAsia="zh-CN" w:bidi="ar-SA"/>
        </w:rPr>
        <w:fldChar w:fldCharType="end"/>
      </w:r>
      <w:r>
        <w:rPr>
          <w:rFonts w:hint="default" w:ascii="Times New Roman" w:hAnsi="Times New Roman" w:eastAsia="华文中宋" w:cs="Times New Roman"/>
          <w:b w:val="0"/>
          <w:bCs w:val="0"/>
          <w:snapToGrid w:val="0"/>
          <w:color w:val="auto"/>
          <w:kern w:val="0"/>
          <w:sz w:val="24"/>
          <w:szCs w:val="20"/>
          <w:lang w:val="en-US" w:eastAsia="zh-CN" w:bidi="ar-SA"/>
        </w:rPr>
        <w:t>中分布最广的一个矿物。广义的石英还包括高温石英（β-石英）和</w:t>
      </w:r>
      <w:r>
        <w:rPr>
          <w:rFonts w:hint="default" w:ascii="Times New Roman" w:hAnsi="Times New Roman" w:eastAsia="华文中宋" w:cs="Times New Roman"/>
          <w:b w:val="0"/>
          <w:bCs w:val="0"/>
          <w:snapToGrid w:val="0"/>
          <w:color w:val="auto"/>
          <w:kern w:val="0"/>
          <w:sz w:val="24"/>
          <w:szCs w:val="20"/>
          <w:lang w:val="en-US" w:eastAsia="zh-CN" w:bidi="ar-SA"/>
        </w:rPr>
        <w:fldChar w:fldCharType="begin"/>
      </w:r>
      <w:r>
        <w:rPr>
          <w:rFonts w:hint="default" w:ascii="Times New Roman" w:hAnsi="Times New Roman" w:eastAsia="华文中宋" w:cs="Times New Roman"/>
          <w:b w:val="0"/>
          <w:bCs w:val="0"/>
          <w:snapToGrid w:val="0"/>
          <w:color w:val="auto"/>
          <w:kern w:val="0"/>
          <w:sz w:val="24"/>
          <w:szCs w:val="20"/>
          <w:lang w:val="en-US" w:eastAsia="zh-CN" w:bidi="ar-SA"/>
        </w:rPr>
        <w:instrText xml:space="preserve"> HYPERLINK "https://baike.baidu.com/item/%E6%9F%AF%E7%9F%B3%E8%8B%B1/8859136?fromModule=lemma_inlink" \t "https://baike.baidu.com/item/%E7%9F%B3%E8%8B%B1/_blank" </w:instrText>
      </w:r>
      <w:r>
        <w:rPr>
          <w:rFonts w:hint="default" w:ascii="Times New Roman" w:hAnsi="Times New Roman" w:eastAsia="华文中宋" w:cs="Times New Roman"/>
          <w:b w:val="0"/>
          <w:bCs w:val="0"/>
          <w:snapToGrid w:val="0"/>
          <w:color w:val="auto"/>
          <w:kern w:val="0"/>
          <w:sz w:val="24"/>
          <w:szCs w:val="20"/>
          <w:lang w:val="en-US" w:eastAsia="zh-CN" w:bidi="ar-SA"/>
        </w:rPr>
        <w:fldChar w:fldCharType="separate"/>
      </w:r>
      <w:r>
        <w:rPr>
          <w:rFonts w:hint="default" w:ascii="Times New Roman" w:hAnsi="Times New Roman" w:eastAsia="华文中宋" w:cs="Times New Roman"/>
          <w:b w:val="0"/>
          <w:bCs w:val="0"/>
          <w:snapToGrid w:val="0"/>
          <w:color w:val="auto"/>
          <w:kern w:val="0"/>
          <w:sz w:val="24"/>
          <w:szCs w:val="20"/>
          <w:lang w:val="en-US" w:eastAsia="zh-CN" w:bidi="ar-SA"/>
        </w:rPr>
        <w:t>柯石英</w:t>
      </w:r>
      <w:r>
        <w:rPr>
          <w:rFonts w:hint="default" w:ascii="Times New Roman" w:hAnsi="Times New Roman" w:eastAsia="华文中宋" w:cs="Times New Roman"/>
          <w:b w:val="0"/>
          <w:bCs w:val="0"/>
          <w:snapToGrid w:val="0"/>
          <w:color w:val="auto"/>
          <w:kern w:val="0"/>
          <w:sz w:val="24"/>
          <w:szCs w:val="20"/>
          <w:lang w:val="en-US" w:eastAsia="zh-CN" w:bidi="ar-SA"/>
        </w:rPr>
        <w:fldChar w:fldCharType="end"/>
      </w:r>
      <w:r>
        <w:rPr>
          <w:rFonts w:hint="default" w:ascii="Times New Roman" w:hAnsi="Times New Roman" w:eastAsia="华文中宋" w:cs="Times New Roman"/>
          <w:b w:val="0"/>
          <w:bCs w:val="0"/>
          <w:snapToGrid w:val="0"/>
          <w:color w:val="auto"/>
          <w:kern w:val="0"/>
          <w:sz w:val="24"/>
          <w:szCs w:val="20"/>
          <w:lang w:val="en-US" w:eastAsia="zh-CN" w:bidi="ar-SA"/>
        </w:rPr>
        <w:t>等。主要成分是SiO</w:t>
      </w:r>
      <w:r>
        <w:rPr>
          <w:rFonts w:hint="default" w:ascii="Times New Roman" w:hAnsi="Times New Roman" w:eastAsia="华文中宋" w:cs="Times New Roman"/>
          <w:b w:val="0"/>
          <w:bCs w:val="0"/>
          <w:snapToGrid w:val="0"/>
          <w:color w:val="auto"/>
          <w:kern w:val="0"/>
          <w:sz w:val="24"/>
          <w:szCs w:val="20"/>
          <w:vertAlign w:val="subscript"/>
          <w:lang w:val="en-US" w:eastAsia="zh-CN" w:bidi="ar-SA"/>
        </w:rPr>
        <w:t>2</w:t>
      </w:r>
      <w:r>
        <w:rPr>
          <w:rFonts w:hint="default" w:ascii="Times New Roman" w:hAnsi="Times New Roman" w:eastAsia="华文中宋" w:cs="Times New Roman"/>
          <w:b w:val="0"/>
          <w:bCs w:val="0"/>
          <w:snapToGrid w:val="0"/>
          <w:color w:val="auto"/>
          <w:kern w:val="0"/>
          <w:sz w:val="24"/>
          <w:szCs w:val="20"/>
          <w:lang w:val="en-US" w:eastAsia="zh-CN" w:bidi="ar-SA"/>
        </w:rPr>
        <w:t>，无色透明，常含有少量杂质成分，而变为半透明或不透明的晶体，质地坚硬。</w:t>
      </w:r>
    </w:p>
    <w:p w14:paraId="080B04B4">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矿区共圈定两个矿体，其编号为Ⅲ</w:t>
      </w:r>
      <w:r>
        <w:rPr>
          <w:rFonts w:hint="default" w:ascii="Times New Roman" w:hAnsi="Times New Roman" w:eastAsia="华文中宋" w:cs="Times New Roman"/>
          <w:color w:val="auto"/>
          <w:vertAlign w:val="subscript"/>
          <w:lang w:val="en-US" w:eastAsia="zh-CN"/>
        </w:rPr>
        <w:t>2</w:t>
      </w:r>
      <w:r>
        <w:rPr>
          <w:rFonts w:hint="default" w:ascii="Times New Roman" w:hAnsi="Times New Roman" w:eastAsia="华文中宋" w:cs="Times New Roman"/>
          <w:color w:val="auto"/>
          <w:lang w:val="en-US" w:eastAsia="zh-CN"/>
        </w:rPr>
        <w:t>（北矿区）、Ⅲ</w:t>
      </w:r>
      <w:r>
        <w:rPr>
          <w:rFonts w:hint="default" w:ascii="Times New Roman" w:hAnsi="Times New Roman" w:eastAsia="华文中宋" w:cs="Times New Roman"/>
          <w:color w:val="auto"/>
          <w:vertAlign w:val="subscript"/>
          <w:lang w:val="en-US" w:eastAsia="zh-CN"/>
        </w:rPr>
        <w:t>6</w:t>
      </w:r>
      <w:r>
        <w:rPr>
          <w:rFonts w:hint="default" w:ascii="Times New Roman" w:hAnsi="Times New Roman" w:eastAsia="华文中宋" w:cs="Times New Roman"/>
          <w:color w:val="auto"/>
          <w:lang w:val="en-US" w:eastAsia="zh-CN"/>
        </w:rPr>
        <w:t>（南矿区）矿体。</w:t>
      </w:r>
    </w:p>
    <w:p w14:paraId="2F8A17F4">
      <w:pPr>
        <w:pStyle w:val="24"/>
        <w:snapToGrid w:val="0"/>
        <w:jc w:val="left"/>
        <w:rPr>
          <w:rFonts w:hint="default" w:ascii="Times New Roman" w:hAnsi="Times New Roman" w:eastAsia="华文中宋" w:cs="Times New Roman"/>
          <w:color w:val="auto"/>
          <w:lang w:val="en-US" w:eastAsia="zh-CN"/>
        </w:rPr>
      </w:pPr>
      <w:r>
        <w:rPr>
          <w:rFonts w:hint="eastAsia" w:ascii="Calibri" w:hAnsi="Calibri" w:cs="Calibri"/>
          <w:color w:val="auto"/>
          <w:lang w:val="en-US" w:eastAsia="zh-CN"/>
        </w:rPr>
        <w:t>（1）</w:t>
      </w:r>
      <w:r>
        <w:rPr>
          <w:rFonts w:hint="default" w:ascii="Times New Roman" w:hAnsi="Times New Roman" w:eastAsia="华文中宋" w:cs="Times New Roman"/>
          <w:color w:val="auto"/>
          <w:lang w:val="en-US" w:eastAsia="zh-CN"/>
        </w:rPr>
        <w:t>Ⅲ</w:t>
      </w:r>
      <w:r>
        <w:rPr>
          <w:rFonts w:hint="default" w:ascii="Times New Roman" w:hAnsi="Times New Roman" w:eastAsia="华文中宋" w:cs="Times New Roman"/>
          <w:color w:val="auto"/>
          <w:vertAlign w:val="subscript"/>
          <w:lang w:val="en-US" w:eastAsia="zh-CN"/>
        </w:rPr>
        <w:t>2</w:t>
      </w:r>
      <w:r>
        <w:rPr>
          <w:rFonts w:hint="default" w:ascii="Times New Roman" w:hAnsi="Times New Roman" w:eastAsia="华文中宋" w:cs="Times New Roman"/>
          <w:color w:val="auto"/>
          <w:lang w:val="en-US" w:eastAsia="zh-CN"/>
        </w:rPr>
        <w:t>号矿体</w:t>
      </w:r>
    </w:p>
    <w:p w14:paraId="29A0C52F">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浅部特征：矿体长790米，矿体倾向330°-355°，倾角45°-65°。矿体真厚度1.41</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5.44米，平均真厚度1.84米，铅的品位为4.95</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8.31%，平均品位6.63%。锑的品位为0.54%</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1.31%，平均品位0.82%。方铅矿呈块状、脉状、浸染状分布于硅化砂岩及石英脉中，局部与重晶石共生。</w:t>
      </w:r>
    </w:p>
    <w:p w14:paraId="3223CB4E">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深部特征：矿体的整体真厚度为2.12</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4.89米，平均真厚度2.18米，铅的品位为4.99%</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8.11%，平均品位6.11%。锑的品位为0.67%</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1.39%，平均品位1.03%。方铅矿呈块状、脉状、浸染状分布于硅化砂岩及石英脉中。</w:t>
      </w:r>
    </w:p>
    <w:p w14:paraId="497B1220">
      <w:pPr>
        <w:pStyle w:val="24"/>
        <w:snapToGrid w:val="0"/>
        <w:jc w:val="left"/>
        <w:rPr>
          <w:rFonts w:hint="default" w:ascii="Times New Roman" w:hAnsi="Times New Roman" w:eastAsia="华文中宋" w:cs="Times New Roman"/>
          <w:color w:val="auto"/>
          <w:lang w:val="en-US" w:eastAsia="zh-CN"/>
        </w:rPr>
      </w:pPr>
      <w:r>
        <w:rPr>
          <w:rFonts w:hint="eastAsia" w:ascii="Calibri" w:hAnsi="Calibri" w:cs="Calibri"/>
          <w:color w:val="auto"/>
          <w:lang w:val="en-US" w:eastAsia="zh-CN"/>
        </w:rPr>
        <w:t>（2）</w:t>
      </w:r>
      <w:r>
        <w:rPr>
          <w:rFonts w:hint="default" w:ascii="Times New Roman" w:hAnsi="Times New Roman" w:eastAsia="华文中宋" w:cs="Times New Roman"/>
          <w:color w:val="auto"/>
          <w:lang w:val="en-US" w:eastAsia="zh-CN"/>
        </w:rPr>
        <w:t>Ⅲ</w:t>
      </w:r>
      <w:r>
        <w:rPr>
          <w:rFonts w:hint="default" w:ascii="Times New Roman" w:hAnsi="Times New Roman" w:eastAsia="华文中宋" w:cs="Times New Roman"/>
          <w:color w:val="auto"/>
          <w:vertAlign w:val="subscript"/>
          <w:lang w:val="en-US" w:eastAsia="zh-CN"/>
        </w:rPr>
        <w:t>6</w:t>
      </w:r>
      <w:r>
        <w:rPr>
          <w:rFonts w:hint="default" w:ascii="Times New Roman" w:hAnsi="Times New Roman" w:eastAsia="华文中宋" w:cs="Times New Roman"/>
          <w:color w:val="auto"/>
          <w:lang w:val="en-US" w:eastAsia="zh-CN"/>
        </w:rPr>
        <w:t>号矿体</w:t>
      </w:r>
    </w:p>
    <w:p w14:paraId="5D29FE58">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浅部特征：矿体长238米，矿体倾向150°-175°，倾角45°-65°。矿体真厚度1.45</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7.33米，平均真厚度1.70米，铅的品位为4.75%</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7.31%，平均品位5.53%。锑的品位为0.51%</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1.33%，平均品位0.94%。方铅矿呈块状、脉状、浸染状分布于硅化砂岩及石英脉中。</w:t>
      </w:r>
    </w:p>
    <w:p w14:paraId="1BFBCC8F">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深部特征：深部真厚度为1.41</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3.63米，平均真厚度2.28米，铅最高品位为4.96%</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7.53%，平均品位6.45%。锑最高品位为0.47%</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1.35%，平均品位0.94%。方铅矿呈块状、脉状、浸染状分布于硅化砂岩及石英脉中，</w:t>
      </w:r>
      <w:r>
        <w:rPr>
          <w:rFonts w:hint="eastAsia" w:ascii="Times New Roman" w:hAnsi="Times New Roman" w:eastAsia="华文中宋" w:cs="Times New Roman"/>
          <w:color w:val="auto"/>
          <w:lang w:val="en-US" w:eastAsia="zh-CN"/>
        </w:rPr>
        <w:t>其他</w:t>
      </w:r>
      <w:r>
        <w:rPr>
          <w:rFonts w:hint="default" w:ascii="Times New Roman" w:hAnsi="Times New Roman" w:eastAsia="华文中宋" w:cs="Times New Roman"/>
          <w:color w:val="auto"/>
          <w:lang w:val="en-US" w:eastAsia="zh-CN"/>
        </w:rPr>
        <w:t>矿体特征见表3.1-</w:t>
      </w:r>
      <w:r>
        <w:rPr>
          <w:rFonts w:hint="eastAsia" w:ascii="Times New Roman" w:hAnsi="Times New Roman" w:cs="Times New Roman"/>
          <w:color w:val="auto"/>
          <w:lang w:val="en-US" w:eastAsia="zh-CN"/>
        </w:rPr>
        <w:t>8</w:t>
      </w:r>
      <w:r>
        <w:rPr>
          <w:rFonts w:hint="default" w:ascii="Times New Roman" w:hAnsi="Times New Roman" w:eastAsia="华文中宋" w:cs="Times New Roman"/>
          <w:color w:val="auto"/>
          <w:lang w:val="en-US" w:eastAsia="zh-CN"/>
        </w:rPr>
        <w:t>。</w:t>
      </w:r>
    </w:p>
    <w:p w14:paraId="52375819">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表3.1-</w:t>
      </w:r>
      <w:r>
        <w:rPr>
          <w:rFonts w:hint="eastAsia" w:ascii="Times New Roman" w:hAnsi="Times New Roman" w:eastAsia="华文中宋" w:cs="Times New Roman"/>
          <w:b/>
          <w:szCs w:val="21"/>
          <w:lang w:val="en-US" w:eastAsia="zh-CN"/>
        </w:rPr>
        <w:t>8</w:t>
      </w:r>
      <w:r>
        <w:rPr>
          <w:rFonts w:hint="default" w:ascii="Times New Roman" w:hAnsi="Times New Roman" w:eastAsia="华文中宋" w:cs="Times New Roman"/>
          <w:b/>
          <w:szCs w:val="21"/>
          <w:lang w:val="en-US" w:eastAsia="zh-CN"/>
        </w:rPr>
        <w:t xml:space="preserve">  盼水河矿区矿体特征一览表</w:t>
      </w:r>
    </w:p>
    <w:tbl>
      <w:tblPr>
        <w:tblStyle w:val="19"/>
        <w:tblW w:w="4646" w:type="pct"/>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92"/>
        <w:gridCol w:w="1082"/>
        <w:gridCol w:w="1283"/>
        <w:gridCol w:w="817"/>
        <w:gridCol w:w="816"/>
        <w:gridCol w:w="1150"/>
        <w:gridCol w:w="994"/>
        <w:gridCol w:w="985"/>
      </w:tblGrid>
      <w:tr w14:paraId="03C4A60F">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792" w:type="dxa"/>
            <w:vMerge w:val="restart"/>
            <w:tcBorders>
              <w:left w:val="single" w:color="auto" w:sz="4" w:space="0"/>
            </w:tcBorders>
            <w:noWrap w:val="0"/>
            <w:vAlign w:val="center"/>
          </w:tcPr>
          <w:p w14:paraId="415F7B1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矿体编号</w:t>
            </w:r>
          </w:p>
        </w:tc>
        <w:tc>
          <w:tcPr>
            <w:tcW w:w="1082" w:type="dxa"/>
            <w:vMerge w:val="restart"/>
            <w:noWrap w:val="0"/>
            <w:vAlign w:val="center"/>
          </w:tcPr>
          <w:p w14:paraId="38B57BE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矿体长度（m）</w:t>
            </w:r>
          </w:p>
        </w:tc>
        <w:tc>
          <w:tcPr>
            <w:tcW w:w="1283" w:type="dxa"/>
            <w:vMerge w:val="restart"/>
            <w:noWrap w:val="0"/>
            <w:vAlign w:val="center"/>
          </w:tcPr>
          <w:p w14:paraId="3F488CB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真厚度（m）</w:t>
            </w:r>
          </w:p>
        </w:tc>
        <w:tc>
          <w:tcPr>
            <w:tcW w:w="817" w:type="dxa"/>
            <w:vMerge w:val="restart"/>
            <w:noWrap w:val="0"/>
            <w:vAlign w:val="center"/>
          </w:tcPr>
          <w:p w14:paraId="3123A5C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形态</w:t>
            </w:r>
          </w:p>
        </w:tc>
        <w:tc>
          <w:tcPr>
            <w:tcW w:w="1966" w:type="dxa"/>
            <w:gridSpan w:val="2"/>
            <w:noWrap w:val="0"/>
            <w:vAlign w:val="center"/>
          </w:tcPr>
          <w:p w14:paraId="5EC3B57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矿体产状</w:t>
            </w:r>
          </w:p>
        </w:tc>
        <w:tc>
          <w:tcPr>
            <w:tcW w:w="1979" w:type="dxa"/>
            <w:gridSpan w:val="2"/>
            <w:tcBorders>
              <w:top w:val="single" w:color="auto" w:sz="4" w:space="0"/>
              <w:bottom w:val="single" w:color="auto" w:sz="4" w:space="0"/>
              <w:right w:val="single" w:color="auto" w:sz="4" w:space="0"/>
            </w:tcBorders>
            <w:noWrap w:val="0"/>
            <w:vAlign w:val="center"/>
          </w:tcPr>
          <w:p w14:paraId="5BDB572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矿体平均品位 （%）</w:t>
            </w:r>
          </w:p>
        </w:tc>
      </w:tr>
      <w:tr w14:paraId="6C25235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792" w:type="dxa"/>
            <w:vMerge w:val="continue"/>
            <w:tcBorders>
              <w:left w:val="single" w:color="auto" w:sz="4" w:space="0"/>
              <w:bottom w:val="single" w:color="auto" w:sz="4" w:space="0"/>
            </w:tcBorders>
            <w:noWrap w:val="0"/>
            <w:vAlign w:val="center"/>
          </w:tcPr>
          <w:p w14:paraId="63AC3DD0">
            <w:pPr>
              <w:spacing w:line="300" w:lineRule="exact"/>
              <w:jc w:val="center"/>
              <w:rPr>
                <w:rFonts w:hint="default" w:ascii="Times New Roman" w:hAnsi="Times New Roman" w:eastAsia="华文中宋" w:cs="Times New Roman"/>
                <w:szCs w:val="21"/>
                <w:lang w:val="en-US" w:eastAsia="zh-CN"/>
              </w:rPr>
            </w:pPr>
          </w:p>
        </w:tc>
        <w:tc>
          <w:tcPr>
            <w:tcW w:w="1082" w:type="dxa"/>
            <w:vMerge w:val="continue"/>
            <w:tcBorders>
              <w:bottom w:val="single" w:color="auto" w:sz="4" w:space="0"/>
            </w:tcBorders>
            <w:noWrap w:val="0"/>
            <w:vAlign w:val="center"/>
          </w:tcPr>
          <w:p w14:paraId="3278819E">
            <w:pPr>
              <w:spacing w:line="300" w:lineRule="exact"/>
              <w:jc w:val="center"/>
              <w:rPr>
                <w:rFonts w:hint="default" w:ascii="Times New Roman" w:hAnsi="Times New Roman" w:eastAsia="华文中宋" w:cs="Times New Roman"/>
                <w:szCs w:val="21"/>
                <w:lang w:val="en-US" w:eastAsia="zh-CN"/>
              </w:rPr>
            </w:pPr>
          </w:p>
        </w:tc>
        <w:tc>
          <w:tcPr>
            <w:tcW w:w="1283" w:type="dxa"/>
            <w:vMerge w:val="continue"/>
            <w:tcBorders>
              <w:bottom w:val="single" w:color="auto" w:sz="4" w:space="0"/>
            </w:tcBorders>
            <w:noWrap w:val="0"/>
            <w:vAlign w:val="center"/>
          </w:tcPr>
          <w:p w14:paraId="0C96B9E7">
            <w:pPr>
              <w:spacing w:line="300" w:lineRule="exact"/>
              <w:jc w:val="center"/>
              <w:rPr>
                <w:rFonts w:hint="default" w:ascii="Times New Roman" w:hAnsi="Times New Roman" w:eastAsia="华文中宋" w:cs="Times New Roman"/>
                <w:szCs w:val="21"/>
                <w:lang w:val="en-US" w:eastAsia="zh-CN"/>
              </w:rPr>
            </w:pPr>
          </w:p>
        </w:tc>
        <w:tc>
          <w:tcPr>
            <w:tcW w:w="817" w:type="dxa"/>
            <w:vMerge w:val="continue"/>
            <w:tcBorders>
              <w:bottom w:val="single" w:color="auto" w:sz="4" w:space="0"/>
            </w:tcBorders>
            <w:noWrap w:val="0"/>
            <w:vAlign w:val="center"/>
          </w:tcPr>
          <w:p w14:paraId="1436E30B">
            <w:pPr>
              <w:spacing w:line="300" w:lineRule="exact"/>
              <w:jc w:val="center"/>
              <w:rPr>
                <w:rFonts w:hint="default" w:ascii="Times New Roman" w:hAnsi="Times New Roman" w:eastAsia="华文中宋" w:cs="Times New Roman"/>
                <w:szCs w:val="21"/>
                <w:lang w:val="en-US" w:eastAsia="zh-CN"/>
              </w:rPr>
            </w:pPr>
          </w:p>
        </w:tc>
        <w:tc>
          <w:tcPr>
            <w:tcW w:w="816" w:type="dxa"/>
            <w:tcBorders>
              <w:bottom w:val="single" w:color="auto" w:sz="4" w:space="0"/>
            </w:tcBorders>
            <w:noWrap w:val="0"/>
            <w:vAlign w:val="center"/>
          </w:tcPr>
          <w:p w14:paraId="6D207C1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倾向</w:t>
            </w:r>
          </w:p>
        </w:tc>
        <w:tc>
          <w:tcPr>
            <w:tcW w:w="1150" w:type="dxa"/>
            <w:tcBorders>
              <w:bottom w:val="single" w:color="auto" w:sz="4" w:space="0"/>
            </w:tcBorders>
            <w:noWrap w:val="0"/>
            <w:vAlign w:val="center"/>
          </w:tcPr>
          <w:p w14:paraId="28F25DB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平均倾角</w:t>
            </w:r>
          </w:p>
        </w:tc>
        <w:tc>
          <w:tcPr>
            <w:tcW w:w="994" w:type="dxa"/>
            <w:tcBorders>
              <w:top w:val="single" w:color="auto" w:sz="4" w:space="0"/>
              <w:bottom w:val="single" w:color="auto" w:sz="4" w:space="0"/>
              <w:right w:val="single" w:color="auto" w:sz="4" w:space="0"/>
            </w:tcBorders>
            <w:noWrap w:val="0"/>
            <w:vAlign w:val="center"/>
          </w:tcPr>
          <w:p w14:paraId="6E8FDDD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Pb</w:t>
            </w:r>
          </w:p>
        </w:tc>
        <w:tc>
          <w:tcPr>
            <w:tcW w:w="985" w:type="dxa"/>
            <w:tcBorders>
              <w:top w:val="nil"/>
              <w:left w:val="single" w:color="auto" w:sz="4" w:space="0"/>
              <w:bottom w:val="single" w:color="auto" w:sz="4" w:space="0"/>
              <w:right w:val="single" w:color="auto" w:sz="4" w:space="0"/>
            </w:tcBorders>
            <w:noWrap w:val="0"/>
            <w:vAlign w:val="center"/>
          </w:tcPr>
          <w:p w14:paraId="1B52F63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Sb</w:t>
            </w:r>
          </w:p>
        </w:tc>
      </w:tr>
      <w:tr w14:paraId="6E6F4A4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2" w:hRule="atLeast"/>
          <w:jc w:val="center"/>
        </w:trPr>
        <w:tc>
          <w:tcPr>
            <w:tcW w:w="792" w:type="dxa"/>
            <w:tcBorders>
              <w:left w:val="single" w:color="auto" w:sz="4" w:space="0"/>
            </w:tcBorders>
            <w:noWrap w:val="0"/>
            <w:vAlign w:val="center"/>
          </w:tcPr>
          <w:p w14:paraId="5271EF7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Ⅲ</w:t>
            </w:r>
            <w:r>
              <w:rPr>
                <w:rFonts w:hint="default" w:ascii="Times New Roman" w:hAnsi="Times New Roman" w:eastAsia="华文中宋" w:cs="Times New Roman"/>
                <w:szCs w:val="21"/>
                <w:vertAlign w:val="subscript"/>
                <w:lang w:val="en-US" w:eastAsia="zh-CN"/>
              </w:rPr>
              <w:t>2</w:t>
            </w:r>
          </w:p>
        </w:tc>
        <w:tc>
          <w:tcPr>
            <w:tcW w:w="1082" w:type="dxa"/>
            <w:noWrap w:val="0"/>
            <w:vAlign w:val="center"/>
          </w:tcPr>
          <w:p w14:paraId="5913388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790</w:t>
            </w:r>
          </w:p>
        </w:tc>
        <w:tc>
          <w:tcPr>
            <w:tcW w:w="1283" w:type="dxa"/>
            <w:noWrap w:val="0"/>
            <w:vAlign w:val="center"/>
          </w:tcPr>
          <w:p w14:paraId="0333217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1.41-5.44</w:t>
            </w:r>
          </w:p>
        </w:tc>
        <w:tc>
          <w:tcPr>
            <w:tcW w:w="817" w:type="dxa"/>
            <w:noWrap w:val="0"/>
            <w:vAlign w:val="center"/>
          </w:tcPr>
          <w:p w14:paraId="63FD685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脉状</w:t>
            </w:r>
          </w:p>
        </w:tc>
        <w:tc>
          <w:tcPr>
            <w:tcW w:w="816" w:type="dxa"/>
            <w:noWrap w:val="0"/>
            <w:vAlign w:val="center"/>
          </w:tcPr>
          <w:p w14:paraId="5CDCC5A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180</w:t>
            </w:r>
          </w:p>
        </w:tc>
        <w:tc>
          <w:tcPr>
            <w:tcW w:w="1150" w:type="dxa"/>
            <w:noWrap w:val="0"/>
            <w:vAlign w:val="center"/>
          </w:tcPr>
          <w:p w14:paraId="7E66BA9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64</w:t>
            </w:r>
          </w:p>
        </w:tc>
        <w:tc>
          <w:tcPr>
            <w:tcW w:w="994" w:type="dxa"/>
            <w:tcBorders>
              <w:right w:val="single" w:color="auto" w:sz="4" w:space="0"/>
            </w:tcBorders>
            <w:noWrap w:val="0"/>
            <w:vAlign w:val="center"/>
          </w:tcPr>
          <w:p w14:paraId="0CFB7FD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6.63</w:t>
            </w:r>
          </w:p>
        </w:tc>
        <w:tc>
          <w:tcPr>
            <w:tcW w:w="985" w:type="dxa"/>
            <w:tcBorders>
              <w:left w:val="single" w:color="auto" w:sz="4" w:space="0"/>
              <w:right w:val="single" w:color="auto" w:sz="4" w:space="0"/>
            </w:tcBorders>
            <w:noWrap w:val="0"/>
            <w:vAlign w:val="center"/>
          </w:tcPr>
          <w:p w14:paraId="5FBBFBE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0.82</w:t>
            </w:r>
          </w:p>
        </w:tc>
      </w:tr>
      <w:tr w14:paraId="0F0E259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2" w:hRule="atLeast"/>
          <w:jc w:val="center"/>
        </w:trPr>
        <w:tc>
          <w:tcPr>
            <w:tcW w:w="792" w:type="dxa"/>
            <w:tcBorders>
              <w:left w:val="single" w:color="auto" w:sz="4" w:space="0"/>
            </w:tcBorders>
            <w:noWrap w:val="0"/>
            <w:vAlign w:val="center"/>
          </w:tcPr>
          <w:p w14:paraId="6DACF05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Ⅲ</w:t>
            </w:r>
            <w:r>
              <w:rPr>
                <w:rFonts w:hint="default" w:ascii="Times New Roman" w:hAnsi="Times New Roman" w:eastAsia="华文中宋" w:cs="Times New Roman"/>
                <w:szCs w:val="21"/>
                <w:vertAlign w:val="subscript"/>
                <w:lang w:val="en-US" w:eastAsia="zh-CN"/>
              </w:rPr>
              <w:t>6</w:t>
            </w:r>
          </w:p>
        </w:tc>
        <w:tc>
          <w:tcPr>
            <w:tcW w:w="1082" w:type="dxa"/>
            <w:noWrap w:val="0"/>
            <w:vAlign w:val="center"/>
          </w:tcPr>
          <w:p w14:paraId="204DC2E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238</w:t>
            </w:r>
          </w:p>
        </w:tc>
        <w:tc>
          <w:tcPr>
            <w:tcW w:w="1283" w:type="dxa"/>
            <w:noWrap w:val="0"/>
            <w:vAlign w:val="center"/>
          </w:tcPr>
          <w:p w14:paraId="72EC06B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1.41-7.33</w:t>
            </w:r>
          </w:p>
        </w:tc>
        <w:tc>
          <w:tcPr>
            <w:tcW w:w="817" w:type="dxa"/>
            <w:noWrap w:val="0"/>
            <w:vAlign w:val="center"/>
          </w:tcPr>
          <w:p w14:paraId="30CAE36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脉状</w:t>
            </w:r>
          </w:p>
        </w:tc>
        <w:tc>
          <w:tcPr>
            <w:tcW w:w="816" w:type="dxa"/>
            <w:noWrap w:val="0"/>
            <w:vAlign w:val="center"/>
          </w:tcPr>
          <w:p w14:paraId="7CCEDB4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182</w:t>
            </w:r>
          </w:p>
        </w:tc>
        <w:tc>
          <w:tcPr>
            <w:tcW w:w="1150" w:type="dxa"/>
            <w:noWrap w:val="0"/>
            <w:vAlign w:val="center"/>
          </w:tcPr>
          <w:p w14:paraId="5A2610D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59</w:t>
            </w:r>
          </w:p>
        </w:tc>
        <w:tc>
          <w:tcPr>
            <w:tcW w:w="994" w:type="dxa"/>
            <w:tcBorders>
              <w:right w:val="single" w:color="auto" w:sz="4" w:space="0"/>
            </w:tcBorders>
            <w:noWrap w:val="0"/>
            <w:vAlign w:val="center"/>
          </w:tcPr>
          <w:p w14:paraId="09EBBF3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5.53</w:t>
            </w:r>
          </w:p>
        </w:tc>
        <w:tc>
          <w:tcPr>
            <w:tcW w:w="985" w:type="dxa"/>
            <w:tcBorders>
              <w:left w:val="single" w:color="auto" w:sz="4" w:space="0"/>
              <w:right w:val="single" w:color="auto" w:sz="4" w:space="0"/>
            </w:tcBorders>
            <w:noWrap w:val="0"/>
            <w:vAlign w:val="center"/>
          </w:tcPr>
          <w:p w14:paraId="293C75A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0.94</w:t>
            </w:r>
          </w:p>
        </w:tc>
      </w:tr>
    </w:tbl>
    <w:p w14:paraId="20728FFB">
      <w:pPr>
        <w:keepNext w:val="0"/>
        <w:keepLines w:val="0"/>
        <w:pageBreakBefore w:val="0"/>
        <w:widowControl/>
        <w:suppressLineNumbers w:val="0"/>
        <w:shd w:val="clear" w:fill="FFFFFF"/>
        <w:kinsoku/>
        <w:wordWrap/>
        <w:overflowPunct/>
        <w:topLinePunct w:val="0"/>
        <w:autoSpaceDE/>
        <w:autoSpaceDN/>
        <w:bidi w:val="0"/>
        <w:adjustRightInd/>
        <w:snapToGrid/>
        <w:spacing w:before="0" w:after="0" w:line="500" w:lineRule="exact"/>
        <w:ind w:right="0"/>
        <w:textAlignment w:val="auto"/>
        <w:outlineLvl w:val="9"/>
        <w:rPr>
          <w:rFonts w:hint="default" w:ascii="Times New Roman" w:hAnsi="Times New Roman" w:eastAsia="华文中宋" w:cs="Times New Roman"/>
          <w:b/>
          <w:bCs/>
          <w:color w:val="auto"/>
          <w:szCs w:val="24"/>
          <w:lang w:val="en-US" w:eastAsia="zh-CN"/>
        </w:rPr>
      </w:pPr>
      <w:r>
        <w:rPr>
          <w:rFonts w:hint="default" w:ascii="Arial" w:hAnsi="Arial" w:eastAsia="Arial" w:cs="Arial"/>
          <w:i w:val="0"/>
          <w:iCs w:val="0"/>
          <w:caps w:val="0"/>
          <w:color w:val="333333"/>
          <w:spacing w:val="0"/>
          <w:sz w:val="24"/>
          <w:szCs w:val="24"/>
          <w:highlight w:val="none"/>
          <w:shd w:val="clear" w:fill="FFFFFF"/>
        </w:rPr>
        <w:t>‌</w:t>
      </w:r>
      <w:r>
        <w:rPr>
          <w:rFonts w:hint="eastAsia" w:ascii="Times New Roman" w:hAnsi="Times New Roman" w:cs="Times New Roman"/>
          <w:b/>
          <w:bCs/>
          <w:color w:val="auto"/>
          <w:lang w:val="en-US" w:eastAsia="zh-CN"/>
        </w:rPr>
        <w:t>3.1.13.2</w:t>
      </w:r>
      <w:r>
        <w:rPr>
          <w:rFonts w:hint="default" w:ascii="Times New Roman" w:hAnsi="Times New Roman" w:eastAsia="华文中宋" w:cs="Times New Roman"/>
          <w:b/>
          <w:bCs/>
          <w:color w:val="auto"/>
          <w:szCs w:val="24"/>
          <w:lang w:val="en-US" w:eastAsia="zh-CN"/>
        </w:rPr>
        <w:t>工程地质特征</w:t>
      </w:r>
    </w:p>
    <w:p w14:paraId="2F5F2DA5">
      <w:pPr>
        <w:pStyle w:val="24"/>
        <w:snapToGrid w:val="0"/>
        <w:jc w:val="left"/>
        <w:rPr>
          <w:rFonts w:hint="default" w:ascii="Times New Roman" w:hAnsi="Times New Roman" w:eastAsia="华文中宋" w:cs="Times New Roman"/>
          <w:color w:val="auto"/>
          <w:szCs w:val="24"/>
          <w:highlight w:val="none"/>
          <w:lang w:val="en-US" w:eastAsia="zh-CN"/>
        </w:rPr>
      </w:pPr>
      <w:r>
        <w:rPr>
          <w:rFonts w:hint="eastAsia" w:ascii="Calibri" w:hAnsi="Calibri" w:cs="Calibri"/>
          <w:color w:val="auto"/>
          <w:szCs w:val="24"/>
          <w:highlight w:val="none"/>
          <w:lang w:val="en-US" w:eastAsia="zh-CN"/>
        </w:rPr>
        <w:t>（1）</w:t>
      </w:r>
      <w:r>
        <w:rPr>
          <w:rFonts w:hint="default" w:ascii="Times New Roman" w:hAnsi="Times New Roman" w:eastAsia="华文中宋" w:cs="Times New Roman"/>
          <w:color w:val="auto"/>
          <w:szCs w:val="24"/>
          <w:highlight w:val="none"/>
          <w:lang w:val="en-US" w:eastAsia="zh-CN"/>
        </w:rPr>
        <w:t>工程地质岩体划分</w:t>
      </w:r>
    </w:p>
    <w:p w14:paraId="1893CD05">
      <w:pPr>
        <w:pStyle w:val="24"/>
        <w:snapToGrid w:val="0"/>
        <w:jc w:val="left"/>
        <w:rPr>
          <w:rFonts w:hint="default" w:ascii="Times New Roman" w:hAnsi="Times New Roman" w:eastAsia="华文中宋" w:cs="Times New Roman"/>
          <w:color w:val="auto"/>
          <w:szCs w:val="24"/>
          <w:highlight w:val="none"/>
          <w:lang w:val="en-US" w:eastAsia="zh-CN"/>
        </w:rPr>
      </w:pPr>
      <w:r>
        <w:rPr>
          <w:rFonts w:hint="default" w:ascii="Times New Roman" w:hAnsi="Times New Roman" w:eastAsia="华文中宋" w:cs="Times New Roman"/>
          <w:color w:val="auto"/>
          <w:szCs w:val="24"/>
          <w:highlight w:val="none"/>
          <w:lang w:val="en-US" w:eastAsia="zh-CN"/>
        </w:rPr>
        <w:t>矿区范围内出露地层较少，主要有第四系（Q4）冲积松散层；中二叠统黄羊岭组碎屑岩由中细粒岩屑砂岩、长石屑砂岩与深灰色泥质粉砂岩、粉砂质泥岩。根据岩体结构稳定的特点，将矿区范围内岩体分为松散体岩组和半坚硬碎屑沉积岩组，分述如下：</w:t>
      </w:r>
    </w:p>
    <w:p w14:paraId="760408F1">
      <w:pPr>
        <w:pStyle w:val="24"/>
        <w:snapToGrid w:val="0"/>
        <w:jc w:val="left"/>
        <w:rPr>
          <w:rFonts w:hint="default" w:ascii="Times New Roman" w:hAnsi="Times New Roman" w:eastAsia="华文中宋" w:cs="Times New Roman"/>
          <w:color w:val="auto"/>
          <w:szCs w:val="24"/>
          <w:highlight w:val="none"/>
          <w:lang w:val="en-US" w:eastAsia="zh-CN"/>
        </w:rPr>
      </w:pPr>
      <w:r>
        <w:rPr>
          <w:rFonts w:hint="default" w:ascii="Times New Roman" w:hAnsi="Times New Roman" w:eastAsia="华文中宋" w:cs="Times New Roman"/>
          <w:color w:val="auto"/>
          <w:szCs w:val="24"/>
          <w:highlight w:val="none"/>
          <w:lang w:val="en-US" w:eastAsia="zh-CN"/>
        </w:rPr>
        <w:t>松散结构岩体：在矿区西北部洼地有少量第四系（Q4）冲积松散层分布，为冲积砂砾石，厚度小于2米。该岩组较松散，多孔、无胶结，厚度不均，岩体呈散体结构，该岩组工程稳定性较差。由于矿区地势较平坦，在天然状态下边坡稳定性较好，无崩塌、滑坡、泥石流等不良地质现象。</w:t>
      </w:r>
    </w:p>
    <w:p w14:paraId="6229B84D">
      <w:pPr>
        <w:pStyle w:val="24"/>
        <w:snapToGrid w:val="0"/>
        <w:jc w:val="left"/>
        <w:rPr>
          <w:rFonts w:hint="default" w:ascii="Times New Roman" w:hAnsi="Times New Roman" w:eastAsia="华文中宋" w:cs="Times New Roman"/>
          <w:color w:val="auto"/>
          <w:szCs w:val="24"/>
          <w:highlight w:val="none"/>
          <w:lang w:val="en-US" w:eastAsia="zh-CN"/>
        </w:rPr>
      </w:pPr>
      <w:r>
        <w:rPr>
          <w:rFonts w:hint="default" w:ascii="Times New Roman" w:hAnsi="Times New Roman" w:eastAsia="华文中宋" w:cs="Times New Roman"/>
          <w:color w:val="auto"/>
          <w:szCs w:val="24"/>
          <w:highlight w:val="none"/>
          <w:lang w:val="en-US" w:eastAsia="zh-CN"/>
        </w:rPr>
        <w:t>半坚硬碎屑沉积岩组：矿区出露的地层主要为中二叠统黄羊岭组海相陆源碎屑岩，由泥质粉砂岩、粉砂质泥岩、中细粒砂岩构成频繁互层，地层产状稳定，构造简单。表层风化层厚度5米，深部裂隙弱发育。其饱和状态抗压强度</w:t>
      </w:r>
      <w:r>
        <w:rPr>
          <w:rFonts w:hint="eastAsia" w:ascii="Times New Roman" w:hAnsi="Times New Roman" w:eastAsia="华文中宋" w:cs="Times New Roman"/>
          <w:color w:val="auto"/>
          <w:szCs w:val="24"/>
          <w:highlight w:val="none"/>
          <w:lang w:val="en-US" w:eastAsia="zh-CN"/>
        </w:rPr>
        <w:t>，</w:t>
      </w:r>
      <w:r>
        <w:rPr>
          <w:rFonts w:hint="default" w:ascii="Times New Roman" w:hAnsi="Times New Roman" w:eastAsia="华文中宋" w:cs="Times New Roman"/>
          <w:color w:val="auto"/>
          <w:szCs w:val="24"/>
          <w:highlight w:val="none"/>
          <w:lang w:val="en-US" w:eastAsia="zh-CN"/>
        </w:rPr>
        <w:t>35.3Mpa-50.0Mpa；饱和状态抗拉强度13.5Mpa-33.3Mpa；饱和状态抗剪强度3.08Mpa-4.51Mpa，该岩组属半坚硬岩组，整体稳定性较好。</w:t>
      </w:r>
    </w:p>
    <w:p w14:paraId="10C390AC">
      <w:pPr>
        <w:adjustRightInd w:val="0"/>
        <w:snapToGrid w:val="0"/>
        <w:spacing w:before="250" w:beforeLines="50"/>
        <w:ind w:firstLine="422" w:firstLineChars="200"/>
        <w:jc w:val="center"/>
        <w:rPr>
          <w:rFonts w:hint="default" w:ascii="Times New Roman" w:hAnsi="Times New Roman" w:eastAsia="华文中宋" w:cs="Times New Roman"/>
          <w:b/>
          <w:szCs w:val="21"/>
          <w:highlight w:val="none"/>
          <w:lang w:val="en-US" w:eastAsia="zh-CN"/>
        </w:rPr>
      </w:pPr>
      <w:r>
        <w:rPr>
          <w:rFonts w:hint="default" w:ascii="Times New Roman" w:hAnsi="Times New Roman" w:eastAsia="华文中宋" w:cs="Times New Roman"/>
          <w:b/>
          <w:szCs w:val="21"/>
          <w:highlight w:val="none"/>
          <w:lang w:val="en-US" w:eastAsia="zh-CN"/>
        </w:rPr>
        <w:t>表3.1-</w:t>
      </w:r>
      <w:r>
        <w:rPr>
          <w:rFonts w:hint="eastAsia" w:ascii="Times New Roman" w:hAnsi="Times New Roman" w:eastAsia="华文中宋" w:cs="Times New Roman"/>
          <w:b/>
          <w:szCs w:val="21"/>
          <w:highlight w:val="none"/>
          <w:lang w:val="en-US" w:eastAsia="zh-CN"/>
        </w:rPr>
        <w:t>9</w:t>
      </w:r>
      <w:r>
        <w:rPr>
          <w:rFonts w:hint="default" w:ascii="Times New Roman" w:hAnsi="Times New Roman" w:eastAsia="华文中宋" w:cs="Times New Roman"/>
          <w:b/>
          <w:szCs w:val="21"/>
          <w:highlight w:val="none"/>
          <w:lang w:val="en-US" w:eastAsia="zh-CN"/>
        </w:rPr>
        <w:t xml:space="preserve">  力学样测试成果表</w:t>
      </w:r>
    </w:p>
    <w:tbl>
      <w:tblPr>
        <w:tblStyle w:val="19"/>
        <w:tblW w:w="8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737"/>
        <w:gridCol w:w="1391"/>
        <w:gridCol w:w="1285"/>
        <w:gridCol w:w="887"/>
        <w:gridCol w:w="930"/>
        <w:gridCol w:w="909"/>
        <w:gridCol w:w="919"/>
        <w:gridCol w:w="938"/>
      </w:tblGrid>
      <w:tr w14:paraId="6641B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38" w:type="dxa"/>
            <w:vMerge w:val="restart"/>
            <w:noWrap w:val="0"/>
            <w:vAlign w:val="center"/>
          </w:tcPr>
          <w:p w14:paraId="7208D057">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样品编号</w:t>
            </w:r>
          </w:p>
        </w:tc>
        <w:tc>
          <w:tcPr>
            <w:tcW w:w="737" w:type="dxa"/>
            <w:vMerge w:val="restart"/>
            <w:noWrap w:val="0"/>
            <w:vAlign w:val="center"/>
          </w:tcPr>
          <w:p w14:paraId="1A88A1F3">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采样位置</w:t>
            </w:r>
          </w:p>
        </w:tc>
        <w:tc>
          <w:tcPr>
            <w:tcW w:w="1391" w:type="dxa"/>
            <w:vMerge w:val="restart"/>
            <w:noWrap w:val="0"/>
            <w:vAlign w:val="center"/>
          </w:tcPr>
          <w:p w14:paraId="5091D570">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岩石名称</w:t>
            </w:r>
          </w:p>
        </w:tc>
        <w:tc>
          <w:tcPr>
            <w:tcW w:w="2172" w:type="dxa"/>
            <w:gridSpan w:val="2"/>
            <w:noWrap w:val="0"/>
            <w:vAlign w:val="center"/>
          </w:tcPr>
          <w:p w14:paraId="01D75FD7">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饱和抗压</w:t>
            </w:r>
            <w:r>
              <w:rPr>
                <w:rFonts w:hint="eastAsia" w:ascii="Times New Roman" w:hAnsi="Times New Roman" w:eastAsia="华文中宋" w:cs="Times New Roman"/>
                <w:szCs w:val="21"/>
                <w:highlight w:val="none"/>
                <w:lang w:val="en-US" w:eastAsia="zh-CN"/>
              </w:rPr>
              <w:t>（</w:t>
            </w:r>
            <w:r>
              <w:rPr>
                <w:rFonts w:hint="default" w:ascii="Times New Roman" w:hAnsi="Times New Roman" w:eastAsia="华文中宋" w:cs="Times New Roman"/>
                <w:szCs w:val="21"/>
                <w:highlight w:val="none"/>
                <w:lang w:val="en-US" w:eastAsia="zh-CN"/>
              </w:rPr>
              <w:t>MPa</w:t>
            </w:r>
            <w:r>
              <w:rPr>
                <w:rFonts w:hint="eastAsia" w:ascii="Times New Roman" w:hAnsi="Times New Roman" w:eastAsia="华文中宋" w:cs="Times New Roman"/>
                <w:szCs w:val="21"/>
                <w:highlight w:val="none"/>
                <w:lang w:val="en-US" w:eastAsia="zh-CN"/>
              </w:rPr>
              <w:t>）</w:t>
            </w:r>
          </w:p>
        </w:tc>
        <w:tc>
          <w:tcPr>
            <w:tcW w:w="1839" w:type="dxa"/>
            <w:gridSpan w:val="2"/>
            <w:noWrap w:val="0"/>
            <w:vAlign w:val="center"/>
          </w:tcPr>
          <w:p w14:paraId="1BD7A02D">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饱和抗拉</w:t>
            </w:r>
            <w:r>
              <w:rPr>
                <w:rFonts w:hint="eastAsia" w:ascii="Times New Roman" w:hAnsi="Times New Roman" w:eastAsia="华文中宋" w:cs="Times New Roman"/>
                <w:szCs w:val="21"/>
                <w:highlight w:val="none"/>
                <w:lang w:val="en-US" w:eastAsia="zh-CN"/>
              </w:rPr>
              <w:t>（</w:t>
            </w:r>
            <w:r>
              <w:rPr>
                <w:rFonts w:hint="default" w:ascii="Times New Roman" w:hAnsi="Times New Roman" w:eastAsia="华文中宋" w:cs="Times New Roman"/>
                <w:szCs w:val="21"/>
                <w:highlight w:val="none"/>
                <w:lang w:val="en-US" w:eastAsia="zh-CN"/>
              </w:rPr>
              <w:t>MPa</w:t>
            </w:r>
            <w:r>
              <w:rPr>
                <w:rFonts w:hint="eastAsia" w:ascii="Times New Roman" w:hAnsi="Times New Roman" w:eastAsia="华文中宋" w:cs="Times New Roman"/>
                <w:szCs w:val="21"/>
                <w:highlight w:val="none"/>
                <w:lang w:val="en-US" w:eastAsia="zh-CN"/>
              </w:rPr>
              <w:t>）</w:t>
            </w:r>
          </w:p>
        </w:tc>
        <w:tc>
          <w:tcPr>
            <w:tcW w:w="1857" w:type="dxa"/>
            <w:gridSpan w:val="2"/>
            <w:noWrap w:val="0"/>
            <w:vAlign w:val="center"/>
          </w:tcPr>
          <w:p w14:paraId="11200448">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饱和抗剪</w:t>
            </w:r>
            <w:r>
              <w:rPr>
                <w:rFonts w:hint="eastAsia" w:ascii="Times New Roman" w:hAnsi="Times New Roman" w:eastAsia="华文中宋" w:cs="Times New Roman"/>
                <w:szCs w:val="21"/>
                <w:highlight w:val="none"/>
                <w:lang w:val="en-US" w:eastAsia="zh-CN"/>
              </w:rPr>
              <w:t>（</w:t>
            </w:r>
            <w:r>
              <w:rPr>
                <w:rFonts w:hint="default" w:ascii="Times New Roman" w:hAnsi="Times New Roman" w:eastAsia="华文中宋" w:cs="Times New Roman"/>
                <w:szCs w:val="21"/>
                <w:highlight w:val="none"/>
                <w:lang w:val="en-US" w:eastAsia="zh-CN"/>
              </w:rPr>
              <w:t>MPa</w:t>
            </w:r>
            <w:r>
              <w:rPr>
                <w:rFonts w:hint="eastAsia" w:ascii="Times New Roman" w:hAnsi="Times New Roman" w:eastAsia="华文中宋" w:cs="Times New Roman"/>
                <w:szCs w:val="21"/>
                <w:highlight w:val="none"/>
                <w:lang w:val="en-US" w:eastAsia="zh-CN"/>
              </w:rPr>
              <w:t>）</w:t>
            </w:r>
          </w:p>
        </w:tc>
      </w:tr>
      <w:tr w14:paraId="0EBCD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8" w:type="dxa"/>
            <w:vMerge w:val="continue"/>
            <w:noWrap w:val="0"/>
            <w:vAlign w:val="center"/>
          </w:tcPr>
          <w:p w14:paraId="7D7B81E7">
            <w:pPr>
              <w:spacing w:line="300" w:lineRule="exact"/>
              <w:jc w:val="center"/>
              <w:rPr>
                <w:rFonts w:hint="default" w:ascii="Times New Roman" w:hAnsi="Times New Roman" w:eastAsia="华文中宋" w:cs="Times New Roman"/>
                <w:szCs w:val="21"/>
                <w:highlight w:val="none"/>
                <w:lang w:val="en-US" w:eastAsia="zh-CN"/>
              </w:rPr>
            </w:pPr>
          </w:p>
        </w:tc>
        <w:tc>
          <w:tcPr>
            <w:tcW w:w="737" w:type="dxa"/>
            <w:vMerge w:val="continue"/>
            <w:noWrap w:val="0"/>
            <w:vAlign w:val="center"/>
          </w:tcPr>
          <w:p w14:paraId="741A65AA">
            <w:pPr>
              <w:spacing w:line="300" w:lineRule="exact"/>
              <w:jc w:val="center"/>
              <w:rPr>
                <w:rFonts w:hint="default" w:ascii="Times New Roman" w:hAnsi="Times New Roman" w:eastAsia="华文中宋" w:cs="Times New Roman"/>
                <w:szCs w:val="21"/>
                <w:highlight w:val="none"/>
                <w:lang w:val="en-US" w:eastAsia="zh-CN"/>
              </w:rPr>
            </w:pPr>
          </w:p>
        </w:tc>
        <w:tc>
          <w:tcPr>
            <w:tcW w:w="1391" w:type="dxa"/>
            <w:vMerge w:val="continue"/>
            <w:noWrap w:val="0"/>
            <w:vAlign w:val="center"/>
          </w:tcPr>
          <w:p w14:paraId="67519300">
            <w:pPr>
              <w:spacing w:line="300" w:lineRule="exact"/>
              <w:jc w:val="center"/>
              <w:rPr>
                <w:rFonts w:hint="default" w:ascii="Times New Roman" w:hAnsi="Times New Roman" w:eastAsia="华文中宋" w:cs="Times New Roman"/>
                <w:szCs w:val="21"/>
                <w:highlight w:val="none"/>
                <w:lang w:val="en-US" w:eastAsia="zh-CN"/>
              </w:rPr>
            </w:pPr>
          </w:p>
        </w:tc>
        <w:tc>
          <w:tcPr>
            <w:tcW w:w="1285" w:type="dxa"/>
            <w:noWrap w:val="0"/>
            <w:vAlign w:val="center"/>
          </w:tcPr>
          <w:p w14:paraId="2F426AAB">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单值</w:t>
            </w:r>
          </w:p>
        </w:tc>
        <w:tc>
          <w:tcPr>
            <w:tcW w:w="887" w:type="dxa"/>
            <w:noWrap w:val="0"/>
            <w:vAlign w:val="center"/>
          </w:tcPr>
          <w:p w14:paraId="3CB14631">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均值</w:t>
            </w:r>
          </w:p>
        </w:tc>
        <w:tc>
          <w:tcPr>
            <w:tcW w:w="930" w:type="dxa"/>
            <w:noWrap w:val="0"/>
            <w:vAlign w:val="center"/>
          </w:tcPr>
          <w:p w14:paraId="15E1AAE9">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单值</w:t>
            </w:r>
          </w:p>
        </w:tc>
        <w:tc>
          <w:tcPr>
            <w:tcW w:w="909" w:type="dxa"/>
            <w:noWrap w:val="0"/>
            <w:vAlign w:val="center"/>
          </w:tcPr>
          <w:p w14:paraId="5F27C3A2">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均值</w:t>
            </w:r>
          </w:p>
        </w:tc>
        <w:tc>
          <w:tcPr>
            <w:tcW w:w="919" w:type="dxa"/>
            <w:noWrap w:val="0"/>
            <w:vAlign w:val="center"/>
          </w:tcPr>
          <w:p w14:paraId="1C7C0BC3">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单值</w:t>
            </w:r>
          </w:p>
        </w:tc>
        <w:tc>
          <w:tcPr>
            <w:tcW w:w="938" w:type="dxa"/>
            <w:noWrap w:val="0"/>
            <w:vAlign w:val="center"/>
          </w:tcPr>
          <w:p w14:paraId="731E4214">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均值</w:t>
            </w:r>
          </w:p>
        </w:tc>
      </w:tr>
      <w:tr w14:paraId="1DABE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8" w:type="dxa"/>
            <w:vMerge w:val="restart"/>
            <w:noWrap w:val="0"/>
            <w:vAlign w:val="center"/>
          </w:tcPr>
          <w:p w14:paraId="6C171D4A">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LX01</w:t>
            </w:r>
          </w:p>
        </w:tc>
        <w:tc>
          <w:tcPr>
            <w:tcW w:w="737" w:type="dxa"/>
            <w:vMerge w:val="restart"/>
            <w:noWrap w:val="0"/>
            <w:vAlign w:val="center"/>
          </w:tcPr>
          <w:p w14:paraId="2305E568">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ZK02</w:t>
            </w:r>
          </w:p>
        </w:tc>
        <w:tc>
          <w:tcPr>
            <w:tcW w:w="1391" w:type="dxa"/>
            <w:vMerge w:val="restart"/>
            <w:noWrap w:val="0"/>
            <w:vAlign w:val="center"/>
          </w:tcPr>
          <w:p w14:paraId="49F6C136">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泥质粉砂岩</w:t>
            </w:r>
          </w:p>
        </w:tc>
        <w:tc>
          <w:tcPr>
            <w:tcW w:w="1285" w:type="dxa"/>
            <w:noWrap w:val="0"/>
            <w:vAlign w:val="center"/>
          </w:tcPr>
          <w:p w14:paraId="4C43FA84">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35.5</w:t>
            </w:r>
          </w:p>
        </w:tc>
        <w:tc>
          <w:tcPr>
            <w:tcW w:w="887" w:type="dxa"/>
            <w:vMerge w:val="restart"/>
            <w:noWrap w:val="0"/>
            <w:vAlign w:val="center"/>
          </w:tcPr>
          <w:p w14:paraId="1F902800">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37.9</w:t>
            </w:r>
          </w:p>
        </w:tc>
        <w:tc>
          <w:tcPr>
            <w:tcW w:w="930" w:type="dxa"/>
            <w:noWrap w:val="0"/>
            <w:vAlign w:val="center"/>
          </w:tcPr>
          <w:p w14:paraId="5CDA3116">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15.4</w:t>
            </w:r>
          </w:p>
        </w:tc>
        <w:tc>
          <w:tcPr>
            <w:tcW w:w="909" w:type="dxa"/>
            <w:vMerge w:val="restart"/>
            <w:noWrap w:val="0"/>
            <w:vAlign w:val="center"/>
          </w:tcPr>
          <w:p w14:paraId="636961C6">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13.5</w:t>
            </w:r>
          </w:p>
        </w:tc>
        <w:tc>
          <w:tcPr>
            <w:tcW w:w="919" w:type="dxa"/>
            <w:noWrap w:val="0"/>
            <w:vAlign w:val="center"/>
          </w:tcPr>
          <w:p w14:paraId="6751BEC2">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3.67</w:t>
            </w:r>
          </w:p>
        </w:tc>
        <w:tc>
          <w:tcPr>
            <w:tcW w:w="938" w:type="dxa"/>
            <w:vMerge w:val="restart"/>
            <w:noWrap w:val="0"/>
            <w:vAlign w:val="center"/>
          </w:tcPr>
          <w:p w14:paraId="005BF7FF">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3.35</w:t>
            </w:r>
          </w:p>
        </w:tc>
      </w:tr>
      <w:tr w14:paraId="59E77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8" w:type="dxa"/>
            <w:vMerge w:val="continue"/>
            <w:noWrap w:val="0"/>
            <w:vAlign w:val="center"/>
          </w:tcPr>
          <w:p w14:paraId="514C2B23">
            <w:pPr>
              <w:spacing w:line="300" w:lineRule="exact"/>
              <w:jc w:val="center"/>
              <w:rPr>
                <w:rFonts w:hint="default" w:ascii="Times New Roman" w:hAnsi="Times New Roman" w:eastAsia="华文中宋" w:cs="Times New Roman"/>
                <w:szCs w:val="21"/>
                <w:highlight w:val="none"/>
                <w:lang w:val="en-US" w:eastAsia="zh-CN"/>
              </w:rPr>
            </w:pPr>
          </w:p>
        </w:tc>
        <w:tc>
          <w:tcPr>
            <w:tcW w:w="737" w:type="dxa"/>
            <w:vMerge w:val="continue"/>
            <w:noWrap w:val="0"/>
            <w:vAlign w:val="center"/>
          </w:tcPr>
          <w:p w14:paraId="63830612">
            <w:pPr>
              <w:spacing w:line="300" w:lineRule="exact"/>
              <w:jc w:val="center"/>
              <w:rPr>
                <w:rFonts w:hint="default" w:ascii="Times New Roman" w:hAnsi="Times New Roman" w:eastAsia="华文中宋" w:cs="Times New Roman"/>
                <w:szCs w:val="21"/>
                <w:highlight w:val="none"/>
                <w:lang w:val="en-US" w:eastAsia="zh-CN"/>
              </w:rPr>
            </w:pPr>
          </w:p>
        </w:tc>
        <w:tc>
          <w:tcPr>
            <w:tcW w:w="1391" w:type="dxa"/>
            <w:vMerge w:val="continue"/>
            <w:noWrap w:val="0"/>
            <w:vAlign w:val="center"/>
          </w:tcPr>
          <w:p w14:paraId="0837DFDC">
            <w:pPr>
              <w:spacing w:line="300" w:lineRule="exact"/>
              <w:jc w:val="center"/>
              <w:rPr>
                <w:rFonts w:hint="default" w:ascii="Times New Roman" w:hAnsi="Times New Roman" w:eastAsia="华文中宋" w:cs="Times New Roman"/>
                <w:szCs w:val="21"/>
                <w:highlight w:val="none"/>
                <w:lang w:val="en-US" w:eastAsia="zh-CN"/>
              </w:rPr>
            </w:pPr>
          </w:p>
        </w:tc>
        <w:tc>
          <w:tcPr>
            <w:tcW w:w="1285" w:type="dxa"/>
            <w:noWrap w:val="0"/>
            <w:vAlign w:val="center"/>
          </w:tcPr>
          <w:p w14:paraId="31A71E66">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38.6</w:t>
            </w:r>
          </w:p>
        </w:tc>
        <w:tc>
          <w:tcPr>
            <w:tcW w:w="887" w:type="dxa"/>
            <w:vMerge w:val="continue"/>
            <w:noWrap w:val="0"/>
            <w:vAlign w:val="center"/>
          </w:tcPr>
          <w:p w14:paraId="68D9EB2F">
            <w:pPr>
              <w:spacing w:line="300" w:lineRule="exact"/>
              <w:jc w:val="center"/>
              <w:rPr>
                <w:rFonts w:hint="default" w:ascii="Times New Roman" w:hAnsi="Times New Roman" w:eastAsia="华文中宋" w:cs="Times New Roman"/>
                <w:szCs w:val="21"/>
                <w:highlight w:val="none"/>
                <w:lang w:val="en-US" w:eastAsia="zh-CN"/>
              </w:rPr>
            </w:pPr>
          </w:p>
        </w:tc>
        <w:tc>
          <w:tcPr>
            <w:tcW w:w="930" w:type="dxa"/>
            <w:noWrap w:val="0"/>
            <w:vAlign w:val="center"/>
          </w:tcPr>
          <w:p w14:paraId="53B14792">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12.5</w:t>
            </w:r>
          </w:p>
        </w:tc>
        <w:tc>
          <w:tcPr>
            <w:tcW w:w="909" w:type="dxa"/>
            <w:vMerge w:val="continue"/>
            <w:noWrap w:val="0"/>
            <w:vAlign w:val="center"/>
          </w:tcPr>
          <w:p w14:paraId="05E38CB0">
            <w:pPr>
              <w:spacing w:line="300" w:lineRule="exact"/>
              <w:jc w:val="center"/>
              <w:rPr>
                <w:rFonts w:hint="default" w:ascii="Times New Roman" w:hAnsi="Times New Roman" w:eastAsia="华文中宋" w:cs="Times New Roman"/>
                <w:szCs w:val="21"/>
                <w:highlight w:val="none"/>
                <w:lang w:val="en-US" w:eastAsia="zh-CN"/>
              </w:rPr>
            </w:pPr>
          </w:p>
        </w:tc>
        <w:tc>
          <w:tcPr>
            <w:tcW w:w="919" w:type="dxa"/>
            <w:noWrap w:val="0"/>
            <w:vAlign w:val="center"/>
          </w:tcPr>
          <w:p w14:paraId="3AE92292">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3.26</w:t>
            </w:r>
          </w:p>
        </w:tc>
        <w:tc>
          <w:tcPr>
            <w:tcW w:w="938" w:type="dxa"/>
            <w:vMerge w:val="continue"/>
            <w:noWrap w:val="0"/>
            <w:vAlign w:val="center"/>
          </w:tcPr>
          <w:p w14:paraId="229A88A6">
            <w:pPr>
              <w:spacing w:line="300" w:lineRule="exact"/>
              <w:jc w:val="center"/>
              <w:rPr>
                <w:rFonts w:hint="default" w:ascii="Times New Roman" w:hAnsi="Times New Roman" w:eastAsia="华文中宋" w:cs="Times New Roman"/>
                <w:szCs w:val="21"/>
                <w:highlight w:val="none"/>
                <w:lang w:val="en-US" w:eastAsia="zh-CN"/>
              </w:rPr>
            </w:pPr>
          </w:p>
        </w:tc>
      </w:tr>
      <w:tr w14:paraId="2C28B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8" w:type="dxa"/>
            <w:vMerge w:val="continue"/>
            <w:noWrap w:val="0"/>
            <w:vAlign w:val="center"/>
          </w:tcPr>
          <w:p w14:paraId="4D4D83ED">
            <w:pPr>
              <w:spacing w:line="300" w:lineRule="exact"/>
              <w:jc w:val="center"/>
              <w:rPr>
                <w:rFonts w:hint="default" w:ascii="Times New Roman" w:hAnsi="Times New Roman" w:eastAsia="华文中宋" w:cs="Times New Roman"/>
                <w:szCs w:val="21"/>
                <w:highlight w:val="none"/>
                <w:lang w:val="en-US" w:eastAsia="zh-CN"/>
              </w:rPr>
            </w:pPr>
          </w:p>
        </w:tc>
        <w:tc>
          <w:tcPr>
            <w:tcW w:w="737" w:type="dxa"/>
            <w:vMerge w:val="continue"/>
            <w:noWrap w:val="0"/>
            <w:vAlign w:val="center"/>
          </w:tcPr>
          <w:p w14:paraId="5A178982">
            <w:pPr>
              <w:spacing w:line="300" w:lineRule="exact"/>
              <w:jc w:val="center"/>
              <w:rPr>
                <w:rFonts w:hint="default" w:ascii="Times New Roman" w:hAnsi="Times New Roman" w:eastAsia="华文中宋" w:cs="Times New Roman"/>
                <w:szCs w:val="21"/>
                <w:highlight w:val="none"/>
                <w:lang w:val="en-US" w:eastAsia="zh-CN"/>
              </w:rPr>
            </w:pPr>
          </w:p>
        </w:tc>
        <w:tc>
          <w:tcPr>
            <w:tcW w:w="1391" w:type="dxa"/>
            <w:vMerge w:val="continue"/>
            <w:noWrap w:val="0"/>
            <w:vAlign w:val="center"/>
          </w:tcPr>
          <w:p w14:paraId="3BADF2AB">
            <w:pPr>
              <w:spacing w:line="300" w:lineRule="exact"/>
              <w:jc w:val="center"/>
              <w:rPr>
                <w:rFonts w:hint="default" w:ascii="Times New Roman" w:hAnsi="Times New Roman" w:eastAsia="华文中宋" w:cs="Times New Roman"/>
                <w:szCs w:val="21"/>
                <w:highlight w:val="none"/>
                <w:lang w:val="en-US" w:eastAsia="zh-CN"/>
              </w:rPr>
            </w:pPr>
          </w:p>
        </w:tc>
        <w:tc>
          <w:tcPr>
            <w:tcW w:w="1285" w:type="dxa"/>
            <w:noWrap w:val="0"/>
            <w:vAlign w:val="center"/>
          </w:tcPr>
          <w:p w14:paraId="6BAC8280">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39.6</w:t>
            </w:r>
          </w:p>
        </w:tc>
        <w:tc>
          <w:tcPr>
            <w:tcW w:w="887" w:type="dxa"/>
            <w:vMerge w:val="continue"/>
            <w:noWrap w:val="0"/>
            <w:vAlign w:val="center"/>
          </w:tcPr>
          <w:p w14:paraId="28796A6C">
            <w:pPr>
              <w:spacing w:line="300" w:lineRule="exact"/>
              <w:jc w:val="center"/>
              <w:rPr>
                <w:rFonts w:hint="default" w:ascii="Times New Roman" w:hAnsi="Times New Roman" w:eastAsia="华文中宋" w:cs="Times New Roman"/>
                <w:szCs w:val="21"/>
                <w:highlight w:val="none"/>
                <w:lang w:val="en-US" w:eastAsia="zh-CN"/>
              </w:rPr>
            </w:pPr>
          </w:p>
        </w:tc>
        <w:tc>
          <w:tcPr>
            <w:tcW w:w="930" w:type="dxa"/>
            <w:noWrap w:val="0"/>
            <w:vAlign w:val="center"/>
          </w:tcPr>
          <w:p w14:paraId="4B624AC7">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12.6</w:t>
            </w:r>
          </w:p>
        </w:tc>
        <w:tc>
          <w:tcPr>
            <w:tcW w:w="909" w:type="dxa"/>
            <w:vMerge w:val="continue"/>
            <w:noWrap w:val="0"/>
            <w:vAlign w:val="center"/>
          </w:tcPr>
          <w:p w14:paraId="378D9319">
            <w:pPr>
              <w:spacing w:line="300" w:lineRule="exact"/>
              <w:jc w:val="center"/>
              <w:rPr>
                <w:rFonts w:hint="default" w:ascii="Times New Roman" w:hAnsi="Times New Roman" w:eastAsia="华文中宋" w:cs="Times New Roman"/>
                <w:szCs w:val="21"/>
                <w:highlight w:val="none"/>
                <w:lang w:val="en-US" w:eastAsia="zh-CN"/>
              </w:rPr>
            </w:pPr>
          </w:p>
        </w:tc>
        <w:tc>
          <w:tcPr>
            <w:tcW w:w="919" w:type="dxa"/>
            <w:noWrap w:val="0"/>
            <w:vAlign w:val="center"/>
          </w:tcPr>
          <w:p w14:paraId="5936BEF9">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3.12</w:t>
            </w:r>
          </w:p>
        </w:tc>
        <w:tc>
          <w:tcPr>
            <w:tcW w:w="938" w:type="dxa"/>
            <w:vMerge w:val="continue"/>
            <w:noWrap w:val="0"/>
            <w:vAlign w:val="center"/>
          </w:tcPr>
          <w:p w14:paraId="1A7EB5FB">
            <w:pPr>
              <w:spacing w:line="300" w:lineRule="exact"/>
              <w:jc w:val="center"/>
              <w:rPr>
                <w:rFonts w:hint="default" w:ascii="Times New Roman" w:hAnsi="Times New Roman" w:eastAsia="华文中宋" w:cs="Times New Roman"/>
                <w:szCs w:val="21"/>
                <w:highlight w:val="none"/>
                <w:lang w:val="en-US" w:eastAsia="zh-CN"/>
              </w:rPr>
            </w:pPr>
          </w:p>
        </w:tc>
      </w:tr>
      <w:tr w14:paraId="083B9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8" w:type="dxa"/>
            <w:vMerge w:val="restart"/>
            <w:noWrap w:val="0"/>
            <w:vAlign w:val="center"/>
          </w:tcPr>
          <w:p w14:paraId="39DB2CCE">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LX02</w:t>
            </w:r>
          </w:p>
        </w:tc>
        <w:tc>
          <w:tcPr>
            <w:tcW w:w="737" w:type="dxa"/>
            <w:vMerge w:val="restart"/>
            <w:noWrap w:val="0"/>
            <w:vAlign w:val="center"/>
          </w:tcPr>
          <w:p w14:paraId="51034DA0">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ZK04</w:t>
            </w:r>
          </w:p>
        </w:tc>
        <w:tc>
          <w:tcPr>
            <w:tcW w:w="1391" w:type="dxa"/>
            <w:vMerge w:val="restart"/>
            <w:noWrap w:val="0"/>
            <w:vAlign w:val="center"/>
          </w:tcPr>
          <w:p w14:paraId="695DE1A3">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粉砂质泥岩</w:t>
            </w:r>
          </w:p>
        </w:tc>
        <w:tc>
          <w:tcPr>
            <w:tcW w:w="1285" w:type="dxa"/>
            <w:noWrap w:val="0"/>
            <w:vAlign w:val="center"/>
          </w:tcPr>
          <w:p w14:paraId="03F05B00">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32.8</w:t>
            </w:r>
          </w:p>
        </w:tc>
        <w:tc>
          <w:tcPr>
            <w:tcW w:w="887" w:type="dxa"/>
            <w:vMerge w:val="restart"/>
            <w:noWrap w:val="0"/>
            <w:vAlign w:val="center"/>
          </w:tcPr>
          <w:p w14:paraId="7C1F6FA2">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35.3</w:t>
            </w:r>
          </w:p>
        </w:tc>
        <w:tc>
          <w:tcPr>
            <w:tcW w:w="930" w:type="dxa"/>
            <w:noWrap w:val="0"/>
            <w:vAlign w:val="center"/>
          </w:tcPr>
          <w:p w14:paraId="5B86F1AA">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14.2</w:t>
            </w:r>
          </w:p>
        </w:tc>
        <w:tc>
          <w:tcPr>
            <w:tcW w:w="909" w:type="dxa"/>
            <w:vMerge w:val="restart"/>
            <w:noWrap w:val="0"/>
            <w:vAlign w:val="center"/>
          </w:tcPr>
          <w:p w14:paraId="5DF75947">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15.6</w:t>
            </w:r>
          </w:p>
        </w:tc>
        <w:tc>
          <w:tcPr>
            <w:tcW w:w="919" w:type="dxa"/>
            <w:noWrap w:val="0"/>
            <w:vAlign w:val="center"/>
          </w:tcPr>
          <w:p w14:paraId="0F3C315F">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2.89</w:t>
            </w:r>
          </w:p>
        </w:tc>
        <w:tc>
          <w:tcPr>
            <w:tcW w:w="938" w:type="dxa"/>
            <w:vMerge w:val="restart"/>
            <w:noWrap w:val="0"/>
            <w:vAlign w:val="center"/>
          </w:tcPr>
          <w:p w14:paraId="03789F1C">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3.08</w:t>
            </w:r>
          </w:p>
        </w:tc>
      </w:tr>
      <w:tr w14:paraId="13F39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8" w:type="dxa"/>
            <w:vMerge w:val="continue"/>
            <w:noWrap w:val="0"/>
            <w:vAlign w:val="center"/>
          </w:tcPr>
          <w:p w14:paraId="25D86E2E">
            <w:pPr>
              <w:spacing w:line="300" w:lineRule="exact"/>
              <w:jc w:val="center"/>
              <w:rPr>
                <w:rFonts w:hint="default" w:ascii="Times New Roman" w:hAnsi="Times New Roman" w:eastAsia="华文中宋" w:cs="Times New Roman"/>
                <w:szCs w:val="21"/>
                <w:highlight w:val="none"/>
                <w:lang w:val="en-US" w:eastAsia="zh-CN"/>
              </w:rPr>
            </w:pPr>
          </w:p>
        </w:tc>
        <w:tc>
          <w:tcPr>
            <w:tcW w:w="737" w:type="dxa"/>
            <w:vMerge w:val="continue"/>
            <w:noWrap w:val="0"/>
            <w:vAlign w:val="center"/>
          </w:tcPr>
          <w:p w14:paraId="654FC8F8">
            <w:pPr>
              <w:spacing w:line="300" w:lineRule="exact"/>
              <w:jc w:val="center"/>
              <w:rPr>
                <w:rFonts w:hint="default" w:ascii="Times New Roman" w:hAnsi="Times New Roman" w:eastAsia="华文中宋" w:cs="Times New Roman"/>
                <w:szCs w:val="21"/>
                <w:highlight w:val="none"/>
                <w:lang w:val="en-US" w:eastAsia="zh-CN"/>
              </w:rPr>
            </w:pPr>
          </w:p>
        </w:tc>
        <w:tc>
          <w:tcPr>
            <w:tcW w:w="1391" w:type="dxa"/>
            <w:vMerge w:val="continue"/>
            <w:noWrap w:val="0"/>
            <w:vAlign w:val="center"/>
          </w:tcPr>
          <w:p w14:paraId="40DC2CF3">
            <w:pPr>
              <w:spacing w:line="300" w:lineRule="exact"/>
              <w:jc w:val="center"/>
              <w:rPr>
                <w:rFonts w:hint="default" w:ascii="Times New Roman" w:hAnsi="Times New Roman" w:eastAsia="华文中宋" w:cs="Times New Roman"/>
                <w:szCs w:val="21"/>
                <w:highlight w:val="none"/>
                <w:lang w:val="en-US" w:eastAsia="zh-CN"/>
              </w:rPr>
            </w:pPr>
          </w:p>
        </w:tc>
        <w:tc>
          <w:tcPr>
            <w:tcW w:w="1285" w:type="dxa"/>
            <w:noWrap w:val="0"/>
            <w:vAlign w:val="center"/>
          </w:tcPr>
          <w:p w14:paraId="293E57CA">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34.6</w:t>
            </w:r>
          </w:p>
        </w:tc>
        <w:tc>
          <w:tcPr>
            <w:tcW w:w="887" w:type="dxa"/>
            <w:vMerge w:val="continue"/>
            <w:noWrap w:val="0"/>
            <w:vAlign w:val="center"/>
          </w:tcPr>
          <w:p w14:paraId="1D02A894">
            <w:pPr>
              <w:spacing w:line="300" w:lineRule="exact"/>
              <w:jc w:val="center"/>
              <w:rPr>
                <w:rFonts w:hint="default" w:ascii="Times New Roman" w:hAnsi="Times New Roman" w:eastAsia="华文中宋" w:cs="Times New Roman"/>
                <w:szCs w:val="21"/>
                <w:highlight w:val="none"/>
                <w:lang w:val="en-US" w:eastAsia="zh-CN"/>
              </w:rPr>
            </w:pPr>
          </w:p>
        </w:tc>
        <w:tc>
          <w:tcPr>
            <w:tcW w:w="930" w:type="dxa"/>
            <w:noWrap w:val="0"/>
            <w:vAlign w:val="center"/>
          </w:tcPr>
          <w:p w14:paraId="5600D58A">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16.7</w:t>
            </w:r>
          </w:p>
        </w:tc>
        <w:tc>
          <w:tcPr>
            <w:tcW w:w="909" w:type="dxa"/>
            <w:vMerge w:val="continue"/>
            <w:noWrap w:val="0"/>
            <w:vAlign w:val="center"/>
          </w:tcPr>
          <w:p w14:paraId="39A23A38">
            <w:pPr>
              <w:spacing w:line="300" w:lineRule="exact"/>
              <w:jc w:val="center"/>
              <w:rPr>
                <w:rFonts w:hint="default" w:ascii="Times New Roman" w:hAnsi="Times New Roman" w:eastAsia="华文中宋" w:cs="Times New Roman"/>
                <w:szCs w:val="21"/>
                <w:highlight w:val="none"/>
                <w:lang w:val="en-US" w:eastAsia="zh-CN"/>
              </w:rPr>
            </w:pPr>
          </w:p>
        </w:tc>
        <w:tc>
          <w:tcPr>
            <w:tcW w:w="919" w:type="dxa"/>
            <w:noWrap w:val="0"/>
            <w:vAlign w:val="center"/>
          </w:tcPr>
          <w:p w14:paraId="5EAC9AF1">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3.12</w:t>
            </w:r>
          </w:p>
        </w:tc>
        <w:tc>
          <w:tcPr>
            <w:tcW w:w="938" w:type="dxa"/>
            <w:vMerge w:val="continue"/>
            <w:noWrap w:val="0"/>
            <w:vAlign w:val="center"/>
          </w:tcPr>
          <w:p w14:paraId="20C60417">
            <w:pPr>
              <w:spacing w:line="300" w:lineRule="exact"/>
              <w:jc w:val="center"/>
              <w:rPr>
                <w:rFonts w:hint="default" w:ascii="Times New Roman" w:hAnsi="Times New Roman" w:eastAsia="华文中宋" w:cs="Times New Roman"/>
                <w:szCs w:val="21"/>
                <w:highlight w:val="none"/>
                <w:lang w:val="en-US" w:eastAsia="zh-CN"/>
              </w:rPr>
            </w:pPr>
          </w:p>
        </w:tc>
      </w:tr>
      <w:tr w14:paraId="520C7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8" w:type="dxa"/>
            <w:vMerge w:val="continue"/>
            <w:noWrap w:val="0"/>
            <w:vAlign w:val="center"/>
          </w:tcPr>
          <w:p w14:paraId="71FD37BD">
            <w:pPr>
              <w:spacing w:line="300" w:lineRule="exact"/>
              <w:jc w:val="center"/>
              <w:rPr>
                <w:rFonts w:hint="default" w:ascii="Times New Roman" w:hAnsi="Times New Roman" w:eastAsia="华文中宋" w:cs="Times New Roman"/>
                <w:szCs w:val="21"/>
                <w:highlight w:val="none"/>
                <w:lang w:val="en-US" w:eastAsia="zh-CN"/>
              </w:rPr>
            </w:pPr>
          </w:p>
        </w:tc>
        <w:tc>
          <w:tcPr>
            <w:tcW w:w="737" w:type="dxa"/>
            <w:vMerge w:val="continue"/>
            <w:noWrap w:val="0"/>
            <w:vAlign w:val="center"/>
          </w:tcPr>
          <w:p w14:paraId="092A06C3">
            <w:pPr>
              <w:spacing w:line="300" w:lineRule="exact"/>
              <w:jc w:val="center"/>
              <w:rPr>
                <w:rFonts w:hint="default" w:ascii="Times New Roman" w:hAnsi="Times New Roman" w:eastAsia="华文中宋" w:cs="Times New Roman"/>
                <w:szCs w:val="21"/>
                <w:highlight w:val="none"/>
                <w:lang w:val="en-US" w:eastAsia="zh-CN"/>
              </w:rPr>
            </w:pPr>
          </w:p>
        </w:tc>
        <w:tc>
          <w:tcPr>
            <w:tcW w:w="1391" w:type="dxa"/>
            <w:vMerge w:val="continue"/>
            <w:noWrap w:val="0"/>
            <w:vAlign w:val="center"/>
          </w:tcPr>
          <w:p w14:paraId="5A0BFB00">
            <w:pPr>
              <w:spacing w:line="300" w:lineRule="exact"/>
              <w:jc w:val="center"/>
              <w:rPr>
                <w:rFonts w:hint="default" w:ascii="Times New Roman" w:hAnsi="Times New Roman" w:eastAsia="华文中宋" w:cs="Times New Roman"/>
                <w:szCs w:val="21"/>
                <w:highlight w:val="none"/>
                <w:lang w:val="en-US" w:eastAsia="zh-CN"/>
              </w:rPr>
            </w:pPr>
          </w:p>
        </w:tc>
        <w:tc>
          <w:tcPr>
            <w:tcW w:w="1285" w:type="dxa"/>
            <w:noWrap w:val="0"/>
            <w:vAlign w:val="center"/>
          </w:tcPr>
          <w:p w14:paraId="1E3D3EFD">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38.6</w:t>
            </w:r>
          </w:p>
        </w:tc>
        <w:tc>
          <w:tcPr>
            <w:tcW w:w="887" w:type="dxa"/>
            <w:vMerge w:val="continue"/>
            <w:noWrap w:val="0"/>
            <w:vAlign w:val="center"/>
          </w:tcPr>
          <w:p w14:paraId="73EA4141">
            <w:pPr>
              <w:spacing w:line="300" w:lineRule="exact"/>
              <w:jc w:val="center"/>
              <w:rPr>
                <w:rFonts w:hint="default" w:ascii="Times New Roman" w:hAnsi="Times New Roman" w:eastAsia="华文中宋" w:cs="Times New Roman"/>
                <w:szCs w:val="21"/>
                <w:highlight w:val="none"/>
                <w:lang w:val="en-US" w:eastAsia="zh-CN"/>
              </w:rPr>
            </w:pPr>
          </w:p>
        </w:tc>
        <w:tc>
          <w:tcPr>
            <w:tcW w:w="930" w:type="dxa"/>
            <w:noWrap w:val="0"/>
            <w:vAlign w:val="center"/>
          </w:tcPr>
          <w:p w14:paraId="555EB38A">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15.8</w:t>
            </w:r>
          </w:p>
        </w:tc>
        <w:tc>
          <w:tcPr>
            <w:tcW w:w="909" w:type="dxa"/>
            <w:vMerge w:val="continue"/>
            <w:noWrap w:val="0"/>
            <w:vAlign w:val="center"/>
          </w:tcPr>
          <w:p w14:paraId="5978F17A">
            <w:pPr>
              <w:spacing w:line="300" w:lineRule="exact"/>
              <w:jc w:val="center"/>
              <w:rPr>
                <w:rFonts w:hint="default" w:ascii="Times New Roman" w:hAnsi="Times New Roman" w:eastAsia="华文中宋" w:cs="Times New Roman"/>
                <w:szCs w:val="21"/>
                <w:highlight w:val="none"/>
                <w:lang w:val="en-US" w:eastAsia="zh-CN"/>
              </w:rPr>
            </w:pPr>
          </w:p>
        </w:tc>
        <w:tc>
          <w:tcPr>
            <w:tcW w:w="919" w:type="dxa"/>
            <w:noWrap w:val="0"/>
            <w:vAlign w:val="center"/>
          </w:tcPr>
          <w:p w14:paraId="6F592C67">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3.23</w:t>
            </w:r>
          </w:p>
        </w:tc>
        <w:tc>
          <w:tcPr>
            <w:tcW w:w="938" w:type="dxa"/>
            <w:vMerge w:val="continue"/>
            <w:noWrap w:val="0"/>
            <w:vAlign w:val="center"/>
          </w:tcPr>
          <w:p w14:paraId="4D7053F6">
            <w:pPr>
              <w:spacing w:line="300" w:lineRule="exact"/>
              <w:jc w:val="center"/>
              <w:rPr>
                <w:rFonts w:hint="default" w:ascii="Times New Roman" w:hAnsi="Times New Roman" w:eastAsia="华文中宋" w:cs="Times New Roman"/>
                <w:szCs w:val="21"/>
                <w:highlight w:val="none"/>
                <w:lang w:val="en-US" w:eastAsia="zh-CN"/>
              </w:rPr>
            </w:pPr>
          </w:p>
        </w:tc>
      </w:tr>
      <w:tr w14:paraId="1169C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8" w:type="dxa"/>
            <w:vMerge w:val="restart"/>
            <w:noWrap w:val="0"/>
            <w:vAlign w:val="center"/>
          </w:tcPr>
          <w:p w14:paraId="0DA3AD61">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LX03</w:t>
            </w:r>
          </w:p>
        </w:tc>
        <w:tc>
          <w:tcPr>
            <w:tcW w:w="737" w:type="dxa"/>
            <w:vMerge w:val="restart"/>
            <w:noWrap w:val="0"/>
            <w:vAlign w:val="center"/>
          </w:tcPr>
          <w:p w14:paraId="6D3EFDE2">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ZK72</w:t>
            </w:r>
          </w:p>
        </w:tc>
        <w:tc>
          <w:tcPr>
            <w:tcW w:w="1391" w:type="dxa"/>
            <w:vMerge w:val="restart"/>
            <w:noWrap w:val="0"/>
            <w:vAlign w:val="center"/>
          </w:tcPr>
          <w:p w14:paraId="1F457E73">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中细粒砂岩</w:t>
            </w:r>
          </w:p>
        </w:tc>
        <w:tc>
          <w:tcPr>
            <w:tcW w:w="1285" w:type="dxa"/>
            <w:noWrap w:val="0"/>
            <w:vAlign w:val="center"/>
          </w:tcPr>
          <w:p w14:paraId="0AA88C2B">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52.6</w:t>
            </w:r>
          </w:p>
        </w:tc>
        <w:tc>
          <w:tcPr>
            <w:tcW w:w="887" w:type="dxa"/>
            <w:vMerge w:val="restart"/>
            <w:noWrap w:val="0"/>
            <w:vAlign w:val="center"/>
          </w:tcPr>
          <w:p w14:paraId="630C001C">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50.0</w:t>
            </w:r>
          </w:p>
        </w:tc>
        <w:tc>
          <w:tcPr>
            <w:tcW w:w="930" w:type="dxa"/>
            <w:noWrap w:val="0"/>
            <w:vAlign w:val="center"/>
          </w:tcPr>
          <w:p w14:paraId="27F557E4">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33.1</w:t>
            </w:r>
          </w:p>
        </w:tc>
        <w:tc>
          <w:tcPr>
            <w:tcW w:w="909" w:type="dxa"/>
            <w:vMerge w:val="restart"/>
            <w:noWrap w:val="0"/>
            <w:vAlign w:val="center"/>
          </w:tcPr>
          <w:p w14:paraId="1D568DE5">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33.3</w:t>
            </w:r>
          </w:p>
        </w:tc>
        <w:tc>
          <w:tcPr>
            <w:tcW w:w="919" w:type="dxa"/>
            <w:noWrap w:val="0"/>
            <w:vAlign w:val="center"/>
          </w:tcPr>
          <w:p w14:paraId="49304ED8">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4.15</w:t>
            </w:r>
          </w:p>
        </w:tc>
        <w:tc>
          <w:tcPr>
            <w:tcW w:w="938" w:type="dxa"/>
            <w:vMerge w:val="restart"/>
            <w:noWrap w:val="0"/>
            <w:vAlign w:val="center"/>
          </w:tcPr>
          <w:p w14:paraId="457B2D58">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4.51</w:t>
            </w:r>
          </w:p>
        </w:tc>
      </w:tr>
      <w:tr w14:paraId="6F915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8" w:type="dxa"/>
            <w:vMerge w:val="continue"/>
            <w:noWrap w:val="0"/>
            <w:vAlign w:val="center"/>
          </w:tcPr>
          <w:p w14:paraId="3EFC3B8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val="0"/>
                <w:bCs w:val="0"/>
                <w:color w:val="000000"/>
                <w:sz w:val="21"/>
                <w:szCs w:val="21"/>
                <w:highlight w:val="lightGray"/>
                <w:lang w:val="en-US" w:eastAsia="zh-CN"/>
              </w:rPr>
            </w:pPr>
          </w:p>
        </w:tc>
        <w:tc>
          <w:tcPr>
            <w:tcW w:w="737" w:type="dxa"/>
            <w:vMerge w:val="continue"/>
            <w:noWrap w:val="0"/>
            <w:vAlign w:val="center"/>
          </w:tcPr>
          <w:p w14:paraId="3FF9C86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val="0"/>
                <w:bCs w:val="0"/>
                <w:color w:val="000000"/>
                <w:sz w:val="21"/>
                <w:szCs w:val="21"/>
                <w:highlight w:val="lightGray"/>
                <w:lang w:val="en-US" w:eastAsia="zh-CN"/>
              </w:rPr>
            </w:pPr>
          </w:p>
        </w:tc>
        <w:tc>
          <w:tcPr>
            <w:tcW w:w="1391" w:type="dxa"/>
            <w:vMerge w:val="continue"/>
            <w:noWrap w:val="0"/>
            <w:vAlign w:val="center"/>
          </w:tcPr>
          <w:p w14:paraId="22F14CA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val="0"/>
                <w:bCs w:val="0"/>
                <w:color w:val="000000"/>
                <w:sz w:val="21"/>
                <w:szCs w:val="21"/>
                <w:highlight w:val="none"/>
                <w:lang w:val="en-US" w:eastAsia="zh-CN"/>
              </w:rPr>
            </w:pPr>
          </w:p>
        </w:tc>
        <w:tc>
          <w:tcPr>
            <w:tcW w:w="1285" w:type="dxa"/>
            <w:noWrap w:val="0"/>
            <w:vAlign w:val="center"/>
          </w:tcPr>
          <w:p w14:paraId="3870D0F8">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49.7</w:t>
            </w:r>
          </w:p>
        </w:tc>
        <w:tc>
          <w:tcPr>
            <w:tcW w:w="887" w:type="dxa"/>
            <w:vMerge w:val="continue"/>
            <w:noWrap w:val="0"/>
            <w:vAlign w:val="center"/>
          </w:tcPr>
          <w:p w14:paraId="047454D4">
            <w:pPr>
              <w:spacing w:line="300" w:lineRule="exact"/>
              <w:jc w:val="center"/>
              <w:rPr>
                <w:rFonts w:hint="default" w:ascii="Times New Roman" w:hAnsi="Times New Roman" w:eastAsia="华文中宋" w:cs="Times New Roman"/>
                <w:szCs w:val="21"/>
                <w:highlight w:val="none"/>
                <w:lang w:val="en-US" w:eastAsia="zh-CN"/>
              </w:rPr>
            </w:pPr>
          </w:p>
        </w:tc>
        <w:tc>
          <w:tcPr>
            <w:tcW w:w="930" w:type="dxa"/>
            <w:noWrap w:val="0"/>
            <w:vAlign w:val="center"/>
          </w:tcPr>
          <w:p w14:paraId="377FBC23">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32.1</w:t>
            </w:r>
          </w:p>
        </w:tc>
        <w:tc>
          <w:tcPr>
            <w:tcW w:w="909" w:type="dxa"/>
            <w:vMerge w:val="continue"/>
            <w:noWrap w:val="0"/>
            <w:vAlign w:val="center"/>
          </w:tcPr>
          <w:p w14:paraId="6C697415">
            <w:pPr>
              <w:spacing w:line="300" w:lineRule="exact"/>
              <w:jc w:val="center"/>
              <w:rPr>
                <w:rFonts w:hint="default" w:ascii="Times New Roman" w:hAnsi="Times New Roman" w:eastAsia="华文中宋" w:cs="Times New Roman"/>
                <w:szCs w:val="21"/>
                <w:highlight w:val="none"/>
                <w:lang w:val="en-US" w:eastAsia="zh-CN"/>
              </w:rPr>
            </w:pPr>
          </w:p>
        </w:tc>
        <w:tc>
          <w:tcPr>
            <w:tcW w:w="919" w:type="dxa"/>
            <w:noWrap w:val="0"/>
            <w:vAlign w:val="center"/>
          </w:tcPr>
          <w:p w14:paraId="32C5FB06">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5.04</w:t>
            </w:r>
          </w:p>
        </w:tc>
        <w:tc>
          <w:tcPr>
            <w:tcW w:w="938" w:type="dxa"/>
            <w:vMerge w:val="continue"/>
            <w:noWrap w:val="0"/>
            <w:vAlign w:val="center"/>
          </w:tcPr>
          <w:p w14:paraId="7ABDB3E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val="0"/>
                <w:bCs w:val="0"/>
                <w:color w:val="000000"/>
                <w:sz w:val="21"/>
                <w:szCs w:val="21"/>
                <w:highlight w:val="lightGray"/>
                <w:lang w:val="en-US" w:eastAsia="zh-CN"/>
              </w:rPr>
            </w:pPr>
          </w:p>
        </w:tc>
      </w:tr>
      <w:tr w14:paraId="5B68B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8" w:type="dxa"/>
            <w:vMerge w:val="continue"/>
            <w:noWrap w:val="0"/>
            <w:vAlign w:val="center"/>
          </w:tcPr>
          <w:p w14:paraId="5FBF7B9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val="0"/>
                <w:bCs w:val="0"/>
                <w:color w:val="000000"/>
                <w:sz w:val="21"/>
                <w:szCs w:val="21"/>
                <w:highlight w:val="lightGray"/>
                <w:lang w:val="en-US" w:eastAsia="zh-CN"/>
              </w:rPr>
            </w:pPr>
          </w:p>
        </w:tc>
        <w:tc>
          <w:tcPr>
            <w:tcW w:w="737" w:type="dxa"/>
            <w:vMerge w:val="continue"/>
            <w:noWrap w:val="0"/>
            <w:vAlign w:val="center"/>
          </w:tcPr>
          <w:p w14:paraId="5692E91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val="0"/>
                <w:bCs w:val="0"/>
                <w:color w:val="000000"/>
                <w:sz w:val="21"/>
                <w:szCs w:val="21"/>
                <w:highlight w:val="lightGray"/>
                <w:lang w:val="en-US" w:eastAsia="zh-CN"/>
              </w:rPr>
            </w:pPr>
          </w:p>
        </w:tc>
        <w:tc>
          <w:tcPr>
            <w:tcW w:w="1391" w:type="dxa"/>
            <w:vMerge w:val="continue"/>
            <w:noWrap w:val="0"/>
            <w:vAlign w:val="center"/>
          </w:tcPr>
          <w:p w14:paraId="62064E1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val="0"/>
                <w:bCs w:val="0"/>
                <w:color w:val="000000"/>
                <w:sz w:val="21"/>
                <w:szCs w:val="21"/>
                <w:highlight w:val="none"/>
                <w:lang w:val="en-US" w:eastAsia="zh-CN"/>
              </w:rPr>
            </w:pPr>
          </w:p>
        </w:tc>
        <w:tc>
          <w:tcPr>
            <w:tcW w:w="1285" w:type="dxa"/>
            <w:noWrap w:val="0"/>
            <w:vAlign w:val="center"/>
          </w:tcPr>
          <w:p w14:paraId="1F404000">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47.6</w:t>
            </w:r>
          </w:p>
        </w:tc>
        <w:tc>
          <w:tcPr>
            <w:tcW w:w="887" w:type="dxa"/>
            <w:vMerge w:val="continue"/>
            <w:noWrap w:val="0"/>
            <w:vAlign w:val="center"/>
          </w:tcPr>
          <w:p w14:paraId="07BC233A">
            <w:pPr>
              <w:spacing w:line="300" w:lineRule="exact"/>
              <w:jc w:val="center"/>
              <w:rPr>
                <w:rFonts w:hint="default" w:ascii="Times New Roman" w:hAnsi="Times New Roman" w:eastAsia="华文中宋" w:cs="Times New Roman"/>
                <w:szCs w:val="21"/>
                <w:highlight w:val="none"/>
                <w:lang w:val="en-US" w:eastAsia="zh-CN"/>
              </w:rPr>
            </w:pPr>
          </w:p>
        </w:tc>
        <w:tc>
          <w:tcPr>
            <w:tcW w:w="930" w:type="dxa"/>
            <w:noWrap w:val="0"/>
            <w:vAlign w:val="center"/>
          </w:tcPr>
          <w:p w14:paraId="551F0271">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34.6</w:t>
            </w:r>
          </w:p>
        </w:tc>
        <w:tc>
          <w:tcPr>
            <w:tcW w:w="909" w:type="dxa"/>
            <w:vMerge w:val="continue"/>
            <w:noWrap w:val="0"/>
            <w:vAlign w:val="center"/>
          </w:tcPr>
          <w:p w14:paraId="5DE8E1EF">
            <w:pPr>
              <w:spacing w:line="300" w:lineRule="exact"/>
              <w:jc w:val="center"/>
              <w:rPr>
                <w:rFonts w:hint="default" w:ascii="Times New Roman" w:hAnsi="Times New Roman" w:eastAsia="华文中宋" w:cs="Times New Roman"/>
                <w:szCs w:val="21"/>
                <w:highlight w:val="none"/>
                <w:lang w:val="en-US" w:eastAsia="zh-CN"/>
              </w:rPr>
            </w:pPr>
          </w:p>
        </w:tc>
        <w:tc>
          <w:tcPr>
            <w:tcW w:w="919" w:type="dxa"/>
            <w:noWrap w:val="0"/>
            <w:vAlign w:val="center"/>
          </w:tcPr>
          <w:p w14:paraId="25AD1CFC">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4.33</w:t>
            </w:r>
          </w:p>
        </w:tc>
        <w:tc>
          <w:tcPr>
            <w:tcW w:w="938" w:type="dxa"/>
            <w:vMerge w:val="continue"/>
            <w:noWrap w:val="0"/>
            <w:vAlign w:val="center"/>
          </w:tcPr>
          <w:p w14:paraId="6E55500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val="0"/>
                <w:bCs w:val="0"/>
                <w:color w:val="000000"/>
                <w:sz w:val="21"/>
                <w:szCs w:val="21"/>
                <w:highlight w:val="lightGray"/>
                <w:lang w:val="en-US" w:eastAsia="zh-CN"/>
              </w:rPr>
            </w:pPr>
          </w:p>
        </w:tc>
      </w:tr>
    </w:tbl>
    <w:p w14:paraId="371A2113">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eastAsia" w:ascii="Calibri" w:hAnsi="Calibri" w:eastAsia="华文中宋" w:cs="Calibri"/>
          <w:sz w:val="24"/>
          <w:highlight w:val="none"/>
          <w:lang w:val="en-US" w:eastAsia="zh-CN"/>
        </w:rPr>
        <w:t>（2）</w:t>
      </w:r>
      <w:r>
        <w:rPr>
          <w:rFonts w:hint="default" w:ascii="Times New Roman" w:hAnsi="Times New Roman" w:eastAsia="华文中宋" w:cs="Times New Roman"/>
          <w:sz w:val="24"/>
          <w:highlight w:val="none"/>
          <w:lang w:val="en-US" w:eastAsia="zh-CN"/>
        </w:rPr>
        <w:t>矿体及顶底板围岩的稳固性</w:t>
      </w:r>
    </w:p>
    <w:p w14:paraId="4CA5F11A">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jc w:val="left"/>
        <w:textAlignment w:val="auto"/>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顶底板围岩为中二叠统黄羊岭组海相陆源碎屑岩，由泥质粉砂岩、粉砂质泥岩、中细粒砂岩，根据岩石物理性质样结果，岩石的饱和抗压强度在35.3Mpa-50.0Mpa之间，属于半坚硬较完整岩组。节理裂隙弱发育，矿区矿体及围岩稳定性较好。</w:t>
      </w:r>
    </w:p>
    <w:p w14:paraId="53746F65">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eastAsia" w:ascii="Calibri" w:hAnsi="Calibri" w:eastAsia="华文中宋" w:cs="Calibri"/>
          <w:sz w:val="24"/>
          <w:highlight w:val="none"/>
          <w:lang w:val="en-US" w:eastAsia="zh-CN"/>
        </w:rPr>
        <w:t>（3）</w:t>
      </w:r>
      <w:r>
        <w:rPr>
          <w:rFonts w:hint="default" w:ascii="Times New Roman" w:hAnsi="Times New Roman" w:eastAsia="华文中宋" w:cs="Times New Roman"/>
          <w:sz w:val="24"/>
          <w:highlight w:val="none"/>
          <w:lang w:val="en-US" w:eastAsia="zh-CN"/>
        </w:rPr>
        <w:t>岩体质量评价</w:t>
      </w:r>
    </w:p>
    <w:p w14:paraId="2AC86397">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岩体质量指标M=Rc·RQD/30=35.99×0.80/30=0.96，岩体质量中等。</w:t>
      </w:r>
    </w:p>
    <w:p w14:paraId="339C7692">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eastAsia" w:ascii="Calibri" w:hAnsi="Calibri" w:eastAsia="华文中宋" w:cs="Calibri"/>
          <w:sz w:val="24"/>
          <w:highlight w:val="none"/>
          <w:lang w:val="en-US" w:eastAsia="zh-CN"/>
        </w:rPr>
        <w:t>（4）</w:t>
      </w:r>
      <w:r>
        <w:rPr>
          <w:rFonts w:hint="default" w:ascii="Times New Roman" w:hAnsi="Times New Roman" w:eastAsia="华文中宋" w:cs="Times New Roman"/>
          <w:sz w:val="24"/>
          <w:highlight w:val="none"/>
          <w:lang w:val="en-US" w:eastAsia="zh-CN"/>
        </w:rPr>
        <w:t>矿山工程场地地基稳定性</w:t>
      </w:r>
    </w:p>
    <w:p w14:paraId="15D22ABE">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矿山建设工程场地基岩多为第四系，场地及周边无不良滑移面，地基稳定性好。</w:t>
      </w:r>
    </w:p>
    <w:p w14:paraId="4482F85C">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eastAsia" w:ascii="Calibri" w:hAnsi="Calibri" w:eastAsia="华文中宋" w:cs="Calibri"/>
          <w:sz w:val="24"/>
          <w:highlight w:val="none"/>
          <w:lang w:val="en-US" w:eastAsia="zh-CN"/>
        </w:rPr>
        <w:t>（5）</w:t>
      </w:r>
      <w:r>
        <w:rPr>
          <w:rFonts w:hint="default" w:ascii="Times New Roman" w:hAnsi="Times New Roman" w:eastAsia="华文中宋" w:cs="Times New Roman"/>
          <w:sz w:val="24"/>
          <w:highlight w:val="none"/>
          <w:lang w:val="en-US" w:eastAsia="zh-CN"/>
        </w:rPr>
        <w:t>边坡稳定性评价</w:t>
      </w:r>
    </w:p>
    <w:p w14:paraId="06A8EB69">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矿区内岩层产状330°-355°∠45°-65°、150°-175°∠45°-65°，矿区规划两处露天采场，均为四面均为高陡边坡的山坡</w:t>
      </w:r>
      <w:r>
        <w:rPr>
          <w:rFonts w:hint="eastAsia" w:ascii="Times New Roman" w:hAnsi="Times New Roman" w:eastAsia="华文中宋" w:cs="Times New Roman"/>
          <w:sz w:val="24"/>
          <w:highlight w:val="none"/>
          <w:lang w:val="en-US" w:eastAsia="zh-CN"/>
        </w:rPr>
        <w:t>－</w:t>
      </w:r>
      <w:r>
        <w:rPr>
          <w:rFonts w:hint="default" w:ascii="Times New Roman" w:hAnsi="Times New Roman" w:eastAsia="华文中宋" w:cs="Times New Roman"/>
          <w:sz w:val="24"/>
          <w:highlight w:val="none"/>
          <w:lang w:val="en-US" w:eastAsia="zh-CN"/>
        </w:rPr>
        <w:t>凹陷式采坑，最终帮坡角46～58°，采场边坡均为岩质边坡，边坡岩性为泥质粉砂岩、粉砂质泥岩、中细粒砂岩，为半坚硬岩组。</w:t>
      </w:r>
    </w:p>
    <w:p w14:paraId="51A650FC">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北露天采场南帮岩层倾角与边坡倾向同向，其他坡面岩层倾角与边坡倾向斜交或反交。采坑边坡坡面岩体完整，无顺坡软弱结构面及较大裂隙发育，不易引发滑坡灾害，预测北露天采场边坡稳定性好。</w:t>
      </w:r>
    </w:p>
    <w:p w14:paraId="2F1FF49F">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南露天采场北帮岩层倾角与边坡倾向同向，其他坡面岩层倾角与边坡倾向斜交或反交。采坑边坡坡面岩体完整，无顺坡软弱结构面及较大裂隙发育，不易引发滑坡灾害，预测北露天采场边坡稳定性好。</w:t>
      </w:r>
    </w:p>
    <w:p w14:paraId="7B01B8A1">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采矿场剥离物岩性为泥质粉砂岩、粉砂质泥岩、中细粒砂岩，为半坚硬岩。</w:t>
      </w:r>
    </w:p>
    <w:p w14:paraId="0B0C2214">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eastAsia" w:ascii="Calibri" w:hAnsi="Calibri" w:eastAsia="华文中宋" w:cs="Calibri"/>
          <w:sz w:val="24"/>
          <w:highlight w:val="none"/>
          <w:lang w:val="en-US" w:eastAsia="zh-CN"/>
        </w:rPr>
        <w:t>（6）</w:t>
      </w:r>
      <w:r>
        <w:rPr>
          <w:rFonts w:hint="default" w:ascii="Times New Roman" w:hAnsi="Times New Roman" w:eastAsia="华文中宋" w:cs="Times New Roman"/>
          <w:sz w:val="24"/>
          <w:highlight w:val="none"/>
          <w:lang w:val="en-US" w:eastAsia="zh-CN"/>
        </w:rPr>
        <w:t>工程地质</w:t>
      </w:r>
      <w:r>
        <w:rPr>
          <w:rFonts w:hint="eastAsia" w:ascii="Times New Roman" w:hAnsi="Times New Roman" w:eastAsia="华文中宋" w:cs="Times New Roman"/>
          <w:sz w:val="24"/>
          <w:highlight w:val="none"/>
          <w:lang w:val="en-US" w:eastAsia="zh-CN"/>
        </w:rPr>
        <w:t>勘察类型</w:t>
      </w:r>
      <w:r>
        <w:rPr>
          <w:rFonts w:hint="default" w:ascii="Times New Roman" w:hAnsi="Times New Roman" w:eastAsia="华文中宋" w:cs="Times New Roman"/>
          <w:sz w:val="24"/>
          <w:highlight w:val="none"/>
          <w:lang w:val="en-US" w:eastAsia="zh-CN"/>
        </w:rPr>
        <w:t>划分</w:t>
      </w:r>
    </w:p>
    <w:p w14:paraId="2FA7A05E">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矿区地处高寒山区，昼夜温差大，矿体围岩为泥质粉砂岩、粉砂质泥岩、中细粒砂岩等半坚硬岩层，矿区特殊的地理位</w:t>
      </w:r>
      <w:r>
        <w:rPr>
          <w:rFonts w:hint="eastAsia" w:ascii="Times New Roman" w:hAnsi="Times New Roman" w:eastAsia="华文中宋" w:cs="Times New Roman"/>
          <w:sz w:val="24"/>
          <w:highlight w:val="none"/>
          <w:lang w:val="en-US" w:eastAsia="zh-CN"/>
        </w:rPr>
        <w:t>置和</w:t>
      </w:r>
      <w:r>
        <w:rPr>
          <w:rFonts w:hint="default" w:ascii="Times New Roman" w:hAnsi="Times New Roman" w:eastAsia="华文中宋" w:cs="Times New Roman"/>
          <w:sz w:val="24"/>
          <w:highlight w:val="none"/>
          <w:lang w:val="en-US" w:eastAsia="zh-CN"/>
        </w:rPr>
        <w:t>气候条件导致</w:t>
      </w:r>
      <w:r>
        <w:rPr>
          <w:rFonts w:hint="eastAsia" w:ascii="Times New Roman" w:hAnsi="Times New Roman" w:eastAsia="华文中宋" w:cs="Times New Roman"/>
          <w:sz w:val="24"/>
          <w:highlight w:val="none"/>
          <w:lang w:val="en-US" w:eastAsia="zh-CN"/>
        </w:rPr>
        <w:t>岩</w:t>
      </w:r>
      <w:r>
        <w:rPr>
          <w:rFonts w:hint="default" w:ascii="Times New Roman" w:hAnsi="Times New Roman" w:eastAsia="华文中宋" w:cs="Times New Roman"/>
          <w:sz w:val="24"/>
          <w:highlight w:val="none"/>
          <w:lang w:val="en-US" w:eastAsia="zh-CN"/>
        </w:rPr>
        <w:t>体受冻融作用影响，在受震动、地表水入渗、风化等作用下，岩石强度将会降低，工程地质条件恶化，可能引发边坡崩塌掉块等工程地质问题，还存在沿断层面和节理面滑塌的可能。工程地质条件中等。</w:t>
      </w:r>
    </w:p>
    <w:p w14:paraId="5F146E6A">
      <w:pPr>
        <w:adjustRightInd w:val="0"/>
        <w:snapToGrid w:val="0"/>
        <w:spacing w:line="500" w:lineRule="exact"/>
        <w:jc w:val="left"/>
        <w:rPr>
          <w:rFonts w:hint="eastAsia" w:ascii="Times New Roman" w:hAnsi="Times New Roman" w:eastAsia="华文中宋" w:cs="Times New Roman"/>
          <w:sz w:val="24"/>
          <w:highlight w:val="none"/>
          <w:lang w:val="en-US" w:eastAsia="zh-CN"/>
        </w:rPr>
      </w:pPr>
      <w:r>
        <w:rPr>
          <w:rFonts w:hint="eastAsia" w:ascii="Times New Roman" w:hAnsi="Times New Roman" w:cs="Times New Roman"/>
          <w:b/>
          <w:bCs/>
          <w:color w:val="auto"/>
          <w:lang w:val="en-US" w:eastAsia="zh-CN"/>
        </w:rPr>
        <w:t>3.1.13.3</w:t>
      </w:r>
      <w:r>
        <w:rPr>
          <w:rFonts w:hint="default" w:ascii="Times New Roman" w:hAnsi="Times New Roman" w:eastAsia="华文中宋" w:cs="Times New Roman"/>
          <w:b/>
          <w:bCs/>
          <w:sz w:val="24"/>
          <w:lang w:val="en-US" w:eastAsia="zh-CN"/>
        </w:rPr>
        <w:t>水文地质条件</w:t>
      </w:r>
    </w:p>
    <w:p w14:paraId="27C67CD0">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eastAsia" w:ascii="Times New Roman" w:hAnsi="Times New Roman" w:eastAsia="华文中宋" w:cs="Times New Roman"/>
          <w:sz w:val="24"/>
          <w:highlight w:val="none"/>
          <w:lang w:val="en-US" w:eastAsia="zh-CN"/>
        </w:rPr>
        <w:t>（1）</w:t>
      </w:r>
      <w:r>
        <w:rPr>
          <w:rFonts w:hint="default" w:ascii="Times New Roman" w:hAnsi="Times New Roman" w:eastAsia="华文中宋" w:cs="Times New Roman"/>
          <w:sz w:val="24"/>
          <w:highlight w:val="none"/>
          <w:lang w:val="en-US" w:eastAsia="zh-CN"/>
        </w:rPr>
        <w:t>地下水的补给、径流、排泄</w:t>
      </w:r>
      <w:r>
        <w:rPr>
          <w:rFonts w:hint="eastAsia" w:ascii="Times New Roman" w:hAnsi="Times New Roman" w:eastAsia="华文中宋" w:cs="Times New Roman"/>
          <w:sz w:val="24"/>
          <w:highlight w:val="none"/>
          <w:lang w:val="en-US" w:eastAsia="zh-CN"/>
        </w:rPr>
        <w:t>条件</w:t>
      </w:r>
    </w:p>
    <w:p w14:paraId="53A724FA">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区域降水主要集中在南部山区，大气降水和冰雪融水除部分下渗补给基岩地下水外，大多在山区沟谷汇流，由河谷出山口潜流补给平原区。同时，山区基岩裂隙水亦通过基岩裂隙向山前排泄补给平原区地下水。</w:t>
      </w:r>
    </w:p>
    <w:p w14:paraId="30D3EC23">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此外，山区地下水接受降水和冰雪融水渗入补给后，沿岩石裂隙和断层破碎带从高处向低处经过短途径流，于深切的沟谷中以下降泉的形式进行排泄。山间沟谷冲积层构成了地下水的主要排泄通道。靠近中山和低山丘陵地带，降水渗入补给量少，地下水一部分形成泉水，受到蒸发损耗，有些泉水再次渗入地下转为地下径流，以沟谷潜流形式排泄</w:t>
      </w:r>
      <w:r>
        <w:rPr>
          <w:rFonts w:hint="eastAsia" w:ascii="Times New Roman" w:hAnsi="Times New Roman" w:eastAsia="华文中宋" w:cs="Times New Roman"/>
          <w:sz w:val="24"/>
          <w:highlight w:val="none"/>
          <w:lang w:val="en-US" w:eastAsia="zh-CN"/>
        </w:rPr>
        <w:t>，</w:t>
      </w:r>
      <w:r>
        <w:rPr>
          <w:rFonts w:hint="default" w:ascii="Times New Roman" w:hAnsi="Times New Roman" w:eastAsia="华文中宋" w:cs="Times New Roman"/>
          <w:sz w:val="24"/>
          <w:highlight w:val="none"/>
          <w:lang w:val="en-US" w:eastAsia="zh-CN"/>
        </w:rPr>
        <w:t>直接补给与其接触的平原区地下水。</w:t>
      </w:r>
    </w:p>
    <w:p w14:paraId="5401066A">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（2）矿床充水因素分析</w:t>
      </w:r>
    </w:p>
    <w:p w14:paraId="701ED0D9">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eastAsia" w:ascii="Times New Roman" w:hAnsi="Times New Roman" w:eastAsia="华文中宋" w:cs="Times New Roman"/>
          <w:sz w:val="24"/>
          <w:highlight w:val="none"/>
          <w:lang w:val="en-US" w:eastAsia="zh-CN"/>
        </w:rPr>
        <w:t>1）</w:t>
      </w:r>
      <w:r>
        <w:rPr>
          <w:rFonts w:hint="default" w:ascii="Times New Roman" w:hAnsi="Times New Roman" w:eastAsia="华文中宋" w:cs="Times New Roman"/>
          <w:sz w:val="24"/>
          <w:highlight w:val="none"/>
          <w:lang w:val="en-US" w:eastAsia="zh-CN"/>
        </w:rPr>
        <w:t>地表水</w:t>
      </w:r>
    </w:p>
    <w:p w14:paraId="1CF9E787">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①水塘</w:t>
      </w:r>
    </w:p>
    <w:p w14:paraId="349C6253">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本矿区南部有两处洼地水塘，水塘1（水面标高5108米）距离北露天采场500米，距离南露天采场120米，但水塘2（水面标高5102米）距离北露天采场620米，距离南露天采场350米，矿区规划采场最低开采标高5088米，矿山开采标高低于水塘水面标高。</w:t>
      </w:r>
    </w:p>
    <w:p w14:paraId="52BECBC7">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本区地层岩性由岩屑砂岩、深灰色泥质粉砂岩组成，节理裂隙弱发育，岩层渗透能力较差，</w:t>
      </w:r>
      <w:r>
        <w:rPr>
          <w:rFonts w:hint="default" w:ascii="Times New Roman" w:hAnsi="Times New Roman" w:eastAsia="华文中宋" w:cs="Times New Roman"/>
          <w:sz w:val="24"/>
          <w:lang w:val="en-US" w:eastAsia="zh-CN"/>
        </w:rPr>
        <w:t>两处水塘几乎呈闭流状态，不能外泄，损耗于湖面蒸发及下渗。水塘的补给水源主要来自春季矿区及周边的冰雪融水，夏季雨雪补给量较少。</w:t>
      </w:r>
      <w:r>
        <w:rPr>
          <w:rFonts w:hint="eastAsia" w:ascii="Times New Roman" w:hAnsi="Times New Roman" w:eastAsia="华文中宋" w:cs="Times New Roman"/>
          <w:sz w:val="24"/>
          <w:lang w:val="en-US" w:eastAsia="zh-CN"/>
        </w:rPr>
        <w:t>项目1#、2#水塘与项目各个工业场地距离较远，在项目落实本报告提出的各项环保措施后，运营期正常开展工业活动过程中基本不会对矿区内两处水塘产生环境影响。</w:t>
      </w:r>
    </w:p>
    <w:p w14:paraId="2D3A204A">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②河流（季节性地表水）</w:t>
      </w:r>
    </w:p>
    <w:p w14:paraId="66699E52">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矿区内无常年性河流分布，但季节性小冲沟发育，且在矿区东侧约0.6千米处发育有季节性河流盼水河，自南向北流经，为冰雪</w:t>
      </w:r>
      <w:r>
        <w:rPr>
          <w:rFonts w:hint="eastAsia" w:ascii="Times New Roman" w:hAnsi="Times New Roman" w:eastAsia="华文中宋" w:cs="Times New Roman"/>
          <w:sz w:val="24"/>
          <w:highlight w:val="none"/>
          <w:lang w:val="en-US" w:eastAsia="zh-CN"/>
        </w:rPr>
        <w:t>融化型</w:t>
      </w:r>
      <w:r>
        <w:rPr>
          <w:rFonts w:hint="default" w:ascii="Times New Roman" w:hAnsi="Times New Roman" w:eastAsia="华文中宋" w:cs="Times New Roman"/>
          <w:sz w:val="24"/>
          <w:highlight w:val="none"/>
          <w:lang w:val="en-US" w:eastAsia="zh-CN"/>
        </w:rPr>
        <w:t>河流，4-10月平均流量约0.38m</w:t>
      </w:r>
      <w:r>
        <w:rPr>
          <w:rFonts w:hint="default" w:ascii="Times New Roman" w:hAnsi="Times New Roman" w:eastAsia="华文中宋" w:cs="Times New Roman"/>
          <w:sz w:val="24"/>
          <w:highlight w:val="none"/>
          <w:vertAlign w:val="superscript"/>
          <w:lang w:val="en-US" w:eastAsia="zh-CN"/>
        </w:rPr>
        <w:t>3</w:t>
      </w:r>
      <w:r>
        <w:rPr>
          <w:rFonts w:hint="default" w:ascii="Times New Roman" w:hAnsi="Times New Roman" w:eastAsia="华文中宋" w:cs="Times New Roman"/>
          <w:sz w:val="24"/>
          <w:highlight w:val="none"/>
          <w:lang w:val="en-US" w:eastAsia="zh-CN"/>
        </w:rPr>
        <w:t>/s，11月至翌年3月为冰封期。</w:t>
      </w:r>
    </w:p>
    <w:p w14:paraId="2970040D">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矿区北露天采场距离盼水河950米，南露天采场距离盼水河1100米，采场最低开采标高均为5088米，低于河流水面标高，高差10米。因河流距离露天采场距离较远，且由于本区地层透水能力差，矿床充水因素可不考虑河流补给。</w:t>
      </w:r>
    </w:p>
    <w:p w14:paraId="559B9945">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eastAsia" w:ascii="Times New Roman" w:hAnsi="Times New Roman" w:eastAsia="华文中宋" w:cs="Times New Roman"/>
          <w:sz w:val="24"/>
          <w:highlight w:val="none"/>
          <w:lang w:val="en-US" w:eastAsia="zh-CN"/>
        </w:rPr>
        <w:t>2）</w:t>
      </w:r>
      <w:r>
        <w:rPr>
          <w:rFonts w:hint="default" w:ascii="Times New Roman" w:hAnsi="Times New Roman" w:eastAsia="华文中宋" w:cs="Times New Roman"/>
          <w:sz w:val="24"/>
          <w:highlight w:val="none"/>
          <w:lang w:val="en-US" w:eastAsia="zh-CN"/>
        </w:rPr>
        <w:t>地下水</w:t>
      </w:r>
    </w:p>
    <w:p w14:paraId="302400BC">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矿区采用露天方式开采，开采标高为5088</w:t>
      </w:r>
      <w:r>
        <w:rPr>
          <w:rFonts w:hint="eastAsia" w:ascii="Times New Roman" w:hAnsi="Times New Roman" w:eastAsia="华文中宋" w:cs="Times New Roman"/>
          <w:sz w:val="24"/>
          <w:highlight w:val="none"/>
          <w:lang w:val="en-US" w:eastAsia="zh-CN"/>
        </w:rPr>
        <w:t>～</w:t>
      </w:r>
      <w:r>
        <w:rPr>
          <w:rFonts w:hint="default" w:ascii="Times New Roman" w:hAnsi="Times New Roman" w:eastAsia="华文中宋" w:cs="Times New Roman"/>
          <w:sz w:val="24"/>
          <w:highlight w:val="none"/>
          <w:lang w:val="en-US" w:eastAsia="zh-CN"/>
        </w:rPr>
        <w:t>5152米，矿区地下水位标高在5020.2米以下。矿床开采最低标高位于地下水位之上，因此，基岩裂隙水对矿坑充水基本无影响。</w:t>
      </w:r>
    </w:p>
    <w:p w14:paraId="0EA6FDA1">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eastAsia" w:ascii="Times New Roman" w:hAnsi="Times New Roman" w:eastAsia="华文中宋" w:cs="Times New Roman"/>
          <w:sz w:val="24"/>
          <w:highlight w:val="none"/>
          <w:lang w:val="en-US" w:eastAsia="zh-CN"/>
        </w:rPr>
        <w:t>3）</w:t>
      </w:r>
      <w:r>
        <w:rPr>
          <w:rFonts w:hint="default" w:ascii="Times New Roman" w:hAnsi="Times New Roman" w:eastAsia="华文中宋" w:cs="Times New Roman"/>
          <w:sz w:val="24"/>
          <w:highlight w:val="none"/>
          <w:lang w:val="en-US" w:eastAsia="zh-CN"/>
        </w:rPr>
        <w:t>大气降水</w:t>
      </w:r>
    </w:p>
    <w:p w14:paraId="5F609670">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矿区属典型大陆性高寒气候，昼夜和四季的温差变化大，夏季短暂。据民丰县气象局资料：最高气温仅20-25℃，冬季寒冷而漫长，最低温度可达-40℃，昼夜温差最大时达25℃-30℃，年均气低于-4℃，每年10月至次年4月为封冻期，降雪较少，5月份开始解冻，伴随大风、降雪，多年平均降雨量约140毫米，年蒸发量为2400余毫米。高寒、缺氧、气压低、昼夜温差大是其气候特点。矿床开采方式为露天开采，因此周期性的暴雨是矿床的主要充水因素。</w:t>
      </w:r>
    </w:p>
    <w:p w14:paraId="1D659015">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⑤水文地质勘探类型划分</w:t>
      </w:r>
    </w:p>
    <w:p w14:paraId="05E913A9">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矿山主要矿体位于当地侵蚀基准面以上，地形有利于自然排水，附近地表水不构成矿床的主要充水因素；主要充水含水层的补给条件一般，第四系覆盖面积小且薄，水文地质边界条件简单，充水含水层富水性弱，无强导水构造，无老窟水分布。</w:t>
      </w:r>
    </w:p>
    <w:p w14:paraId="5A614E26">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根据以上矿区水文地质特征，参照《矿区水文地质工程地质勘查规范》（GB/T 12719-2021）（见表</w:t>
      </w:r>
      <w:r>
        <w:rPr>
          <w:rFonts w:hint="eastAsia" w:ascii="Times New Roman" w:hAnsi="Times New Roman" w:eastAsia="华文中宋" w:cs="Times New Roman"/>
          <w:sz w:val="24"/>
          <w:highlight w:val="none"/>
          <w:lang w:val="en-US" w:eastAsia="zh-CN"/>
        </w:rPr>
        <w:t>3.1-10</w:t>
      </w:r>
      <w:r>
        <w:rPr>
          <w:rFonts w:hint="default" w:ascii="Times New Roman" w:hAnsi="Times New Roman" w:eastAsia="华文中宋" w:cs="Times New Roman"/>
          <w:sz w:val="24"/>
          <w:highlight w:val="none"/>
          <w:lang w:val="en-US" w:eastAsia="zh-CN"/>
        </w:rPr>
        <w:t>、</w:t>
      </w:r>
      <w:r>
        <w:rPr>
          <w:rFonts w:hint="eastAsia" w:ascii="Times New Roman" w:hAnsi="Times New Roman" w:eastAsia="华文中宋" w:cs="Times New Roman"/>
          <w:sz w:val="24"/>
          <w:highlight w:val="none"/>
          <w:lang w:val="en-US" w:eastAsia="zh-CN"/>
        </w:rPr>
        <w:t>3.1-11</w:t>
      </w:r>
      <w:r>
        <w:rPr>
          <w:rFonts w:hint="default" w:ascii="Times New Roman" w:hAnsi="Times New Roman" w:eastAsia="华文中宋" w:cs="Times New Roman"/>
          <w:sz w:val="24"/>
          <w:highlight w:val="none"/>
          <w:lang w:val="en-US" w:eastAsia="zh-CN"/>
        </w:rPr>
        <w:t>），划分本矿区水文地质勘查类型为第二类第一型，即以裂隙含水层充水为主的简单矿床。</w:t>
      </w:r>
    </w:p>
    <w:p w14:paraId="6EA0AB7D">
      <w:pPr>
        <w:adjustRightInd w:val="0"/>
        <w:snapToGrid w:val="0"/>
        <w:spacing w:before="250" w:beforeLines="50"/>
        <w:ind w:firstLine="422" w:firstLineChars="200"/>
        <w:jc w:val="center"/>
        <w:rPr>
          <w:rFonts w:hint="default" w:ascii="Times New Roman" w:hAnsi="Times New Roman" w:eastAsia="华文中宋" w:cs="Times New Roman"/>
          <w:b/>
          <w:szCs w:val="21"/>
          <w:highlight w:val="none"/>
          <w:lang w:val="en-US" w:eastAsia="zh-CN"/>
        </w:rPr>
      </w:pPr>
      <w:r>
        <w:rPr>
          <w:rFonts w:hint="default" w:ascii="Times New Roman" w:hAnsi="Times New Roman" w:eastAsia="华文中宋" w:cs="Times New Roman"/>
          <w:b/>
          <w:szCs w:val="21"/>
          <w:highlight w:val="none"/>
          <w:lang w:val="en-US" w:eastAsia="zh-CN"/>
        </w:rPr>
        <w:t>表3.1-</w:t>
      </w:r>
      <w:r>
        <w:rPr>
          <w:rFonts w:hint="eastAsia" w:ascii="Times New Roman" w:hAnsi="Times New Roman" w:eastAsia="华文中宋" w:cs="Times New Roman"/>
          <w:b/>
          <w:szCs w:val="21"/>
          <w:highlight w:val="none"/>
          <w:lang w:val="en-US" w:eastAsia="zh-CN"/>
        </w:rPr>
        <w:t>10</w:t>
      </w:r>
      <w:r>
        <w:rPr>
          <w:rFonts w:hint="default" w:ascii="Times New Roman" w:hAnsi="Times New Roman" w:eastAsia="华文中宋" w:cs="Times New Roman"/>
          <w:b/>
          <w:szCs w:val="21"/>
          <w:highlight w:val="none"/>
          <w:lang w:val="en-US" w:eastAsia="zh-CN"/>
        </w:rPr>
        <w:t xml:space="preserve">  矿床充水类型</w:t>
      </w:r>
    </w:p>
    <w:tbl>
      <w:tblPr>
        <w:tblStyle w:val="19"/>
        <w:tblW w:w="50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56"/>
        <w:gridCol w:w="812"/>
        <w:gridCol w:w="2824"/>
        <w:gridCol w:w="1168"/>
        <w:gridCol w:w="2593"/>
      </w:tblGrid>
      <w:tr w14:paraId="7DF4D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2" w:type="pct"/>
            <w:noWrap w:val="0"/>
            <w:vAlign w:val="center"/>
          </w:tcPr>
          <w:p w14:paraId="6E55B399">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类别</w:t>
            </w:r>
          </w:p>
        </w:tc>
        <w:tc>
          <w:tcPr>
            <w:tcW w:w="2176" w:type="pct"/>
            <w:gridSpan w:val="2"/>
            <w:noWrap w:val="0"/>
            <w:vAlign w:val="center"/>
          </w:tcPr>
          <w:p w14:paraId="306EF940">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矿床充水类型</w:t>
            </w:r>
          </w:p>
        </w:tc>
        <w:tc>
          <w:tcPr>
            <w:tcW w:w="2250" w:type="pct"/>
            <w:gridSpan w:val="2"/>
            <w:noWrap w:val="0"/>
            <w:vAlign w:val="center"/>
          </w:tcPr>
          <w:p w14:paraId="5C845386">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主要充水含水层</w:t>
            </w:r>
          </w:p>
        </w:tc>
      </w:tr>
      <w:tr w14:paraId="37892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2" w:type="pct"/>
            <w:noWrap w:val="0"/>
            <w:vAlign w:val="center"/>
          </w:tcPr>
          <w:p w14:paraId="102D4ABA">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第一类</w:t>
            </w:r>
          </w:p>
        </w:tc>
        <w:tc>
          <w:tcPr>
            <w:tcW w:w="2176" w:type="pct"/>
            <w:gridSpan w:val="2"/>
            <w:noWrap w:val="0"/>
            <w:vAlign w:val="center"/>
          </w:tcPr>
          <w:p w14:paraId="114C2FC2">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孔隙充水矿床</w:t>
            </w:r>
          </w:p>
        </w:tc>
        <w:tc>
          <w:tcPr>
            <w:tcW w:w="2250" w:type="pct"/>
            <w:gridSpan w:val="2"/>
            <w:noWrap w:val="0"/>
            <w:vAlign w:val="center"/>
          </w:tcPr>
          <w:p w14:paraId="7F81C4D7">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以孔隙含水层充水为主</w:t>
            </w:r>
          </w:p>
        </w:tc>
      </w:tr>
      <w:tr w14:paraId="19EFA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2" w:type="pct"/>
            <w:noWrap w:val="0"/>
            <w:vAlign w:val="center"/>
          </w:tcPr>
          <w:p w14:paraId="37DDFEC9">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第二类</w:t>
            </w:r>
          </w:p>
        </w:tc>
        <w:tc>
          <w:tcPr>
            <w:tcW w:w="2176" w:type="pct"/>
            <w:gridSpan w:val="2"/>
            <w:noWrap w:val="0"/>
            <w:vAlign w:val="center"/>
          </w:tcPr>
          <w:p w14:paraId="0CC74FB0">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裂隙充水矿床</w:t>
            </w:r>
          </w:p>
        </w:tc>
        <w:tc>
          <w:tcPr>
            <w:tcW w:w="2250" w:type="pct"/>
            <w:gridSpan w:val="2"/>
            <w:noWrap w:val="0"/>
            <w:vAlign w:val="center"/>
          </w:tcPr>
          <w:p w14:paraId="01A300B3">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以裂隙含水层充水为主</w:t>
            </w:r>
          </w:p>
        </w:tc>
      </w:tr>
      <w:tr w14:paraId="1B45E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2" w:type="pct"/>
            <w:vMerge w:val="restart"/>
            <w:noWrap w:val="0"/>
            <w:vAlign w:val="center"/>
          </w:tcPr>
          <w:p w14:paraId="703F5E50">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第三类</w:t>
            </w:r>
          </w:p>
        </w:tc>
        <w:tc>
          <w:tcPr>
            <w:tcW w:w="486" w:type="pct"/>
            <w:vMerge w:val="restart"/>
            <w:noWrap w:val="0"/>
            <w:vAlign w:val="center"/>
          </w:tcPr>
          <w:p w14:paraId="50A5AE68">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岩溶充水矿床</w:t>
            </w:r>
          </w:p>
        </w:tc>
        <w:tc>
          <w:tcPr>
            <w:tcW w:w="2389" w:type="pct"/>
            <w:gridSpan w:val="2"/>
            <w:noWrap w:val="0"/>
            <w:vAlign w:val="center"/>
          </w:tcPr>
          <w:p w14:paraId="38130E4A">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第一亚类：溶蚀裂隙为主的岩溶充水矿床</w:t>
            </w:r>
          </w:p>
        </w:tc>
        <w:tc>
          <w:tcPr>
            <w:tcW w:w="1551" w:type="pct"/>
            <w:vMerge w:val="restart"/>
            <w:noWrap w:val="0"/>
            <w:vAlign w:val="center"/>
          </w:tcPr>
          <w:p w14:paraId="3B7DE45F">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以岩溶含水层充水为主</w:t>
            </w:r>
          </w:p>
        </w:tc>
      </w:tr>
      <w:tr w14:paraId="6EFCB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2" w:type="pct"/>
            <w:vMerge w:val="continue"/>
            <w:noWrap w:val="0"/>
            <w:vAlign w:val="center"/>
          </w:tcPr>
          <w:p w14:paraId="7F874846">
            <w:pPr>
              <w:snapToGrid w:val="0"/>
              <w:spacing w:line="220" w:lineRule="exact"/>
              <w:jc w:val="center"/>
              <w:rPr>
                <w:rFonts w:hint="default" w:ascii="Times New Roman" w:hAnsi="Times New Roman" w:eastAsia="华文中宋" w:cs="Times New Roman"/>
                <w:snapToGrid w:val="0"/>
                <w:spacing w:val="-2"/>
                <w:szCs w:val="21"/>
                <w:highlight w:val="none"/>
                <w:lang w:val="en-US" w:eastAsia="zh-CN"/>
              </w:rPr>
            </w:pPr>
          </w:p>
        </w:tc>
        <w:tc>
          <w:tcPr>
            <w:tcW w:w="486" w:type="pct"/>
            <w:vMerge w:val="continue"/>
            <w:noWrap w:val="0"/>
            <w:vAlign w:val="center"/>
          </w:tcPr>
          <w:p w14:paraId="308888F4">
            <w:pPr>
              <w:snapToGrid w:val="0"/>
              <w:spacing w:line="220" w:lineRule="exact"/>
              <w:jc w:val="center"/>
              <w:rPr>
                <w:rFonts w:hint="default" w:ascii="Times New Roman" w:hAnsi="Times New Roman" w:eastAsia="华文中宋" w:cs="Times New Roman"/>
                <w:snapToGrid w:val="0"/>
                <w:spacing w:val="-2"/>
                <w:szCs w:val="21"/>
                <w:highlight w:val="none"/>
                <w:lang w:val="en-US" w:eastAsia="zh-CN"/>
              </w:rPr>
            </w:pPr>
          </w:p>
        </w:tc>
        <w:tc>
          <w:tcPr>
            <w:tcW w:w="2389" w:type="pct"/>
            <w:gridSpan w:val="2"/>
            <w:noWrap w:val="0"/>
            <w:vAlign w:val="center"/>
          </w:tcPr>
          <w:p w14:paraId="54A64152">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第二亚类：溶洞为主的岩溶充水矿床</w:t>
            </w:r>
          </w:p>
        </w:tc>
        <w:tc>
          <w:tcPr>
            <w:tcW w:w="1551" w:type="pct"/>
            <w:vMerge w:val="continue"/>
            <w:noWrap w:val="0"/>
            <w:vAlign w:val="center"/>
          </w:tcPr>
          <w:p w14:paraId="15738E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sz w:val="21"/>
                <w:szCs w:val="21"/>
                <w:highlight w:val="none"/>
                <w:lang w:val="en-US" w:eastAsia="zh-CN" w:bidi="ar"/>
              </w:rPr>
            </w:pPr>
          </w:p>
        </w:tc>
      </w:tr>
      <w:tr w14:paraId="0FF4B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2" w:type="pct"/>
            <w:vMerge w:val="continue"/>
            <w:noWrap w:val="0"/>
            <w:vAlign w:val="center"/>
          </w:tcPr>
          <w:p w14:paraId="74591092">
            <w:pPr>
              <w:snapToGrid w:val="0"/>
              <w:spacing w:line="220" w:lineRule="exact"/>
              <w:jc w:val="center"/>
              <w:rPr>
                <w:rFonts w:hint="default" w:ascii="Times New Roman" w:hAnsi="Times New Roman" w:eastAsia="华文中宋" w:cs="Times New Roman"/>
                <w:snapToGrid w:val="0"/>
                <w:spacing w:val="-2"/>
                <w:szCs w:val="21"/>
                <w:highlight w:val="none"/>
                <w:lang w:val="en-US" w:eastAsia="zh-CN"/>
              </w:rPr>
            </w:pPr>
          </w:p>
        </w:tc>
        <w:tc>
          <w:tcPr>
            <w:tcW w:w="486" w:type="pct"/>
            <w:vMerge w:val="continue"/>
            <w:noWrap w:val="0"/>
            <w:vAlign w:val="center"/>
          </w:tcPr>
          <w:p w14:paraId="7B2BAC86">
            <w:pPr>
              <w:snapToGrid w:val="0"/>
              <w:spacing w:line="220" w:lineRule="exact"/>
              <w:jc w:val="center"/>
              <w:rPr>
                <w:rFonts w:hint="default" w:ascii="Times New Roman" w:hAnsi="Times New Roman" w:eastAsia="华文中宋" w:cs="Times New Roman"/>
                <w:snapToGrid w:val="0"/>
                <w:spacing w:val="-2"/>
                <w:szCs w:val="21"/>
                <w:highlight w:val="none"/>
                <w:lang w:val="en-US" w:eastAsia="zh-CN"/>
              </w:rPr>
            </w:pPr>
          </w:p>
        </w:tc>
        <w:tc>
          <w:tcPr>
            <w:tcW w:w="2389" w:type="pct"/>
            <w:gridSpan w:val="2"/>
            <w:noWrap w:val="0"/>
            <w:vAlign w:val="center"/>
          </w:tcPr>
          <w:p w14:paraId="4934E7A9">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第三亚类：地下河为主的岩溶充水矿床</w:t>
            </w:r>
          </w:p>
        </w:tc>
        <w:tc>
          <w:tcPr>
            <w:tcW w:w="1551" w:type="pct"/>
            <w:vMerge w:val="continue"/>
            <w:noWrap w:val="0"/>
            <w:vAlign w:val="center"/>
          </w:tcPr>
          <w:p w14:paraId="20664A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sz w:val="21"/>
                <w:szCs w:val="21"/>
                <w:highlight w:val="none"/>
                <w:lang w:val="en-US" w:eastAsia="zh-CN" w:bidi="ar"/>
              </w:rPr>
            </w:pPr>
          </w:p>
        </w:tc>
      </w:tr>
    </w:tbl>
    <w:p w14:paraId="7D7F8D53">
      <w:pPr>
        <w:adjustRightInd w:val="0"/>
        <w:snapToGrid w:val="0"/>
        <w:spacing w:before="250" w:beforeLines="50"/>
        <w:ind w:firstLine="422" w:firstLineChars="200"/>
        <w:jc w:val="center"/>
        <w:rPr>
          <w:rFonts w:hint="default" w:ascii="Times New Roman" w:hAnsi="Times New Roman" w:eastAsia="华文中宋" w:cs="Times New Roman"/>
          <w:b/>
          <w:szCs w:val="21"/>
          <w:highlight w:val="none"/>
          <w:lang w:val="en-US" w:eastAsia="zh-CN"/>
        </w:rPr>
      </w:pPr>
      <w:r>
        <w:rPr>
          <w:rFonts w:hint="default" w:ascii="Times New Roman" w:hAnsi="Times New Roman" w:eastAsia="华文中宋" w:cs="Times New Roman"/>
          <w:b/>
          <w:szCs w:val="21"/>
          <w:highlight w:val="none"/>
          <w:lang w:val="en-US" w:eastAsia="zh-CN"/>
        </w:rPr>
        <w:t>表3.1-</w:t>
      </w:r>
      <w:r>
        <w:rPr>
          <w:rFonts w:hint="eastAsia" w:ascii="Times New Roman" w:hAnsi="Times New Roman" w:eastAsia="华文中宋" w:cs="Times New Roman"/>
          <w:b/>
          <w:szCs w:val="21"/>
          <w:highlight w:val="none"/>
          <w:lang w:val="en-US" w:eastAsia="zh-CN"/>
        </w:rPr>
        <w:t>11</w:t>
      </w:r>
      <w:r>
        <w:rPr>
          <w:rFonts w:hint="default" w:ascii="Times New Roman" w:hAnsi="Times New Roman" w:eastAsia="华文中宋" w:cs="Times New Roman"/>
          <w:b/>
          <w:szCs w:val="21"/>
          <w:highlight w:val="none"/>
          <w:lang w:val="en-US" w:eastAsia="zh-CN"/>
        </w:rPr>
        <w:t xml:space="preserve">  充水矿床复杂程度类型</w:t>
      </w:r>
    </w:p>
    <w:tbl>
      <w:tblPr>
        <w:tblStyle w:val="19"/>
        <w:tblW w:w="50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16"/>
        <w:gridCol w:w="2357"/>
        <w:gridCol w:w="1806"/>
        <w:gridCol w:w="2823"/>
      </w:tblGrid>
      <w:tr w14:paraId="6B39D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exact"/>
          <w:jc w:val="center"/>
        </w:trPr>
        <w:tc>
          <w:tcPr>
            <w:tcW w:w="1416" w:type="dxa"/>
            <w:noWrap w:val="0"/>
            <w:vAlign w:val="center"/>
          </w:tcPr>
          <w:p w14:paraId="3A346570">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划分依据</w:t>
            </w:r>
          </w:p>
        </w:tc>
        <w:tc>
          <w:tcPr>
            <w:tcW w:w="2357" w:type="dxa"/>
            <w:noWrap w:val="0"/>
            <w:vAlign w:val="center"/>
          </w:tcPr>
          <w:p w14:paraId="00B61624">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第一型水文地质条件简单矿床</w:t>
            </w:r>
          </w:p>
        </w:tc>
        <w:tc>
          <w:tcPr>
            <w:tcW w:w="1806" w:type="dxa"/>
            <w:noWrap w:val="0"/>
            <w:vAlign w:val="center"/>
          </w:tcPr>
          <w:p w14:paraId="1E36291D">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第二型水文地质条件中等矿床</w:t>
            </w:r>
          </w:p>
        </w:tc>
        <w:tc>
          <w:tcPr>
            <w:tcW w:w="2823" w:type="dxa"/>
            <w:noWrap w:val="0"/>
            <w:vAlign w:val="center"/>
          </w:tcPr>
          <w:p w14:paraId="3C001F76">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第三型水文地质条件复杂矿床</w:t>
            </w:r>
          </w:p>
        </w:tc>
      </w:tr>
      <w:tr w14:paraId="1A8E1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1416" w:type="dxa"/>
            <w:noWrap w:val="0"/>
            <w:vAlign w:val="center"/>
          </w:tcPr>
          <w:p w14:paraId="4501DA3E">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矿床的排水条件，地表水体与矿体的关系</w:t>
            </w:r>
          </w:p>
        </w:tc>
        <w:tc>
          <w:tcPr>
            <w:tcW w:w="2357" w:type="dxa"/>
            <w:noWrap w:val="0"/>
            <w:vAlign w:val="center"/>
          </w:tcPr>
          <w:p w14:paraId="2B67391F">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主要矿体位于当地侵蚀基准面以上，地形有利于自然排水；主要矿体位于当地侵蚀基准面以下，附近无地表水体</w:t>
            </w:r>
          </w:p>
        </w:tc>
        <w:tc>
          <w:tcPr>
            <w:tcW w:w="1806" w:type="dxa"/>
            <w:noWrap w:val="0"/>
            <w:vAlign w:val="center"/>
          </w:tcPr>
          <w:p w14:paraId="075B0137">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主要矿体位于当地侵蚀基准面以下，附近地表水不构成矿床的主要充水因素。</w:t>
            </w:r>
          </w:p>
        </w:tc>
        <w:tc>
          <w:tcPr>
            <w:tcW w:w="2823" w:type="dxa"/>
            <w:noWrap w:val="0"/>
            <w:vAlign w:val="center"/>
          </w:tcPr>
          <w:p w14:paraId="202B1711">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主要矿体位于当地侵蚀基准面以下，充水含水层与地表水体沟通。</w:t>
            </w:r>
          </w:p>
        </w:tc>
      </w:tr>
      <w:tr w14:paraId="7FC03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416" w:type="dxa"/>
            <w:noWrap w:val="0"/>
            <w:vAlign w:val="center"/>
          </w:tcPr>
          <w:p w14:paraId="414D5D37">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主要充水含水层的补给条件</w:t>
            </w:r>
          </w:p>
        </w:tc>
        <w:tc>
          <w:tcPr>
            <w:tcW w:w="2357" w:type="dxa"/>
            <w:noWrap w:val="0"/>
            <w:vAlign w:val="center"/>
          </w:tcPr>
          <w:p w14:paraId="63697DA1">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差</w:t>
            </w:r>
          </w:p>
        </w:tc>
        <w:tc>
          <w:tcPr>
            <w:tcW w:w="1806" w:type="dxa"/>
            <w:noWrap w:val="0"/>
            <w:vAlign w:val="center"/>
          </w:tcPr>
          <w:p w14:paraId="72431078">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一般</w:t>
            </w:r>
          </w:p>
        </w:tc>
        <w:tc>
          <w:tcPr>
            <w:tcW w:w="2823" w:type="dxa"/>
            <w:noWrap w:val="0"/>
            <w:vAlign w:val="center"/>
          </w:tcPr>
          <w:p w14:paraId="3DCA835A">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好</w:t>
            </w:r>
          </w:p>
        </w:tc>
      </w:tr>
      <w:tr w14:paraId="17CC4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16" w:type="dxa"/>
            <w:noWrap w:val="0"/>
            <w:vAlign w:val="center"/>
          </w:tcPr>
          <w:p w14:paraId="50A04F51">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第四系覆盖</w:t>
            </w:r>
          </w:p>
        </w:tc>
        <w:tc>
          <w:tcPr>
            <w:tcW w:w="2357" w:type="dxa"/>
            <w:noWrap w:val="0"/>
            <w:vAlign w:val="center"/>
          </w:tcPr>
          <w:p w14:paraId="343BEC86">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很少或无第四系覆盖</w:t>
            </w:r>
          </w:p>
        </w:tc>
        <w:tc>
          <w:tcPr>
            <w:tcW w:w="1806" w:type="dxa"/>
            <w:noWrap w:val="0"/>
            <w:vAlign w:val="center"/>
          </w:tcPr>
          <w:p w14:paraId="0E910D89">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第四系覆盖面积小且薄</w:t>
            </w:r>
          </w:p>
        </w:tc>
        <w:tc>
          <w:tcPr>
            <w:tcW w:w="2823" w:type="dxa"/>
            <w:noWrap w:val="0"/>
            <w:vAlign w:val="center"/>
          </w:tcPr>
          <w:p w14:paraId="12E35660">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第四系覆盖层厚度大，分布广</w:t>
            </w:r>
          </w:p>
        </w:tc>
      </w:tr>
      <w:tr w14:paraId="723C0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atLeast"/>
          <w:jc w:val="center"/>
        </w:trPr>
        <w:tc>
          <w:tcPr>
            <w:tcW w:w="1416" w:type="dxa"/>
            <w:noWrap w:val="0"/>
            <w:vAlign w:val="center"/>
          </w:tcPr>
          <w:p w14:paraId="312C4488">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水文地质边界条件</w:t>
            </w:r>
          </w:p>
        </w:tc>
        <w:tc>
          <w:tcPr>
            <w:tcW w:w="2357" w:type="dxa"/>
            <w:noWrap w:val="0"/>
            <w:vAlign w:val="center"/>
          </w:tcPr>
          <w:p w14:paraId="7C846C04">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简单</w:t>
            </w:r>
          </w:p>
        </w:tc>
        <w:tc>
          <w:tcPr>
            <w:tcW w:w="1806" w:type="dxa"/>
            <w:noWrap w:val="0"/>
            <w:vAlign w:val="center"/>
          </w:tcPr>
          <w:p w14:paraId="7F276A8B">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较复杂</w:t>
            </w:r>
          </w:p>
        </w:tc>
        <w:tc>
          <w:tcPr>
            <w:tcW w:w="2823" w:type="dxa"/>
            <w:noWrap w:val="0"/>
            <w:vAlign w:val="center"/>
          </w:tcPr>
          <w:p w14:paraId="7EA40DD3">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复杂</w:t>
            </w:r>
          </w:p>
        </w:tc>
      </w:tr>
      <w:tr w14:paraId="5E361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9" w:hRule="atLeast"/>
          <w:jc w:val="center"/>
        </w:trPr>
        <w:tc>
          <w:tcPr>
            <w:tcW w:w="1416" w:type="dxa"/>
            <w:noWrap w:val="0"/>
            <w:vAlign w:val="center"/>
          </w:tcPr>
          <w:p w14:paraId="348BD9F7">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充水含水层富水性</w:t>
            </w:r>
          </w:p>
        </w:tc>
        <w:tc>
          <w:tcPr>
            <w:tcW w:w="2357" w:type="dxa"/>
            <w:noWrap w:val="0"/>
            <w:vAlign w:val="center"/>
          </w:tcPr>
          <w:p w14:paraId="6495D1E6">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弱，单位涌水量q≤0.1L/（s·m）</w:t>
            </w:r>
          </w:p>
        </w:tc>
        <w:tc>
          <w:tcPr>
            <w:tcW w:w="1806" w:type="dxa"/>
            <w:noWrap w:val="0"/>
            <w:vAlign w:val="center"/>
          </w:tcPr>
          <w:p w14:paraId="75E890A5">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中等，单位涌水量0.1L/（s·m）＜q≤1.0L/（s·m）</w:t>
            </w:r>
          </w:p>
        </w:tc>
        <w:tc>
          <w:tcPr>
            <w:tcW w:w="2823" w:type="dxa"/>
            <w:noWrap w:val="0"/>
            <w:vAlign w:val="center"/>
          </w:tcPr>
          <w:p w14:paraId="390FF830">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强，单位涌水量q＞1.0L/（s·m）</w:t>
            </w:r>
          </w:p>
        </w:tc>
      </w:tr>
      <w:tr w14:paraId="1802C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2" w:hRule="atLeast"/>
          <w:jc w:val="center"/>
        </w:trPr>
        <w:tc>
          <w:tcPr>
            <w:tcW w:w="1416" w:type="dxa"/>
            <w:noWrap w:val="0"/>
            <w:vAlign w:val="center"/>
          </w:tcPr>
          <w:p w14:paraId="441BF9A0">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隔水性能</w:t>
            </w:r>
          </w:p>
        </w:tc>
        <w:tc>
          <w:tcPr>
            <w:tcW w:w="2357" w:type="dxa"/>
            <w:noWrap w:val="0"/>
            <w:vAlign w:val="center"/>
          </w:tcPr>
          <w:p w14:paraId="340BE783">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存在良好隔水层</w:t>
            </w:r>
          </w:p>
        </w:tc>
        <w:tc>
          <w:tcPr>
            <w:tcW w:w="1806" w:type="dxa"/>
            <w:noWrap w:val="0"/>
            <w:vAlign w:val="center"/>
          </w:tcPr>
          <w:p w14:paraId="2B4662C5">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无强导水构造</w:t>
            </w:r>
          </w:p>
        </w:tc>
        <w:tc>
          <w:tcPr>
            <w:tcW w:w="2823" w:type="dxa"/>
            <w:noWrap w:val="0"/>
            <w:vAlign w:val="center"/>
          </w:tcPr>
          <w:p w14:paraId="580E3675">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存在强导水构造沟通充水含水层</w:t>
            </w:r>
          </w:p>
        </w:tc>
      </w:tr>
      <w:tr w14:paraId="56FF1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exact"/>
          <w:jc w:val="center"/>
        </w:trPr>
        <w:tc>
          <w:tcPr>
            <w:tcW w:w="1416" w:type="dxa"/>
            <w:noWrap w:val="0"/>
            <w:vAlign w:val="center"/>
          </w:tcPr>
          <w:p w14:paraId="4DF85EB3">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老空水及分布状况</w:t>
            </w:r>
          </w:p>
        </w:tc>
        <w:tc>
          <w:tcPr>
            <w:tcW w:w="2357" w:type="dxa"/>
            <w:noWrap w:val="0"/>
            <w:vAlign w:val="center"/>
          </w:tcPr>
          <w:p w14:paraId="5E5D8AF0">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无老空水分布</w:t>
            </w:r>
          </w:p>
        </w:tc>
        <w:tc>
          <w:tcPr>
            <w:tcW w:w="1806" w:type="dxa"/>
            <w:noWrap w:val="0"/>
            <w:vAlign w:val="center"/>
          </w:tcPr>
          <w:p w14:paraId="7ADB7E91">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存在少量老空水。位置、范围、积水量清楚。</w:t>
            </w:r>
          </w:p>
        </w:tc>
        <w:tc>
          <w:tcPr>
            <w:tcW w:w="2823" w:type="dxa"/>
            <w:noWrap w:val="0"/>
            <w:vAlign w:val="center"/>
          </w:tcPr>
          <w:p w14:paraId="526426C4">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存在大量老空水，位置、范围、积水量不清楚</w:t>
            </w:r>
          </w:p>
        </w:tc>
      </w:tr>
      <w:tr w14:paraId="76371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1" w:hRule="exact"/>
          <w:jc w:val="center"/>
        </w:trPr>
        <w:tc>
          <w:tcPr>
            <w:tcW w:w="1416" w:type="dxa"/>
            <w:noWrap w:val="0"/>
            <w:vAlign w:val="center"/>
          </w:tcPr>
          <w:p w14:paraId="00C2E745">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疏干排水是否产生地表塌陷、沉降</w:t>
            </w:r>
          </w:p>
        </w:tc>
        <w:tc>
          <w:tcPr>
            <w:tcW w:w="2357" w:type="dxa"/>
            <w:noWrap w:val="0"/>
            <w:vAlign w:val="center"/>
          </w:tcPr>
          <w:p w14:paraId="4FFC385F">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疏干排水不会产生塌陷、沉降</w:t>
            </w:r>
          </w:p>
        </w:tc>
        <w:tc>
          <w:tcPr>
            <w:tcW w:w="1806" w:type="dxa"/>
            <w:noWrap w:val="0"/>
            <w:vAlign w:val="center"/>
          </w:tcPr>
          <w:p w14:paraId="089B36FC">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疏干排水可能产生少量塌陷</w:t>
            </w:r>
          </w:p>
        </w:tc>
        <w:tc>
          <w:tcPr>
            <w:tcW w:w="2823" w:type="dxa"/>
            <w:noWrap w:val="0"/>
            <w:vAlign w:val="center"/>
          </w:tcPr>
          <w:p w14:paraId="09AF9B74">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疏干排水可能产生大量地表塌陷、沉降</w:t>
            </w:r>
          </w:p>
        </w:tc>
      </w:tr>
    </w:tbl>
    <w:p w14:paraId="10D62F4F">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eastAsia" w:ascii="Times New Roman" w:hAnsi="Times New Roman" w:eastAsia="华文中宋" w:cs="Times New Roman"/>
          <w:sz w:val="24"/>
          <w:highlight w:val="none"/>
          <w:lang w:val="en-US" w:eastAsia="zh-CN"/>
        </w:rPr>
        <w:t>（3）</w:t>
      </w:r>
      <w:r>
        <w:rPr>
          <w:rFonts w:hint="default" w:ascii="Times New Roman" w:hAnsi="Times New Roman" w:eastAsia="华文中宋" w:cs="Times New Roman"/>
          <w:sz w:val="24"/>
          <w:highlight w:val="none"/>
          <w:lang w:val="en-US" w:eastAsia="zh-CN"/>
        </w:rPr>
        <w:t>含水岩组特性及富水性</w:t>
      </w:r>
    </w:p>
    <w:p w14:paraId="64701AF9">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根据野外地表调查、钻探情况和水文工程地质编录情况，确定矿区地下水主要是以固态形式存在于浅部地表和深部基岩裂隙中，本</w:t>
      </w:r>
      <w:r>
        <w:rPr>
          <w:rFonts w:hint="eastAsia" w:ascii="Times New Roman" w:hAnsi="Times New Roman" w:eastAsia="华文中宋" w:cs="Times New Roman"/>
          <w:sz w:val="24"/>
          <w:highlight w:val="none"/>
          <w:lang w:val="en-US" w:eastAsia="zh-CN"/>
        </w:rPr>
        <w:t>项目</w:t>
      </w:r>
      <w:r>
        <w:rPr>
          <w:rFonts w:hint="default" w:ascii="Times New Roman" w:hAnsi="Times New Roman" w:eastAsia="华文中宋" w:cs="Times New Roman"/>
          <w:sz w:val="24"/>
          <w:highlight w:val="none"/>
          <w:lang w:val="en-US" w:eastAsia="zh-CN"/>
        </w:rPr>
        <w:t>地下水类型主要为冻结层水和基岩裂隙水（碎屑岩类裂隙、孔隙水）。现将矿区含水层划分如下：</w:t>
      </w:r>
    </w:p>
    <w:p w14:paraId="51EB9DE8">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1</w:t>
      </w:r>
      <w:r>
        <w:rPr>
          <w:rFonts w:hint="eastAsia" w:ascii="Times New Roman" w:hAnsi="Times New Roman" w:eastAsia="华文中宋" w:cs="Times New Roman"/>
          <w:sz w:val="24"/>
          <w:highlight w:val="none"/>
          <w:lang w:val="en-US" w:eastAsia="zh-CN"/>
        </w:rPr>
        <w:t>）</w:t>
      </w:r>
      <w:r>
        <w:rPr>
          <w:rFonts w:hint="default" w:ascii="Times New Roman" w:hAnsi="Times New Roman" w:eastAsia="华文中宋" w:cs="Times New Roman"/>
          <w:sz w:val="24"/>
          <w:highlight w:val="none"/>
          <w:lang w:val="en-US" w:eastAsia="zh-CN"/>
        </w:rPr>
        <w:t>第四系松散岩类透水不含水层</w:t>
      </w:r>
    </w:p>
    <w:p w14:paraId="5D7D4E9C">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第四系松散岩类分布于较平缓区域，层厚多在0.5</w:t>
      </w:r>
      <w:r>
        <w:rPr>
          <w:rFonts w:hint="eastAsia" w:ascii="Times New Roman" w:hAnsi="Times New Roman" w:eastAsia="华文中宋" w:cs="Times New Roman"/>
          <w:sz w:val="24"/>
          <w:highlight w:val="none"/>
          <w:lang w:val="en-US" w:eastAsia="zh-CN"/>
        </w:rPr>
        <w:t>～</w:t>
      </w:r>
      <w:r>
        <w:rPr>
          <w:rFonts w:hint="default" w:ascii="Times New Roman" w:hAnsi="Times New Roman" w:eastAsia="华文中宋" w:cs="Times New Roman"/>
          <w:sz w:val="24"/>
          <w:highlight w:val="none"/>
          <w:lang w:val="en-US" w:eastAsia="zh-CN"/>
        </w:rPr>
        <w:t>2.0米，主要为松散砂砾石层和亚砂土组成，呈棕黄色，表层松散未胶结，深部钙质半胶结，透水性强。该层大多时间透水不含水，仅在降雨及雪融期低洼部位含少量地下水，但多以蒸发和径流方式进行排泄。</w:t>
      </w:r>
    </w:p>
    <w:p w14:paraId="3EDB443F">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2</w:t>
      </w:r>
      <w:r>
        <w:rPr>
          <w:rFonts w:hint="eastAsia" w:ascii="Times New Roman" w:hAnsi="Times New Roman" w:eastAsia="华文中宋" w:cs="Times New Roman"/>
          <w:sz w:val="24"/>
          <w:highlight w:val="none"/>
          <w:lang w:val="en-US" w:eastAsia="zh-CN"/>
        </w:rPr>
        <w:t>）</w:t>
      </w:r>
      <w:r>
        <w:rPr>
          <w:rFonts w:hint="default" w:ascii="Times New Roman" w:hAnsi="Times New Roman" w:eastAsia="华文中宋" w:cs="Times New Roman"/>
          <w:sz w:val="24"/>
          <w:highlight w:val="none"/>
          <w:lang w:val="en-US" w:eastAsia="zh-CN"/>
        </w:rPr>
        <w:t>浅部冻结层含水层</w:t>
      </w:r>
    </w:p>
    <w:p w14:paraId="28D4F07A">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根据钻孔揭露，本区冻结层分布于地表浅部，深度一般3</w:t>
      </w:r>
      <w:r>
        <w:rPr>
          <w:rFonts w:hint="eastAsia" w:ascii="Times New Roman" w:hAnsi="Times New Roman" w:eastAsia="华文中宋" w:cs="Times New Roman"/>
          <w:sz w:val="24"/>
          <w:highlight w:val="none"/>
          <w:lang w:val="en-US" w:eastAsia="zh-CN"/>
        </w:rPr>
        <w:t>～</w:t>
      </w:r>
      <w:r>
        <w:rPr>
          <w:rFonts w:hint="default" w:ascii="Times New Roman" w:hAnsi="Times New Roman" w:eastAsia="华文中宋" w:cs="Times New Roman"/>
          <w:sz w:val="24"/>
          <w:highlight w:val="none"/>
          <w:lang w:val="en-US" w:eastAsia="zh-CN"/>
        </w:rPr>
        <w:t>5米，局部最深可达6米。本区为季节性融冻结层，其冻结厚度、结构等随季节变化，一般5-10月，季节性融冻层解冻，11月至翌年4月为封冻期，含水层介质被冻实，成为冻结不透水层。</w:t>
      </w:r>
    </w:p>
    <w:p w14:paraId="3EB9031E">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3</w:t>
      </w:r>
      <w:r>
        <w:rPr>
          <w:rFonts w:hint="eastAsia" w:ascii="Times New Roman" w:hAnsi="Times New Roman" w:eastAsia="华文中宋" w:cs="Times New Roman"/>
          <w:sz w:val="24"/>
          <w:highlight w:val="none"/>
          <w:lang w:val="en-US" w:eastAsia="zh-CN"/>
        </w:rPr>
        <w:t>）</w:t>
      </w:r>
      <w:r>
        <w:rPr>
          <w:rFonts w:hint="default" w:ascii="Times New Roman" w:hAnsi="Times New Roman" w:eastAsia="华文中宋" w:cs="Times New Roman"/>
          <w:sz w:val="24"/>
          <w:highlight w:val="none"/>
          <w:lang w:val="en-US" w:eastAsia="zh-CN"/>
        </w:rPr>
        <w:t>基岩裂隙含水层（碎屑岩类裂隙、孔隙含水层）</w:t>
      </w:r>
    </w:p>
    <w:p w14:paraId="2F9523D1">
      <w:pPr>
        <w:adjustRightInd w:val="0"/>
        <w:snapToGrid w:val="0"/>
        <w:spacing w:line="500" w:lineRule="exact"/>
        <w:ind w:firstLine="480" w:firstLineChars="200"/>
        <w:jc w:val="left"/>
        <w:rPr>
          <w:rFonts w:hint="eastAsia"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矿区基岩裂隙含水层位于地表浅部冻结层含水层以下，其岩性主要由中二叠统黄羊岭组碎屑岩由中细粒岩屑砂岩、长石屑砂岩与深灰色泥质粉砂岩、粉砂质泥岩构成。</w:t>
      </w:r>
    </w:p>
    <w:p w14:paraId="7321B876">
      <w:pPr>
        <w:adjustRightInd w:val="0"/>
        <w:snapToGrid w:val="0"/>
        <w:spacing w:line="500" w:lineRule="exact"/>
        <w:ind w:firstLine="480" w:firstLineChars="200"/>
        <w:jc w:val="left"/>
        <w:rPr>
          <w:rFonts w:hint="eastAsia" w:ascii="Times New Roman" w:hAnsi="Times New Roman" w:eastAsia="华文中宋" w:cs="Times New Roman"/>
          <w:sz w:val="24"/>
          <w:highlight w:val="none"/>
          <w:lang w:val="en-US" w:eastAsia="zh-CN"/>
        </w:rPr>
      </w:pPr>
      <w:r>
        <w:rPr>
          <w:rFonts w:hint="eastAsia" w:ascii="Times New Roman" w:hAnsi="Times New Roman" w:eastAsia="华文中宋" w:cs="Times New Roman"/>
          <w:sz w:val="24"/>
          <w:highlight w:val="none"/>
          <w:lang w:val="en-US" w:eastAsia="zh-CN"/>
        </w:rPr>
        <w:t>（4）结论</w:t>
      </w:r>
    </w:p>
    <w:p w14:paraId="57F742C4">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按照地下水水力特征、赋存条件及水理性质，将勘查区地下水划分为松散堆积层孔隙水、冻结层水、基岩裂隙水三大类型。松散岩类孔隙水含水介质为第四系土层，属透水不含水层；冻结层水含水介质主要为地表浅部的松散岩类孔隙、碎屑岩中的孔隙和裂隙，水量贫乏；基岩裂隙水的含水介质主要为中二叠统黄羊岭组碎屑岩中的孔隙和裂隙，以裂隙含水为主，富水性弱。</w:t>
      </w:r>
    </w:p>
    <w:p w14:paraId="5CA9E86B">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勘查区地下水补给源主要是大气降水、冰雪融水的渗透补给，自高向低径流，径流过程中下渗补给基岩裂隙以及构造断裂带，形成裂隙水，但是补给量极少，裂隙水通过岩层裂隙通道形成地下径流，在地势低洼处下渗形成排泄区，补给勘查区低洼地区的第四系松散岩类形成孔隙水，以蒸发和蒸腾形式排泄。勘查区地下水的径流方向是自北西向南东径流。</w:t>
      </w:r>
    </w:p>
    <w:p w14:paraId="70312038">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矿山主要矿体位于当地侵蚀基准面以上，地形有利于自然排水，附近地表水不构成矿床的主要充水因素；主要充水含水层的补给条件一般，第四系覆盖面积小且薄，水文地质边界条件简单，充水含水层富水性弱，无强导水构造，无老窟水分布。根据以上矿区水文地质特征，参照《矿区水文地质工程地质勘查规范》（GB/T 12719-2021），划分本矿区水文地质勘查类型为第二类第一型，即以裂隙含水层充水为主的简单矿床。</w:t>
      </w:r>
    </w:p>
    <w:p w14:paraId="5FC50F3D">
      <w:pPr>
        <w:pStyle w:val="4"/>
        <w:spacing w:before="120" w:after="120" w:line="500" w:lineRule="exact"/>
        <w:rPr>
          <w:rFonts w:hint="default" w:ascii="Times New Roman" w:hAnsi="Times New Roman" w:eastAsia="华文中宋" w:cs="Times New Roman"/>
          <w:kern w:val="0"/>
          <w:sz w:val="24"/>
          <w:szCs w:val="24"/>
          <w:lang w:val="en-US" w:eastAsia="zh-CN"/>
        </w:rPr>
      </w:pPr>
      <w:bookmarkStart w:id="85" w:name="_Toc2052"/>
      <w:r>
        <w:rPr>
          <w:rFonts w:hint="default" w:ascii="Times New Roman" w:hAnsi="Times New Roman" w:eastAsia="华文中宋" w:cs="Times New Roman"/>
          <w:kern w:val="0"/>
          <w:sz w:val="24"/>
          <w:szCs w:val="24"/>
          <w:lang w:val="en-US" w:eastAsia="zh-CN"/>
        </w:rPr>
        <w:t>3.1.1</w:t>
      </w:r>
      <w:r>
        <w:rPr>
          <w:rFonts w:hint="eastAsia" w:ascii="Times New Roman" w:hAnsi="Times New Roman" w:eastAsia="华文中宋" w:cs="Times New Roman"/>
          <w:kern w:val="0"/>
          <w:sz w:val="24"/>
          <w:szCs w:val="24"/>
          <w:lang w:val="en-US" w:eastAsia="zh-CN"/>
        </w:rPr>
        <w:t>4</w:t>
      </w:r>
      <w:r>
        <w:rPr>
          <w:rFonts w:hint="default" w:ascii="Times New Roman" w:hAnsi="Times New Roman" w:eastAsia="华文中宋" w:cs="Times New Roman"/>
          <w:kern w:val="0"/>
          <w:sz w:val="24"/>
          <w:szCs w:val="24"/>
          <w:lang w:val="en-US" w:eastAsia="zh-CN"/>
        </w:rPr>
        <w:t>开采方案及工艺</w:t>
      </w:r>
      <w:bookmarkEnd w:id="85"/>
    </w:p>
    <w:p w14:paraId="64267C1F">
      <w:pPr>
        <w:adjustRightInd w:val="0"/>
        <w:snapToGrid w:val="0"/>
        <w:spacing w:line="500" w:lineRule="exact"/>
        <w:jc w:val="left"/>
        <w:rPr>
          <w:rFonts w:hint="default" w:ascii="Times New Roman" w:hAnsi="Times New Roman" w:eastAsia="华文中宋" w:cs="Times New Roman"/>
          <w:b/>
          <w:bCs/>
          <w:sz w:val="24"/>
          <w:lang w:val="en-US" w:eastAsia="zh-CN"/>
        </w:rPr>
      </w:pPr>
      <w:r>
        <w:rPr>
          <w:rFonts w:hint="eastAsia" w:ascii="Times New Roman" w:hAnsi="Times New Roman" w:eastAsia="华文中宋" w:cs="Times New Roman"/>
          <w:b/>
          <w:bCs/>
          <w:sz w:val="24"/>
          <w:lang w:val="en-US" w:eastAsia="zh-CN"/>
        </w:rPr>
        <w:t>3.1.14.1</w:t>
      </w:r>
      <w:r>
        <w:rPr>
          <w:rFonts w:hint="default" w:ascii="Times New Roman" w:hAnsi="Times New Roman" w:eastAsia="华文中宋" w:cs="Times New Roman"/>
          <w:b/>
          <w:bCs/>
          <w:sz w:val="24"/>
          <w:lang w:val="en-US" w:eastAsia="zh-CN"/>
        </w:rPr>
        <w:t>开采方式</w:t>
      </w:r>
    </w:p>
    <w:p w14:paraId="07A8B609">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矿区内矿体出露地表，附近地表水不构成矿床的主要充水因素，露天开采条件好。根据矿体赋存特征及地形条件，设计采用山坡</w:t>
      </w:r>
      <w:r>
        <w:rPr>
          <w:rFonts w:hint="eastAsia" w:ascii="Times New Roman" w:hAnsi="Times New Roman" w:eastAsia="华文中宋" w:cs="Times New Roman"/>
          <w:sz w:val="24"/>
          <w:lang w:val="en-US" w:eastAsia="zh-CN"/>
        </w:rPr>
        <w:t>－</w:t>
      </w:r>
      <w:r>
        <w:rPr>
          <w:rFonts w:hint="default" w:ascii="Times New Roman" w:hAnsi="Times New Roman" w:eastAsia="华文中宋" w:cs="Times New Roman"/>
          <w:sz w:val="24"/>
          <w:lang w:val="en-US" w:eastAsia="zh-CN"/>
        </w:rPr>
        <w:t>凹陷式露天开采方式。</w:t>
      </w:r>
    </w:p>
    <w:p w14:paraId="4B30DEE2">
      <w:pPr>
        <w:adjustRightInd w:val="0"/>
        <w:snapToGrid w:val="0"/>
        <w:spacing w:line="500" w:lineRule="exact"/>
        <w:jc w:val="left"/>
        <w:rPr>
          <w:rFonts w:hint="default" w:ascii="Times New Roman" w:hAnsi="Times New Roman" w:eastAsia="华文中宋" w:cs="Times New Roman"/>
          <w:sz w:val="24"/>
          <w:lang w:val="en-US" w:eastAsia="zh-CN"/>
        </w:rPr>
      </w:pPr>
      <w:r>
        <w:rPr>
          <w:rFonts w:hint="eastAsia" w:ascii="Times New Roman" w:hAnsi="Times New Roman" w:eastAsia="华文中宋" w:cs="Times New Roman"/>
          <w:b/>
          <w:bCs/>
          <w:sz w:val="24"/>
          <w:lang w:val="en-US" w:eastAsia="zh-CN"/>
        </w:rPr>
        <w:t>3.1.14.2</w:t>
      </w:r>
      <w:r>
        <w:rPr>
          <w:rFonts w:hint="default" w:ascii="Times New Roman" w:hAnsi="Times New Roman" w:eastAsia="华文中宋" w:cs="Times New Roman"/>
          <w:sz w:val="24"/>
          <w:lang w:val="en-US" w:eastAsia="zh-CN"/>
        </w:rPr>
        <w:t>开采顺序</w:t>
      </w:r>
    </w:p>
    <w:p w14:paraId="70279AA9">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矿山开采由南、北两个露天采坑组成，主要开采北露天采坑（Ⅲ</w:t>
      </w:r>
      <w:r>
        <w:rPr>
          <w:rFonts w:hint="default" w:ascii="Times New Roman" w:hAnsi="Times New Roman" w:eastAsia="华文中宋" w:cs="Times New Roman"/>
          <w:sz w:val="24"/>
          <w:vertAlign w:val="subscript"/>
          <w:lang w:val="en-US" w:eastAsia="zh-CN"/>
        </w:rPr>
        <w:t>2</w:t>
      </w:r>
      <w:r>
        <w:rPr>
          <w:rFonts w:hint="default" w:ascii="Times New Roman" w:hAnsi="Times New Roman" w:eastAsia="华文中宋" w:cs="Times New Roman"/>
          <w:sz w:val="24"/>
          <w:lang w:val="en-US" w:eastAsia="zh-CN"/>
        </w:rPr>
        <w:t>号矿体）和南露天采坑（Ⅲ</w:t>
      </w:r>
      <w:r>
        <w:rPr>
          <w:rFonts w:hint="default" w:ascii="Times New Roman" w:hAnsi="Times New Roman" w:eastAsia="华文中宋" w:cs="Times New Roman"/>
          <w:sz w:val="24"/>
          <w:vertAlign w:val="subscript"/>
          <w:lang w:val="en-US" w:eastAsia="zh-CN"/>
        </w:rPr>
        <w:t>6</w:t>
      </w:r>
      <w:r>
        <w:rPr>
          <w:rFonts w:hint="default" w:ascii="Times New Roman" w:hAnsi="Times New Roman" w:eastAsia="华文中宋" w:cs="Times New Roman"/>
          <w:sz w:val="24"/>
          <w:lang w:val="en-US" w:eastAsia="zh-CN"/>
        </w:rPr>
        <w:t>号矿体），本次扩建生产规模为12万吨/年，两个矿体采用先后分别开采。</w:t>
      </w:r>
    </w:p>
    <w:p w14:paraId="0D06B229">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首先开采Ⅲ</w:t>
      </w:r>
      <w:r>
        <w:rPr>
          <w:rFonts w:hint="default" w:ascii="Times New Roman" w:hAnsi="Times New Roman" w:eastAsia="华文中宋" w:cs="Times New Roman"/>
          <w:sz w:val="24"/>
          <w:vertAlign w:val="subscript"/>
          <w:lang w:val="en-US" w:eastAsia="zh-CN"/>
        </w:rPr>
        <w:t>2</w:t>
      </w:r>
      <w:r>
        <w:rPr>
          <w:rFonts w:hint="default" w:ascii="Times New Roman" w:hAnsi="Times New Roman" w:eastAsia="华文中宋" w:cs="Times New Roman"/>
          <w:sz w:val="24"/>
          <w:lang w:val="en-US" w:eastAsia="zh-CN"/>
        </w:rPr>
        <w:t>号矿体，生产规模为12万吨/年，服务年限为3.12年；当Ⅲ</w:t>
      </w:r>
      <w:r>
        <w:rPr>
          <w:rFonts w:hint="default" w:ascii="Times New Roman" w:hAnsi="Times New Roman" w:eastAsia="华文中宋" w:cs="Times New Roman"/>
          <w:sz w:val="24"/>
          <w:vertAlign w:val="subscript"/>
          <w:lang w:val="en-US" w:eastAsia="zh-CN"/>
        </w:rPr>
        <w:t>2</w:t>
      </w:r>
      <w:r>
        <w:rPr>
          <w:rFonts w:hint="default" w:ascii="Times New Roman" w:hAnsi="Times New Roman" w:eastAsia="华文中宋" w:cs="Times New Roman"/>
          <w:sz w:val="24"/>
          <w:lang w:val="en-US" w:eastAsia="zh-CN"/>
        </w:rPr>
        <w:t>号矿体生产结束后再开采Ⅲ</w:t>
      </w:r>
      <w:r>
        <w:rPr>
          <w:rFonts w:hint="default" w:ascii="Times New Roman" w:hAnsi="Times New Roman" w:eastAsia="华文中宋" w:cs="Times New Roman"/>
          <w:sz w:val="24"/>
          <w:vertAlign w:val="subscript"/>
          <w:lang w:val="en-US" w:eastAsia="zh-CN"/>
        </w:rPr>
        <w:t>6</w:t>
      </w:r>
      <w:r>
        <w:rPr>
          <w:rFonts w:hint="default" w:ascii="Times New Roman" w:hAnsi="Times New Roman" w:eastAsia="华文中宋" w:cs="Times New Roman"/>
          <w:sz w:val="24"/>
          <w:lang w:val="en-US" w:eastAsia="zh-CN"/>
        </w:rPr>
        <w:t>号矿体，生产规模仍为12万吨/年，服务年限为1.97年。</w:t>
      </w:r>
    </w:p>
    <w:p w14:paraId="1B40E62B">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同一个采坑内采用自上而下分台阶进行开采。</w:t>
      </w:r>
    </w:p>
    <w:p w14:paraId="631B00CE">
      <w:pPr>
        <w:adjustRightInd w:val="0"/>
        <w:snapToGrid w:val="0"/>
        <w:spacing w:line="500" w:lineRule="exact"/>
        <w:jc w:val="left"/>
        <w:rPr>
          <w:rFonts w:hint="default" w:ascii="Times New Roman" w:hAnsi="Times New Roman" w:eastAsia="华文中宋" w:cs="Times New Roman"/>
          <w:sz w:val="24"/>
          <w:lang w:val="en-US" w:eastAsia="zh-CN"/>
        </w:rPr>
      </w:pPr>
      <w:r>
        <w:rPr>
          <w:rFonts w:hint="eastAsia" w:ascii="Times New Roman" w:hAnsi="Times New Roman" w:eastAsia="华文中宋" w:cs="Times New Roman"/>
          <w:b/>
          <w:bCs/>
          <w:sz w:val="24"/>
          <w:lang w:val="en-US" w:eastAsia="zh-CN"/>
        </w:rPr>
        <w:t>3.1.14.3</w:t>
      </w:r>
      <w:r>
        <w:rPr>
          <w:rFonts w:hint="default" w:ascii="Times New Roman" w:hAnsi="Times New Roman" w:eastAsia="华文中宋" w:cs="Times New Roman"/>
          <w:sz w:val="24"/>
          <w:lang w:val="en-US" w:eastAsia="zh-CN"/>
        </w:rPr>
        <w:t>开采工艺</w:t>
      </w:r>
    </w:p>
    <w:p w14:paraId="5FCF6721">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Calibri" w:hAnsi="Calibri" w:eastAsia="华文中宋" w:cs="Calibri"/>
          <w:sz w:val="24"/>
          <w:lang w:val="en-US" w:eastAsia="zh-CN"/>
        </w:rPr>
        <w:t>（1）</w:t>
      </w:r>
      <w:r>
        <w:rPr>
          <w:rFonts w:hint="default" w:ascii="Times New Roman" w:hAnsi="Times New Roman" w:eastAsia="华文中宋" w:cs="Times New Roman"/>
          <w:sz w:val="24"/>
          <w:lang w:val="en-US" w:eastAsia="zh-CN"/>
        </w:rPr>
        <w:t>采剥方法选择</w:t>
      </w:r>
    </w:p>
    <w:p w14:paraId="352E88F4">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bookmarkStart w:id="86" w:name="_Toc99521613"/>
      <w:r>
        <w:rPr>
          <w:rFonts w:hint="default" w:ascii="Times New Roman" w:hAnsi="Times New Roman" w:eastAsia="华文中宋" w:cs="Times New Roman"/>
          <w:sz w:val="24"/>
          <w:lang w:val="en-US" w:eastAsia="zh-CN"/>
        </w:rPr>
        <w:t>根据地形地质条件、矿山生产规模及机械化程度，设计采用露天开采方式，自上而下水平分层、台阶式采矿方法。</w:t>
      </w:r>
    </w:p>
    <w:bookmarkEnd w:id="86"/>
    <w:p w14:paraId="696B908E">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bookmarkStart w:id="87" w:name="_Toc99521614"/>
      <w:r>
        <w:rPr>
          <w:rFonts w:hint="eastAsia" w:ascii="Calibri" w:hAnsi="Calibri" w:eastAsia="华文中宋" w:cs="Calibri"/>
          <w:sz w:val="24"/>
          <w:lang w:val="en-US" w:eastAsia="zh-CN"/>
        </w:rPr>
        <w:t>（2）</w:t>
      </w:r>
      <w:r>
        <w:rPr>
          <w:rFonts w:hint="default" w:ascii="Times New Roman" w:hAnsi="Times New Roman" w:eastAsia="华文中宋" w:cs="Times New Roman"/>
          <w:sz w:val="24"/>
          <w:lang w:val="en-US" w:eastAsia="zh-CN"/>
        </w:rPr>
        <w:t>工作面布置及推进方向</w:t>
      </w:r>
    </w:p>
    <w:p w14:paraId="30ED34AF">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根据地形地质条件，沿或斜交矿体走向掘开段沟，沿或斜交矿体走向布置采剥工作面，垂直或斜交矿体走向由上盘向下盘推进工作面。</w:t>
      </w:r>
    </w:p>
    <w:p w14:paraId="6EDD6455">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Calibri" w:hAnsi="Calibri" w:eastAsia="华文中宋" w:cs="Calibri"/>
          <w:sz w:val="24"/>
          <w:lang w:val="en-US" w:eastAsia="zh-CN"/>
        </w:rPr>
        <w:t>（3）</w:t>
      </w:r>
      <w:r>
        <w:rPr>
          <w:rFonts w:hint="default" w:ascii="Times New Roman" w:hAnsi="Times New Roman" w:eastAsia="华文中宋" w:cs="Times New Roman"/>
          <w:sz w:val="24"/>
          <w:lang w:val="en-US" w:eastAsia="zh-CN"/>
        </w:rPr>
        <w:t>采剥工艺</w:t>
      </w:r>
    </w:p>
    <w:p w14:paraId="421D9421">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参照类似矿山多年生产实践，矿石及剥离围岩采用爆破工艺，大理岩及剥离围岩采用履带式全气动露天潜孔钻机钻凿深孔、多排孔松动爆破、全液压挖掘机采装、自卸汽车运输生产工艺。</w:t>
      </w:r>
    </w:p>
    <w:p w14:paraId="2BFE1BC0">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Calibri" w:hAnsi="Calibri" w:eastAsia="华文中宋" w:cs="Calibri"/>
          <w:sz w:val="24"/>
          <w:lang w:val="en-US" w:eastAsia="zh-CN"/>
        </w:rPr>
        <w:t>（4）</w:t>
      </w:r>
      <w:r>
        <w:rPr>
          <w:rFonts w:hint="default" w:ascii="Times New Roman" w:hAnsi="Times New Roman" w:eastAsia="华文中宋" w:cs="Times New Roman"/>
          <w:sz w:val="24"/>
          <w:lang w:val="en-US" w:eastAsia="zh-CN"/>
        </w:rPr>
        <w:t>采场要素</w:t>
      </w:r>
      <w:bookmarkEnd w:id="87"/>
    </w:p>
    <w:p w14:paraId="0EF46782">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bookmarkStart w:id="88" w:name="_Toc99521616"/>
      <w:r>
        <w:rPr>
          <w:rFonts w:hint="default" w:ascii="Times New Roman" w:hAnsi="Times New Roman" w:eastAsia="华文中宋" w:cs="Times New Roman"/>
          <w:sz w:val="24"/>
          <w:lang w:val="en-US" w:eastAsia="zh-CN"/>
        </w:rPr>
        <w:t>工作台阶高度：12m；</w:t>
      </w:r>
    </w:p>
    <w:p w14:paraId="6F5798E1">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工作台阶坡面角：70°；</w:t>
      </w:r>
    </w:p>
    <w:bookmarkEnd w:id="88"/>
    <w:p w14:paraId="209821DD">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工作台阶最小工作平台宽度：35m；</w:t>
      </w:r>
    </w:p>
    <w:p w14:paraId="789D955D">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工作台阶最小工作线长度：90m。</w:t>
      </w:r>
    </w:p>
    <w:p w14:paraId="698BACC4">
      <w:pPr>
        <w:adjustRightInd w:val="0"/>
        <w:snapToGrid w:val="0"/>
        <w:spacing w:line="500" w:lineRule="exact"/>
        <w:jc w:val="left"/>
        <w:rPr>
          <w:rFonts w:hint="default" w:ascii="Times New Roman" w:hAnsi="Times New Roman" w:eastAsia="华文中宋" w:cs="Times New Roman"/>
          <w:sz w:val="24"/>
          <w:lang w:val="en-US" w:eastAsia="zh-CN"/>
        </w:rPr>
      </w:pPr>
      <w:r>
        <w:rPr>
          <w:rFonts w:hint="eastAsia" w:ascii="Times New Roman" w:hAnsi="Times New Roman" w:eastAsia="华文中宋" w:cs="Times New Roman"/>
          <w:b/>
          <w:bCs/>
          <w:sz w:val="24"/>
          <w:lang w:val="en-US" w:eastAsia="zh-CN"/>
        </w:rPr>
        <w:t>3.1.14.4</w:t>
      </w:r>
      <w:r>
        <w:rPr>
          <w:rFonts w:hint="default" w:ascii="Times New Roman" w:hAnsi="Times New Roman" w:eastAsia="华文中宋" w:cs="Times New Roman"/>
          <w:sz w:val="24"/>
          <w:lang w:val="en-US" w:eastAsia="zh-CN"/>
        </w:rPr>
        <w:t>项目开采量</w:t>
      </w:r>
    </w:p>
    <w:p w14:paraId="0D39849C">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Calibri" w:hAnsi="Calibri" w:eastAsia="华文中宋" w:cs="Calibri"/>
          <w:sz w:val="24"/>
          <w:lang w:val="en-US" w:eastAsia="zh-CN"/>
        </w:rPr>
        <w:t>（1）</w:t>
      </w:r>
      <w:r>
        <w:rPr>
          <w:rFonts w:hint="default" w:ascii="Times New Roman" w:hAnsi="Times New Roman" w:eastAsia="华文中宋" w:cs="Times New Roman"/>
          <w:sz w:val="24"/>
          <w:lang w:val="en-US" w:eastAsia="zh-CN"/>
        </w:rPr>
        <w:t>年剥离量</w:t>
      </w:r>
    </w:p>
    <w:p w14:paraId="667EE0D1">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开采境界内平均剥采比7.72∶1t/t，矿山生产剥采比取7.8∶1t/t。经计算，年剥离岩石量93.60万t。</w:t>
      </w:r>
    </w:p>
    <w:p w14:paraId="28017B4D">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Calibri" w:hAnsi="Calibri" w:eastAsia="华文中宋" w:cs="Calibri"/>
          <w:sz w:val="24"/>
          <w:lang w:val="en-US" w:eastAsia="zh-CN"/>
        </w:rPr>
        <w:t>（2）</w:t>
      </w:r>
      <w:r>
        <w:rPr>
          <w:rFonts w:hint="default" w:ascii="Times New Roman" w:hAnsi="Times New Roman" w:eastAsia="华文中宋" w:cs="Times New Roman"/>
          <w:sz w:val="24"/>
          <w:lang w:val="en-US" w:eastAsia="zh-CN"/>
        </w:rPr>
        <w:t>年、日、班采剥量</w:t>
      </w:r>
    </w:p>
    <w:p w14:paraId="481A9CD5">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设计矿山年采剥总量105.6万t，年、日、班采剥量详见表3.1-1</w:t>
      </w:r>
      <w:r>
        <w:rPr>
          <w:rFonts w:hint="eastAsia" w:ascii="Times New Roman" w:hAnsi="Times New Roman" w:eastAsia="华文中宋" w:cs="Times New Roman"/>
          <w:sz w:val="24"/>
          <w:lang w:val="en-US" w:eastAsia="zh-CN"/>
        </w:rPr>
        <w:t>2</w:t>
      </w:r>
      <w:r>
        <w:rPr>
          <w:rFonts w:hint="default" w:ascii="Times New Roman" w:hAnsi="Times New Roman" w:eastAsia="华文中宋" w:cs="Times New Roman"/>
          <w:sz w:val="24"/>
          <w:lang w:val="en-US" w:eastAsia="zh-CN"/>
        </w:rPr>
        <w:t>。</w:t>
      </w:r>
    </w:p>
    <w:p w14:paraId="247C8E84">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表3.1-1</w:t>
      </w:r>
      <w:r>
        <w:rPr>
          <w:rFonts w:hint="eastAsia" w:ascii="Times New Roman" w:hAnsi="Times New Roman" w:eastAsia="华文中宋" w:cs="Times New Roman"/>
          <w:b/>
          <w:szCs w:val="21"/>
          <w:lang w:val="en-US" w:eastAsia="zh-CN"/>
        </w:rPr>
        <w:t>2</w:t>
      </w:r>
      <w:r>
        <w:rPr>
          <w:rFonts w:hint="default" w:ascii="Times New Roman" w:hAnsi="Times New Roman" w:eastAsia="华文中宋" w:cs="Times New Roman"/>
          <w:b/>
          <w:szCs w:val="21"/>
          <w:lang w:val="en-US" w:eastAsia="zh-CN"/>
        </w:rPr>
        <w:t xml:space="preserve">  年、日、班采矿量表</w:t>
      </w:r>
    </w:p>
    <w:tbl>
      <w:tblPr>
        <w:tblStyle w:val="19"/>
        <w:tblW w:w="5000" w:type="pct"/>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858"/>
        <w:gridCol w:w="1974"/>
        <w:gridCol w:w="2136"/>
        <w:gridCol w:w="2348"/>
      </w:tblGrid>
      <w:tr w14:paraId="5CDC1007">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292" w:hRule="atLeast"/>
          <w:jc w:val="center"/>
        </w:trPr>
        <w:tc>
          <w:tcPr>
            <w:tcW w:w="1117" w:type="pct"/>
            <w:tcBorders>
              <w:top w:val="single" w:color="auto" w:sz="4" w:space="0"/>
              <w:left w:val="single" w:color="auto" w:sz="4" w:space="0"/>
              <w:bottom w:val="single" w:color="auto" w:sz="4" w:space="0"/>
              <w:right w:val="single" w:color="auto" w:sz="4" w:space="0"/>
            </w:tcBorders>
            <w:noWrap w:val="0"/>
            <w:vAlign w:val="center"/>
          </w:tcPr>
          <w:p w14:paraId="741A2D7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时  间</w:t>
            </w:r>
          </w:p>
        </w:tc>
        <w:tc>
          <w:tcPr>
            <w:tcW w:w="1187" w:type="pct"/>
            <w:tcBorders>
              <w:top w:val="single" w:color="auto" w:sz="4" w:space="0"/>
              <w:left w:val="single" w:color="auto" w:sz="4" w:space="0"/>
              <w:bottom w:val="single" w:color="auto" w:sz="4" w:space="0"/>
              <w:right w:val="single" w:color="auto" w:sz="4" w:space="0"/>
            </w:tcBorders>
            <w:noWrap w:val="0"/>
            <w:vAlign w:val="center"/>
          </w:tcPr>
          <w:p w14:paraId="1371614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年</w:t>
            </w:r>
          </w:p>
        </w:tc>
        <w:tc>
          <w:tcPr>
            <w:tcW w:w="1284" w:type="pct"/>
            <w:tcBorders>
              <w:top w:val="single" w:color="auto" w:sz="4" w:space="0"/>
              <w:left w:val="single" w:color="auto" w:sz="4" w:space="0"/>
              <w:bottom w:val="single" w:color="auto" w:sz="4" w:space="0"/>
              <w:right w:val="single" w:color="auto" w:sz="4" w:space="0"/>
            </w:tcBorders>
            <w:noWrap w:val="0"/>
            <w:vAlign w:val="center"/>
          </w:tcPr>
          <w:p w14:paraId="3B3C63E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日</w:t>
            </w:r>
          </w:p>
        </w:tc>
        <w:tc>
          <w:tcPr>
            <w:tcW w:w="1412" w:type="pct"/>
            <w:tcBorders>
              <w:top w:val="single" w:color="auto" w:sz="4" w:space="0"/>
              <w:left w:val="single" w:color="auto" w:sz="4" w:space="0"/>
              <w:bottom w:val="single" w:color="auto" w:sz="4" w:space="0"/>
              <w:right w:val="single" w:color="auto" w:sz="4" w:space="0"/>
            </w:tcBorders>
            <w:noWrap w:val="0"/>
            <w:vAlign w:val="center"/>
          </w:tcPr>
          <w:p w14:paraId="34986F3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班</w:t>
            </w:r>
          </w:p>
        </w:tc>
      </w:tr>
      <w:tr w14:paraId="69D526C7">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278" w:hRule="atLeast"/>
          <w:jc w:val="center"/>
        </w:trPr>
        <w:tc>
          <w:tcPr>
            <w:tcW w:w="1117" w:type="pct"/>
            <w:tcBorders>
              <w:top w:val="single" w:color="auto" w:sz="4" w:space="0"/>
              <w:left w:val="single" w:color="auto" w:sz="4" w:space="0"/>
              <w:bottom w:val="single" w:color="auto" w:sz="4" w:space="0"/>
              <w:right w:val="single" w:color="auto" w:sz="4" w:space="0"/>
            </w:tcBorders>
            <w:noWrap w:val="0"/>
            <w:vAlign w:val="center"/>
          </w:tcPr>
          <w:p w14:paraId="0188D4A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矿石（t）</w:t>
            </w:r>
          </w:p>
        </w:tc>
        <w:tc>
          <w:tcPr>
            <w:tcW w:w="1187" w:type="pct"/>
            <w:tcBorders>
              <w:top w:val="single" w:color="auto" w:sz="4" w:space="0"/>
              <w:left w:val="single" w:color="auto" w:sz="4" w:space="0"/>
              <w:bottom w:val="single" w:color="auto" w:sz="4" w:space="0"/>
              <w:right w:val="single" w:color="auto" w:sz="4" w:space="0"/>
            </w:tcBorders>
            <w:noWrap w:val="0"/>
            <w:vAlign w:val="center"/>
          </w:tcPr>
          <w:p w14:paraId="722B629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120000</w:t>
            </w:r>
          </w:p>
        </w:tc>
        <w:tc>
          <w:tcPr>
            <w:tcW w:w="1284" w:type="pct"/>
            <w:tcBorders>
              <w:top w:val="single" w:color="auto" w:sz="4" w:space="0"/>
              <w:left w:val="single" w:color="auto" w:sz="4" w:space="0"/>
              <w:bottom w:val="single" w:color="auto" w:sz="4" w:space="0"/>
              <w:right w:val="single" w:color="auto" w:sz="4" w:space="0"/>
            </w:tcBorders>
            <w:noWrap w:val="0"/>
            <w:vAlign w:val="center"/>
          </w:tcPr>
          <w:p w14:paraId="19BDBC3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600</w:t>
            </w:r>
          </w:p>
        </w:tc>
        <w:tc>
          <w:tcPr>
            <w:tcW w:w="2348" w:type="dxa"/>
            <w:tcBorders>
              <w:top w:val="single" w:color="auto" w:sz="4" w:space="0"/>
              <w:left w:val="single" w:color="auto" w:sz="4" w:space="0"/>
              <w:bottom w:val="single" w:color="auto" w:sz="4" w:space="0"/>
              <w:right w:val="single" w:color="auto" w:sz="4" w:space="0"/>
            </w:tcBorders>
            <w:noWrap w:val="0"/>
            <w:vAlign w:val="center"/>
          </w:tcPr>
          <w:p w14:paraId="30EB0E3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300</w:t>
            </w:r>
          </w:p>
        </w:tc>
      </w:tr>
      <w:tr w14:paraId="541CB6D3">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220" w:hRule="atLeast"/>
          <w:jc w:val="center"/>
        </w:trPr>
        <w:tc>
          <w:tcPr>
            <w:tcW w:w="1117" w:type="pct"/>
            <w:tcBorders>
              <w:top w:val="single" w:color="auto" w:sz="4" w:space="0"/>
              <w:left w:val="single" w:color="auto" w:sz="4" w:space="0"/>
              <w:bottom w:val="single" w:color="auto" w:sz="4" w:space="0"/>
              <w:right w:val="single" w:color="auto" w:sz="4" w:space="0"/>
            </w:tcBorders>
            <w:noWrap w:val="0"/>
            <w:vAlign w:val="center"/>
          </w:tcPr>
          <w:p w14:paraId="1F289B6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岩石（t）</w:t>
            </w:r>
          </w:p>
        </w:tc>
        <w:tc>
          <w:tcPr>
            <w:tcW w:w="1187" w:type="pct"/>
            <w:tcBorders>
              <w:top w:val="single" w:color="auto" w:sz="4" w:space="0"/>
              <w:left w:val="single" w:color="auto" w:sz="4" w:space="0"/>
              <w:bottom w:val="single" w:color="auto" w:sz="4" w:space="0"/>
              <w:right w:val="single" w:color="auto" w:sz="4" w:space="0"/>
            </w:tcBorders>
            <w:noWrap w:val="0"/>
            <w:vAlign w:val="center"/>
          </w:tcPr>
          <w:p w14:paraId="7DC3FF6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936000</w:t>
            </w:r>
          </w:p>
        </w:tc>
        <w:tc>
          <w:tcPr>
            <w:tcW w:w="1284" w:type="pct"/>
            <w:tcBorders>
              <w:top w:val="single" w:color="auto" w:sz="4" w:space="0"/>
              <w:left w:val="single" w:color="auto" w:sz="4" w:space="0"/>
              <w:bottom w:val="single" w:color="auto" w:sz="4" w:space="0"/>
              <w:right w:val="single" w:color="auto" w:sz="4" w:space="0"/>
            </w:tcBorders>
            <w:noWrap w:val="0"/>
            <w:vAlign w:val="center"/>
          </w:tcPr>
          <w:p w14:paraId="2D75077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4680</w:t>
            </w:r>
          </w:p>
        </w:tc>
        <w:tc>
          <w:tcPr>
            <w:tcW w:w="2348" w:type="dxa"/>
            <w:tcBorders>
              <w:top w:val="single" w:color="auto" w:sz="4" w:space="0"/>
              <w:left w:val="single" w:color="auto" w:sz="4" w:space="0"/>
              <w:bottom w:val="single" w:color="auto" w:sz="4" w:space="0"/>
              <w:right w:val="single" w:color="auto" w:sz="4" w:space="0"/>
            </w:tcBorders>
            <w:noWrap w:val="0"/>
            <w:vAlign w:val="center"/>
          </w:tcPr>
          <w:p w14:paraId="514885D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2340</w:t>
            </w:r>
          </w:p>
        </w:tc>
      </w:tr>
      <w:tr w14:paraId="52D7BA51">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206" w:hRule="atLeast"/>
          <w:jc w:val="center"/>
        </w:trPr>
        <w:tc>
          <w:tcPr>
            <w:tcW w:w="1117" w:type="pct"/>
            <w:tcBorders>
              <w:top w:val="single" w:color="auto" w:sz="4" w:space="0"/>
              <w:left w:val="single" w:color="auto" w:sz="4" w:space="0"/>
              <w:bottom w:val="single" w:color="auto" w:sz="4" w:space="0"/>
              <w:right w:val="single" w:color="auto" w:sz="4" w:space="0"/>
            </w:tcBorders>
            <w:noWrap w:val="0"/>
            <w:vAlign w:val="center"/>
          </w:tcPr>
          <w:p w14:paraId="1113AA4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合计（t）</w:t>
            </w:r>
          </w:p>
        </w:tc>
        <w:tc>
          <w:tcPr>
            <w:tcW w:w="1187" w:type="pct"/>
            <w:tcBorders>
              <w:top w:val="single" w:color="auto" w:sz="4" w:space="0"/>
              <w:left w:val="single" w:color="auto" w:sz="4" w:space="0"/>
              <w:bottom w:val="single" w:color="auto" w:sz="4" w:space="0"/>
              <w:right w:val="single" w:color="auto" w:sz="4" w:space="0"/>
            </w:tcBorders>
            <w:noWrap w:val="0"/>
            <w:vAlign w:val="center"/>
          </w:tcPr>
          <w:p w14:paraId="5836AB8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1056000</w:t>
            </w:r>
          </w:p>
        </w:tc>
        <w:tc>
          <w:tcPr>
            <w:tcW w:w="1284" w:type="pct"/>
            <w:tcBorders>
              <w:top w:val="single" w:color="auto" w:sz="4" w:space="0"/>
              <w:left w:val="single" w:color="auto" w:sz="4" w:space="0"/>
              <w:bottom w:val="single" w:color="auto" w:sz="4" w:space="0"/>
              <w:right w:val="single" w:color="auto" w:sz="4" w:space="0"/>
            </w:tcBorders>
            <w:noWrap w:val="0"/>
            <w:vAlign w:val="center"/>
          </w:tcPr>
          <w:p w14:paraId="1D6307E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5280</w:t>
            </w:r>
          </w:p>
        </w:tc>
        <w:tc>
          <w:tcPr>
            <w:tcW w:w="2348" w:type="dxa"/>
            <w:tcBorders>
              <w:top w:val="single" w:color="auto" w:sz="4" w:space="0"/>
              <w:left w:val="single" w:color="auto" w:sz="4" w:space="0"/>
              <w:bottom w:val="single" w:color="auto" w:sz="4" w:space="0"/>
              <w:right w:val="single" w:color="auto" w:sz="4" w:space="0"/>
            </w:tcBorders>
            <w:noWrap w:val="0"/>
            <w:vAlign w:val="center"/>
          </w:tcPr>
          <w:p w14:paraId="7EB1567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2640</w:t>
            </w:r>
          </w:p>
        </w:tc>
      </w:tr>
    </w:tbl>
    <w:p w14:paraId="7C947B20">
      <w:pPr>
        <w:pStyle w:val="4"/>
        <w:spacing w:before="120" w:after="120" w:line="500" w:lineRule="exact"/>
        <w:rPr>
          <w:rFonts w:hint="eastAsia" w:ascii="Times New Roman" w:hAnsi="Times New Roman" w:eastAsia="华文中宋" w:cs="Times New Roman"/>
          <w:kern w:val="0"/>
          <w:sz w:val="24"/>
          <w:szCs w:val="24"/>
          <w:lang w:val="en-US" w:eastAsia="zh-CN"/>
        </w:rPr>
      </w:pPr>
      <w:bookmarkStart w:id="89" w:name="_Toc29490"/>
      <w:bookmarkStart w:id="90" w:name="_Toc27420"/>
      <w:r>
        <w:rPr>
          <w:rFonts w:hint="eastAsia" w:ascii="Times New Roman" w:hAnsi="Times New Roman" w:eastAsia="华文中宋" w:cs="Times New Roman"/>
          <w:kern w:val="0"/>
          <w:sz w:val="24"/>
          <w:szCs w:val="24"/>
          <w:lang w:val="en-US" w:eastAsia="zh-CN"/>
        </w:rPr>
        <w:t>3.1.15露天矿防排水</w:t>
      </w:r>
      <w:bookmarkEnd w:id="89"/>
    </w:p>
    <w:p w14:paraId="17823559">
      <w:pPr>
        <w:adjustRightInd w:val="0"/>
        <w:snapToGrid w:val="0"/>
        <w:spacing w:line="500" w:lineRule="exact"/>
        <w:jc w:val="left"/>
        <w:rPr>
          <w:rFonts w:hint="default" w:ascii="Times New Roman" w:hAnsi="Times New Roman" w:eastAsia="华文中宋" w:cs="Times New Roman"/>
          <w:b/>
          <w:bCs/>
          <w:sz w:val="24"/>
          <w:lang w:val="en-US" w:eastAsia="zh-CN"/>
        </w:rPr>
      </w:pPr>
      <w:r>
        <w:rPr>
          <w:rFonts w:hint="eastAsia" w:ascii="Times New Roman" w:hAnsi="Times New Roman" w:eastAsia="华文中宋" w:cs="Times New Roman"/>
          <w:b/>
          <w:bCs/>
          <w:sz w:val="24"/>
          <w:lang w:val="en-US" w:eastAsia="zh-CN"/>
        </w:rPr>
        <w:t>3.1.15.1</w:t>
      </w:r>
      <w:r>
        <w:rPr>
          <w:rFonts w:hint="default" w:ascii="Times New Roman" w:hAnsi="Times New Roman" w:eastAsia="华文中宋" w:cs="Times New Roman"/>
          <w:b/>
          <w:bCs/>
          <w:sz w:val="24"/>
          <w:lang w:val="en-US" w:eastAsia="zh-CN"/>
        </w:rPr>
        <w:t>矿山防排水条件</w:t>
      </w:r>
    </w:p>
    <w:p w14:paraId="6F7A57BC">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矿区地处高寒山区，为典型大陆性气候，多风少雨，最高气温仅20-25℃，最低温度可达-40℃，年均气低于-4℃。10月至次年4月为封冻期，降雪较少，5月份开始解冻，7-8月为雨季，多年平均降雨量约140mm，年蒸发量为2400余mm，蒸发量大于降水量近17倍。4-7月份为风季，多为西北风，风力一般4-5级，最大8级。高寒、缺氧、气压低、昼夜温差大是其气候特点。</w:t>
      </w:r>
    </w:p>
    <w:p w14:paraId="546FBF10">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矿区位于东昆仑山西段，地形北高南低，海拔一般5100.31</w:t>
      </w:r>
      <w:r>
        <w:rPr>
          <w:rFonts w:hint="eastAsia" w:ascii="Times New Roman" w:hAnsi="Times New Roman" w:eastAsia="华文中宋" w:cs="Times New Roman"/>
          <w:sz w:val="24"/>
          <w:lang w:val="en-US" w:eastAsia="zh-CN"/>
        </w:rPr>
        <w:t>～</w:t>
      </w:r>
      <w:r>
        <w:rPr>
          <w:rFonts w:hint="default" w:ascii="Times New Roman" w:hAnsi="Times New Roman" w:eastAsia="华文中宋" w:cs="Times New Roman"/>
          <w:sz w:val="24"/>
          <w:lang w:val="en-US" w:eastAsia="zh-CN"/>
        </w:rPr>
        <w:t>5152.93m之间，相对高差52.62m，地形坡度不大，但小型沟谷较发育，有利于春夏季冰雪融化及降雨产生的地表径流排泄。矿区内无常年流水，地表多为基岩裸露，植被稀少，基本呈现荒漠及秃山景观。</w:t>
      </w:r>
    </w:p>
    <w:p w14:paraId="6E5D95C4">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矿区南部有两处洼地水塘，水塘</w:t>
      </w:r>
      <w:r>
        <w:rPr>
          <w:rFonts w:hint="eastAsia" w:ascii="Times New Roman" w:hAnsi="Times New Roman" w:eastAsia="华文中宋" w:cs="Times New Roman"/>
          <w:sz w:val="24"/>
          <w:lang w:val="en-US" w:eastAsia="zh-CN"/>
        </w:rPr>
        <w:t>1#</w:t>
      </w:r>
      <w:r>
        <w:rPr>
          <w:rFonts w:hint="default" w:ascii="Times New Roman" w:hAnsi="Times New Roman" w:eastAsia="华文中宋" w:cs="Times New Roman"/>
          <w:sz w:val="24"/>
          <w:lang w:val="en-US" w:eastAsia="zh-CN"/>
        </w:rPr>
        <w:t>位于矿区南部，水面东西最大长度120m，南北最</w:t>
      </w:r>
      <w:r>
        <w:rPr>
          <w:rFonts w:hint="default" w:ascii="Times New Roman" w:hAnsi="Times New Roman" w:eastAsia="华文中宋" w:cs="Times New Roman"/>
          <w:sz w:val="24"/>
          <w:highlight w:val="none"/>
          <w:lang w:val="en-US" w:eastAsia="zh-CN"/>
        </w:rPr>
        <w:t>大宽度48m，水面面积约5000</w:t>
      </w:r>
      <w:r>
        <w:rPr>
          <w:rFonts w:hint="eastAsia" w:ascii="Times New Roman" w:hAnsi="Times New Roman" w:eastAsia="华文中宋" w:cs="Times New Roman"/>
          <w:sz w:val="24"/>
          <w:highlight w:val="none"/>
          <w:lang w:val="en-US" w:eastAsia="zh-CN"/>
        </w:rPr>
        <w:t>m</w:t>
      </w:r>
      <w:r>
        <w:rPr>
          <w:rFonts w:hint="eastAsia" w:ascii="Times New Roman" w:hAnsi="Times New Roman" w:eastAsia="华文中宋" w:cs="Times New Roman"/>
          <w:sz w:val="24"/>
          <w:highlight w:val="none"/>
          <w:vertAlign w:val="superscript"/>
          <w:lang w:val="en-US" w:eastAsia="zh-CN"/>
        </w:rPr>
        <w:t>2</w:t>
      </w:r>
      <w:r>
        <w:rPr>
          <w:rFonts w:hint="default" w:ascii="Times New Roman" w:hAnsi="Times New Roman" w:eastAsia="华文中宋" w:cs="Times New Roman"/>
          <w:sz w:val="24"/>
          <w:highlight w:val="none"/>
          <w:lang w:val="en-US" w:eastAsia="zh-CN"/>
        </w:rPr>
        <w:t>，最大水深1.2m，水面标高5108m。水塘</w:t>
      </w:r>
      <w:r>
        <w:rPr>
          <w:rFonts w:hint="eastAsia" w:ascii="Times New Roman" w:hAnsi="Times New Roman" w:eastAsia="华文中宋" w:cs="Times New Roman"/>
          <w:sz w:val="24"/>
          <w:highlight w:val="none"/>
          <w:lang w:val="en-US" w:eastAsia="zh-CN"/>
        </w:rPr>
        <w:t>2#</w:t>
      </w:r>
      <w:r>
        <w:rPr>
          <w:rFonts w:hint="default" w:ascii="Times New Roman" w:hAnsi="Times New Roman" w:eastAsia="华文中宋" w:cs="Times New Roman"/>
          <w:sz w:val="24"/>
          <w:highlight w:val="none"/>
          <w:lang w:val="en-US" w:eastAsia="zh-CN"/>
        </w:rPr>
        <w:t>位于矿区东南部，东距水塘</w:t>
      </w:r>
      <w:r>
        <w:rPr>
          <w:rFonts w:hint="eastAsia" w:ascii="Times New Roman" w:hAnsi="Times New Roman" w:eastAsia="华文中宋" w:cs="Times New Roman"/>
          <w:sz w:val="24"/>
          <w:highlight w:val="none"/>
          <w:lang w:val="en-US" w:eastAsia="zh-CN"/>
        </w:rPr>
        <w:t>1#</w:t>
      </w:r>
      <w:r>
        <w:rPr>
          <w:rFonts w:hint="default" w:ascii="Times New Roman" w:hAnsi="Times New Roman" w:eastAsia="华文中宋" w:cs="Times New Roman"/>
          <w:sz w:val="24"/>
          <w:highlight w:val="none"/>
          <w:lang w:val="en-US" w:eastAsia="zh-CN"/>
        </w:rPr>
        <w:t>250m，水面东西最大长度100m，南北最大宽度70m，水面面积约6000</w:t>
      </w:r>
      <w:r>
        <w:rPr>
          <w:rFonts w:hint="eastAsia" w:ascii="Times New Roman" w:hAnsi="Times New Roman" w:eastAsia="华文中宋" w:cs="Times New Roman"/>
          <w:sz w:val="24"/>
          <w:highlight w:val="none"/>
          <w:lang w:val="en-US" w:eastAsia="zh-CN"/>
        </w:rPr>
        <w:t>m</w:t>
      </w:r>
      <w:r>
        <w:rPr>
          <w:rFonts w:hint="eastAsia" w:ascii="Times New Roman" w:hAnsi="Times New Roman" w:eastAsia="华文中宋" w:cs="Times New Roman"/>
          <w:sz w:val="24"/>
          <w:highlight w:val="none"/>
          <w:vertAlign w:val="superscript"/>
          <w:lang w:val="en-US" w:eastAsia="zh-CN"/>
        </w:rPr>
        <w:t>2</w:t>
      </w:r>
      <w:r>
        <w:rPr>
          <w:rFonts w:hint="default" w:ascii="Times New Roman" w:hAnsi="Times New Roman" w:eastAsia="华文中宋" w:cs="Times New Roman"/>
          <w:sz w:val="24"/>
          <w:highlight w:val="none"/>
          <w:lang w:val="en-US" w:eastAsia="zh-CN"/>
        </w:rPr>
        <w:t>，最大水深1.0m，水</w:t>
      </w:r>
      <w:r>
        <w:rPr>
          <w:rFonts w:hint="default" w:ascii="Times New Roman" w:hAnsi="Times New Roman" w:eastAsia="华文中宋" w:cs="Times New Roman"/>
          <w:sz w:val="24"/>
          <w:lang w:val="en-US" w:eastAsia="zh-CN"/>
        </w:rPr>
        <w:t>面标高5102m。水塘的补给水源主要来自春季矿区及周边的冰雪融水，夏季雨雪补给量较少</w:t>
      </w:r>
      <w:r>
        <w:rPr>
          <w:rFonts w:hint="eastAsia" w:ascii="Times New Roman" w:hAnsi="Times New Roman" w:eastAsia="华文中宋" w:cs="Times New Roman"/>
          <w:sz w:val="24"/>
          <w:lang w:val="en-US" w:eastAsia="zh-CN"/>
        </w:rPr>
        <w:t>，融水汇集至矿区两处低洼处，形成水塘</w:t>
      </w:r>
      <w:r>
        <w:rPr>
          <w:rFonts w:hint="default" w:ascii="Times New Roman" w:hAnsi="Times New Roman" w:eastAsia="华文中宋" w:cs="Times New Roman"/>
          <w:sz w:val="24"/>
          <w:lang w:val="en-US" w:eastAsia="zh-CN"/>
        </w:rPr>
        <w:t>。</w:t>
      </w:r>
    </w:p>
    <w:p w14:paraId="32E902E8">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在矿区东侧约0.6km处发育有季节性河流盼水河</w:t>
      </w:r>
      <w:r>
        <w:rPr>
          <w:rFonts w:hint="eastAsia" w:ascii="Times New Roman" w:hAnsi="Times New Roman" w:eastAsia="华文中宋" w:cs="Times New Roman"/>
          <w:sz w:val="24"/>
          <w:lang w:val="en-US" w:eastAsia="zh-CN"/>
        </w:rPr>
        <w:t>支流</w:t>
      </w:r>
      <w:r>
        <w:rPr>
          <w:rFonts w:hint="default" w:ascii="Times New Roman" w:hAnsi="Times New Roman" w:eastAsia="华文中宋" w:cs="Times New Roman"/>
          <w:sz w:val="24"/>
          <w:lang w:val="en-US" w:eastAsia="zh-CN"/>
        </w:rPr>
        <w:t>，自南向北流经，距离矿区最近河段高程为5098m，为冰雪</w:t>
      </w:r>
      <w:r>
        <w:rPr>
          <w:rFonts w:hint="eastAsia" w:ascii="Times New Roman" w:hAnsi="Times New Roman" w:eastAsia="华文中宋" w:cs="Times New Roman"/>
          <w:sz w:val="24"/>
          <w:lang w:val="en-US" w:eastAsia="zh-CN"/>
        </w:rPr>
        <w:t>融化型</w:t>
      </w:r>
      <w:r>
        <w:rPr>
          <w:rFonts w:hint="default" w:ascii="Times New Roman" w:hAnsi="Times New Roman" w:eastAsia="华文中宋" w:cs="Times New Roman"/>
          <w:sz w:val="24"/>
          <w:lang w:val="en-US" w:eastAsia="zh-CN"/>
        </w:rPr>
        <w:t>河流，4-10月平均流量约0.38m</w:t>
      </w:r>
      <w:r>
        <w:rPr>
          <w:rFonts w:hint="default" w:ascii="Times New Roman" w:hAnsi="Times New Roman" w:eastAsia="华文中宋" w:cs="Times New Roman"/>
          <w:sz w:val="24"/>
          <w:vertAlign w:val="superscript"/>
          <w:lang w:val="en-US" w:eastAsia="zh-CN"/>
        </w:rPr>
        <w:t>3</w:t>
      </w:r>
      <w:r>
        <w:rPr>
          <w:rFonts w:hint="default" w:ascii="Times New Roman" w:hAnsi="Times New Roman" w:eastAsia="华文中宋" w:cs="Times New Roman"/>
          <w:sz w:val="24"/>
          <w:lang w:val="en-US" w:eastAsia="zh-CN"/>
        </w:rPr>
        <w:t>/s。</w:t>
      </w:r>
    </w:p>
    <w:p w14:paraId="762D25C2">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可见当地降雨、降雪量小，地表水系不发育。</w:t>
      </w:r>
    </w:p>
    <w:p w14:paraId="64B84164">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矿区北露天采场距离盼水河支流950m，南露天采场距离盼水河支流1100m，采场最低开采标高均为5088m，低于河流水面标高，高差10m。因河流距离露天采场距离较远，且之间地层透水能力差，矿床充水因素可不考虑河流补给。</w:t>
      </w:r>
    </w:p>
    <w:p w14:paraId="7ECD7709">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矿区开采方式为露天开采，矿区开采标高为5088～5152m，地下水位埋深高程在5078m左右。地下水埋深大于矿床最低开采标高，因此矿床充水因素主要为大气降水。</w:t>
      </w:r>
    </w:p>
    <w:p w14:paraId="3F6C9317">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default" w:ascii="Times New Roman" w:hAnsi="Times New Roman" w:eastAsia="华文中宋" w:cs="Times New Roman"/>
          <w:sz w:val="24"/>
          <w:highlight w:val="none"/>
          <w:lang w:val="en-US" w:eastAsia="zh-CN"/>
        </w:rPr>
        <w:t>根据上述水文地质条件和气候条件，采场防洪应主要防止融雪水</w:t>
      </w:r>
      <w:r>
        <w:rPr>
          <w:rFonts w:hint="default" w:ascii="Times New Roman" w:hAnsi="Times New Roman" w:eastAsia="华文中宋" w:cs="Times New Roman"/>
          <w:sz w:val="24"/>
          <w:lang w:val="en-US" w:eastAsia="zh-CN"/>
        </w:rPr>
        <w:t>和暴雨季节形成洪水毁坏采场设备和冲刷边坡造成边坡垮塌。</w:t>
      </w:r>
    </w:p>
    <w:p w14:paraId="79DA7E43">
      <w:pPr>
        <w:adjustRightInd w:val="0"/>
        <w:snapToGrid w:val="0"/>
        <w:spacing w:line="500" w:lineRule="exact"/>
        <w:ind w:firstLine="482" w:firstLineChars="200"/>
        <w:jc w:val="left"/>
        <w:rPr>
          <w:rFonts w:hint="eastAsia" w:ascii="Times New Roman" w:hAnsi="Times New Roman" w:eastAsia="华文中宋" w:cs="Times New Roman"/>
          <w:b/>
          <w:bCs/>
          <w:sz w:val="24"/>
          <w:lang w:val="en-US" w:eastAsia="zh-CN"/>
        </w:rPr>
      </w:pPr>
      <w:r>
        <w:rPr>
          <w:rFonts w:hint="eastAsia" w:ascii="Times New Roman" w:hAnsi="Times New Roman" w:eastAsia="华文中宋" w:cs="Times New Roman"/>
          <w:b/>
          <w:bCs/>
          <w:sz w:val="24"/>
          <w:lang w:val="en-US" w:eastAsia="zh-CN"/>
        </w:rPr>
        <w:t>3.1.15.2排水系统</w:t>
      </w:r>
    </w:p>
    <w:p w14:paraId="6582AA26">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矿区水文地质条件简单，当地降雨、降雪量小，地表水系不发育。</w:t>
      </w:r>
    </w:p>
    <w:p w14:paraId="408BD83E">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（1）露天采场排水</w:t>
      </w:r>
    </w:p>
    <w:p w14:paraId="7B3A0678">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露天采场境界外：设计在采场最终开采境界外来水方向位置约15m处设置排水沟，防止地表洪水涌入采坑冲刷边坡、淹没采场设备。排水沟采用梯形断面，上底宽1.0m，上底宽0.5m，深0.5m，排水沟边坡浆砌块石护坡。</w:t>
      </w:r>
    </w:p>
    <w:p w14:paraId="1BC75CB6">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露天采场封闭圈以上排水：采用自流排水，采场底部设简易排水沟，排水沟随采场的工作面推进而向前移动，直至整个矿体开采结束。</w:t>
      </w:r>
    </w:p>
    <w:p w14:paraId="265852AF">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采场封闭圈以下排水：在采场最底部设集水池，设机械排水设备，排水设施设备随着采坑深度下降而移动。</w:t>
      </w:r>
    </w:p>
    <w:p w14:paraId="32384B47">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排水管选用Ф125×4.0的无缝钢管，沿采坑边坡敷设两条至地表，一条工作，一条备用。</w:t>
      </w:r>
    </w:p>
    <w:p w14:paraId="4BF8A562">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单台水泵的排水量Q=38m</w:t>
      </w:r>
      <w:r>
        <w:rPr>
          <w:rFonts w:hint="default" w:ascii="Times New Roman" w:hAnsi="Times New Roman" w:eastAsia="华文中宋" w:cs="Times New Roman"/>
          <w:sz w:val="24"/>
          <w:vertAlign w:val="superscript"/>
          <w:lang w:val="en-US" w:eastAsia="zh-CN"/>
        </w:rPr>
        <w:t>3</w:t>
      </w:r>
      <w:r>
        <w:rPr>
          <w:rFonts w:hint="default" w:ascii="Times New Roman" w:hAnsi="Times New Roman" w:eastAsia="华文中宋" w:cs="Times New Roman"/>
          <w:sz w:val="24"/>
          <w:lang w:val="en-US" w:eastAsia="zh-CN"/>
        </w:rPr>
        <w:t>/h，正常涌水时一台水泵工作1.04小时可排完，最大排水量时两台水泵同时工作11.05小时可排完。</w:t>
      </w:r>
    </w:p>
    <w:p w14:paraId="355197C1">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采矿场为凹陷式露天采场，设计采用机械集中排水，在采场最低平台合适位置建简易集水坑，集水坑长3m，宽2m，深2.5m。容积为15m</w:t>
      </w:r>
      <w:r>
        <w:rPr>
          <w:rFonts w:hint="default" w:ascii="Times New Roman" w:hAnsi="Times New Roman" w:eastAsia="华文中宋" w:cs="Times New Roman"/>
          <w:sz w:val="24"/>
          <w:vertAlign w:val="superscript"/>
          <w:lang w:val="en-US" w:eastAsia="zh-CN"/>
        </w:rPr>
        <w:t>3</w:t>
      </w:r>
      <w:r>
        <w:rPr>
          <w:rFonts w:hint="default" w:ascii="Times New Roman" w:hAnsi="Times New Roman" w:eastAsia="华文中宋" w:cs="Times New Roman"/>
          <w:sz w:val="24"/>
          <w:lang w:val="en-US" w:eastAsia="zh-CN"/>
        </w:rPr>
        <w:t>，集水坑采用挖掘机不定期清淤。集水坑集排水设备随采场开采深度下降而移动。</w:t>
      </w:r>
    </w:p>
    <w:p w14:paraId="405FD726">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（2）</w:t>
      </w:r>
      <w:r>
        <w:rPr>
          <w:rFonts w:hint="default" w:ascii="Times New Roman" w:hAnsi="Times New Roman" w:eastAsia="华文中宋" w:cs="Times New Roman"/>
          <w:sz w:val="24"/>
          <w:lang w:val="en-US" w:eastAsia="zh-CN"/>
        </w:rPr>
        <w:t>废石场排水</w:t>
      </w:r>
    </w:p>
    <w:p w14:paraId="4CB88464">
      <w:pPr>
        <w:adjustRightInd w:val="0"/>
        <w:snapToGrid w:val="0"/>
        <w:spacing w:line="500" w:lineRule="exact"/>
        <w:ind w:firstLine="480" w:firstLineChars="200"/>
        <w:jc w:val="left"/>
        <w:rPr>
          <w:rFonts w:hint="default"/>
          <w:lang w:val="en-US" w:eastAsia="zh-CN"/>
        </w:rPr>
      </w:pPr>
      <w:r>
        <w:rPr>
          <w:rFonts w:hint="default" w:ascii="Times New Roman" w:hAnsi="Times New Roman" w:eastAsia="华文中宋" w:cs="Times New Roman"/>
          <w:sz w:val="24"/>
          <w:lang w:val="en-US" w:eastAsia="zh-CN"/>
        </w:rPr>
        <w:t>在废石场来水方向最终边坡15m外设置截水沟，截水沟采用倒梯形断面，上宽1.0m，下底宽0.5m，深0.5m，排水沟边坡浆砌块石护坡。</w:t>
      </w:r>
    </w:p>
    <w:p w14:paraId="4710B7F8">
      <w:pPr>
        <w:pStyle w:val="3"/>
        <w:spacing w:before="120" w:after="120" w:line="500" w:lineRule="exact"/>
        <w:ind w:left="375" w:hanging="375" w:firstLineChars="0"/>
        <w:contextualSpacing/>
        <w:rPr>
          <w:rFonts w:hint="default" w:ascii="Times New Roman" w:hAnsi="Times New Roman" w:eastAsia="华文中宋" w:cs="Times New Roman"/>
          <w:snapToGrid w:val="0"/>
          <w:kern w:val="0"/>
          <w:sz w:val="28"/>
          <w:szCs w:val="28"/>
          <w:lang w:val="en-US" w:eastAsia="zh-CN"/>
        </w:rPr>
      </w:pPr>
      <w:bookmarkStart w:id="91" w:name="_Toc31080"/>
      <w:r>
        <w:rPr>
          <w:rFonts w:hint="default" w:ascii="Times New Roman" w:hAnsi="Times New Roman" w:eastAsia="华文中宋" w:cs="Times New Roman"/>
          <w:snapToGrid w:val="0"/>
          <w:kern w:val="0"/>
          <w:sz w:val="28"/>
          <w:szCs w:val="28"/>
          <w:lang w:val="en-US" w:eastAsia="zh-CN"/>
        </w:rPr>
        <w:t>3.2工艺流程及产污环节分析</w:t>
      </w:r>
      <w:bookmarkEnd w:id="90"/>
      <w:bookmarkEnd w:id="91"/>
    </w:p>
    <w:p w14:paraId="32ABF89F">
      <w:pPr>
        <w:pStyle w:val="4"/>
        <w:spacing w:before="120" w:after="120" w:line="500" w:lineRule="exact"/>
        <w:rPr>
          <w:rFonts w:hint="default" w:ascii="Times New Roman" w:hAnsi="Times New Roman" w:eastAsia="华文中宋" w:cs="Times New Roman"/>
          <w:kern w:val="0"/>
          <w:sz w:val="24"/>
          <w:szCs w:val="24"/>
          <w:lang w:val="en-US" w:eastAsia="zh-CN"/>
        </w:rPr>
      </w:pPr>
      <w:bookmarkStart w:id="92" w:name="_Toc25338"/>
      <w:r>
        <w:rPr>
          <w:rFonts w:hint="default" w:ascii="Times New Roman" w:hAnsi="Times New Roman" w:eastAsia="华文中宋" w:cs="Times New Roman"/>
          <w:kern w:val="0"/>
          <w:sz w:val="24"/>
          <w:szCs w:val="24"/>
          <w:lang w:val="en-US" w:eastAsia="zh-CN"/>
        </w:rPr>
        <w:t>3.2.1施工期工艺流程及产污环节分析</w:t>
      </w:r>
      <w:bookmarkEnd w:id="92"/>
    </w:p>
    <w:p w14:paraId="4EA8200A">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本项目露天开采基建期为1年，施工期建设主要包括基础工程、主体工程和设备安装等，本项目施工期工艺流程及产污节点见图3.2-1。</w:t>
      </w:r>
    </w:p>
    <w:p w14:paraId="56B1A8B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lang w:val="en-US" w:eastAsia="zh-CN"/>
        </w:rPr>
      </w:pPr>
    </w:p>
    <w:p w14:paraId="4C16FFF1">
      <w:pPr>
        <w:adjustRightInd w:val="0"/>
        <w:snapToGrid w:val="0"/>
        <w:spacing w:before="250" w:beforeLines="50"/>
        <w:ind w:firstLine="420"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宋体" w:cs="Times New Roman"/>
          <w:color w:val="auto"/>
        </w:rPr>
        <w:drawing>
          <wp:inline distT="0" distB="0" distL="114300" distR="114300">
            <wp:extent cx="5272405" cy="1911985"/>
            <wp:effectExtent l="0" t="0" r="4445" b="1206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7"/>
                    <a:stretch>
                      <a:fillRect/>
                    </a:stretch>
                  </pic:blipFill>
                  <pic:spPr>
                    <a:xfrm>
                      <a:off x="0" y="0"/>
                      <a:ext cx="5272405" cy="1911985"/>
                    </a:xfrm>
                    <a:prstGeom prst="rect">
                      <a:avLst/>
                    </a:prstGeom>
                    <a:noFill/>
                    <a:ln>
                      <a:noFill/>
                    </a:ln>
                  </pic:spPr>
                </pic:pic>
              </a:graphicData>
            </a:graphic>
          </wp:inline>
        </w:drawing>
      </w:r>
      <w:r>
        <w:rPr>
          <w:rFonts w:hint="default" w:ascii="Times New Roman" w:hAnsi="Times New Roman" w:eastAsia="华文中宋" w:cs="Times New Roman"/>
          <w:b/>
          <w:szCs w:val="21"/>
          <w:lang w:val="en-US" w:eastAsia="zh-CN"/>
        </w:rPr>
        <w:t>图3.2-1  施工期工艺流程及产污节点图</w:t>
      </w:r>
    </w:p>
    <w:p w14:paraId="543BC5F0">
      <w:pPr>
        <w:adjustRightInd w:val="0"/>
        <w:snapToGrid w:val="0"/>
        <w:spacing w:line="500" w:lineRule="exact"/>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b/>
          <w:bCs/>
          <w:kern w:val="0"/>
          <w:sz w:val="24"/>
          <w:szCs w:val="24"/>
          <w:lang w:val="en-US" w:eastAsia="zh-CN"/>
        </w:rPr>
        <w:t>3.2.1</w:t>
      </w:r>
      <w:r>
        <w:rPr>
          <w:rFonts w:hint="eastAsia" w:ascii="Times New Roman" w:hAnsi="Times New Roman" w:eastAsia="华文中宋" w:cs="Times New Roman"/>
          <w:b/>
          <w:bCs/>
          <w:kern w:val="0"/>
          <w:sz w:val="24"/>
          <w:szCs w:val="24"/>
          <w:lang w:val="en-US" w:eastAsia="zh-CN"/>
        </w:rPr>
        <w:t>.1</w:t>
      </w:r>
      <w:r>
        <w:rPr>
          <w:rFonts w:hint="default" w:ascii="Times New Roman" w:hAnsi="Times New Roman" w:eastAsia="华文中宋" w:cs="Times New Roman"/>
          <w:b/>
          <w:bCs/>
          <w:sz w:val="24"/>
          <w:lang w:val="en-US" w:eastAsia="zh-CN"/>
        </w:rPr>
        <w:t>施工期废气污染源分析</w:t>
      </w:r>
    </w:p>
    <w:p w14:paraId="7C85762E">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施工期的大气污染物主要是施工作业产生的扬尘，污染因子为TSP。另外施工机械的使用、运输物料车辆进出施工区产生的少量施工机械、运输车辆尾气。</w:t>
      </w:r>
    </w:p>
    <w:p w14:paraId="42B2D739">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Calibri" w:hAnsi="Calibri" w:eastAsia="华文中宋" w:cs="Calibri"/>
          <w:sz w:val="24"/>
          <w:lang w:val="en-US" w:eastAsia="zh-CN"/>
        </w:rPr>
        <w:t>（1）</w:t>
      </w:r>
      <w:r>
        <w:rPr>
          <w:rFonts w:hint="default" w:ascii="Times New Roman" w:hAnsi="Times New Roman" w:eastAsia="华文中宋" w:cs="Times New Roman"/>
          <w:sz w:val="24"/>
          <w:lang w:val="en-US" w:eastAsia="zh-CN"/>
        </w:rPr>
        <w:t>施工扬尘</w:t>
      </w:r>
    </w:p>
    <w:p w14:paraId="7C07716B">
      <w:pPr>
        <w:adjustRightInd w:val="0"/>
        <w:snapToGrid w:val="0"/>
        <w:spacing w:line="500" w:lineRule="exact"/>
        <w:ind w:firstLine="480" w:firstLineChars="200"/>
        <w:jc w:val="left"/>
        <w:rPr>
          <w:rFonts w:hint="default" w:ascii="Calibri" w:hAnsi="Calibri" w:eastAsia="华文中宋" w:cs="Calibri"/>
          <w:sz w:val="24"/>
          <w:lang w:val="en-US" w:eastAsia="zh-CN"/>
        </w:rPr>
      </w:pPr>
      <w:r>
        <w:rPr>
          <w:rFonts w:hint="default" w:ascii="Times New Roman" w:hAnsi="Times New Roman" w:eastAsia="华文中宋" w:cs="Times New Roman"/>
          <w:sz w:val="24"/>
          <w:lang w:val="en-US" w:eastAsia="zh-CN"/>
        </w:rPr>
        <w:t>基础工程、主体工程施工阶段的土建、挖方（石）、推土、场地平整、施工砂石材</w:t>
      </w:r>
      <w:r>
        <w:rPr>
          <w:rFonts w:hint="default" w:ascii="Calibri" w:hAnsi="Calibri" w:eastAsia="华文中宋" w:cs="Calibri"/>
          <w:sz w:val="24"/>
          <w:lang w:val="en-US" w:eastAsia="zh-CN"/>
        </w:rPr>
        <w:t>料等的装卸、运输过程中有扬尘产生，另外修筑道路阶段、土石方的临时堆放过程中也将有扬尘产生。扬尘产生的大小与施工管理、气象（特别是风速）条件等密切相关，也与扬尘本身沉降速度有关。</w:t>
      </w:r>
    </w:p>
    <w:p w14:paraId="5BA27909">
      <w:pPr>
        <w:pStyle w:val="24"/>
        <w:snapToGrid w:val="0"/>
        <w:ind w:left="0" w:leftChars="0" w:firstLine="480" w:firstLineChars="20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（2）</w:t>
      </w:r>
      <w:r>
        <w:rPr>
          <w:rFonts w:hint="default" w:ascii="Times New Roman" w:hAnsi="Times New Roman" w:eastAsia="华文中宋" w:cs="Times New Roman"/>
          <w:color w:val="auto"/>
          <w:lang w:val="en-US" w:eastAsia="zh-CN"/>
        </w:rPr>
        <w:t>道路和车辆运输扬尘</w:t>
      </w:r>
    </w:p>
    <w:p w14:paraId="01E34A3E">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主要来自采场及矿区内部道路施工作业扬尘及施工期间运输车辆道路扬尘。</w:t>
      </w:r>
    </w:p>
    <w:p w14:paraId="69256B49">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①道路施工扬尘</w:t>
      </w:r>
    </w:p>
    <w:p w14:paraId="62D72DA6">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类比一般道路线路施工</w:t>
      </w:r>
      <w:r>
        <w:rPr>
          <w:rFonts w:hint="default" w:ascii="Times New Roman" w:hAnsi="Times New Roman" w:eastAsia="华文中宋" w:cs="Times New Roman"/>
          <w:color w:val="auto"/>
          <w:highlight w:val="none"/>
          <w:lang w:val="en-US" w:eastAsia="zh-CN"/>
        </w:rPr>
        <w:t>，扬尘影响的范围在200m以内。</w:t>
      </w:r>
      <w:r>
        <w:rPr>
          <w:rFonts w:hint="default" w:ascii="Times New Roman" w:hAnsi="Times New Roman" w:eastAsia="华文中宋" w:cs="Times New Roman"/>
          <w:color w:val="auto"/>
          <w:lang w:val="en-US" w:eastAsia="zh-CN"/>
        </w:rPr>
        <w:t>根据对建设道路沿线进行调查，影响范围主要集中在道路两侧附近。本项目道路施工作业量较少，但应集中力量修建道路（为碎石简易路面），缩短施工工期，同时对施工道路进行洒水降尘，减轻对作业人员的影响。</w:t>
      </w:r>
    </w:p>
    <w:p w14:paraId="0D027C7A">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②运输车辆道路扬尘</w:t>
      </w:r>
    </w:p>
    <w:p w14:paraId="0734FFE4">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本项目动态扬尘主要是各类施工机械、运输车辆在项目区内外来往形成的地面扬尘，据有关文献资料显示，在施工过程中，车辆行驶产生的扬尘占总扬尘量的60%以上。车辆机械行驶产生的扬尘量与路面清洁程度以及车辆行驶速度有关，具体见表3.2-</w:t>
      </w:r>
      <w:r>
        <w:rPr>
          <w:rFonts w:hint="eastAsia" w:ascii="Times New Roman" w:hAnsi="Times New Roman" w:cs="Times New Roman"/>
          <w:color w:val="auto"/>
          <w:lang w:val="en-US" w:eastAsia="zh-CN"/>
        </w:rPr>
        <w:t>1</w:t>
      </w:r>
      <w:r>
        <w:rPr>
          <w:rFonts w:hint="default" w:ascii="Times New Roman" w:hAnsi="Times New Roman" w:eastAsia="华文中宋" w:cs="Times New Roman"/>
          <w:color w:val="auto"/>
          <w:lang w:val="en-US" w:eastAsia="zh-CN"/>
        </w:rPr>
        <w:t>。</w:t>
      </w:r>
    </w:p>
    <w:p w14:paraId="21D5098C">
      <w:pPr>
        <w:adjustRightInd w:val="0"/>
        <w:snapToGrid w:val="0"/>
        <w:spacing w:before="250" w:beforeLines="50"/>
        <w:ind w:firstLine="422" w:firstLineChars="200"/>
        <w:jc w:val="center"/>
        <w:rPr>
          <w:rFonts w:hint="default" w:ascii="Times New Roman" w:hAnsi="Times New Roman" w:cs="Times New Roman" w:eastAsiaTheme="minorEastAsia"/>
          <w:b/>
          <w:bCs/>
          <w:color w:val="auto"/>
          <w:sz w:val="24"/>
          <w:szCs w:val="24"/>
          <w:lang w:val="en-US" w:eastAsia="zh-CN"/>
        </w:rPr>
      </w:pPr>
      <w:r>
        <w:rPr>
          <w:rFonts w:hint="default" w:ascii="Times New Roman" w:hAnsi="Times New Roman" w:eastAsia="华文中宋" w:cs="Times New Roman"/>
          <w:b/>
          <w:szCs w:val="21"/>
          <w:lang w:val="en-US" w:eastAsia="zh-CN"/>
        </w:rPr>
        <w:t>表3.2-</w:t>
      </w:r>
      <w:r>
        <w:rPr>
          <w:rFonts w:hint="eastAsia" w:ascii="Times New Roman" w:hAnsi="Times New Roman" w:eastAsia="华文中宋" w:cs="Times New Roman"/>
          <w:b/>
          <w:szCs w:val="21"/>
          <w:lang w:val="en-US" w:eastAsia="zh-CN"/>
        </w:rPr>
        <w:t>1</w:t>
      </w:r>
      <w:r>
        <w:rPr>
          <w:rFonts w:hint="default" w:ascii="Times New Roman" w:hAnsi="Times New Roman" w:eastAsia="华文中宋" w:cs="Times New Roman"/>
          <w:b/>
          <w:szCs w:val="21"/>
          <w:lang w:val="en-US" w:eastAsia="zh-CN"/>
        </w:rPr>
        <w:t xml:space="preserve">  不同车速和地面清洁程度的汽车扬尘单位：kg/辆·km</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502"/>
        <w:gridCol w:w="1119"/>
        <w:gridCol w:w="1170"/>
        <w:gridCol w:w="1252"/>
        <w:gridCol w:w="1182"/>
        <w:gridCol w:w="1172"/>
        <w:gridCol w:w="1120"/>
      </w:tblGrid>
      <w:tr w14:paraId="0F05240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18" w:hRule="atLeast"/>
        </w:trPr>
        <w:tc>
          <w:tcPr>
            <w:tcW w:w="883" w:type="pct"/>
            <w:tcBorders>
              <w:tl2br w:val="nil"/>
              <w:tr2bl w:val="nil"/>
            </w:tcBorders>
            <w:noWrap w:val="0"/>
            <w:vAlign w:val="center"/>
          </w:tcPr>
          <w:p w14:paraId="2DE323F7">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车速路面粉尘</w:t>
            </w:r>
          </w:p>
        </w:tc>
        <w:tc>
          <w:tcPr>
            <w:tcW w:w="656" w:type="pct"/>
            <w:tcBorders>
              <w:tl2br w:val="nil"/>
              <w:tr2bl w:val="nil"/>
            </w:tcBorders>
            <w:noWrap w:val="0"/>
            <w:vAlign w:val="center"/>
          </w:tcPr>
          <w:p w14:paraId="29B3045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0.1</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kg/m</w:t>
            </w:r>
            <w:r>
              <w:rPr>
                <w:rFonts w:hint="default" w:ascii="Times New Roman" w:hAnsi="Times New Roman" w:eastAsia="华文中宋" w:cs="Times New Roman"/>
                <w:szCs w:val="21"/>
                <w:vertAlign w:val="superscript"/>
              </w:rPr>
              <w:t>2</w:t>
            </w:r>
            <w:r>
              <w:rPr>
                <w:rFonts w:hint="default" w:ascii="Times New Roman" w:hAnsi="Times New Roman" w:eastAsia="华文中宋" w:cs="Times New Roman"/>
                <w:szCs w:val="21"/>
                <w:lang w:eastAsia="zh-CN"/>
              </w:rPr>
              <w:t>)</w:t>
            </w:r>
          </w:p>
        </w:tc>
        <w:tc>
          <w:tcPr>
            <w:tcW w:w="688" w:type="pct"/>
            <w:tcBorders>
              <w:tl2br w:val="nil"/>
              <w:tr2bl w:val="nil"/>
            </w:tcBorders>
            <w:noWrap w:val="0"/>
            <w:vAlign w:val="center"/>
          </w:tcPr>
          <w:p w14:paraId="11ABAD61">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0.2</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kg/m</w:t>
            </w:r>
            <w:r>
              <w:rPr>
                <w:rFonts w:hint="default" w:ascii="Times New Roman" w:hAnsi="Times New Roman" w:eastAsia="华文中宋" w:cs="Times New Roman"/>
                <w:szCs w:val="21"/>
                <w:vertAlign w:val="superscript"/>
              </w:rPr>
              <w:t>2</w:t>
            </w:r>
            <w:r>
              <w:rPr>
                <w:rFonts w:hint="default" w:ascii="Times New Roman" w:hAnsi="Times New Roman" w:eastAsia="华文中宋" w:cs="Times New Roman"/>
                <w:szCs w:val="21"/>
                <w:lang w:eastAsia="zh-CN"/>
              </w:rPr>
              <w:t>)</w:t>
            </w:r>
          </w:p>
        </w:tc>
        <w:tc>
          <w:tcPr>
            <w:tcW w:w="736" w:type="pct"/>
            <w:tcBorders>
              <w:tl2br w:val="nil"/>
              <w:tr2bl w:val="nil"/>
            </w:tcBorders>
            <w:noWrap w:val="0"/>
            <w:vAlign w:val="center"/>
          </w:tcPr>
          <w:p w14:paraId="0563962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0.3</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kg/m</w:t>
            </w:r>
            <w:r>
              <w:rPr>
                <w:rFonts w:hint="default" w:ascii="Times New Roman" w:hAnsi="Times New Roman" w:eastAsia="华文中宋" w:cs="Times New Roman"/>
                <w:szCs w:val="21"/>
                <w:vertAlign w:val="superscript"/>
              </w:rPr>
              <w:t>2</w:t>
            </w:r>
            <w:r>
              <w:rPr>
                <w:rFonts w:hint="default" w:ascii="Times New Roman" w:hAnsi="Times New Roman" w:eastAsia="华文中宋" w:cs="Times New Roman"/>
                <w:szCs w:val="21"/>
                <w:lang w:eastAsia="zh-CN"/>
              </w:rPr>
              <w:t>)</w:t>
            </w:r>
          </w:p>
        </w:tc>
        <w:tc>
          <w:tcPr>
            <w:tcW w:w="695" w:type="pct"/>
            <w:tcBorders>
              <w:tl2br w:val="nil"/>
              <w:tr2bl w:val="nil"/>
            </w:tcBorders>
            <w:noWrap w:val="0"/>
            <w:vAlign w:val="center"/>
          </w:tcPr>
          <w:p w14:paraId="4A8CDFF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0.4</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kg/m</w:t>
            </w:r>
            <w:r>
              <w:rPr>
                <w:rFonts w:hint="default" w:ascii="Times New Roman" w:hAnsi="Times New Roman" w:eastAsia="华文中宋" w:cs="Times New Roman"/>
                <w:szCs w:val="21"/>
                <w:vertAlign w:val="superscript"/>
              </w:rPr>
              <w:t>2</w:t>
            </w:r>
            <w:r>
              <w:rPr>
                <w:rFonts w:hint="default" w:ascii="Times New Roman" w:hAnsi="Times New Roman" w:eastAsia="华文中宋" w:cs="Times New Roman"/>
                <w:szCs w:val="21"/>
                <w:lang w:eastAsia="zh-CN"/>
              </w:rPr>
              <w:t>)</w:t>
            </w:r>
          </w:p>
        </w:tc>
        <w:tc>
          <w:tcPr>
            <w:tcW w:w="689" w:type="pct"/>
            <w:tcBorders>
              <w:tl2br w:val="nil"/>
              <w:tr2bl w:val="nil"/>
            </w:tcBorders>
            <w:noWrap w:val="0"/>
            <w:vAlign w:val="center"/>
          </w:tcPr>
          <w:p w14:paraId="5FF3F8F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0.5</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kg/m</w:t>
            </w:r>
            <w:r>
              <w:rPr>
                <w:rFonts w:hint="default" w:ascii="Times New Roman" w:hAnsi="Times New Roman" w:eastAsia="华文中宋" w:cs="Times New Roman"/>
                <w:szCs w:val="21"/>
                <w:vertAlign w:val="superscript"/>
              </w:rPr>
              <w:t>2</w:t>
            </w:r>
            <w:r>
              <w:rPr>
                <w:rFonts w:hint="default" w:ascii="Times New Roman" w:hAnsi="Times New Roman" w:eastAsia="华文中宋" w:cs="Times New Roman"/>
                <w:szCs w:val="21"/>
                <w:lang w:eastAsia="zh-CN"/>
              </w:rPr>
              <w:t>)</w:t>
            </w:r>
          </w:p>
        </w:tc>
        <w:tc>
          <w:tcPr>
            <w:tcW w:w="649" w:type="pct"/>
            <w:tcBorders>
              <w:tl2br w:val="nil"/>
              <w:tr2bl w:val="nil"/>
            </w:tcBorders>
            <w:noWrap w:val="0"/>
            <w:vAlign w:val="center"/>
          </w:tcPr>
          <w:p w14:paraId="6FF1A731">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0.6</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kg/m</w:t>
            </w:r>
            <w:r>
              <w:rPr>
                <w:rFonts w:hint="default" w:ascii="Times New Roman" w:hAnsi="Times New Roman" w:eastAsia="华文中宋" w:cs="Times New Roman"/>
                <w:szCs w:val="21"/>
                <w:vertAlign w:val="superscript"/>
              </w:rPr>
              <w:t>2</w:t>
            </w:r>
            <w:r>
              <w:rPr>
                <w:rFonts w:hint="default" w:ascii="Times New Roman" w:hAnsi="Times New Roman" w:eastAsia="华文中宋" w:cs="Times New Roman"/>
                <w:szCs w:val="21"/>
                <w:lang w:eastAsia="zh-CN"/>
              </w:rPr>
              <w:t>)</w:t>
            </w:r>
          </w:p>
        </w:tc>
      </w:tr>
      <w:tr w14:paraId="06ABD0F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83" w:type="pct"/>
            <w:tcBorders>
              <w:tl2br w:val="nil"/>
              <w:tr2bl w:val="nil"/>
            </w:tcBorders>
            <w:noWrap w:val="0"/>
            <w:vAlign w:val="center"/>
          </w:tcPr>
          <w:p w14:paraId="28E71A0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5</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km/h</w:t>
            </w:r>
            <w:r>
              <w:rPr>
                <w:rFonts w:hint="default" w:ascii="Times New Roman" w:hAnsi="Times New Roman" w:eastAsia="华文中宋" w:cs="Times New Roman"/>
                <w:szCs w:val="21"/>
                <w:lang w:eastAsia="zh-CN"/>
              </w:rPr>
              <w:t>)</w:t>
            </w:r>
          </w:p>
        </w:tc>
        <w:tc>
          <w:tcPr>
            <w:tcW w:w="656" w:type="pct"/>
            <w:tcBorders>
              <w:tl2br w:val="nil"/>
              <w:tr2bl w:val="nil"/>
            </w:tcBorders>
            <w:noWrap w:val="0"/>
            <w:vAlign w:val="center"/>
          </w:tcPr>
          <w:p w14:paraId="0ED0A02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0.007</w:t>
            </w:r>
          </w:p>
        </w:tc>
        <w:tc>
          <w:tcPr>
            <w:tcW w:w="688" w:type="pct"/>
            <w:tcBorders>
              <w:tl2br w:val="nil"/>
              <w:tr2bl w:val="nil"/>
            </w:tcBorders>
            <w:noWrap w:val="0"/>
            <w:vAlign w:val="center"/>
          </w:tcPr>
          <w:p w14:paraId="630E209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0.012</w:t>
            </w:r>
          </w:p>
        </w:tc>
        <w:tc>
          <w:tcPr>
            <w:tcW w:w="736" w:type="pct"/>
            <w:tcBorders>
              <w:tl2br w:val="nil"/>
              <w:tr2bl w:val="nil"/>
            </w:tcBorders>
            <w:noWrap w:val="0"/>
            <w:vAlign w:val="center"/>
          </w:tcPr>
          <w:p w14:paraId="4D2F3E1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0.017</w:t>
            </w:r>
          </w:p>
        </w:tc>
        <w:tc>
          <w:tcPr>
            <w:tcW w:w="695" w:type="pct"/>
            <w:tcBorders>
              <w:tl2br w:val="nil"/>
              <w:tr2bl w:val="nil"/>
            </w:tcBorders>
            <w:noWrap w:val="0"/>
            <w:vAlign w:val="center"/>
          </w:tcPr>
          <w:p w14:paraId="6B60F41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0.021</w:t>
            </w:r>
          </w:p>
        </w:tc>
        <w:tc>
          <w:tcPr>
            <w:tcW w:w="689" w:type="pct"/>
            <w:tcBorders>
              <w:tl2br w:val="nil"/>
              <w:tr2bl w:val="nil"/>
            </w:tcBorders>
            <w:noWrap w:val="0"/>
            <w:vAlign w:val="center"/>
          </w:tcPr>
          <w:p w14:paraId="7641319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0.025</w:t>
            </w:r>
          </w:p>
        </w:tc>
        <w:tc>
          <w:tcPr>
            <w:tcW w:w="649" w:type="pct"/>
            <w:tcBorders>
              <w:tl2br w:val="nil"/>
              <w:tr2bl w:val="nil"/>
            </w:tcBorders>
            <w:noWrap w:val="0"/>
            <w:vAlign w:val="center"/>
          </w:tcPr>
          <w:p w14:paraId="4C162941">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0.028</w:t>
            </w:r>
          </w:p>
        </w:tc>
      </w:tr>
      <w:tr w14:paraId="065B4E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83" w:type="pct"/>
            <w:tcBorders>
              <w:tl2br w:val="nil"/>
              <w:tr2bl w:val="nil"/>
            </w:tcBorders>
            <w:noWrap w:val="0"/>
            <w:vAlign w:val="center"/>
          </w:tcPr>
          <w:p w14:paraId="39E66DF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10</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km/h</w:t>
            </w:r>
            <w:r>
              <w:rPr>
                <w:rFonts w:hint="default" w:ascii="Times New Roman" w:hAnsi="Times New Roman" w:eastAsia="华文中宋" w:cs="Times New Roman"/>
                <w:szCs w:val="21"/>
                <w:lang w:eastAsia="zh-CN"/>
              </w:rPr>
              <w:t>)</w:t>
            </w:r>
          </w:p>
        </w:tc>
        <w:tc>
          <w:tcPr>
            <w:tcW w:w="656" w:type="pct"/>
            <w:tcBorders>
              <w:tl2br w:val="nil"/>
              <w:tr2bl w:val="nil"/>
            </w:tcBorders>
            <w:noWrap w:val="0"/>
            <w:vAlign w:val="center"/>
          </w:tcPr>
          <w:p w14:paraId="2A66FBB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0.015</w:t>
            </w:r>
          </w:p>
        </w:tc>
        <w:tc>
          <w:tcPr>
            <w:tcW w:w="688" w:type="pct"/>
            <w:tcBorders>
              <w:tl2br w:val="nil"/>
              <w:tr2bl w:val="nil"/>
            </w:tcBorders>
            <w:noWrap w:val="0"/>
            <w:vAlign w:val="center"/>
          </w:tcPr>
          <w:p w14:paraId="2554D7A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0.025</w:t>
            </w:r>
          </w:p>
        </w:tc>
        <w:tc>
          <w:tcPr>
            <w:tcW w:w="736" w:type="pct"/>
            <w:tcBorders>
              <w:tl2br w:val="nil"/>
              <w:tr2bl w:val="nil"/>
            </w:tcBorders>
            <w:noWrap w:val="0"/>
            <w:vAlign w:val="center"/>
          </w:tcPr>
          <w:p w14:paraId="55120611">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0.033</w:t>
            </w:r>
          </w:p>
        </w:tc>
        <w:tc>
          <w:tcPr>
            <w:tcW w:w="695" w:type="pct"/>
            <w:tcBorders>
              <w:tl2br w:val="nil"/>
              <w:tr2bl w:val="nil"/>
            </w:tcBorders>
            <w:noWrap w:val="0"/>
            <w:vAlign w:val="center"/>
          </w:tcPr>
          <w:p w14:paraId="7929EE0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0.042</w:t>
            </w:r>
          </w:p>
        </w:tc>
        <w:tc>
          <w:tcPr>
            <w:tcW w:w="689" w:type="pct"/>
            <w:tcBorders>
              <w:tl2br w:val="nil"/>
              <w:tr2bl w:val="nil"/>
            </w:tcBorders>
            <w:noWrap w:val="0"/>
            <w:vAlign w:val="center"/>
          </w:tcPr>
          <w:p w14:paraId="017A8CD7">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0.049</w:t>
            </w:r>
          </w:p>
        </w:tc>
        <w:tc>
          <w:tcPr>
            <w:tcW w:w="649" w:type="pct"/>
            <w:tcBorders>
              <w:tl2br w:val="nil"/>
              <w:tr2bl w:val="nil"/>
            </w:tcBorders>
            <w:noWrap w:val="0"/>
            <w:vAlign w:val="center"/>
          </w:tcPr>
          <w:p w14:paraId="3859D25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0.057</w:t>
            </w:r>
          </w:p>
        </w:tc>
      </w:tr>
      <w:tr w14:paraId="27B22E3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83" w:type="pct"/>
            <w:tcBorders>
              <w:tl2br w:val="nil"/>
              <w:tr2bl w:val="nil"/>
            </w:tcBorders>
            <w:noWrap w:val="0"/>
            <w:vAlign w:val="center"/>
          </w:tcPr>
          <w:p w14:paraId="3377888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15</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km/h</w:t>
            </w:r>
            <w:r>
              <w:rPr>
                <w:rFonts w:hint="default" w:ascii="Times New Roman" w:hAnsi="Times New Roman" w:eastAsia="华文中宋" w:cs="Times New Roman"/>
                <w:szCs w:val="21"/>
                <w:lang w:eastAsia="zh-CN"/>
              </w:rPr>
              <w:t>)</w:t>
            </w:r>
          </w:p>
        </w:tc>
        <w:tc>
          <w:tcPr>
            <w:tcW w:w="656" w:type="pct"/>
            <w:tcBorders>
              <w:tl2br w:val="nil"/>
              <w:tr2bl w:val="nil"/>
            </w:tcBorders>
            <w:noWrap w:val="0"/>
            <w:vAlign w:val="center"/>
          </w:tcPr>
          <w:p w14:paraId="1C5675B7">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0.022</w:t>
            </w:r>
          </w:p>
        </w:tc>
        <w:tc>
          <w:tcPr>
            <w:tcW w:w="688" w:type="pct"/>
            <w:tcBorders>
              <w:tl2br w:val="nil"/>
              <w:tr2bl w:val="nil"/>
            </w:tcBorders>
            <w:noWrap w:val="0"/>
            <w:vAlign w:val="center"/>
          </w:tcPr>
          <w:p w14:paraId="3CD2778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0.037</w:t>
            </w:r>
          </w:p>
        </w:tc>
        <w:tc>
          <w:tcPr>
            <w:tcW w:w="736" w:type="pct"/>
            <w:tcBorders>
              <w:tl2br w:val="nil"/>
              <w:tr2bl w:val="nil"/>
            </w:tcBorders>
            <w:noWrap w:val="0"/>
            <w:vAlign w:val="center"/>
          </w:tcPr>
          <w:p w14:paraId="6575CCB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0.050</w:t>
            </w:r>
          </w:p>
        </w:tc>
        <w:tc>
          <w:tcPr>
            <w:tcW w:w="695" w:type="pct"/>
            <w:tcBorders>
              <w:tl2br w:val="nil"/>
              <w:tr2bl w:val="nil"/>
            </w:tcBorders>
            <w:noWrap w:val="0"/>
            <w:vAlign w:val="center"/>
          </w:tcPr>
          <w:p w14:paraId="4AF8727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0.063</w:t>
            </w:r>
          </w:p>
        </w:tc>
        <w:tc>
          <w:tcPr>
            <w:tcW w:w="689" w:type="pct"/>
            <w:tcBorders>
              <w:tl2br w:val="nil"/>
              <w:tr2bl w:val="nil"/>
            </w:tcBorders>
            <w:noWrap w:val="0"/>
            <w:vAlign w:val="center"/>
          </w:tcPr>
          <w:p w14:paraId="669E0E2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0.074</w:t>
            </w:r>
          </w:p>
        </w:tc>
        <w:tc>
          <w:tcPr>
            <w:tcW w:w="649" w:type="pct"/>
            <w:tcBorders>
              <w:tl2br w:val="nil"/>
              <w:tr2bl w:val="nil"/>
            </w:tcBorders>
            <w:noWrap w:val="0"/>
            <w:vAlign w:val="center"/>
          </w:tcPr>
          <w:p w14:paraId="0D363D13">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0.085</w:t>
            </w:r>
          </w:p>
        </w:tc>
      </w:tr>
      <w:tr w14:paraId="232CFAE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83" w:type="pct"/>
            <w:tcBorders>
              <w:tl2br w:val="nil"/>
              <w:tr2bl w:val="nil"/>
            </w:tcBorders>
            <w:noWrap w:val="0"/>
            <w:vAlign w:val="center"/>
          </w:tcPr>
          <w:p w14:paraId="3B451C6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20</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km/h</w:t>
            </w:r>
            <w:r>
              <w:rPr>
                <w:rFonts w:hint="default" w:ascii="Times New Roman" w:hAnsi="Times New Roman" w:eastAsia="华文中宋" w:cs="Times New Roman"/>
                <w:szCs w:val="21"/>
                <w:lang w:eastAsia="zh-CN"/>
              </w:rPr>
              <w:t>)</w:t>
            </w:r>
          </w:p>
        </w:tc>
        <w:tc>
          <w:tcPr>
            <w:tcW w:w="656" w:type="pct"/>
            <w:tcBorders>
              <w:tl2br w:val="nil"/>
              <w:tr2bl w:val="nil"/>
            </w:tcBorders>
            <w:noWrap w:val="0"/>
            <w:vAlign w:val="center"/>
          </w:tcPr>
          <w:p w14:paraId="7E19570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0.030</w:t>
            </w:r>
          </w:p>
        </w:tc>
        <w:tc>
          <w:tcPr>
            <w:tcW w:w="688" w:type="pct"/>
            <w:tcBorders>
              <w:tl2br w:val="nil"/>
              <w:tr2bl w:val="nil"/>
            </w:tcBorders>
            <w:noWrap w:val="0"/>
            <w:vAlign w:val="center"/>
          </w:tcPr>
          <w:p w14:paraId="65F4799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0.049</w:t>
            </w:r>
          </w:p>
        </w:tc>
        <w:tc>
          <w:tcPr>
            <w:tcW w:w="736" w:type="pct"/>
            <w:tcBorders>
              <w:tl2br w:val="nil"/>
              <w:tr2bl w:val="nil"/>
            </w:tcBorders>
            <w:noWrap w:val="0"/>
            <w:vAlign w:val="center"/>
          </w:tcPr>
          <w:p w14:paraId="1221DC4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0.050</w:t>
            </w:r>
          </w:p>
        </w:tc>
        <w:tc>
          <w:tcPr>
            <w:tcW w:w="695" w:type="pct"/>
            <w:tcBorders>
              <w:tl2br w:val="nil"/>
              <w:tr2bl w:val="nil"/>
            </w:tcBorders>
            <w:noWrap w:val="0"/>
            <w:vAlign w:val="center"/>
          </w:tcPr>
          <w:p w14:paraId="01E974F0">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0.084</w:t>
            </w:r>
          </w:p>
        </w:tc>
        <w:tc>
          <w:tcPr>
            <w:tcW w:w="689" w:type="pct"/>
            <w:tcBorders>
              <w:tl2br w:val="nil"/>
              <w:tr2bl w:val="nil"/>
            </w:tcBorders>
            <w:noWrap w:val="0"/>
            <w:vAlign w:val="center"/>
          </w:tcPr>
          <w:p w14:paraId="4E306EE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0.098</w:t>
            </w:r>
          </w:p>
        </w:tc>
        <w:tc>
          <w:tcPr>
            <w:tcW w:w="649" w:type="pct"/>
            <w:tcBorders>
              <w:tl2br w:val="nil"/>
              <w:tr2bl w:val="nil"/>
            </w:tcBorders>
            <w:noWrap w:val="0"/>
            <w:vAlign w:val="center"/>
          </w:tcPr>
          <w:p w14:paraId="02F614E0">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0.11</w:t>
            </w:r>
          </w:p>
        </w:tc>
      </w:tr>
    </w:tbl>
    <w:p w14:paraId="18F77F5F">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由表3.2-</w:t>
      </w:r>
      <w:r>
        <w:rPr>
          <w:rFonts w:hint="eastAsia" w:ascii="Times New Roman" w:hAnsi="Times New Roman" w:eastAsia="华文中宋" w:cs="Times New Roman"/>
          <w:sz w:val="24"/>
          <w:lang w:val="en-US" w:eastAsia="zh-CN"/>
        </w:rPr>
        <w:t>1</w:t>
      </w:r>
      <w:r>
        <w:rPr>
          <w:rFonts w:hint="default" w:ascii="Times New Roman" w:hAnsi="Times New Roman" w:eastAsia="华文中宋" w:cs="Times New Roman"/>
          <w:sz w:val="24"/>
          <w:lang w:val="en-US" w:eastAsia="zh-CN"/>
        </w:rPr>
        <w:t>可知，通过相同长度的路面，在同样路面清洁程度状况下，车辆速度越快，扬尘量越大，而在同样车速情况下，路面越脏，扬尘量越大。本项目评价范围内无大气环境敏感点，车辆引起的路面扬尘主要影响区域在施工区以及运输途经路面。</w:t>
      </w:r>
    </w:p>
    <w:p w14:paraId="4FA11039">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Calibri" w:hAnsi="Calibri" w:eastAsia="华文中宋" w:cs="Calibri"/>
          <w:sz w:val="24"/>
          <w:lang w:val="en-US" w:eastAsia="zh-CN"/>
        </w:rPr>
        <w:t>（3）</w:t>
      </w:r>
      <w:r>
        <w:rPr>
          <w:rFonts w:hint="default" w:ascii="Times New Roman" w:hAnsi="Times New Roman" w:eastAsia="华文中宋" w:cs="Times New Roman"/>
          <w:sz w:val="24"/>
          <w:lang w:val="en-US" w:eastAsia="zh-CN"/>
        </w:rPr>
        <w:t>燃油机械及机动车废气</w:t>
      </w:r>
    </w:p>
    <w:p w14:paraId="5CB60802">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施工燃油机械及机动车废气主要是施工现场施工机械和运输车辆因内燃机燃烧排放的尾气，集中在土石方挖掘、场地平整和结构施工阶段，主要污染物是NOx、CO、HC。虽然尾气污染源在整个施工期一直存在，其源强大小取决于施工机械维护保养和作业机械的数量及密度。但一般情况下，由于施工机械作业的流动性、阶段性和间断性的特点，施工场地平均单位时间排放的空气污染物总量并不大。</w:t>
      </w:r>
    </w:p>
    <w:p w14:paraId="1ECE0224">
      <w:pPr>
        <w:adjustRightInd w:val="0"/>
        <w:snapToGrid w:val="0"/>
        <w:spacing w:line="500" w:lineRule="exact"/>
        <w:jc w:val="left"/>
        <w:rPr>
          <w:rFonts w:hint="default" w:ascii="Times New Roman" w:hAnsi="Times New Roman" w:eastAsia="华文中宋" w:cs="Times New Roman"/>
          <w:b/>
          <w:bCs/>
          <w:sz w:val="24"/>
          <w:lang w:val="en-US" w:eastAsia="zh-CN"/>
        </w:rPr>
      </w:pPr>
      <w:r>
        <w:rPr>
          <w:rFonts w:hint="default" w:ascii="Times New Roman" w:hAnsi="Times New Roman" w:eastAsia="华文中宋" w:cs="Times New Roman"/>
          <w:b/>
          <w:bCs/>
          <w:kern w:val="0"/>
          <w:sz w:val="24"/>
          <w:szCs w:val="24"/>
          <w:lang w:val="en-US" w:eastAsia="zh-CN"/>
        </w:rPr>
        <w:t>3.2.1</w:t>
      </w:r>
      <w:r>
        <w:rPr>
          <w:rFonts w:hint="eastAsia" w:ascii="Times New Roman" w:hAnsi="Times New Roman" w:eastAsia="华文中宋" w:cs="Times New Roman"/>
          <w:b/>
          <w:bCs/>
          <w:kern w:val="0"/>
          <w:sz w:val="24"/>
          <w:szCs w:val="24"/>
          <w:lang w:val="en-US" w:eastAsia="zh-CN"/>
        </w:rPr>
        <w:t>.2</w:t>
      </w:r>
      <w:r>
        <w:rPr>
          <w:rFonts w:hint="default" w:ascii="Times New Roman" w:hAnsi="Times New Roman" w:eastAsia="华文中宋" w:cs="Times New Roman"/>
          <w:b/>
          <w:bCs/>
          <w:sz w:val="24"/>
          <w:lang w:val="en-US" w:eastAsia="zh-CN"/>
        </w:rPr>
        <w:t>施工期废水污染源分析</w:t>
      </w:r>
    </w:p>
    <w:p w14:paraId="04DDE5C9">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施工期的废水主要来自建筑工人的生活污水。</w:t>
      </w:r>
    </w:p>
    <w:p w14:paraId="77E1BDF8">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根据施工设计，平均每天的施工人员数量为30人，生活用水定额按50L/人·d计，则施工人员生活用水量为1.5m</w:t>
      </w:r>
      <w:r>
        <w:rPr>
          <w:rFonts w:hint="default" w:ascii="Times New Roman" w:hAnsi="Times New Roman" w:eastAsia="华文中宋" w:cs="Times New Roman"/>
          <w:sz w:val="24"/>
          <w:vertAlign w:val="superscript"/>
          <w:lang w:val="en-US" w:eastAsia="zh-CN"/>
        </w:rPr>
        <w:t>3</w:t>
      </w:r>
      <w:r>
        <w:rPr>
          <w:rFonts w:hint="default" w:ascii="Times New Roman" w:hAnsi="Times New Roman" w:eastAsia="华文中宋" w:cs="Times New Roman"/>
          <w:sz w:val="24"/>
          <w:lang w:val="en-US" w:eastAsia="zh-CN"/>
        </w:rPr>
        <w:t>/d。</w:t>
      </w:r>
    </w:p>
    <w:p w14:paraId="29228F3C">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生活污水的排放量按用水量的80%计，则生活污水的排放量为1.2m</w:t>
      </w:r>
      <w:r>
        <w:rPr>
          <w:rFonts w:hint="default" w:ascii="Times New Roman" w:hAnsi="Times New Roman" w:eastAsia="华文中宋" w:cs="Times New Roman"/>
          <w:sz w:val="24"/>
          <w:vertAlign w:val="superscript"/>
          <w:lang w:val="en-US" w:eastAsia="zh-CN"/>
        </w:rPr>
        <w:t>3</w:t>
      </w:r>
      <w:r>
        <w:rPr>
          <w:rFonts w:hint="default" w:ascii="Times New Roman" w:hAnsi="Times New Roman" w:eastAsia="华文中宋" w:cs="Times New Roman"/>
          <w:sz w:val="24"/>
          <w:lang w:val="en-US" w:eastAsia="zh-CN"/>
        </w:rPr>
        <w:t>/d。施工期生活污水中污染物浓度分别为COD约350mg/L、BOD</w:t>
      </w:r>
      <w:r>
        <w:rPr>
          <w:rFonts w:hint="default" w:ascii="Times New Roman" w:hAnsi="Times New Roman" w:eastAsia="华文中宋" w:cs="Times New Roman"/>
          <w:sz w:val="24"/>
          <w:vertAlign w:val="subscript"/>
          <w:lang w:val="en-US" w:eastAsia="zh-CN"/>
        </w:rPr>
        <w:t>5</w:t>
      </w:r>
      <w:r>
        <w:rPr>
          <w:rFonts w:hint="default" w:ascii="Times New Roman" w:hAnsi="Times New Roman" w:eastAsia="华文中宋" w:cs="Times New Roman"/>
          <w:sz w:val="24"/>
          <w:lang w:val="en-US" w:eastAsia="zh-CN"/>
        </w:rPr>
        <w:t>约200mg/L、SS约200mg/L、氨氮约35mg/L。</w:t>
      </w:r>
    </w:p>
    <w:p w14:paraId="62259E2A">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项目在施工期先建设地埋式一体化污水处理设施，施工期生活污水经地埋式一体化污水处理设施处理完成后，用于施工场地降尘及矿区绿化。</w:t>
      </w:r>
    </w:p>
    <w:p w14:paraId="6EE08DC3">
      <w:pPr>
        <w:adjustRightInd w:val="0"/>
        <w:snapToGrid w:val="0"/>
        <w:spacing w:line="500" w:lineRule="exact"/>
        <w:jc w:val="left"/>
        <w:rPr>
          <w:rFonts w:hint="default" w:ascii="Times New Roman" w:hAnsi="Times New Roman" w:eastAsia="华文中宋" w:cs="Times New Roman"/>
          <w:b/>
          <w:bCs/>
          <w:sz w:val="24"/>
          <w:lang w:val="en-US" w:eastAsia="zh-CN"/>
        </w:rPr>
      </w:pPr>
      <w:r>
        <w:rPr>
          <w:rFonts w:hint="default" w:ascii="Times New Roman" w:hAnsi="Times New Roman" w:eastAsia="华文中宋" w:cs="Times New Roman"/>
          <w:b/>
          <w:bCs/>
          <w:kern w:val="0"/>
          <w:sz w:val="24"/>
          <w:szCs w:val="24"/>
          <w:lang w:val="en-US" w:eastAsia="zh-CN"/>
        </w:rPr>
        <w:t>3.2.1</w:t>
      </w:r>
      <w:r>
        <w:rPr>
          <w:rFonts w:hint="eastAsia" w:ascii="Times New Roman" w:hAnsi="Times New Roman" w:eastAsia="华文中宋" w:cs="Times New Roman"/>
          <w:b/>
          <w:bCs/>
          <w:kern w:val="0"/>
          <w:sz w:val="24"/>
          <w:szCs w:val="24"/>
          <w:lang w:val="en-US" w:eastAsia="zh-CN"/>
        </w:rPr>
        <w:t>.3</w:t>
      </w:r>
      <w:r>
        <w:rPr>
          <w:rFonts w:hint="default" w:ascii="Times New Roman" w:hAnsi="Times New Roman" w:eastAsia="华文中宋" w:cs="Times New Roman"/>
          <w:b/>
          <w:bCs/>
          <w:sz w:val="24"/>
          <w:lang w:val="en-US" w:eastAsia="zh-CN"/>
        </w:rPr>
        <w:t>施工期噪声污染源分析</w:t>
      </w:r>
    </w:p>
    <w:p w14:paraId="0BB4A165">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rPr>
        <w:t>施工期的噪声主要来源于施工现场的</w:t>
      </w:r>
      <w:r>
        <w:rPr>
          <w:rFonts w:hint="eastAsia" w:ascii="Times New Roman" w:hAnsi="Times New Roman" w:eastAsia="华文中宋" w:cs="Times New Roman"/>
          <w:sz w:val="24"/>
          <w:lang w:val="en-US" w:eastAsia="zh-CN"/>
        </w:rPr>
        <w:t>设备运行</w:t>
      </w:r>
      <w:r>
        <w:rPr>
          <w:rFonts w:hint="default" w:ascii="Times New Roman" w:hAnsi="Times New Roman" w:eastAsia="华文中宋" w:cs="Times New Roman"/>
          <w:sz w:val="24"/>
        </w:rPr>
        <w:t>、道路开拓和物料运输。施工场地噪声主要是施工机械设备噪声、物料装卸碰撞噪声、施工人员活动噪声。施工过程发生的噪声与其他噪声有一定的区别</w:t>
      </w:r>
      <w:r>
        <w:rPr>
          <w:rFonts w:hint="eastAsia" w:ascii="Times New Roman" w:hAnsi="Times New Roman" w:eastAsia="华文中宋" w:cs="Times New Roman"/>
          <w:sz w:val="24"/>
          <w:lang w:eastAsia="zh-CN"/>
        </w:rPr>
        <w:t>：</w:t>
      </w:r>
      <w:r>
        <w:rPr>
          <w:rFonts w:hint="default" w:ascii="Times New Roman" w:hAnsi="Times New Roman" w:eastAsia="华文中宋" w:cs="Times New Roman"/>
          <w:sz w:val="24"/>
        </w:rPr>
        <w:t>其一是噪声由许多不同种类的设备发出的</w:t>
      </w:r>
      <w:r>
        <w:rPr>
          <w:rFonts w:hint="eastAsia" w:ascii="Times New Roman" w:hAnsi="Times New Roman" w:eastAsia="华文中宋" w:cs="Times New Roman"/>
          <w:sz w:val="24"/>
          <w:lang w:eastAsia="zh-CN"/>
        </w:rPr>
        <w:t>；</w:t>
      </w:r>
      <w:r>
        <w:rPr>
          <w:rFonts w:hint="default" w:ascii="Times New Roman" w:hAnsi="Times New Roman" w:eastAsia="华文中宋" w:cs="Times New Roman"/>
          <w:sz w:val="24"/>
        </w:rPr>
        <w:t>其二是这些设备的运作是间歇性的，因此所发噪声也是间歇性的和短暂的。根据噪声源分析可知，施工场地的噪声源主要为各类高噪声施工机械，各施工阶段均有设备交互作业，这些设备在施工场地内的位置、使用率有较大变化。参考《环境噪声与振动控制工程技术导则》（HJ2034-2013），不同施工阶段各类施工机械在距离噪声源5m的声压级详见表</w:t>
      </w:r>
      <w:r>
        <w:rPr>
          <w:rFonts w:hint="default" w:ascii="Times New Roman" w:hAnsi="Times New Roman" w:eastAsia="华文中宋" w:cs="Times New Roman"/>
          <w:sz w:val="24"/>
          <w:lang w:val="en-US" w:eastAsia="zh-CN"/>
        </w:rPr>
        <w:t>3.2-</w:t>
      </w:r>
      <w:r>
        <w:rPr>
          <w:rFonts w:hint="eastAsia" w:ascii="Times New Roman" w:hAnsi="Times New Roman" w:eastAsia="华文中宋" w:cs="Times New Roman"/>
          <w:sz w:val="24"/>
          <w:lang w:val="en-US" w:eastAsia="zh-CN"/>
        </w:rPr>
        <w:t>2</w:t>
      </w:r>
      <w:r>
        <w:rPr>
          <w:rFonts w:hint="default" w:ascii="Times New Roman" w:hAnsi="Times New Roman" w:eastAsia="华文中宋" w:cs="Times New Roman"/>
          <w:sz w:val="24"/>
        </w:rPr>
        <w:t>所示。</w:t>
      </w:r>
    </w:p>
    <w:p w14:paraId="2AC56452">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表3.2-</w:t>
      </w:r>
      <w:r>
        <w:rPr>
          <w:rFonts w:hint="eastAsia" w:ascii="Times New Roman" w:hAnsi="Times New Roman" w:eastAsia="华文中宋" w:cs="Times New Roman"/>
          <w:b/>
          <w:szCs w:val="21"/>
          <w:lang w:val="en-US" w:eastAsia="zh-CN"/>
        </w:rPr>
        <w:t>2</w:t>
      </w:r>
      <w:r>
        <w:rPr>
          <w:rFonts w:hint="default" w:ascii="Times New Roman" w:hAnsi="Times New Roman" w:eastAsia="华文中宋" w:cs="Times New Roman"/>
          <w:b/>
          <w:szCs w:val="21"/>
          <w:lang w:val="en-US" w:eastAsia="zh-CN"/>
        </w:rPr>
        <w:t xml:space="preserve">  施工期主要机械设备噪声强度</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267"/>
        <w:gridCol w:w="2993"/>
        <w:gridCol w:w="1393"/>
        <w:gridCol w:w="2869"/>
      </w:tblGrid>
      <w:tr w14:paraId="04B5FD3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67" w:type="dxa"/>
            <w:tcBorders>
              <w:tl2br w:val="nil"/>
              <w:tr2bl w:val="nil"/>
            </w:tcBorders>
            <w:vAlign w:val="center"/>
          </w:tcPr>
          <w:p w14:paraId="3479860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施工阶段</w:t>
            </w:r>
          </w:p>
        </w:tc>
        <w:tc>
          <w:tcPr>
            <w:tcW w:w="2993" w:type="dxa"/>
            <w:tcBorders>
              <w:tl2br w:val="nil"/>
              <w:tr2bl w:val="nil"/>
            </w:tcBorders>
            <w:vAlign w:val="center"/>
          </w:tcPr>
          <w:p w14:paraId="53D6126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噪声特点</w:t>
            </w:r>
          </w:p>
        </w:tc>
        <w:tc>
          <w:tcPr>
            <w:tcW w:w="1393" w:type="dxa"/>
            <w:tcBorders>
              <w:tl2br w:val="nil"/>
              <w:tr2bl w:val="nil"/>
            </w:tcBorders>
            <w:vAlign w:val="center"/>
          </w:tcPr>
          <w:p w14:paraId="1107EF7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主要噪声源</w:t>
            </w:r>
          </w:p>
        </w:tc>
        <w:tc>
          <w:tcPr>
            <w:tcW w:w="2869" w:type="dxa"/>
            <w:tcBorders>
              <w:tl2br w:val="nil"/>
              <w:tr2bl w:val="nil"/>
            </w:tcBorders>
            <w:vAlign w:val="center"/>
          </w:tcPr>
          <w:p w14:paraId="276B669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距声源5m的声压级dB(A)</w:t>
            </w:r>
          </w:p>
        </w:tc>
      </w:tr>
      <w:tr w14:paraId="78A64DA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67" w:type="dxa"/>
            <w:vMerge w:val="restart"/>
            <w:tcBorders>
              <w:tl2br w:val="nil"/>
              <w:tr2bl w:val="nil"/>
            </w:tcBorders>
            <w:vAlign w:val="center"/>
          </w:tcPr>
          <w:p w14:paraId="69316547">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土石方阶段</w:t>
            </w:r>
          </w:p>
        </w:tc>
        <w:tc>
          <w:tcPr>
            <w:tcW w:w="2993" w:type="dxa"/>
            <w:vMerge w:val="restart"/>
            <w:tcBorders>
              <w:tl2br w:val="nil"/>
              <w:tr2bl w:val="nil"/>
            </w:tcBorders>
            <w:vAlign w:val="center"/>
          </w:tcPr>
          <w:p w14:paraId="4246F02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移动式声源</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无明显指向性</w:t>
            </w:r>
          </w:p>
        </w:tc>
        <w:tc>
          <w:tcPr>
            <w:tcW w:w="1393" w:type="dxa"/>
            <w:tcBorders>
              <w:tl2br w:val="nil"/>
              <w:tr2bl w:val="nil"/>
            </w:tcBorders>
            <w:vAlign w:val="center"/>
          </w:tcPr>
          <w:p w14:paraId="09DD594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推土机</w:t>
            </w:r>
          </w:p>
        </w:tc>
        <w:tc>
          <w:tcPr>
            <w:tcW w:w="2869" w:type="dxa"/>
            <w:tcBorders>
              <w:tl2br w:val="nil"/>
              <w:tr2bl w:val="nil"/>
            </w:tcBorders>
            <w:vAlign w:val="center"/>
          </w:tcPr>
          <w:p w14:paraId="4E4052C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83</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88</w:t>
            </w:r>
          </w:p>
        </w:tc>
      </w:tr>
      <w:tr w14:paraId="582E78D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67" w:type="dxa"/>
            <w:vMerge w:val="continue"/>
            <w:tcBorders>
              <w:tl2br w:val="nil"/>
              <w:tr2bl w:val="nil"/>
            </w:tcBorders>
            <w:vAlign w:val="center"/>
          </w:tcPr>
          <w:p w14:paraId="24D3507B">
            <w:pPr>
              <w:spacing w:line="300" w:lineRule="exact"/>
              <w:jc w:val="center"/>
              <w:rPr>
                <w:rFonts w:hint="default" w:ascii="Times New Roman" w:hAnsi="Times New Roman" w:eastAsia="华文中宋" w:cs="Times New Roman"/>
                <w:szCs w:val="21"/>
              </w:rPr>
            </w:pPr>
          </w:p>
        </w:tc>
        <w:tc>
          <w:tcPr>
            <w:tcW w:w="2993" w:type="dxa"/>
            <w:vMerge w:val="continue"/>
            <w:tcBorders>
              <w:tl2br w:val="nil"/>
              <w:tr2bl w:val="nil"/>
            </w:tcBorders>
            <w:vAlign w:val="center"/>
          </w:tcPr>
          <w:p w14:paraId="79A9FFAF">
            <w:pPr>
              <w:spacing w:line="300" w:lineRule="exact"/>
              <w:jc w:val="center"/>
              <w:rPr>
                <w:rFonts w:hint="default" w:ascii="Times New Roman" w:hAnsi="Times New Roman" w:eastAsia="华文中宋" w:cs="Times New Roman"/>
                <w:szCs w:val="21"/>
              </w:rPr>
            </w:pPr>
          </w:p>
        </w:tc>
        <w:tc>
          <w:tcPr>
            <w:tcW w:w="1393" w:type="dxa"/>
            <w:tcBorders>
              <w:tl2br w:val="nil"/>
              <w:tr2bl w:val="nil"/>
            </w:tcBorders>
            <w:vAlign w:val="center"/>
          </w:tcPr>
          <w:p w14:paraId="05371EE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挖掘机</w:t>
            </w:r>
          </w:p>
        </w:tc>
        <w:tc>
          <w:tcPr>
            <w:tcW w:w="2869" w:type="dxa"/>
            <w:tcBorders>
              <w:tl2br w:val="nil"/>
              <w:tr2bl w:val="nil"/>
            </w:tcBorders>
            <w:vAlign w:val="center"/>
          </w:tcPr>
          <w:p w14:paraId="0910597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80</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90</w:t>
            </w:r>
          </w:p>
        </w:tc>
      </w:tr>
      <w:tr w14:paraId="51C8D5E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67" w:type="dxa"/>
            <w:vMerge w:val="continue"/>
            <w:tcBorders>
              <w:tl2br w:val="nil"/>
              <w:tr2bl w:val="nil"/>
            </w:tcBorders>
            <w:vAlign w:val="center"/>
          </w:tcPr>
          <w:p w14:paraId="76BAEF29">
            <w:pPr>
              <w:spacing w:line="300" w:lineRule="exact"/>
              <w:jc w:val="center"/>
              <w:rPr>
                <w:rFonts w:hint="default" w:ascii="Times New Roman" w:hAnsi="Times New Roman" w:eastAsia="华文中宋" w:cs="Times New Roman"/>
                <w:szCs w:val="21"/>
              </w:rPr>
            </w:pPr>
          </w:p>
        </w:tc>
        <w:tc>
          <w:tcPr>
            <w:tcW w:w="2993" w:type="dxa"/>
            <w:vMerge w:val="continue"/>
            <w:tcBorders>
              <w:tl2br w:val="nil"/>
              <w:tr2bl w:val="nil"/>
            </w:tcBorders>
            <w:vAlign w:val="center"/>
          </w:tcPr>
          <w:p w14:paraId="01A80682">
            <w:pPr>
              <w:spacing w:line="300" w:lineRule="exact"/>
              <w:jc w:val="center"/>
              <w:rPr>
                <w:rFonts w:hint="default" w:ascii="Times New Roman" w:hAnsi="Times New Roman" w:eastAsia="华文中宋" w:cs="Times New Roman"/>
                <w:szCs w:val="21"/>
              </w:rPr>
            </w:pPr>
          </w:p>
        </w:tc>
        <w:tc>
          <w:tcPr>
            <w:tcW w:w="1393" w:type="dxa"/>
            <w:tcBorders>
              <w:tl2br w:val="nil"/>
              <w:tr2bl w:val="nil"/>
            </w:tcBorders>
            <w:vAlign w:val="center"/>
          </w:tcPr>
          <w:p w14:paraId="1092E00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装载机</w:t>
            </w:r>
          </w:p>
        </w:tc>
        <w:tc>
          <w:tcPr>
            <w:tcW w:w="2869" w:type="dxa"/>
            <w:tcBorders>
              <w:tl2br w:val="nil"/>
              <w:tr2bl w:val="nil"/>
            </w:tcBorders>
            <w:vAlign w:val="center"/>
          </w:tcPr>
          <w:p w14:paraId="3ECDA6F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90</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95</w:t>
            </w:r>
          </w:p>
        </w:tc>
      </w:tr>
      <w:tr w14:paraId="2D492EE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67" w:type="dxa"/>
            <w:vMerge w:val="continue"/>
            <w:tcBorders>
              <w:tl2br w:val="nil"/>
              <w:tr2bl w:val="nil"/>
            </w:tcBorders>
            <w:vAlign w:val="center"/>
          </w:tcPr>
          <w:p w14:paraId="21BAE191">
            <w:pPr>
              <w:spacing w:line="300" w:lineRule="exact"/>
              <w:jc w:val="center"/>
              <w:rPr>
                <w:rFonts w:hint="default" w:ascii="Times New Roman" w:hAnsi="Times New Roman" w:eastAsia="华文中宋" w:cs="Times New Roman"/>
                <w:szCs w:val="21"/>
              </w:rPr>
            </w:pPr>
          </w:p>
        </w:tc>
        <w:tc>
          <w:tcPr>
            <w:tcW w:w="2993" w:type="dxa"/>
            <w:vMerge w:val="continue"/>
            <w:tcBorders>
              <w:tl2br w:val="nil"/>
              <w:tr2bl w:val="nil"/>
            </w:tcBorders>
            <w:vAlign w:val="center"/>
          </w:tcPr>
          <w:p w14:paraId="49B1A866">
            <w:pPr>
              <w:spacing w:line="300" w:lineRule="exact"/>
              <w:jc w:val="center"/>
              <w:rPr>
                <w:rFonts w:hint="default" w:ascii="Times New Roman" w:hAnsi="Times New Roman" w:eastAsia="华文中宋" w:cs="Times New Roman"/>
                <w:szCs w:val="21"/>
              </w:rPr>
            </w:pPr>
          </w:p>
        </w:tc>
        <w:tc>
          <w:tcPr>
            <w:tcW w:w="1393" w:type="dxa"/>
            <w:tcBorders>
              <w:tl2br w:val="nil"/>
              <w:tr2bl w:val="nil"/>
            </w:tcBorders>
            <w:vAlign w:val="center"/>
          </w:tcPr>
          <w:p w14:paraId="0933EB5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运输车辆</w:t>
            </w:r>
          </w:p>
        </w:tc>
        <w:tc>
          <w:tcPr>
            <w:tcW w:w="2869" w:type="dxa"/>
            <w:tcBorders>
              <w:tl2br w:val="nil"/>
              <w:tr2bl w:val="nil"/>
            </w:tcBorders>
            <w:vAlign w:val="center"/>
          </w:tcPr>
          <w:p w14:paraId="205AAC7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82</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90</w:t>
            </w:r>
          </w:p>
        </w:tc>
      </w:tr>
      <w:tr w14:paraId="186C045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67" w:type="dxa"/>
            <w:vMerge w:val="restart"/>
            <w:tcBorders>
              <w:tl2br w:val="nil"/>
              <w:tr2bl w:val="nil"/>
            </w:tcBorders>
            <w:vAlign w:val="center"/>
          </w:tcPr>
          <w:p w14:paraId="1C99916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基础施工阶段</w:t>
            </w:r>
          </w:p>
        </w:tc>
        <w:tc>
          <w:tcPr>
            <w:tcW w:w="2993" w:type="dxa"/>
            <w:vMerge w:val="restart"/>
            <w:tcBorders>
              <w:tl2br w:val="nil"/>
              <w:tr2bl w:val="nil"/>
            </w:tcBorders>
            <w:vAlign w:val="center"/>
          </w:tcPr>
          <w:p w14:paraId="0B875E0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典型的脉冲噪声</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有明显指向性</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声功率级最高</w:t>
            </w:r>
          </w:p>
        </w:tc>
        <w:tc>
          <w:tcPr>
            <w:tcW w:w="1393" w:type="dxa"/>
            <w:tcBorders>
              <w:tl2br w:val="nil"/>
              <w:tr2bl w:val="nil"/>
            </w:tcBorders>
            <w:vAlign w:val="center"/>
          </w:tcPr>
          <w:p w14:paraId="71D5EC53">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振动夯锤</w:t>
            </w:r>
          </w:p>
        </w:tc>
        <w:tc>
          <w:tcPr>
            <w:tcW w:w="2869" w:type="dxa"/>
            <w:tcBorders>
              <w:tl2br w:val="nil"/>
              <w:tr2bl w:val="nil"/>
            </w:tcBorders>
            <w:vAlign w:val="center"/>
          </w:tcPr>
          <w:p w14:paraId="5ECFFCE0">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92</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100</w:t>
            </w:r>
          </w:p>
        </w:tc>
      </w:tr>
      <w:tr w14:paraId="2C8DFF9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67" w:type="dxa"/>
            <w:vMerge w:val="continue"/>
            <w:tcBorders>
              <w:tl2br w:val="nil"/>
              <w:tr2bl w:val="nil"/>
            </w:tcBorders>
            <w:vAlign w:val="center"/>
          </w:tcPr>
          <w:p w14:paraId="207B7A8B">
            <w:pPr>
              <w:spacing w:line="300" w:lineRule="exact"/>
              <w:jc w:val="center"/>
              <w:rPr>
                <w:rFonts w:hint="default" w:ascii="Times New Roman" w:hAnsi="Times New Roman" w:eastAsia="华文中宋" w:cs="Times New Roman"/>
                <w:szCs w:val="21"/>
              </w:rPr>
            </w:pPr>
          </w:p>
        </w:tc>
        <w:tc>
          <w:tcPr>
            <w:tcW w:w="2993" w:type="dxa"/>
            <w:vMerge w:val="continue"/>
            <w:tcBorders>
              <w:tl2br w:val="nil"/>
              <w:tr2bl w:val="nil"/>
            </w:tcBorders>
            <w:vAlign w:val="center"/>
          </w:tcPr>
          <w:p w14:paraId="4EC880AE">
            <w:pPr>
              <w:spacing w:line="300" w:lineRule="exact"/>
              <w:jc w:val="center"/>
              <w:rPr>
                <w:rFonts w:hint="default" w:ascii="Times New Roman" w:hAnsi="Times New Roman" w:eastAsia="华文中宋" w:cs="Times New Roman"/>
                <w:szCs w:val="21"/>
              </w:rPr>
            </w:pPr>
          </w:p>
        </w:tc>
        <w:tc>
          <w:tcPr>
            <w:tcW w:w="1393" w:type="dxa"/>
            <w:tcBorders>
              <w:tl2br w:val="nil"/>
              <w:tr2bl w:val="nil"/>
            </w:tcBorders>
            <w:vAlign w:val="center"/>
          </w:tcPr>
          <w:p w14:paraId="0F162FA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振捣棒</w:t>
            </w:r>
          </w:p>
        </w:tc>
        <w:tc>
          <w:tcPr>
            <w:tcW w:w="2869" w:type="dxa"/>
            <w:tcBorders>
              <w:tl2br w:val="nil"/>
              <w:tr2bl w:val="nil"/>
            </w:tcBorders>
            <w:vAlign w:val="center"/>
          </w:tcPr>
          <w:p w14:paraId="056DE6B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80</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88</w:t>
            </w:r>
          </w:p>
        </w:tc>
      </w:tr>
      <w:tr w14:paraId="36339B5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67" w:type="dxa"/>
            <w:vMerge w:val="restart"/>
            <w:tcBorders>
              <w:tl2br w:val="nil"/>
              <w:tr2bl w:val="nil"/>
            </w:tcBorders>
            <w:vAlign w:val="center"/>
          </w:tcPr>
          <w:p w14:paraId="05687E6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结构施工阶段</w:t>
            </w:r>
          </w:p>
        </w:tc>
        <w:tc>
          <w:tcPr>
            <w:tcW w:w="2993" w:type="dxa"/>
            <w:vMerge w:val="restart"/>
            <w:tcBorders>
              <w:tl2br w:val="nil"/>
              <w:tr2bl w:val="nil"/>
            </w:tcBorders>
            <w:vAlign w:val="center"/>
          </w:tcPr>
          <w:p w14:paraId="09BFFB5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施工期长</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工作时间长</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影响面广</w:t>
            </w:r>
          </w:p>
        </w:tc>
        <w:tc>
          <w:tcPr>
            <w:tcW w:w="1393" w:type="dxa"/>
            <w:tcBorders>
              <w:tl2br w:val="nil"/>
              <w:tr2bl w:val="nil"/>
            </w:tcBorders>
            <w:vAlign w:val="center"/>
          </w:tcPr>
          <w:p w14:paraId="48FE2B5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电焊机</w:t>
            </w:r>
          </w:p>
        </w:tc>
        <w:tc>
          <w:tcPr>
            <w:tcW w:w="2869" w:type="dxa"/>
            <w:tcBorders>
              <w:tl2br w:val="nil"/>
              <w:tr2bl w:val="nil"/>
            </w:tcBorders>
            <w:vAlign w:val="center"/>
          </w:tcPr>
          <w:p w14:paraId="3B57EBC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90</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95</w:t>
            </w:r>
          </w:p>
        </w:tc>
      </w:tr>
      <w:tr w14:paraId="3B1ED98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67" w:type="dxa"/>
            <w:vMerge w:val="continue"/>
            <w:tcBorders>
              <w:tl2br w:val="nil"/>
              <w:tr2bl w:val="nil"/>
            </w:tcBorders>
            <w:vAlign w:val="center"/>
          </w:tcPr>
          <w:p w14:paraId="11FAA91E">
            <w:pPr>
              <w:spacing w:line="300" w:lineRule="exact"/>
              <w:jc w:val="center"/>
              <w:rPr>
                <w:rFonts w:hint="default" w:ascii="Times New Roman" w:hAnsi="Times New Roman" w:eastAsia="华文中宋" w:cs="Times New Roman"/>
                <w:szCs w:val="21"/>
              </w:rPr>
            </w:pPr>
          </w:p>
        </w:tc>
        <w:tc>
          <w:tcPr>
            <w:tcW w:w="2993" w:type="dxa"/>
            <w:vMerge w:val="continue"/>
            <w:tcBorders>
              <w:tl2br w:val="nil"/>
              <w:tr2bl w:val="nil"/>
            </w:tcBorders>
            <w:vAlign w:val="center"/>
          </w:tcPr>
          <w:p w14:paraId="26AEDA62">
            <w:pPr>
              <w:spacing w:line="300" w:lineRule="exact"/>
              <w:jc w:val="center"/>
              <w:rPr>
                <w:rFonts w:hint="default" w:ascii="Times New Roman" w:hAnsi="Times New Roman" w:eastAsia="华文中宋" w:cs="Times New Roman"/>
                <w:szCs w:val="21"/>
              </w:rPr>
            </w:pPr>
          </w:p>
        </w:tc>
        <w:tc>
          <w:tcPr>
            <w:tcW w:w="1393" w:type="dxa"/>
            <w:tcBorders>
              <w:tl2br w:val="nil"/>
              <w:tr2bl w:val="nil"/>
            </w:tcBorders>
            <w:vAlign w:val="center"/>
          </w:tcPr>
          <w:p w14:paraId="59934D8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电钻</w:t>
            </w:r>
          </w:p>
        </w:tc>
        <w:tc>
          <w:tcPr>
            <w:tcW w:w="2869" w:type="dxa"/>
            <w:tcBorders>
              <w:tl2br w:val="nil"/>
              <w:tr2bl w:val="nil"/>
            </w:tcBorders>
            <w:vAlign w:val="center"/>
          </w:tcPr>
          <w:p w14:paraId="33481AF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90</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95</w:t>
            </w:r>
          </w:p>
        </w:tc>
      </w:tr>
      <w:tr w14:paraId="43ED987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67" w:type="dxa"/>
            <w:vMerge w:val="continue"/>
            <w:tcBorders>
              <w:tl2br w:val="nil"/>
              <w:tr2bl w:val="nil"/>
            </w:tcBorders>
            <w:vAlign w:val="center"/>
          </w:tcPr>
          <w:p w14:paraId="6DFD43FA">
            <w:pPr>
              <w:spacing w:line="300" w:lineRule="exact"/>
              <w:jc w:val="center"/>
              <w:rPr>
                <w:rFonts w:hint="default" w:ascii="Times New Roman" w:hAnsi="Times New Roman" w:eastAsia="华文中宋" w:cs="Times New Roman"/>
                <w:szCs w:val="21"/>
              </w:rPr>
            </w:pPr>
          </w:p>
        </w:tc>
        <w:tc>
          <w:tcPr>
            <w:tcW w:w="2993" w:type="dxa"/>
            <w:vMerge w:val="continue"/>
            <w:tcBorders>
              <w:tl2br w:val="nil"/>
              <w:tr2bl w:val="nil"/>
            </w:tcBorders>
            <w:vAlign w:val="center"/>
          </w:tcPr>
          <w:p w14:paraId="3E6D2E39">
            <w:pPr>
              <w:spacing w:line="300" w:lineRule="exact"/>
              <w:jc w:val="center"/>
              <w:rPr>
                <w:rFonts w:hint="default" w:ascii="Times New Roman" w:hAnsi="Times New Roman" w:eastAsia="华文中宋" w:cs="Times New Roman"/>
                <w:szCs w:val="21"/>
              </w:rPr>
            </w:pPr>
          </w:p>
        </w:tc>
        <w:tc>
          <w:tcPr>
            <w:tcW w:w="1393" w:type="dxa"/>
            <w:tcBorders>
              <w:tl2br w:val="nil"/>
              <w:tr2bl w:val="nil"/>
            </w:tcBorders>
            <w:vAlign w:val="center"/>
          </w:tcPr>
          <w:p w14:paraId="26B18B0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电锤</w:t>
            </w:r>
          </w:p>
        </w:tc>
        <w:tc>
          <w:tcPr>
            <w:tcW w:w="2869" w:type="dxa"/>
            <w:tcBorders>
              <w:tl2br w:val="nil"/>
              <w:tr2bl w:val="nil"/>
            </w:tcBorders>
            <w:vAlign w:val="center"/>
          </w:tcPr>
          <w:p w14:paraId="52EDC62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100</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105</w:t>
            </w:r>
          </w:p>
        </w:tc>
      </w:tr>
      <w:tr w14:paraId="2FFB3A5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67" w:type="dxa"/>
            <w:vMerge w:val="restart"/>
            <w:tcBorders>
              <w:tl2br w:val="nil"/>
              <w:tr2bl w:val="nil"/>
            </w:tcBorders>
            <w:vAlign w:val="center"/>
          </w:tcPr>
          <w:p w14:paraId="34C7CBB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设备安装阶段</w:t>
            </w:r>
          </w:p>
        </w:tc>
        <w:tc>
          <w:tcPr>
            <w:tcW w:w="2993" w:type="dxa"/>
            <w:vMerge w:val="restart"/>
            <w:tcBorders>
              <w:tl2br w:val="nil"/>
              <w:tr2bl w:val="nil"/>
            </w:tcBorders>
            <w:vAlign w:val="center"/>
          </w:tcPr>
          <w:p w14:paraId="6C5993B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施工期长</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声源强度较小</w:t>
            </w:r>
          </w:p>
        </w:tc>
        <w:tc>
          <w:tcPr>
            <w:tcW w:w="1393" w:type="dxa"/>
            <w:tcBorders>
              <w:tl2br w:val="nil"/>
              <w:tr2bl w:val="nil"/>
            </w:tcBorders>
            <w:vAlign w:val="center"/>
          </w:tcPr>
          <w:p w14:paraId="6BB7EB3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手工钻</w:t>
            </w:r>
          </w:p>
        </w:tc>
        <w:tc>
          <w:tcPr>
            <w:tcW w:w="2869" w:type="dxa"/>
            <w:tcBorders>
              <w:tl2br w:val="nil"/>
              <w:tr2bl w:val="nil"/>
            </w:tcBorders>
            <w:vAlign w:val="center"/>
          </w:tcPr>
          <w:p w14:paraId="013C4F5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95</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100</w:t>
            </w:r>
          </w:p>
        </w:tc>
      </w:tr>
      <w:tr w14:paraId="152DBEC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67" w:type="dxa"/>
            <w:vMerge w:val="continue"/>
            <w:tcBorders>
              <w:tl2br w:val="nil"/>
              <w:tr2bl w:val="nil"/>
            </w:tcBorders>
            <w:vAlign w:val="center"/>
          </w:tcPr>
          <w:p w14:paraId="22E82D03">
            <w:pPr>
              <w:spacing w:line="300" w:lineRule="exact"/>
              <w:jc w:val="center"/>
              <w:rPr>
                <w:rFonts w:hint="default" w:ascii="Times New Roman" w:hAnsi="Times New Roman" w:eastAsia="华文中宋" w:cs="Times New Roman"/>
                <w:szCs w:val="21"/>
              </w:rPr>
            </w:pPr>
          </w:p>
        </w:tc>
        <w:tc>
          <w:tcPr>
            <w:tcW w:w="2993" w:type="dxa"/>
            <w:vMerge w:val="continue"/>
            <w:tcBorders>
              <w:tl2br w:val="nil"/>
              <w:tr2bl w:val="nil"/>
            </w:tcBorders>
            <w:vAlign w:val="center"/>
          </w:tcPr>
          <w:p w14:paraId="5EA61A58">
            <w:pPr>
              <w:spacing w:line="300" w:lineRule="exact"/>
              <w:jc w:val="center"/>
              <w:rPr>
                <w:rFonts w:hint="default" w:ascii="Times New Roman" w:hAnsi="Times New Roman" w:eastAsia="华文中宋" w:cs="Times New Roman"/>
                <w:szCs w:val="21"/>
              </w:rPr>
            </w:pPr>
          </w:p>
        </w:tc>
        <w:tc>
          <w:tcPr>
            <w:tcW w:w="1393" w:type="dxa"/>
            <w:tcBorders>
              <w:tl2br w:val="nil"/>
              <w:tr2bl w:val="nil"/>
            </w:tcBorders>
            <w:vAlign w:val="center"/>
          </w:tcPr>
          <w:p w14:paraId="7A46BAF0">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电锯</w:t>
            </w:r>
          </w:p>
        </w:tc>
        <w:tc>
          <w:tcPr>
            <w:tcW w:w="2869" w:type="dxa"/>
            <w:tcBorders>
              <w:tl2br w:val="nil"/>
              <w:tr2bl w:val="nil"/>
            </w:tcBorders>
            <w:vAlign w:val="center"/>
          </w:tcPr>
          <w:p w14:paraId="72476210">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90</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95</w:t>
            </w:r>
          </w:p>
        </w:tc>
      </w:tr>
      <w:tr w14:paraId="4F63F4B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267" w:type="dxa"/>
            <w:vMerge w:val="continue"/>
            <w:tcBorders>
              <w:tl2br w:val="nil"/>
              <w:tr2bl w:val="nil"/>
            </w:tcBorders>
            <w:vAlign w:val="center"/>
          </w:tcPr>
          <w:p w14:paraId="69A43342">
            <w:pPr>
              <w:spacing w:line="300" w:lineRule="exact"/>
              <w:jc w:val="center"/>
              <w:rPr>
                <w:rFonts w:hint="default" w:ascii="Times New Roman" w:hAnsi="Times New Roman" w:eastAsia="华文中宋" w:cs="Times New Roman"/>
                <w:szCs w:val="21"/>
              </w:rPr>
            </w:pPr>
          </w:p>
        </w:tc>
        <w:tc>
          <w:tcPr>
            <w:tcW w:w="2993" w:type="dxa"/>
            <w:vMerge w:val="continue"/>
            <w:tcBorders>
              <w:tl2br w:val="nil"/>
              <w:tr2bl w:val="nil"/>
            </w:tcBorders>
            <w:vAlign w:val="center"/>
          </w:tcPr>
          <w:p w14:paraId="038E27C2">
            <w:pPr>
              <w:spacing w:line="300" w:lineRule="exact"/>
              <w:jc w:val="center"/>
              <w:rPr>
                <w:rFonts w:hint="default" w:ascii="Times New Roman" w:hAnsi="Times New Roman" w:eastAsia="华文中宋" w:cs="Times New Roman"/>
                <w:szCs w:val="21"/>
              </w:rPr>
            </w:pPr>
          </w:p>
        </w:tc>
        <w:tc>
          <w:tcPr>
            <w:tcW w:w="1393" w:type="dxa"/>
            <w:tcBorders>
              <w:tl2br w:val="nil"/>
              <w:tr2bl w:val="nil"/>
            </w:tcBorders>
            <w:vAlign w:val="center"/>
          </w:tcPr>
          <w:p w14:paraId="452B780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运输车辆</w:t>
            </w:r>
          </w:p>
        </w:tc>
        <w:tc>
          <w:tcPr>
            <w:tcW w:w="2869" w:type="dxa"/>
            <w:tcBorders>
              <w:tl2br w:val="nil"/>
              <w:tr2bl w:val="nil"/>
            </w:tcBorders>
            <w:vAlign w:val="center"/>
          </w:tcPr>
          <w:p w14:paraId="399D68C7">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75</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80</w:t>
            </w:r>
          </w:p>
        </w:tc>
      </w:tr>
    </w:tbl>
    <w:p w14:paraId="29CB1289">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从上表可以看出，各类机械施工的噪声级均比较大，加之人为噪声及其他施工声响，若未经妥善的隔声降噪处理，将对周围环境造成较大的不良影响。</w:t>
      </w:r>
    </w:p>
    <w:p w14:paraId="263C6C6E">
      <w:pPr>
        <w:adjustRightInd w:val="0"/>
        <w:snapToGrid w:val="0"/>
        <w:spacing w:line="500" w:lineRule="exact"/>
        <w:jc w:val="left"/>
        <w:rPr>
          <w:rFonts w:hint="default" w:ascii="Times New Roman" w:hAnsi="Times New Roman" w:eastAsia="华文中宋" w:cs="Times New Roman"/>
          <w:b/>
          <w:bCs/>
          <w:kern w:val="0"/>
          <w:sz w:val="24"/>
          <w:szCs w:val="24"/>
          <w:lang w:val="en-US" w:eastAsia="zh-CN"/>
        </w:rPr>
      </w:pPr>
      <w:r>
        <w:rPr>
          <w:rFonts w:hint="default" w:ascii="Times New Roman" w:hAnsi="Times New Roman" w:eastAsia="华文中宋" w:cs="Times New Roman"/>
          <w:b/>
          <w:bCs/>
          <w:kern w:val="0"/>
          <w:sz w:val="24"/>
          <w:szCs w:val="24"/>
          <w:lang w:val="en-US" w:eastAsia="zh-CN"/>
        </w:rPr>
        <w:t>3.2.1</w:t>
      </w:r>
      <w:r>
        <w:rPr>
          <w:rFonts w:hint="eastAsia" w:ascii="Times New Roman" w:hAnsi="Times New Roman" w:eastAsia="华文中宋" w:cs="Times New Roman"/>
          <w:b/>
          <w:bCs/>
          <w:kern w:val="0"/>
          <w:sz w:val="24"/>
          <w:szCs w:val="24"/>
          <w:lang w:val="en-US" w:eastAsia="zh-CN"/>
        </w:rPr>
        <w:t>.4</w:t>
      </w:r>
      <w:r>
        <w:rPr>
          <w:rFonts w:hint="default" w:ascii="Times New Roman" w:hAnsi="Times New Roman" w:eastAsia="华文中宋" w:cs="Times New Roman"/>
          <w:b/>
          <w:bCs/>
          <w:kern w:val="0"/>
          <w:sz w:val="24"/>
          <w:szCs w:val="24"/>
          <w:lang w:val="en-US" w:eastAsia="zh-CN"/>
        </w:rPr>
        <w:t>施工期固废污染源分析</w:t>
      </w:r>
    </w:p>
    <w:p w14:paraId="5E2307FD">
      <w:pPr>
        <w:pStyle w:val="24"/>
        <w:snapToGrid w:val="0"/>
        <w:jc w:val="left"/>
        <w:rPr>
          <w:rFonts w:hint="default" w:ascii="Times New Roman" w:hAnsi="Times New Roman" w:eastAsia="华文中宋" w:cs="Times New Roman"/>
          <w:color w:val="auto"/>
          <w:lang w:val="en-US" w:eastAsia="zh-CN"/>
        </w:rPr>
      </w:pPr>
      <w:r>
        <w:rPr>
          <w:rFonts w:hint="eastAsia" w:ascii="Calibri" w:hAnsi="Calibri" w:cs="Calibri"/>
          <w:color w:val="auto"/>
          <w:lang w:val="en-US" w:eastAsia="zh-CN"/>
        </w:rPr>
        <w:t>（1）</w:t>
      </w:r>
      <w:r>
        <w:rPr>
          <w:rFonts w:hint="default" w:ascii="Times New Roman" w:hAnsi="Times New Roman" w:eastAsia="华文中宋" w:cs="Times New Roman"/>
          <w:color w:val="auto"/>
        </w:rPr>
        <w:t>建筑垃圾</w:t>
      </w:r>
    </w:p>
    <w:p w14:paraId="644E7331">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生活区及矿石转运场建筑物</w:t>
      </w:r>
      <w:r>
        <w:rPr>
          <w:rFonts w:hint="eastAsia" w:ascii="Times New Roman" w:hAnsi="Times New Roman" w:cs="Times New Roman"/>
          <w:color w:val="auto"/>
          <w:lang w:val="en-US" w:eastAsia="zh-CN"/>
        </w:rPr>
        <w:t>（磅房）</w:t>
      </w:r>
      <w:r>
        <w:rPr>
          <w:rFonts w:hint="default" w:ascii="Times New Roman" w:hAnsi="Times New Roman" w:eastAsia="华文中宋" w:cs="Times New Roman"/>
          <w:color w:val="auto"/>
          <w:lang w:val="en-US" w:eastAsia="zh-CN"/>
        </w:rPr>
        <w:t>均采用砖混结构，地基基础为砌体结构，使用挖掘机拆除，借助推土机和机械翻斗车清理。预计建筑物单位清理工程量按0.5</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3</w:t>
      </w:r>
      <w:r>
        <w:rPr>
          <w:rFonts w:hint="default" w:ascii="Times New Roman" w:hAnsi="Times New Roman" w:eastAsia="华文中宋" w:cs="Times New Roman"/>
          <w:color w:val="auto"/>
          <w:lang w:val="en-US" w:eastAsia="zh-CN"/>
        </w:rPr>
        <w:t>/</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2</w:t>
      </w:r>
      <w:r>
        <w:rPr>
          <w:rFonts w:hint="default" w:ascii="Times New Roman" w:hAnsi="Times New Roman" w:eastAsia="华文中宋" w:cs="Times New Roman"/>
          <w:color w:val="auto"/>
          <w:lang w:val="en-US" w:eastAsia="zh-CN"/>
        </w:rPr>
        <w:t>。生活区建筑面积595</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2</w:t>
      </w:r>
      <w:r>
        <w:rPr>
          <w:rFonts w:hint="default" w:ascii="Times New Roman" w:hAnsi="Times New Roman" w:eastAsia="华文中宋" w:cs="Times New Roman"/>
          <w:color w:val="auto"/>
          <w:lang w:val="en-US" w:eastAsia="zh-CN"/>
        </w:rPr>
        <w:t>，建筑物垃圾总量为297.5</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3</w:t>
      </w:r>
      <w:r>
        <w:rPr>
          <w:rFonts w:hint="default" w:ascii="Times New Roman" w:hAnsi="Times New Roman" w:eastAsia="华文中宋" w:cs="Times New Roman"/>
          <w:color w:val="auto"/>
          <w:lang w:val="en-US" w:eastAsia="zh-CN"/>
        </w:rPr>
        <w:t>。矿石转运场</w:t>
      </w:r>
      <w:r>
        <w:rPr>
          <w:rFonts w:hint="eastAsia" w:ascii="Times New Roman" w:hAnsi="Times New Roman" w:cs="Times New Roman"/>
          <w:color w:val="auto"/>
          <w:lang w:val="en-US" w:eastAsia="zh-CN"/>
        </w:rPr>
        <w:t>磅房</w:t>
      </w:r>
      <w:r>
        <w:rPr>
          <w:rFonts w:hint="default" w:ascii="Times New Roman" w:hAnsi="Times New Roman" w:eastAsia="华文中宋" w:cs="Times New Roman"/>
          <w:color w:val="auto"/>
          <w:lang w:val="en-US" w:eastAsia="zh-CN"/>
        </w:rPr>
        <w:t>建筑面积25</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2</w:t>
      </w:r>
      <w:r>
        <w:rPr>
          <w:rFonts w:hint="default" w:ascii="Times New Roman" w:hAnsi="Times New Roman" w:eastAsia="华文中宋" w:cs="Times New Roman"/>
          <w:color w:val="auto"/>
          <w:lang w:val="en-US" w:eastAsia="zh-CN"/>
        </w:rPr>
        <w:t>，建筑物垃圾量为12.5</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3</w:t>
      </w:r>
      <w:r>
        <w:rPr>
          <w:rFonts w:hint="eastAsia"/>
          <w:lang w:val="en-US" w:eastAsia="zh-CN"/>
        </w:rPr>
        <w:t>由</w:t>
      </w:r>
      <w:r>
        <w:rPr>
          <w:rFonts w:hint="default" w:ascii="Times New Roman" w:hAnsi="Times New Roman" w:eastAsia="华文中宋" w:cs="Times New Roman"/>
          <w:color w:val="auto"/>
          <w:lang w:val="en-US" w:eastAsia="zh-CN"/>
        </w:rPr>
        <w:t>自卸汽车清运回填至</w:t>
      </w:r>
      <w:r>
        <w:rPr>
          <w:rFonts w:hint="default" w:ascii="Times New Roman" w:hAnsi="Times New Roman" w:eastAsia="华文中宋" w:cs="Times New Roman"/>
          <w:color w:val="auto"/>
          <w:lang w:eastAsia="zh-CN"/>
        </w:rPr>
        <w:t>民丰县垃圾填埋场处理</w:t>
      </w:r>
      <w:r>
        <w:rPr>
          <w:rFonts w:hint="default" w:ascii="Times New Roman" w:hAnsi="Times New Roman" w:eastAsia="华文中宋" w:cs="Times New Roman"/>
          <w:color w:val="auto"/>
          <w:lang w:val="en-US" w:eastAsia="zh-CN"/>
        </w:rPr>
        <w:t>，清运回填量310</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3</w:t>
      </w:r>
      <w:r>
        <w:rPr>
          <w:rFonts w:hint="default" w:ascii="Times New Roman" w:hAnsi="Times New Roman" w:eastAsia="华文中宋" w:cs="Times New Roman"/>
          <w:color w:val="auto"/>
          <w:lang w:val="en-US" w:eastAsia="zh-CN"/>
        </w:rPr>
        <w:t>。</w:t>
      </w:r>
      <w:r>
        <w:rPr>
          <w:rFonts w:hint="default" w:ascii="Times New Roman" w:hAnsi="Times New Roman" w:eastAsia="华文中宋" w:cs="Times New Roman"/>
          <w:color w:val="auto"/>
        </w:rPr>
        <w:t>地面场地平整产生的多余废石可集中堆存，待项目生产运营后集中堆放在</w:t>
      </w:r>
      <w:r>
        <w:rPr>
          <w:rFonts w:hint="default" w:ascii="Times New Roman" w:hAnsi="Times New Roman" w:eastAsia="华文中宋" w:cs="Times New Roman"/>
          <w:color w:val="auto"/>
          <w:lang w:eastAsia="zh-CN"/>
        </w:rPr>
        <w:t>废石堆放场</w:t>
      </w:r>
      <w:r>
        <w:rPr>
          <w:rFonts w:hint="default" w:ascii="Times New Roman" w:hAnsi="Times New Roman" w:eastAsia="华文中宋" w:cs="Times New Roman"/>
          <w:color w:val="auto"/>
        </w:rPr>
        <w:t>，严禁乱排。</w:t>
      </w:r>
    </w:p>
    <w:p w14:paraId="21D6F95D">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2</w:t>
      </w:r>
      <w:r>
        <w:rPr>
          <w:rFonts w:hint="eastAsia" w:ascii="Times New Roman" w:hAnsi="Times New Roman" w:cs="Times New Roman"/>
          <w:color w:val="auto"/>
          <w:lang w:eastAsia="zh-CN"/>
        </w:rPr>
        <w:t>）</w:t>
      </w:r>
      <w:r>
        <w:rPr>
          <w:rFonts w:hint="default" w:ascii="Times New Roman" w:hAnsi="Times New Roman" w:eastAsia="华文中宋" w:cs="Times New Roman"/>
          <w:color w:val="auto"/>
        </w:rPr>
        <w:t>施工人员生活垃圾</w:t>
      </w:r>
    </w:p>
    <w:p w14:paraId="19997BC6">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项目施工人员平均每天30人施工，生活垃圾按每人每天0.5kg计，产生量为15kg/d，施工期12个月，则生活垃圾产生量5.4t，集中收集后定期运至附近乡镇的垃圾收集点由环卫部门统一清运填埋处置。</w:t>
      </w:r>
    </w:p>
    <w:p w14:paraId="53A8E85A">
      <w:pPr>
        <w:adjustRightInd w:val="0"/>
        <w:snapToGrid w:val="0"/>
        <w:spacing w:line="500" w:lineRule="exact"/>
        <w:jc w:val="left"/>
        <w:rPr>
          <w:rFonts w:hint="default" w:ascii="Times New Roman" w:hAnsi="Times New Roman" w:eastAsia="华文中宋" w:cs="Times New Roman"/>
          <w:b/>
          <w:bCs/>
          <w:kern w:val="0"/>
          <w:sz w:val="24"/>
          <w:szCs w:val="24"/>
          <w:lang w:val="en-US" w:eastAsia="zh-CN"/>
        </w:rPr>
      </w:pPr>
      <w:r>
        <w:rPr>
          <w:rFonts w:hint="default" w:ascii="Times New Roman" w:hAnsi="Times New Roman" w:eastAsia="华文中宋" w:cs="Times New Roman"/>
          <w:b/>
          <w:bCs/>
          <w:kern w:val="0"/>
          <w:sz w:val="24"/>
          <w:szCs w:val="24"/>
          <w:lang w:val="en-US" w:eastAsia="zh-CN"/>
        </w:rPr>
        <w:t>3.2.1</w:t>
      </w:r>
      <w:r>
        <w:rPr>
          <w:rFonts w:hint="eastAsia" w:ascii="Times New Roman" w:hAnsi="Times New Roman" w:eastAsia="华文中宋" w:cs="Times New Roman"/>
          <w:b/>
          <w:bCs/>
          <w:kern w:val="0"/>
          <w:sz w:val="24"/>
          <w:szCs w:val="24"/>
          <w:lang w:val="en-US" w:eastAsia="zh-CN"/>
        </w:rPr>
        <w:t>.5</w:t>
      </w:r>
      <w:r>
        <w:rPr>
          <w:rFonts w:hint="default" w:ascii="Times New Roman" w:hAnsi="Times New Roman" w:eastAsia="华文中宋" w:cs="Times New Roman"/>
          <w:b/>
          <w:bCs/>
          <w:kern w:val="0"/>
          <w:sz w:val="24"/>
          <w:szCs w:val="24"/>
          <w:lang w:val="en-US" w:eastAsia="zh-CN"/>
        </w:rPr>
        <w:t>施工期生态环境影响分析</w:t>
      </w:r>
    </w:p>
    <w:p w14:paraId="77A6BBDF">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（1）</w:t>
      </w:r>
      <w:r>
        <w:rPr>
          <w:rFonts w:hint="default" w:ascii="Times New Roman" w:hAnsi="Times New Roman" w:eastAsia="华文中宋" w:cs="Times New Roman"/>
          <w:color w:val="auto"/>
          <w:lang w:val="en-US" w:eastAsia="zh-CN"/>
        </w:rPr>
        <w:t>土地的占用和功能的变化</w:t>
      </w:r>
    </w:p>
    <w:p w14:paraId="2CE95C64">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矿山施工期基建工程包括采掘场生产工作面的形成，堆场、矿山道路和矿部生产区的建设等。施工期生态影响主要为采掘场、堆场、矿部生活区、矿山道路等场地的建构筑物建设将改变占地区土地的使用功能；另外施工中平整土地、开挖地表，造成了直接施工区域内地表植被的完全破坏和部分施工区域一定范围内植被不同程度的破坏。施工机械、材料堆放、施工人员的践踏、临时占地、弃土、弃渣的堆放等，将破坏一定区域内的植被并造成小范围的水土流失。施工带清理、开挖和施工活动中施工机械、人员践踏对土壤的扰动、植被的破坏和造成水土流失，对局部生态环境有一定的影响。</w:t>
      </w:r>
    </w:p>
    <w:p w14:paraId="5ACFF435">
      <w:pPr>
        <w:pStyle w:val="24"/>
        <w:keepNext w:val="0"/>
        <w:keepLines w:val="0"/>
        <w:pageBreakBefore w:val="0"/>
        <w:widowControl w:val="0"/>
        <w:kinsoku/>
        <w:wordWrap w:val="0"/>
        <w:overflowPunct/>
        <w:topLinePunct w:val="0"/>
        <w:autoSpaceDE/>
        <w:autoSpaceDN/>
        <w:bidi w:val="0"/>
        <w:adjustRightInd w:val="0"/>
        <w:snapToGrid w:val="0"/>
        <w:jc w:val="left"/>
        <w:textAlignment w:val="baseline"/>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highlight w:val="none"/>
          <w:lang w:val="en-US" w:eastAsia="zh-CN"/>
        </w:rPr>
        <w:t>本项目</w:t>
      </w:r>
      <w:r>
        <w:rPr>
          <w:rFonts w:hint="eastAsia" w:ascii="Times New Roman" w:hAnsi="Times New Roman" w:cs="Times New Roman"/>
          <w:color w:val="auto"/>
          <w:highlight w:val="none"/>
          <w:lang w:val="en-US" w:eastAsia="zh-CN"/>
        </w:rPr>
        <w:t>主要地面设施占地</w:t>
      </w:r>
      <w:r>
        <w:rPr>
          <w:rFonts w:hint="default" w:ascii="Times New Roman" w:hAnsi="Times New Roman" w:eastAsia="华文中宋" w:cs="Times New Roman"/>
          <w:color w:val="auto"/>
          <w:highlight w:val="none"/>
          <w:lang w:val="en-US" w:eastAsia="zh-CN"/>
        </w:rPr>
        <w:t>面积约</w:t>
      </w:r>
      <w:r>
        <w:rPr>
          <w:rFonts w:hint="eastAsia" w:ascii="Times New Roman" w:hAnsi="Times New Roman" w:cs="Times New Roman"/>
          <w:color w:val="auto"/>
          <w:highlight w:val="none"/>
          <w:lang w:val="en-US" w:eastAsia="zh-CN"/>
        </w:rPr>
        <w:t>25.228h</w:t>
      </w:r>
      <w:r>
        <w:rPr>
          <w:rFonts w:hint="default" w:ascii="Times New Roman" w:hAnsi="Times New Roman" w:eastAsia="华文中宋" w:cs="Times New Roman"/>
          <w:color w:val="auto"/>
          <w:highlight w:val="none"/>
          <w:lang w:val="en-US" w:eastAsia="zh-CN"/>
        </w:rPr>
        <w:t>m</w:t>
      </w:r>
      <w:r>
        <w:rPr>
          <w:rFonts w:hint="default" w:ascii="Times New Roman" w:hAnsi="Times New Roman" w:eastAsia="华文中宋" w:cs="Times New Roman"/>
          <w:color w:val="auto"/>
          <w:highlight w:val="none"/>
          <w:vertAlign w:val="superscript"/>
          <w:lang w:val="en-US" w:eastAsia="zh-CN"/>
        </w:rPr>
        <w:t>2</w:t>
      </w:r>
      <w:r>
        <w:rPr>
          <w:rFonts w:hint="eastAsia" w:ascii="Times New Roman" w:hAnsi="Times New Roman" w:cs="Times New Roman"/>
          <w:color w:val="auto"/>
          <w:highlight w:val="none"/>
          <w:lang w:val="en-US" w:eastAsia="zh-CN"/>
        </w:rPr>
        <w:t>，其中矿区内占地面积为20.31h</w:t>
      </w:r>
      <w:r>
        <w:rPr>
          <w:rFonts w:hint="default" w:ascii="Times New Roman" w:hAnsi="Times New Roman" w:eastAsia="华文中宋" w:cs="Times New Roman"/>
          <w:color w:val="auto"/>
          <w:highlight w:val="none"/>
          <w:lang w:val="en-US" w:eastAsia="zh-CN"/>
        </w:rPr>
        <w:t>m</w:t>
      </w:r>
      <w:r>
        <w:rPr>
          <w:rFonts w:hint="default" w:ascii="Times New Roman" w:hAnsi="Times New Roman" w:eastAsia="华文中宋" w:cs="Times New Roman"/>
          <w:color w:val="auto"/>
          <w:highlight w:val="none"/>
          <w:vertAlign w:val="superscript"/>
          <w:lang w:val="en-US" w:eastAsia="zh-CN"/>
        </w:rPr>
        <w:t>2</w:t>
      </w:r>
      <w:r>
        <w:rPr>
          <w:rFonts w:hint="default" w:ascii="Times New Roman" w:hAnsi="Times New Roman" w:eastAsia="华文中宋" w:cs="Times New Roman"/>
          <w:color w:val="auto"/>
          <w:highlight w:val="none"/>
          <w:lang w:val="en-US" w:eastAsia="zh-CN"/>
        </w:rPr>
        <w:t>，</w:t>
      </w:r>
      <w:r>
        <w:rPr>
          <w:rFonts w:hint="eastAsia" w:ascii="Times New Roman" w:hAnsi="Times New Roman" w:cs="Times New Roman"/>
          <w:color w:val="auto"/>
          <w:highlight w:val="none"/>
          <w:lang w:val="en-US" w:eastAsia="zh-CN"/>
        </w:rPr>
        <w:t>矿区外道路占地面积为4.918h</w:t>
      </w:r>
      <w:r>
        <w:rPr>
          <w:rFonts w:hint="default" w:ascii="Times New Roman" w:hAnsi="Times New Roman" w:eastAsia="华文中宋" w:cs="Times New Roman"/>
          <w:color w:val="auto"/>
          <w:highlight w:val="none"/>
          <w:lang w:val="en-US" w:eastAsia="zh-CN"/>
        </w:rPr>
        <w:t>m</w:t>
      </w:r>
      <w:r>
        <w:rPr>
          <w:rFonts w:hint="default" w:ascii="Times New Roman" w:hAnsi="Times New Roman" w:eastAsia="华文中宋" w:cs="Times New Roman"/>
          <w:color w:val="auto"/>
          <w:highlight w:val="none"/>
          <w:vertAlign w:val="superscript"/>
          <w:lang w:val="en-US" w:eastAsia="zh-CN"/>
        </w:rPr>
        <w:t>2</w:t>
      </w:r>
      <w:r>
        <w:rPr>
          <w:rFonts w:hint="eastAsia" w:ascii="Times New Roman" w:hAnsi="Times New Roman" w:cs="Times New Roman"/>
          <w:color w:val="auto"/>
          <w:highlight w:val="none"/>
          <w:lang w:val="en-US" w:eastAsia="zh-CN"/>
        </w:rPr>
        <w:t>，</w:t>
      </w:r>
      <w:r>
        <w:rPr>
          <w:rFonts w:hint="default" w:ascii="Times New Roman" w:hAnsi="Times New Roman" w:eastAsia="华文中宋" w:cs="Times New Roman"/>
          <w:color w:val="auto"/>
          <w:highlight w:val="none"/>
          <w:lang w:val="en-US" w:eastAsia="zh-CN"/>
        </w:rPr>
        <w:t>建</w:t>
      </w:r>
      <w:r>
        <w:rPr>
          <w:rFonts w:hint="default" w:ascii="Times New Roman" w:hAnsi="Times New Roman" w:eastAsia="华文中宋" w:cs="Times New Roman"/>
          <w:color w:val="auto"/>
          <w:lang w:val="en-US" w:eastAsia="zh-CN"/>
        </w:rPr>
        <w:t>筑面积约595m</w:t>
      </w:r>
      <w:r>
        <w:rPr>
          <w:rFonts w:hint="default" w:ascii="Times New Roman" w:hAnsi="Times New Roman" w:eastAsia="华文中宋" w:cs="Times New Roman"/>
          <w:color w:val="auto"/>
          <w:vertAlign w:val="superscript"/>
          <w:lang w:val="en-US" w:eastAsia="zh-CN"/>
        </w:rPr>
        <w:t>2</w:t>
      </w:r>
      <w:r>
        <w:rPr>
          <w:rFonts w:hint="default" w:ascii="Times New Roman" w:hAnsi="Times New Roman" w:eastAsia="华文中宋" w:cs="Times New Roman"/>
          <w:color w:val="auto"/>
          <w:lang w:val="en-US" w:eastAsia="zh-CN"/>
        </w:rPr>
        <w:t>，项目占地情况见表3.2-</w:t>
      </w:r>
      <w:r>
        <w:rPr>
          <w:rFonts w:hint="eastAsia" w:ascii="Times New Roman" w:hAnsi="Times New Roman" w:cs="Times New Roman"/>
          <w:color w:val="auto"/>
          <w:lang w:val="en-US" w:eastAsia="zh-CN"/>
        </w:rPr>
        <w:t>3</w:t>
      </w:r>
      <w:r>
        <w:rPr>
          <w:rFonts w:hint="default" w:ascii="Times New Roman" w:hAnsi="Times New Roman" w:eastAsia="华文中宋" w:cs="Times New Roman"/>
          <w:color w:val="auto"/>
          <w:lang w:val="en-US" w:eastAsia="zh-CN"/>
        </w:rPr>
        <w:t>。</w:t>
      </w:r>
    </w:p>
    <w:p w14:paraId="3ACF45CE">
      <w:pPr>
        <w:adjustRightInd w:val="0"/>
        <w:snapToGrid w:val="0"/>
        <w:spacing w:before="250" w:beforeLines="50"/>
        <w:ind w:firstLine="422" w:firstLineChars="200"/>
        <w:jc w:val="center"/>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华文中宋" w:cs="Times New Roman"/>
          <w:b/>
          <w:szCs w:val="21"/>
          <w:lang w:val="en-US" w:eastAsia="zh-CN"/>
        </w:rPr>
        <w:t>3.2-</w:t>
      </w:r>
      <w:r>
        <w:rPr>
          <w:rFonts w:hint="eastAsia" w:ascii="Times New Roman" w:hAnsi="Times New Roman" w:eastAsia="华文中宋" w:cs="Times New Roman"/>
          <w:b/>
          <w:szCs w:val="21"/>
          <w:lang w:val="en-US" w:eastAsia="zh-CN"/>
        </w:rPr>
        <w:t>3</w:t>
      </w:r>
      <w:r>
        <w:rPr>
          <w:rFonts w:hint="default" w:ascii="Times New Roman" w:hAnsi="Times New Roman" w:eastAsia="华文中宋" w:cs="Times New Roman"/>
          <w:b/>
          <w:szCs w:val="21"/>
          <w:lang w:val="en-US" w:eastAsia="zh-CN"/>
        </w:rPr>
        <w:t xml:space="preserve">  主要地面设施占地面积表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4"/>
        <w:gridCol w:w="1225"/>
        <w:gridCol w:w="2840"/>
        <w:gridCol w:w="2840"/>
      </w:tblGrid>
      <w:tr w14:paraId="333AE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gridSpan w:val="2"/>
            <w:vAlign w:val="center"/>
          </w:tcPr>
          <w:p w14:paraId="442EFBA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工程名称</w:t>
            </w:r>
          </w:p>
        </w:tc>
        <w:tc>
          <w:tcPr>
            <w:tcW w:w="1666" w:type="pct"/>
            <w:vAlign w:val="center"/>
          </w:tcPr>
          <w:p w14:paraId="47021CE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占地面积（hm</w:t>
            </w:r>
            <w:r>
              <w:rPr>
                <w:rFonts w:hint="default" w:ascii="Times New Roman" w:hAnsi="Times New Roman" w:eastAsia="华文中宋" w:cs="Times New Roman"/>
                <w:szCs w:val="21"/>
                <w:vertAlign w:val="superscript"/>
                <w:lang w:val="en-US" w:eastAsia="zh-CN"/>
              </w:rPr>
              <w:t>2</w:t>
            </w:r>
            <w:r>
              <w:rPr>
                <w:rFonts w:hint="default" w:ascii="Times New Roman" w:hAnsi="Times New Roman" w:eastAsia="华文中宋" w:cs="Times New Roman"/>
                <w:szCs w:val="21"/>
                <w:lang w:val="en-US" w:eastAsia="zh-CN"/>
              </w:rPr>
              <w:t>）</w:t>
            </w:r>
          </w:p>
        </w:tc>
        <w:tc>
          <w:tcPr>
            <w:tcW w:w="1666" w:type="pct"/>
            <w:vAlign w:val="center"/>
          </w:tcPr>
          <w:p w14:paraId="1F2C7F1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分布位置</w:t>
            </w:r>
          </w:p>
        </w:tc>
      </w:tr>
      <w:tr w14:paraId="6F424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gridSpan w:val="2"/>
            <w:vAlign w:val="center"/>
          </w:tcPr>
          <w:p w14:paraId="1751067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北露天采矿场</w:t>
            </w:r>
          </w:p>
        </w:tc>
        <w:tc>
          <w:tcPr>
            <w:tcW w:w="1666" w:type="pct"/>
            <w:vAlign w:val="center"/>
          </w:tcPr>
          <w:p w14:paraId="65191B7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7.22</w:t>
            </w:r>
          </w:p>
        </w:tc>
        <w:tc>
          <w:tcPr>
            <w:tcW w:w="1666" w:type="pct"/>
            <w:vAlign w:val="center"/>
          </w:tcPr>
          <w:p w14:paraId="0F071BF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界内</w:t>
            </w:r>
          </w:p>
        </w:tc>
      </w:tr>
      <w:tr w14:paraId="74AC0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gridSpan w:val="2"/>
            <w:vAlign w:val="center"/>
          </w:tcPr>
          <w:p w14:paraId="2B433F1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南露天采矿场</w:t>
            </w:r>
          </w:p>
        </w:tc>
        <w:tc>
          <w:tcPr>
            <w:tcW w:w="1666" w:type="pct"/>
            <w:vAlign w:val="center"/>
          </w:tcPr>
          <w:p w14:paraId="49E16A9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3.46</w:t>
            </w:r>
          </w:p>
        </w:tc>
        <w:tc>
          <w:tcPr>
            <w:tcW w:w="1666" w:type="pct"/>
            <w:vAlign w:val="center"/>
          </w:tcPr>
          <w:p w14:paraId="5C1AFD1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界内</w:t>
            </w:r>
          </w:p>
        </w:tc>
      </w:tr>
      <w:tr w14:paraId="37FE4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gridSpan w:val="2"/>
            <w:vAlign w:val="center"/>
          </w:tcPr>
          <w:p w14:paraId="07C9C38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矿部生活区</w:t>
            </w:r>
          </w:p>
        </w:tc>
        <w:tc>
          <w:tcPr>
            <w:tcW w:w="1666" w:type="pct"/>
            <w:vAlign w:val="center"/>
          </w:tcPr>
          <w:p w14:paraId="5CB2227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w:t>
            </w:r>
            <w:r>
              <w:rPr>
                <w:rFonts w:hint="eastAsia" w:ascii="Times New Roman" w:hAnsi="Times New Roman" w:eastAsia="华文中宋" w:cs="Times New Roman"/>
                <w:szCs w:val="21"/>
                <w:lang w:val="en-US" w:eastAsia="zh-CN"/>
              </w:rPr>
              <w:t>29</w:t>
            </w:r>
          </w:p>
        </w:tc>
        <w:tc>
          <w:tcPr>
            <w:tcW w:w="1666" w:type="pct"/>
            <w:vAlign w:val="center"/>
          </w:tcPr>
          <w:p w14:paraId="4D10AAF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界内</w:t>
            </w:r>
          </w:p>
        </w:tc>
      </w:tr>
      <w:tr w14:paraId="31822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6" w:type="pct"/>
            <w:gridSpan w:val="2"/>
            <w:vAlign w:val="center"/>
          </w:tcPr>
          <w:p w14:paraId="2BCEB09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矿石转运区</w:t>
            </w:r>
          </w:p>
        </w:tc>
        <w:tc>
          <w:tcPr>
            <w:tcW w:w="1666" w:type="pct"/>
            <w:vAlign w:val="center"/>
          </w:tcPr>
          <w:p w14:paraId="7983674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0.52</w:t>
            </w:r>
          </w:p>
        </w:tc>
        <w:tc>
          <w:tcPr>
            <w:tcW w:w="1666" w:type="pct"/>
            <w:vAlign w:val="center"/>
          </w:tcPr>
          <w:p w14:paraId="071F639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界内</w:t>
            </w:r>
          </w:p>
        </w:tc>
      </w:tr>
      <w:tr w14:paraId="46A47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gridSpan w:val="2"/>
            <w:vAlign w:val="center"/>
          </w:tcPr>
          <w:p w14:paraId="1ECEA64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表土堆场</w:t>
            </w:r>
          </w:p>
        </w:tc>
        <w:tc>
          <w:tcPr>
            <w:tcW w:w="1666" w:type="pct"/>
            <w:vAlign w:val="center"/>
          </w:tcPr>
          <w:p w14:paraId="29ACEC5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0.8</w:t>
            </w:r>
          </w:p>
        </w:tc>
        <w:tc>
          <w:tcPr>
            <w:tcW w:w="1666" w:type="pct"/>
            <w:vAlign w:val="center"/>
          </w:tcPr>
          <w:p w14:paraId="076A3A5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界内</w:t>
            </w:r>
          </w:p>
        </w:tc>
      </w:tr>
      <w:tr w14:paraId="3CFCF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gridSpan w:val="2"/>
            <w:vAlign w:val="center"/>
          </w:tcPr>
          <w:p w14:paraId="0C03FE8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废石堆放场</w:t>
            </w:r>
          </w:p>
        </w:tc>
        <w:tc>
          <w:tcPr>
            <w:tcW w:w="1666" w:type="pct"/>
            <w:vAlign w:val="center"/>
          </w:tcPr>
          <w:p w14:paraId="611CC57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7.0</w:t>
            </w:r>
          </w:p>
        </w:tc>
        <w:tc>
          <w:tcPr>
            <w:tcW w:w="1666" w:type="pct"/>
            <w:vAlign w:val="center"/>
          </w:tcPr>
          <w:p w14:paraId="237D70E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界内</w:t>
            </w:r>
          </w:p>
        </w:tc>
      </w:tr>
      <w:tr w14:paraId="08A45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pct"/>
            <w:vMerge w:val="restart"/>
            <w:vAlign w:val="center"/>
          </w:tcPr>
          <w:p w14:paraId="5C328912">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规划矿山道路</w:t>
            </w:r>
          </w:p>
        </w:tc>
        <w:tc>
          <w:tcPr>
            <w:tcW w:w="718" w:type="pct"/>
            <w:vAlign w:val="center"/>
          </w:tcPr>
          <w:p w14:paraId="544BA08C">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矿区内</w:t>
            </w:r>
          </w:p>
        </w:tc>
        <w:tc>
          <w:tcPr>
            <w:tcW w:w="1666" w:type="pct"/>
            <w:vAlign w:val="center"/>
          </w:tcPr>
          <w:p w14:paraId="0439F473">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1.02</w:t>
            </w:r>
          </w:p>
        </w:tc>
        <w:tc>
          <w:tcPr>
            <w:tcW w:w="1666" w:type="pct"/>
            <w:vAlign w:val="center"/>
          </w:tcPr>
          <w:p w14:paraId="32517C2D">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界内</w:t>
            </w:r>
          </w:p>
        </w:tc>
      </w:tr>
      <w:tr w14:paraId="278EA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pct"/>
            <w:vMerge w:val="continue"/>
            <w:vAlign w:val="center"/>
          </w:tcPr>
          <w:p w14:paraId="7CB570F2">
            <w:pPr>
              <w:spacing w:line="300" w:lineRule="exact"/>
              <w:jc w:val="center"/>
              <w:rPr>
                <w:rFonts w:hint="default" w:ascii="Times New Roman" w:hAnsi="Times New Roman" w:eastAsia="华文中宋" w:cs="Times New Roman"/>
                <w:szCs w:val="21"/>
                <w:highlight w:val="none"/>
                <w:lang w:val="en-US" w:eastAsia="zh-CN"/>
              </w:rPr>
            </w:pPr>
          </w:p>
        </w:tc>
        <w:tc>
          <w:tcPr>
            <w:tcW w:w="718" w:type="pct"/>
            <w:vAlign w:val="center"/>
          </w:tcPr>
          <w:p w14:paraId="4D4F2F5F">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矿区外</w:t>
            </w:r>
          </w:p>
        </w:tc>
        <w:tc>
          <w:tcPr>
            <w:tcW w:w="1666" w:type="pct"/>
            <w:vAlign w:val="center"/>
          </w:tcPr>
          <w:p w14:paraId="126967E0">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4.918</w:t>
            </w:r>
          </w:p>
        </w:tc>
        <w:tc>
          <w:tcPr>
            <w:tcW w:w="1666" w:type="pct"/>
            <w:vAlign w:val="center"/>
          </w:tcPr>
          <w:p w14:paraId="4F0E2814">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界外</w:t>
            </w:r>
          </w:p>
        </w:tc>
      </w:tr>
      <w:tr w14:paraId="70801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666" w:type="pct"/>
            <w:gridSpan w:val="2"/>
            <w:vAlign w:val="center"/>
          </w:tcPr>
          <w:p w14:paraId="3ADF865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总计</w:t>
            </w:r>
          </w:p>
        </w:tc>
        <w:tc>
          <w:tcPr>
            <w:tcW w:w="1666" w:type="pct"/>
            <w:vAlign w:val="center"/>
          </w:tcPr>
          <w:p w14:paraId="202D434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25.228</w:t>
            </w:r>
          </w:p>
        </w:tc>
        <w:tc>
          <w:tcPr>
            <w:tcW w:w="1666" w:type="pct"/>
            <w:vAlign w:val="center"/>
          </w:tcPr>
          <w:p w14:paraId="063D5DF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界内/外</w:t>
            </w:r>
          </w:p>
        </w:tc>
      </w:tr>
    </w:tbl>
    <w:p w14:paraId="47D7310A">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Calibri" w:hAnsi="Calibri" w:eastAsia="华文中宋" w:cs="Calibri"/>
          <w:sz w:val="24"/>
          <w:lang w:val="en-US" w:eastAsia="zh-CN"/>
        </w:rPr>
        <w:t>（2）</w:t>
      </w:r>
      <w:r>
        <w:rPr>
          <w:rFonts w:hint="default" w:ascii="Times New Roman" w:hAnsi="Times New Roman" w:eastAsia="华文中宋" w:cs="Times New Roman"/>
          <w:sz w:val="24"/>
          <w:lang w:val="en-US" w:eastAsia="zh-CN"/>
        </w:rPr>
        <w:t>水土流失的影响</w:t>
      </w:r>
    </w:p>
    <w:p w14:paraId="35E56FE1">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施工期由于场地施工、道路建设等会造成土地扰动、植被破坏等影响，短期会引起水土流失，随着施工结束，生态环境得以恢复。</w:t>
      </w:r>
    </w:p>
    <w:p w14:paraId="2C2413FB">
      <w:pPr>
        <w:pStyle w:val="4"/>
        <w:spacing w:before="120" w:after="120" w:line="500" w:lineRule="exact"/>
        <w:rPr>
          <w:rFonts w:hint="default" w:ascii="Times New Roman" w:hAnsi="Times New Roman" w:eastAsia="华文中宋" w:cs="Times New Roman"/>
          <w:kern w:val="0"/>
          <w:sz w:val="24"/>
          <w:szCs w:val="24"/>
          <w:lang w:val="en-US" w:eastAsia="zh-CN"/>
        </w:rPr>
      </w:pPr>
      <w:bookmarkStart w:id="93" w:name="_Toc30546"/>
      <w:r>
        <w:rPr>
          <w:rFonts w:hint="default" w:ascii="Times New Roman" w:hAnsi="Times New Roman" w:eastAsia="华文中宋" w:cs="Times New Roman"/>
          <w:kern w:val="0"/>
          <w:sz w:val="24"/>
          <w:szCs w:val="24"/>
          <w:lang w:val="en-US" w:eastAsia="zh-CN"/>
        </w:rPr>
        <w:t>3.2.2 运营期工程分析</w:t>
      </w:r>
      <w:bookmarkEnd w:id="93"/>
    </w:p>
    <w:p w14:paraId="68ACF7F2">
      <w:pPr>
        <w:pStyle w:val="24"/>
        <w:snapToGrid w:val="0"/>
        <w:ind w:left="0" w:leftChars="0" w:firstLine="0" w:firstLineChars="0"/>
        <w:jc w:val="left"/>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3.2.2.1运营期工艺流程</w:t>
      </w:r>
    </w:p>
    <w:p w14:paraId="17FB2CB3">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运营期露天采区污染源主要为开采过程中采掘场的爆破、采装、运输和转载过程产生的扬尘、噪声等。</w:t>
      </w:r>
    </w:p>
    <w:p w14:paraId="7156DB49">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运营期</w:t>
      </w:r>
      <w:r>
        <w:rPr>
          <w:rFonts w:hint="eastAsia" w:ascii="Times New Roman" w:hAnsi="Times New Roman" w:cs="Times New Roman"/>
          <w:color w:val="auto"/>
          <w:lang w:val="en-US" w:eastAsia="zh-CN"/>
        </w:rPr>
        <w:t>污染源主要来自于凿岩</w:t>
      </w:r>
      <w:r>
        <w:rPr>
          <w:rFonts w:hint="default" w:ascii="Times New Roman" w:hAnsi="Times New Roman" w:eastAsia="华文中宋" w:cs="Times New Roman"/>
          <w:color w:val="auto"/>
          <w:lang w:val="en-US" w:eastAsia="zh-CN"/>
        </w:rPr>
        <w:t>爆破、矿石铲装、运输</w:t>
      </w:r>
      <w:r>
        <w:rPr>
          <w:rFonts w:hint="eastAsia" w:ascii="Times New Roman" w:hAnsi="Times New Roman" w:cs="Times New Roman"/>
          <w:color w:val="auto"/>
          <w:lang w:val="en-US" w:eastAsia="zh-CN"/>
        </w:rPr>
        <w:t>以及堆场堆存</w:t>
      </w:r>
      <w:r>
        <w:rPr>
          <w:rFonts w:hint="default" w:ascii="Times New Roman" w:hAnsi="Times New Roman" w:eastAsia="华文中宋" w:cs="Times New Roman"/>
          <w:color w:val="auto"/>
          <w:lang w:val="en-US" w:eastAsia="zh-CN"/>
        </w:rPr>
        <w:t>过程中产生的扬尘、噪声等。运营期露天开采工艺流程及产污环节见图</w:t>
      </w:r>
      <w:r>
        <w:rPr>
          <w:rFonts w:hint="eastAsia" w:ascii="Times New Roman" w:hAnsi="Times New Roman" w:eastAsia="华文中宋" w:cs="Times New Roman"/>
          <w:color w:val="auto"/>
          <w:lang w:val="en-US" w:eastAsia="zh-CN"/>
        </w:rPr>
        <w:t>3</w:t>
      </w:r>
      <w:r>
        <w:rPr>
          <w:rFonts w:hint="default" w:ascii="Times New Roman" w:hAnsi="Times New Roman" w:eastAsia="华文中宋" w:cs="Times New Roman"/>
          <w:color w:val="auto"/>
          <w:lang w:val="en-US" w:eastAsia="zh-CN"/>
        </w:rPr>
        <w:t>.3-2。</w:t>
      </w:r>
    </w:p>
    <w:p w14:paraId="424243C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lang w:val="en-US" w:eastAsia="zh-CN"/>
        </w:rPr>
      </w:pPr>
      <w:r>
        <w:drawing>
          <wp:inline distT="0" distB="0" distL="114300" distR="114300">
            <wp:extent cx="5265420" cy="356870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8">
                      <a:clrChange>
                        <a:clrFrom>
                          <a:srgbClr val="FFFFFF">
                            <a:alpha val="100000"/>
                          </a:srgbClr>
                        </a:clrFrom>
                        <a:clrTo>
                          <a:srgbClr val="FFFFFF">
                            <a:alpha val="100000"/>
                            <a:alpha val="0"/>
                          </a:srgbClr>
                        </a:clrTo>
                      </a:clrChange>
                      <a:lum bright="-6000" contrast="12000"/>
                    </a:blip>
                    <a:stretch>
                      <a:fillRect/>
                    </a:stretch>
                  </pic:blipFill>
                  <pic:spPr>
                    <a:xfrm>
                      <a:off x="0" y="0"/>
                      <a:ext cx="5265420" cy="3568700"/>
                    </a:xfrm>
                    <a:prstGeom prst="rect">
                      <a:avLst/>
                    </a:prstGeom>
                    <a:noFill/>
                    <a:ln>
                      <a:noFill/>
                    </a:ln>
                  </pic:spPr>
                </pic:pic>
              </a:graphicData>
            </a:graphic>
          </wp:inline>
        </w:drawing>
      </w:r>
    </w:p>
    <w:p w14:paraId="3A7C1BCA">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图3.2-2露天开采工艺流程及产污环节示意图</w:t>
      </w:r>
    </w:p>
    <w:p w14:paraId="3A4D1ABA">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露天开采主要工艺流程如下：</w:t>
      </w:r>
    </w:p>
    <w:p w14:paraId="453CE9D3">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（1）</w:t>
      </w:r>
      <w:r>
        <w:rPr>
          <w:rFonts w:hint="default" w:ascii="Times New Roman" w:hAnsi="Times New Roman" w:eastAsia="华文中宋" w:cs="Times New Roman"/>
          <w:color w:val="auto"/>
          <w:lang w:val="en-US" w:eastAsia="zh-CN"/>
        </w:rPr>
        <w:t>表土剥离</w:t>
      </w:r>
    </w:p>
    <w:p w14:paraId="04C7808C">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矿山矿体覆盖表土采用挖掘机进行剥离，在剥离过程中会产生扬尘，剥离表土堆放在矿区表土堆放场，后期回填矿坑。</w:t>
      </w:r>
    </w:p>
    <w:p w14:paraId="44F3773F">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（2）</w:t>
      </w:r>
      <w:r>
        <w:rPr>
          <w:rFonts w:hint="default" w:ascii="Times New Roman" w:hAnsi="Times New Roman" w:eastAsia="华文中宋" w:cs="Times New Roman"/>
          <w:color w:val="auto"/>
          <w:lang w:val="en-US" w:eastAsia="zh-CN"/>
        </w:rPr>
        <w:t>钻岩</w:t>
      </w:r>
    </w:p>
    <w:p w14:paraId="0AB6FB2E">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凿岩钻孔根据实际地形采用梅花形布孔，使用潜孔钻机穿孔（配备集尘器）。凿岩过程中，由于钻孔对岩石的冲击、挤压、摩擦等，会产生粉尘和噪声。</w:t>
      </w:r>
    </w:p>
    <w:p w14:paraId="6E1C1BE1">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（3）</w:t>
      </w:r>
      <w:r>
        <w:rPr>
          <w:rFonts w:hint="default" w:ascii="Times New Roman" w:hAnsi="Times New Roman" w:eastAsia="华文中宋" w:cs="Times New Roman"/>
          <w:color w:val="auto"/>
          <w:lang w:val="en-US" w:eastAsia="zh-CN"/>
        </w:rPr>
        <w:t>爆破</w:t>
      </w:r>
    </w:p>
    <w:p w14:paraId="3F9B37B8">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采场爆破采用深孔松动微差爆破，炮孔内装乳化炸药（主要成分为硝酸铵），数码电子雷管起爆。爆破后产生的少量大于800mm的矿石不进行二次爆破，采用挖掘机配备破碎锤进行破碎。爆破过程中会产生粉尘、瞬时噪声、NOx、CO。</w:t>
      </w:r>
    </w:p>
    <w:p w14:paraId="2D89C7DB">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（3）</w:t>
      </w:r>
      <w:r>
        <w:rPr>
          <w:rFonts w:hint="default" w:ascii="Times New Roman" w:hAnsi="Times New Roman" w:eastAsia="华文中宋" w:cs="Times New Roman"/>
          <w:color w:val="auto"/>
          <w:lang w:val="en-US" w:eastAsia="zh-CN"/>
        </w:rPr>
        <w:t>铲装运输</w:t>
      </w:r>
    </w:p>
    <w:p w14:paraId="044C8449">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在用挖掘机、装载机、自卸汽车等机械设备对矿石装车、运输过程中会产生粉尘、噪声污染，需要控制装载量、行驶速度等以减轻污染影响。</w:t>
      </w:r>
    </w:p>
    <w:p w14:paraId="2858E819">
      <w:pPr>
        <w:pStyle w:val="24"/>
        <w:snapToGrid w:val="0"/>
        <w:jc w:val="left"/>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（4）</w:t>
      </w:r>
      <w:r>
        <w:rPr>
          <w:rFonts w:hint="default" w:ascii="Times New Roman" w:hAnsi="Times New Roman" w:cs="Times New Roman"/>
          <w:color w:val="auto"/>
          <w:lang w:val="en-US" w:eastAsia="zh-CN"/>
        </w:rPr>
        <w:t>光选</w:t>
      </w:r>
    </w:p>
    <w:p w14:paraId="6F7A02B7">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项目对于开采的粗矿石采取使用一台光选设备进行初筛分，以减少粗矿石的运输量，降低运输成本。</w:t>
      </w:r>
    </w:p>
    <w:p w14:paraId="13B0C74A">
      <w:pPr>
        <w:pStyle w:val="24"/>
        <w:numPr>
          <w:ilvl w:val="0"/>
          <w:numId w:val="1"/>
        </w:numPr>
        <w:snapToGrid w:val="0"/>
        <w:jc w:val="left"/>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矿石转运场</w:t>
      </w:r>
    </w:p>
    <w:p w14:paraId="6982B374">
      <w:pPr>
        <w:pStyle w:val="24"/>
        <w:numPr>
          <w:ilvl w:val="0"/>
          <w:numId w:val="0"/>
        </w:numPr>
        <w:snapToGrid w:val="0"/>
        <w:ind w:firstLine="480" w:firstLineChars="200"/>
        <w:jc w:val="left"/>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将光选后废石存放在矿石转运场，定期由运输车辆拉运至配套选矿厂进行后续矿石加工工作。</w:t>
      </w:r>
    </w:p>
    <w:p w14:paraId="6891B8A6">
      <w:pPr>
        <w:pStyle w:val="24"/>
        <w:snapToGrid w:val="0"/>
        <w:ind w:left="0" w:leftChars="0" w:firstLine="0" w:firstLineChars="0"/>
        <w:jc w:val="left"/>
        <w:rPr>
          <w:rFonts w:hint="default" w:ascii="Times New Roman" w:hAnsi="Times New Roman" w:eastAsia="华文中宋" w:cs="Times New Roman"/>
          <w:b/>
          <w:bCs/>
          <w:color w:val="auto"/>
          <w:lang w:val="en-US" w:eastAsia="zh-CN"/>
        </w:rPr>
      </w:pPr>
      <w:r>
        <w:rPr>
          <w:rFonts w:hint="eastAsia" w:ascii="Times New Roman" w:hAnsi="Times New Roman" w:cs="Times New Roman"/>
          <w:b/>
          <w:bCs/>
          <w:color w:val="auto"/>
          <w:lang w:val="en-US" w:eastAsia="zh-CN"/>
        </w:rPr>
        <w:t>3.2.2.2</w:t>
      </w:r>
      <w:r>
        <w:rPr>
          <w:rFonts w:hint="default" w:ascii="Times New Roman" w:hAnsi="Times New Roman" w:cs="Times New Roman"/>
          <w:b/>
          <w:bCs/>
          <w:color w:val="auto"/>
          <w:lang w:val="en-US" w:eastAsia="zh-CN"/>
        </w:rPr>
        <w:t>大气污染源</w:t>
      </w:r>
      <w:r>
        <w:rPr>
          <w:rFonts w:hint="default" w:ascii="Times New Roman" w:hAnsi="Times New Roman" w:eastAsia="华文中宋" w:cs="Times New Roman"/>
          <w:b/>
          <w:bCs/>
          <w:color w:val="auto"/>
          <w:lang w:val="en-US" w:eastAsia="zh-CN"/>
        </w:rPr>
        <w:t>及污染物排放情况</w:t>
      </w:r>
    </w:p>
    <w:p w14:paraId="75DD755D">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运营期大气污染物包括露天开采扬尘、爆破废气和运输作业时产生的粉尘，废石堆放场剥离物堆放产生的扬尘及工程机械及运输车辆燃油废气。</w:t>
      </w:r>
    </w:p>
    <w:p w14:paraId="72CB401A">
      <w:pPr>
        <w:pStyle w:val="24"/>
        <w:snapToGrid w:val="0"/>
        <w:jc w:val="left"/>
        <w:rPr>
          <w:rFonts w:hint="default" w:ascii="Times New Roman" w:hAnsi="Times New Roman" w:eastAsia="华文中宋" w:cs="Times New Roman"/>
          <w:color w:val="auto"/>
          <w:lang w:val="en-US" w:eastAsia="zh-CN"/>
        </w:rPr>
      </w:pPr>
      <w:r>
        <w:rPr>
          <w:rFonts w:hint="eastAsia" w:ascii="Calibri" w:hAnsi="Calibri" w:cs="Calibri"/>
          <w:color w:val="auto"/>
          <w:lang w:val="en-US" w:eastAsia="zh-CN"/>
        </w:rPr>
        <w:t>（1）</w:t>
      </w:r>
      <w:r>
        <w:rPr>
          <w:rFonts w:hint="default" w:ascii="Times New Roman" w:hAnsi="Times New Roman" w:eastAsia="华文中宋" w:cs="Times New Roman"/>
          <w:color w:val="auto"/>
          <w:lang w:val="en-US" w:eastAsia="zh-CN"/>
        </w:rPr>
        <w:t>表土剥离扬尘</w:t>
      </w:r>
    </w:p>
    <w:p w14:paraId="3DDD1A7E">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根据《逸散性工业粉尘控制技术》（中国环境科学出版社）中采装逸散粉尘产生量为0.025kg/t，项目露采区年剥采表土58530m</w:t>
      </w:r>
      <w:r>
        <w:rPr>
          <w:rFonts w:hint="default" w:ascii="Times New Roman" w:hAnsi="Times New Roman" w:eastAsia="华文中宋" w:cs="Times New Roman"/>
          <w:color w:val="auto"/>
          <w:vertAlign w:val="superscript"/>
          <w:lang w:val="en-US" w:eastAsia="zh-CN"/>
        </w:rPr>
        <w:t>3</w:t>
      </w:r>
      <w:r>
        <w:rPr>
          <w:rFonts w:hint="default" w:ascii="Times New Roman" w:hAnsi="Times New Roman" w:eastAsia="华文中宋" w:cs="Times New Roman"/>
          <w:color w:val="auto"/>
          <w:lang w:val="en-US" w:eastAsia="zh-CN"/>
        </w:rPr>
        <w:t>（67309.5t）。则项目表土剥离粉尘为1.683t/a。项目在表土剥离时采取洒水抑尘，效率约为74%，则表土剥离粉尘排放量</w:t>
      </w:r>
      <w:r>
        <w:rPr>
          <w:rFonts w:hint="eastAsia" w:ascii="Times New Roman" w:hAnsi="Times New Roman" w:cs="Times New Roman"/>
          <w:color w:val="auto"/>
          <w:lang w:val="en-US" w:eastAsia="zh-CN"/>
        </w:rPr>
        <w:t>约</w:t>
      </w:r>
      <w:r>
        <w:rPr>
          <w:rFonts w:hint="default" w:ascii="Times New Roman" w:hAnsi="Times New Roman" w:eastAsia="华文中宋" w:cs="Times New Roman"/>
          <w:color w:val="auto"/>
          <w:lang w:val="en-US" w:eastAsia="zh-CN"/>
        </w:rPr>
        <w:t>为0.438t/a</w:t>
      </w:r>
      <w:r>
        <w:rPr>
          <w:rFonts w:hint="eastAsia" w:ascii="Times New Roman" w:hAnsi="Times New Roman" w:cs="Times New Roman"/>
          <w:color w:val="auto"/>
          <w:lang w:val="en-US" w:eastAsia="zh-CN"/>
        </w:rPr>
        <w:t>，根据项目土壤环境质量现状</w:t>
      </w:r>
      <w:r>
        <w:rPr>
          <w:rFonts w:hint="eastAsia" w:ascii="Times New Roman" w:hAnsi="Times New Roman" w:eastAsia="华文中宋" w:cs="Times New Roman"/>
          <w:color w:val="auto"/>
          <w:lang w:val="en-US" w:eastAsia="zh-CN"/>
        </w:rPr>
        <w:t>监测，项目区内土壤中平均铅含量为16.758mg/kg，因此表土堆放场中无组织颗粒物排放量</w:t>
      </w:r>
      <w:r>
        <w:rPr>
          <w:rFonts w:hint="eastAsia" w:ascii="Times New Roman" w:hAnsi="Times New Roman" w:cs="Times New Roman"/>
          <w:color w:val="auto"/>
          <w:lang w:val="en-US" w:eastAsia="zh-CN"/>
        </w:rPr>
        <w:t>约</w:t>
      </w:r>
      <w:r>
        <w:rPr>
          <w:rFonts w:hint="eastAsia" w:ascii="Times New Roman" w:hAnsi="Times New Roman" w:eastAsia="华文中宋" w:cs="Times New Roman"/>
          <w:color w:val="auto"/>
          <w:lang w:val="en-US" w:eastAsia="zh-CN"/>
        </w:rPr>
        <w:t>为0.438t/a，铅及其化合物大气无组织排放量</w:t>
      </w:r>
      <w:r>
        <w:rPr>
          <w:rFonts w:hint="eastAsia" w:ascii="Times New Roman" w:hAnsi="Times New Roman" w:cs="Times New Roman"/>
          <w:color w:val="auto"/>
          <w:lang w:val="en-US" w:eastAsia="zh-CN"/>
        </w:rPr>
        <w:t>约</w:t>
      </w:r>
      <w:r>
        <w:rPr>
          <w:rFonts w:hint="eastAsia" w:ascii="Times New Roman" w:hAnsi="Times New Roman" w:eastAsia="华文中宋" w:cs="Times New Roman"/>
          <w:color w:val="auto"/>
          <w:lang w:val="en-US" w:eastAsia="zh-CN"/>
        </w:rPr>
        <w:t>为7.34g/a。</w:t>
      </w:r>
    </w:p>
    <w:p w14:paraId="105A657B">
      <w:pPr>
        <w:pStyle w:val="24"/>
        <w:snapToGrid w:val="0"/>
        <w:jc w:val="left"/>
        <w:rPr>
          <w:rFonts w:hint="default" w:ascii="Times New Roman" w:hAnsi="Times New Roman" w:eastAsia="华文中宋" w:cs="Times New Roman"/>
          <w:color w:val="auto"/>
          <w:lang w:val="en-US" w:eastAsia="zh-CN"/>
        </w:rPr>
      </w:pPr>
      <w:r>
        <w:rPr>
          <w:rFonts w:hint="eastAsia" w:ascii="Calibri" w:hAnsi="Calibri" w:cs="Calibri"/>
          <w:color w:val="auto"/>
          <w:lang w:val="en-US" w:eastAsia="zh-CN"/>
        </w:rPr>
        <w:t>（2）</w:t>
      </w:r>
      <w:r>
        <w:rPr>
          <w:rFonts w:hint="default" w:ascii="Times New Roman" w:hAnsi="Times New Roman" w:eastAsia="华文中宋" w:cs="Times New Roman"/>
          <w:color w:val="auto"/>
          <w:lang w:val="en-US" w:eastAsia="zh-CN"/>
        </w:rPr>
        <w:t>凿岩、钻孔扬尘</w:t>
      </w:r>
    </w:p>
    <w:p w14:paraId="1E44A431">
      <w:pPr>
        <w:pStyle w:val="24"/>
        <w:keepNext w:val="0"/>
        <w:keepLines w:val="0"/>
        <w:pageBreakBefore w:val="0"/>
        <w:widowControl w:val="0"/>
        <w:kinsoku/>
        <w:wordWrap w:val="0"/>
        <w:overflowPunct/>
        <w:topLinePunct w:val="0"/>
        <w:autoSpaceDE/>
        <w:autoSpaceDN/>
        <w:bidi w:val="0"/>
        <w:adjustRightInd/>
        <w:snapToGrid/>
        <w:jc w:val="left"/>
        <w:textAlignment w:val="baseline"/>
        <w:rPr>
          <w:rFonts w:hint="default" w:ascii="Times New Roman" w:hAnsi="Times New Roman" w:eastAsia="华文中宋" w:cs="Times New Roman"/>
          <w:color w:val="000000" w:themeColor="text1"/>
          <w:highlight w:val="none"/>
          <w:lang w:val="en-US" w:eastAsia="zh-CN"/>
          <w14:textFill>
            <w14:solidFill>
              <w14:schemeClr w14:val="tx1"/>
            </w14:solidFill>
          </w14:textFill>
        </w:rPr>
      </w:pPr>
      <w:r>
        <w:rPr>
          <w:rFonts w:hint="default" w:ascii="Times New Roman" w:hAnsi="Times New Roman" w:eastAsia="华文中宋" w:cs="Times New Roman"/>
          <w:color w:val="000000" w:themeColor="text1"/>
          <w:highlight w:val="none"/>
          <w:lang w:val="en-US" w:eastAsia="zh-CN"/>
          <w14:textFill>
            <w14:solidFill>
              <w14:schemeClr w14:val="tx1"/>
            </w14:solidFill>
          </w14:textFill>
        </w:rPr>
        <w:t>参照《逸散性工业粉尘控制技术》（中国环境科学出版社）</w:t>
      </w:r>
      <w:r>
        <w:rPr>
          <w:rFonts w:hint="eastAsia" w:ascii="Times New Roman" w:hAnsi="Times New Roman" w:cs="Times New Roman"/>
          <w:color w:val="000000" w:themeColor="text1"/>
          <w:highlight w:val="none"/>
          <w:lang w:val="en-US" w:eastAsia="zh-CN"/>
          <w14:textFill>
            <w14:solidFill>
              <w14:schemeClr w14:val="tx1"/>
            </w14:solidFill>
          </w14:textFill>
        </w:rPr>
        <w:t>，类比花岗岩钻孔作业产生的逸散粉尘约</w:t>
      </w:r>
      <w:r>
        <w:rPr>
          <w:rFonts w:hint="default" w:ascii="Times New Roman" w:hAnsi="Times New Roman" w:eastAsia="华文中宋" w:cs="Times New Roman"/>
          <w:color w:val="000000" w:themeColor="text1"/>
          <w:highlight w:val="none"/>
          <w:lang w:val="en-US" w:eastAsia="zh-CN"/>
          <w14:textFill>
            <w14:solidFill>
              <w14:schemeClr w14:val="tx1"/>
            </w14:solidFill>
          </w14:textFill>
        </w:rPr>
        <w:t>0.00</w:t>
      </w:r>
      <w:r>
        <w:rPr>
          <w:rFonts w:hint="eastAsia"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eastAsia="华文中宋" w:cs="Times New Roman"/>
          <w:color w:val="000000" w:themeColor="text1"/>
          <w:highlight w:val="none"/>
          <w:lang w:val="en-US" w:eastAsia="zh-CN"/>
          <w14:textFill>
            <w14:solidFill>
              <w14:schemeClr w14:val="tx1"/>
            </w14:solidFill>
          </w14:textFill>
        </w:rPr>
        <w:t>kg/t。</w:t>
      </w:r>
    </w:p>
    <w:p w14:paraId="0FF80B3F">
      <w:pPr>
        <w:pStyle w:val="24"/>
        <w:snapToGrid w:val="0"/>
        <w:jc w:val="left"/>
        <w:rPr>
          <w:rFonts w:hint="default" w:ascii="Times New Roman" w:hAnsi="Times New Roman" w:eastAsia="华文中宋" w:cs="Times New Roman"/>
          <w:color w:val="000000" w:themeColor="text1"/>
          <w:highlight w:val="none"/>
          <w:lang w:val="en-US" w:eastAsia="zh-CN"/>
          <w14:textFill>
            <w14:solidFill>
              <w14:schemeClr w14:val="tx1"/>
            </w14:solidFill>
          </w14:textFill>
        </w:rPr>
      </w:pPr>
      <w:r>
        <w:rPr>
          <w:rFonts w:hint="default" w:ascii="Times New Roman" w:hAnsi="Times New Roman" w:eastAsia="华文中宋" w:cs="Times New Roman"/>
          <w:color w:val="000000" w:themeColor="text1"/>
          <w:highlight w:val="none"/>
          <w:lang w:val="en-US" w:eastAsia="zh-CN"/>
          <w14:textFill>
            <w14:solidFill>
              <w14:schemeClr w14:val="tx1"/>
            </w14:solidFill>
          </w14:textFill>
        </w:rPr>
        <w:t>本项目</w:t>
      </w:r>
      <w:r>
        <w:rPr>
          <w:rFonts w:hint="eastAsia" w:ascii="Times New Roman" w:hAnsi="Times New Roman" w:eastAsia="华文中宋" w:cs="Times New Roman"/>
          <w:color w:val="000000" w:themeColor="text1"/>
          <w:highlight w:val="none"/>
          <w:lang w:val="en-US" w:eastAsia="zh-CN"/>
          <w14:textFill>
            <w14:solidFill>
              <w14:schemeClr w14:val="tx1"/>
            </w14:solidFill>
          </w14:textFill>
        </w:rPr>
        <w:t>矿山年采剥总量105.6万</w:t>
      </w:r>
      <w:r>
        <w:rPr>
          <w:rFonts w:hint="default" w:ascii="Times New Roman" w:hAnsi="Times New Roman" w:eastAsia="华文中宋" w:cs="Times New Roman"/>
          <w:color w:val="000000" w:themeColor="text1"/>
          <w:highlight w:val="none"/>
          <w:lang w:val="en-US" w:eastAsia="zh-CN"/>
          <w14:textFill>
            <w14:solidFill>
              <w14:schemeClr w14:val="tx1"/>
            </w14:solidFill>
          </w14:textFill>
        </w:rPr>
        <w:t>t/a，</w:t>
      </w:r>
      <w:r>
        <w:rPr>
          <w:rFonts w:hint="eastAsia" w:ascii="Times New Roman" w:hAnsi="Times New Roman" w:eastAsia="华文中宋" w:cs="Times New Roman"/>
          <w:color w:val="000000" w:themeColor="text1"/>
          <w:highlight w:val="none"/>
          <w:lang w:val="en-US" w:eastAsia="zh-CN"/>
          <w14:textFill>
            <w14:solidFill>
              <w14:schemeClr w14:val="tx1"/>
            </w14:solidFill>
          </w14:textFill>
        </w:rPr>
        <w:t>其中矿石12万t/a，废石93.6万t/a。</w:t>
      </w:r>
      <w:r>
        <w:rPr>
          <w:rFonts w:hint="default" w:ascii="Times New Roman" w:hAnsi="Times New Roman" w:eastAsia="华文中宋" w:cs="Times New Roman"/>
          <w:color w:val="000000" w:themeColor="text1"/>
          <w:highlight w:val="none"/>
          <w:lang w:val="en-US" w:eastAsia="zh-CN"/>
          <w14:textFill>
            <w14:solidFill>
              <w14:schemeClr w14:val="tx1"/>
            </w14:solidFill>
          </w14:textFill>
        </w:rPr>
        <w:t>则颗粒物产生量为</w:t>
      </w:r>
      <w:r>
        <w:rPr>
          <w:rFonts w:hint="eastAsia" w:ascii="Times New Roman" w:hAnsi="Times New Roman" w:eastAsia="华文中宋" w:cs="Times New Roman"/>
          <w:color w:val="000000" w:themeColor="text1"/>
          <w:highlight w:val="none"/>
          <w:lang w:val="en-US" w:eastAsia="zh-CN"/>
          <w14:textFill>
            <w14:solidFill>
              <w14:schemeClr w14:val="tx1"/>
            </w14:solidFill>
          </w14:textFill>
        </w:rPr>
        <w:t>4.224</w:t>
      </w:r>
      <w:r>
        <w:rPr>
          <w:rFonts w:hint="default" w:ascii="Times New Roman" w:hAnsi="Times New Roman" w:eastAsia="华文中宋" w:cs="Times New Roman"/>
          <w:color w:val="000000" w:themeColor="text1"/>
          <w:highlight w:val="none"/>
          <w:lang w:val="en-US" w:eastAsia="zh-CN"/>
          <w14:textFill>
            <w14:solidFill>
              <w14:schemeClr w14:val="tx1"/>
            </w14:solidFill>
          </w14:textFill>
        </w:rPr>
        <w:t>t/a，产生速率为</w:t>
      </w:r>
      <w:r>
        <w:rPr>
          <w:rFonts w:hint="eastAsia" w:ascii="Times New Roman" w:hAnsi="Times New Roman" w:eastAsia="华文中宋" w:cs="Times New Roman"/>
          <w:color w:val="000000" w:themeColor="text1"/>
          <w:highlight w:val="none"/>
          <w:lang w:val="en-US" w:eastAsia="zh-CN"/>
          <w14:textFill>
            <w14:solidFill>
              <w14:schemeClr w14:val="tx1"/>
            </w14:solidFill>
          </w14:textFill>
        </w:rPr>
        <w:t>2.64</w:t>
      </w:r>
      <w:r>
        <w:rPr>
          <w:rFonts w:hint="default" w:ascii="Times New Roman" w:hAnsi="Times New Roman" w:eastAsia="华文中宋" w:cs="Times New Roman"/>
          <w:color w:val="000000" w:themeColor="text1"/>
          <w:highlight w:val="none"/>
          <w:lang w:val="en-US" w:eastAsia="zh-CN"/>
          <w14:textFill>
            <w14:solidFill>
              <w14:schemeClr w14:val="tx1"/>
            </w14:solidFill>
          </w14:textFill>
        </w:rPr>
        <w:t>kg/h。</w:t>
      </w:r>
      <w:r>
        <w:rPr>
          <w:rFonts w:hint="eastAsia" w:ascii="Times New Roman" w:hAnsi="Times New Roman" w:eastAsia="华文中宋" w:cs="Times New Roman"/>
          <w:color w:val="000000" w:themeColor="text1"/>
          <w:highlight w:val="none"/>
          <w:lang w:val="en-US" w:eastAsia="zh-CN"/>
          <w14:textFill>
            <w14:solidFill>
              <w14:schemeClr w14:val="tx1"/>
            </w14:solidFill>
          </w14:textFill>
        </w:rPr>
        <w:t>项目</w:t>
      </w:r>
      <w:r>
        <w:rPr>
          <w:rFonts w:hint="default" w:ascii="Times New Roman" w:hAnsi="Times New Roman" w:eastAsia="华文中宋" w:cs="Times New Roman"/>
          <w:color w:val="000000" w:themeColor="text1"/>
          <w:highlight w:val="none"/>
          <w:lang w:val="en-US" w:eastAsia="zh-CN"/>
          <w14:textFill>
            <w14:solidFill>
              <w14:schemeClr w14:val="tx1"/>
            </w14:solidFill>
          </w14:textFill>
        </w:rPr>
        <w:t>钻车配备集尘器（收集效率70%，治理效率90%）</w:t>
      </w:r>
      <w:r>
        <w:rPr>
          <w:rFonts w:hint="eastAsia" w:ascii="Times New Roman" w:hAnsi="Times New Roman" w:eastAsia="华文中宋" w:cs="Times New Roman"/>
          <w:color w:val="000000" w:themeColor="text1"/>
          <w:highlight w:val="none"/>
          <w:lang w:val="en-US" w:eastAsia="zh-CN"/>
          <w14:textFill>
            <w14:solidFill>
              <w14:schemeClr w14:val="tx1"/>
            </w14:solidFill>
          </w14:textFill>
        </w:rPr>
        <w:t>，并在</w:t>
      </w:r>
      <w:r>
        <w:rPr>
          <w:rFonts w:hint="default" w:ascii="Times New Roman" w:hAnsi="Times New Roman" w:eastAsia="华文中宋" w:cs="Times New Roman"/>
          <w:color w:val="000000" w:themeColor="text1"/>
          <w:highlight w:val="none"/>
          <w:lang w:val="en-US" w:eastAsia="zh-CN"/>
          <w14:textFill>
            <w14:solidFill>
              <w14:schemeClr w14:val="tx1"/>
            </w14:solidFill>
          </w14:textFill>
        </w:rPr>
        <w:t>开采过程中采用湿式作业，</w:t>
      </w:r>
      <w:r>
        <w:rPr>
          <w:rFonts w:hint="eastAsia" w:ascii="Times New Roman" w:hAnsi="Times New Roman" w:eastAsia="华文中宋" w:cs="Times New Roman"/>
          <w:color w:val="000000" w:themeColor="text1"/>
          <w:highlight w:val="none"/>
          <w:lang w:val="en-US" w:eastAsia="zh-CN"/>
          <w14:textFill>
            <w14:solidFill>
              <w14:schemeClr w14:val="tx1"/>
            </w14:solidFill>
          </w14:textFill>
        </w:rPr>
        <w:t>对</w:t>
      </w:r>
      <w:r>
        <w:rPr>
          <w:rFonts w:hint="default" w:ascii="Times New Roman" w:hAnsi="Times New Roman" w:eastAsia="华文中宋" w:cs="Times New Roman"/>
          <w:color w:val="000000" w:themeColor="text1"/>
          <w:highlight w:val="none"/>
          <w:lang w:val="en-US" w:eastAsia="zh-CN"/>
          <w14:textFill>
            <w14:solidFill>
              <w14:schemeClr w14:val="tx1"/>
            </w14:solidFill>
          </w14:textFill>
        </w:rPr>
        <w:t>工作面采取水力喷雾降尘措施（治理效率74%）</w:t>
      </w:r>
      <w:r>
        <w:rPr>
          <w:rFonts w:hint="eastAsia" w:ascii="Times New Roman" w:hAnsi="Times New Roman" w:eastAsia="华文中宋" w:cs="Times New Roman"/>
          <w:color w:val="000000" w:themeColor="text1"/>
          <w:highlight w:val="none"/>
          <w:lang w:val="en-US" w:eastAsia="zh-CN"/>
          <w14:textFill>
            <w14:solidFill>
              <w14:schemeClr w14:val="tx1"/>
            </w14:solidFill>
          </w14:textFill>
        </w:rPr>
        <w:t>。</w:t>
      </w:r>
      <w:r>
        <w:rPr>
          <w:rFonts w:hint="default" w:ascii="Times New Roman" w:hAnsi="Times New Roman" w:eastAsia="华文中宋" w:cs="Times New Roman"/>
          <w:color w:val="000000" w:themeColor="text1"/>
          <w:highlight w:val="none"/>
          <w:lang w:val="en-US" w:eastAsia="zh-CN"/>
          <w14:textFill>
            <w14:solidFill>
              <w14:schemeClr w14:val="tx1"/>
            </w14:solidFill>
          </w14:textFill>
        </w:rPr>
        <w:t>采取相关措施后，露天开采粉尘排放量为0</w:t>
      </w:r>
      <w:r>
        <w:rPr>
          <w:rFonts w:hint="eastAsia" w:ascii="Times New Roman" w:hAnsi="Times New Roman" w:cs="Times New Roman"/>
          <w:color w:val="000000" w:themeColor="text1"/>
          <w:highlight w:val="none"/>
          <w:lang w:val="en-US" w:eastAsia="zh-CN"/>
          <w14:textFill>
            <w14:solidFill>
              <w14:schemeClr w14:val="tx1"/>
            </w14:solidFill>
          </w14:textFill>
        </w:rPr>
        <w:t>.406</w:t>
      </w:r>
      <w:r>
        <w:rPr>
          <w:rFonts w:hint="default" w:ascii="Times New Roman" w:hAnsi="Times New Roman" w:eastAsia="华文中宋" w:cs="Times New Roman"/>
          <w:color w:val="000000" w:themeColor="text1"/>
          <w:highlight w:val="none"/>
          <w:lang w:val="en-US" w:eastAsia="zh-CN"/>
          <w14:textFill>
            <w14:solidFill>
              <w14:schemeClr w14:val="tx1"/>
            </w14:solidFill>
          </w14:textFill>
        </w:rPr>
        <w:t>t/a排放速率为0.</w:t>
      </w:r>
      <w:r>
        <w:rPr>
          <w:rFonts w:hint="eastAsia" w:ascii="Times New Roman" w:hAnsi="Times New Roman" w:cs="Times New Roman"/>
          <w:color w:val="000000" w:themeColor="text1"/>
          <w:highlight w:val="none"/>
          <w:lang w:val="en-US" w:eastAsia="zh-CN"/>
          <w14:textFill>
            <w14:solidFill>
              <w14:schemeClr w14:val="tx1"/>
            </w14:solidFill>
          </w14:textFill>
        </w:rPr>
        <w:t>254</w:t>
      </w:r>
      <w:r>
        <w:rPr>
          <w:rFonts w:hint="default" w:ascii="Times New Roman" w:hAnsi="Times New Roman" w:eastAsia="华文中宋" w:cs="Times New Roman"/>
          <w:color w:val="000000" w:themeColor="text1"/>
          <w:highlight w:val="none"/>
          <w:lang w:val="en-US" w:eastAsia="zh-CN"/>
          <w14:textFill>
            <w14:solidFill>
              <w14:schemeClr w14:val="tx1"/>
            </w14:solidFill>
          </w14:textFill>
        </w:rPr>
        <w:t>kg/h。</w:t>
      </w:r>
      <w:r>
        <w:rPr>
          <w:rFonts w:hint="eastAsia" w:ascii="Times New Roman" w:hAnsi="Times New Roman" w:cs="Times New Roman"/>
          <w:color w:val="000000" w:themeColor="text1"/>
          <w:highlight w:val="none"/>
          <w:lang w:val="en-US" w:eastAsia="zh-CN"/>
          <w14:textFill>
            <w14:solidFill>
              <w14:schemeClr w14:val="tx1"/>
            </w14:solidFill>
          </w14:textFill>
        </w:rPr>
        <w:t>根据《民丰县万水源矿业有限责任公司新疆民丰县盼水河锑铅矿矿产资源开发利用与生态保护修复方案》，</w:t>
      </w:r>
      <w:r>
        <w:rPr>
          <w:rFonts w:hint="eastAsia" w:ascii="宋体" w:hAnsi="宋体"/>
          <w:b w:val="0"/>
          <w:bCs w:val="0"/>
          <w:color w:val="000000" w:themeColor="text1"/>
          <w:szCs w:val="22"/>
          <w:highlight w:val="none"/>
          <w:lang w:bidi="ar"/>
          <w14:textFill>
            <w14:solidFill>
              <w14:schemeClr w14:val="tx1"/>
            </w14:solidFill>
          </w14:textFill>
        </w:rPr>
        <w:t>该矿</w:t>
      </w:r>
      <w:r>
        <w:rPr>
          <w:rFonts w:hint="eastAsia" w:ascii="宋体" w:hAnsi="宋体"/>
          <w:b w:val="0"/>
          <w:bCs w:val="0"/>
          <w:color w:val="000000" w:themeColor="text1"/>
          <w:szCs w:val="22"/>
          <w:highlight w:val="none"/>
          <w:lang w:val="en-US" w:eastAsia="zh-CN" w:bidi="ar"/>
          <w14:textFill>
            <w14:solidFill>
              <w14:schemeClr w14:val="tx1"/>
            </w14:solidFill>
          </w14:textFill>
        </w:rPr>
        <w:t>矿石中</w:t>
      </w:r>
      <w:r>
        <w:rPr>
          <w:rFonts w:hint="eastAsia" w:ascii="宋体" w:hAnsi="宋体"/>
          <w:b w:val="0"/>
          <w:bCs w:val="0"/>
          <w:color w:val="000000" w:themeColor="text1"/>
          <w:szCs w:val="22"/>
          <w:highlight w:val="none"/>
          <w:lang w:bidi="ar"/>
          <w14:textFill>
            <w14:solidFill>
              <w14:schemeClr w14:val="tx1"/>
            </w14:solidFill>
          </w14:textFill>
        </w:rPr>
        <w:t>铅采出平均品位</w:t>
      </w:r>
      <w:r>
        <w:rPr>
          <w:rFonts w:hint="default" w:ascii="Times New Roman" w:hAnsi="Times New Roman" w:cs="Times New Roman"/>
          <w:b w:val="0"/>
          <w:bCs w:val="0"/>
          <w:color w:val="000000" w:themeColor="text1"/>
          <w:szCs w:val="22"/>
          <w:highlight w:val="none"/>
          <w:lang w:bidi="ar"/>
          <w14:textFill>
            <w14:solidFill>
              <w14:schemeClr w14:val="tx1"/>
            </w14:solidFill>
          </w14:textFill>
        </w:rPr>
        <w:t>5.757%</w:t>
      </w:r>
      <w:r>
        <w:rPr>
          <w:rFonts w:hint="default" w:ascii="Times New Roman" w:hAnsi="Times New Roman" w:cs="Times New Roman"/>
          <w:b w:val="0"/>
          <w:bCs w:val="0"/>
          <w:color w:val="000000" w:themeColor="text1"/>
          <w:szCs w:val="22"/>
          <w:highlight w:val="none"/>
          <w:lang w:eastAsia="zh-CN" w:bidi="ar"/>
          <w14:textFill>
            <w14:solidFill>
              <w14:schemeClr w14:val="tx1"/>
            </w14:solidFill>
          </w14:textFill>
        </w:rPr>
        <w:t>，</w:t>
      </w:r>
      <w:r>
        <w:rPr>
          <w:rFonts w:hint="default" w:ascii="Times New Roman" w:hAnsi="Times New Roman" w:cs="Times New Roman"/>
          <w:b w:val="0"/>
          <w:bCs w:val="0"/>
          <w:color w:val="000000" w:themeColor="text1"/>
          <w:szCs w:val="22"/>
          <w:highlight w:val="none"/>
          <w:lang w:val="en-US" w:eastAsia="zh-CN" w:bidi="ar"/>
          <w14:textFill>
            <w14:solidFill>
              <w14:schemeClr w14:val="tx1"/>
            </w14:solidFill>
          </w14:textFill>
        </w:rPr>
        <w:t>废石</w:t>
      </w:r>
      <w:r>
        <w:rPr>
          <w:rFonts w:hint="eastAsia" w:ascii="Times New Roman" w:hAnsi="Times New Roman" w:cs="Times New Roman"/>
          <w:b w:val="0"/>
          <w:bCs w:val="0"/>
          <w:color w:val="000000" w:themeColor="text1"/>
          <w:szCs w:val="22"/>
          <w:highlight w:val="none"/>
          <w:lang w:val="en-US" w:eastAsia="zh-CN" w:bidi="ar"/>
          <w14:textFill>
            <w14:solidFill>
              <w14:schemeClr w14:val="tx1"/>
            </w14:solidFill>
          </w14:textFill>
        </w:rPr>
        <w:t>根据毒性浸出实验，铅未检出</w:t>
      </w:r>
      <w:r>
        <w:rPr>
          <w:rFonts w:hint="default" w:ascii="Times New Roman" w:hAnsi="Times New Roman" w:cs="Times New Roman"/>
          <w:b w:val="0"/>
          <w:bCs w:val="0"/>
          <w:color w:val="000000" w:themeColor="text1"/>
          <w:szCs w:val="22"/>
          <w:highlight w:val="none"/>
          <w:lang w:val="en-US" w:eastAsia="zh-CN" w:bidi="ar"/>
          <w14:textFill>
            <w14:solidFill>
              <w14:schemeClr w14:val="tx1"/>
            </w14:solidFill>
          </w14:textFill>
        </w:rPr>
        <w:t>。</w:t>
      </w:r>
      <w:r>
        <w:rPr>
          <w:rFonts w:hint="eastAsia" w:ascii="Times New Roman" w:hAnsi="Times New Roman" w:cs="Times New Roman"/>
          <w:b w:val="0"/>
          <w:bCs w:val="0"/>
          <w:color w:val="000000" w:themeColor="text1"/>
          <w:szCs w:val="22"/>
          <w:highlight w:val="none"/>
          <w:lang w:val="en-US" w:eastAsia="zh-CN" w:bidi="ar"/>
          <w14:textFill>
            <w14:solidFill>
              <w14:schemeClr w14:val="tx1"/>
            </w14:solidFill>
          </w14:textFill>
        </w:rPr>
        <w:t>因</w:t>
      </w:r>
      <w:r>
        <w:rPr>
          <w:rFonts w:hint="default" w:ascii="Times New Roman" w:hAnsi="Times New Roman" w:cs="Times New Roman"/>
          <w:b w:val="0"/>
          <w:bCs w:val="0"/>
          <w:color w:val="000000" w:themeColor="text1"/>
          <w:szCs w:val="22"/>
          <w:highlight w:val="none"/>
          <w:lang w:val="en-US" w:eastAsia="zh-CN" w:bidi="ar"/>
          <w14:textFill>
            <w14:solidFill>
              <w14:schemeClr w14:val="tx1"/>
            </w14:solidFill>
          </w14:textFill>
        </w:rPr>
        <w:t>此凿岩、钻孔扬尘中无组织颗粒物排放量为0.40</w:t>
      </w:r>
      <w:r>
        <w:rPr>
          <w:rFonts w:hint="eastAsia" w:ascii="Times New Roman" w:hAnsi="Times New Roman" w:cs="Times New Roman"/>
          <w:b w:val="0"/>
          <w:bCs w:val="0"/>
          <w:color w:val="000000" w:themeColor="text1"/>
          <w:szCs w:val="22"/>
          <w:highlight w:val="none"/>
          <w:lang w:val="en-US" w:eastAsia="zh-CN" w:bidi="ar"/>
          <w14:textFill>
            <w14:solidFill>
              <w14:schemeClr w14:val="tx1"/>
            </w14:solidFill>
          </w14:textFill>
        </w:rPr>
        <w:t>3</w:t>
      </w:r>
      <w:r>
        <w:rPr>
          <w:rFonts w:hint="default" w:ascii="Times New Roman" w:hAnsi="Times New Roman" w:cs="Times New Roman"/>
          <w:b w:val="0"/>
          <w:bCs w:val="0"/>
          <w:color w:val="000000" w:themeColor="text1"/>
          <w:szCs w:val="22"/>
          <w:highlight w:val="none"/>
          <w:lang w:val="en-US" w:eastAsia="zh-CN" w:bidi="ar"/>
          <w14:textFill>
            <w14:solidFill>
              <w14:schemeClr w14:val="tx1"/>
            </w14:solidFill>
          </w14:textFill>
        </w:rPr>
        <w:t>t/a，排放速率为0.25</w:t>
      </w:r>
      <w:r>
        <w:rPr>
          <w:rFonts w:hint="eastAsia" w:ascii="Times New Roman" w:hAnsi="Times New Roman" w:cs="Times New Roman"/>
          <w:b w:val="0"/>
          <w:bCs w:val="0"/>
          <w:color w:val="000000" w:themeColor="text1"/>
          <w:szCs w:val="22"/>
          <w:highlight w:val="none"/>
          <w:lang w:val="en-US" w:eastAsia="zh-CN" w:bidi="ar"/>
          <w14:textFill>
            <w14:solidFill>
              <w14:schemeClr w14:val="tx1"/>
            </w14:solidFill>
          </w14:textFill>
        </w:rPr>
        <w:t>2</w:t>
      </w:r>
      <w:r>
        <w:rPr>
          <w:rFonts w:hint="default" w:ascii="Times New Roman" w:hAnsi="Times New Roman" w:cs="Times New Roman"/>
          <w:b w:val="0"/>
          <w:bCs w:val="0"/>
          <w:color w:val="000000" w:themeColor="text1"/>
          <w:szCs w:val="22"/>
          <w:highlight w:val="none"/>
          <w:lang w:val="en-US" w:eastAsia="zh-CN" w:bidi="ar"/>
          <w14:textFill>
            <w14:solidFill>
              <w14:schemeClr w14:val="tx1"/>
            </w14:solidFill>
          </w14:textFill>
        </w:rPr>
        <w:t>kg/h；铅及其化合物大气无组织排放量为0.00</w:t>
      </w:r>
      <w:r>
        <w:rPr>
          <w:rFonts w:hint="eastAsia" w:ascii="Times New Roman" w:hAnsi="Times New Roman" w:cs="Times New Roman"/>
          <w:b w:val="0"/>
          <w:bCs w:val="0"/>
          <w:color w:val="000000" w:themeColor="text1"/>
          <w:szCs w:val="22"/>
          <w:highlight w:val="none"/>
          <w:lang w:val="en-US" w:eastAsia="zh-CN" w:bidi="ar"/>
          <w14:textFill>
            <w14:solidFill>
              <w14:schemeClr w14:val="tx1"/>
            </w14:solidFill>
          </w14:textFill>
        </w:rPr>
        <w:t>268</w:t>
      </w:r>
      <w:r>
        <w:rPr>
          <w:rFonts w:hint="default" w:ascii="Times New Roman" w:hAnsi="Times New Roman" w:cs="Times New Roman"/>
          <w:b w:val="0"/>
          <w:bCs w:val="0"/>
          <w:color w:val="000000" w:themeColor="text1"/>
          <w:szCs w:val="22"/>
          <w:highlight w:val="none"/>
          <w:lang w:val="en-US" w:eastAsia="zh-CN" w:bidi="ar"/>
          <w14:textFill>
            <w14:solidFill>
              <w14:schemeClr w14:val="tx1"/>
            </w14:solidFill>
          </w14:textFill>
        </w:rPr>
        <w:t>t/a，排放速率为1.</w:t>
      </w:r>
      <w:r>
        <w:rPr>
          <w:rFonts w:hint="eastAsia" w:ascii="Times New Roman" w:hAnsi="Times New Roman" w:cs="Times New Roman"/>
          <w:b w:val="0"/>
          <w:bCs w:val="0"/>
          <w:color w:val="000000" w:themeColor="text1"/>
          <w:szCs w:val="22"/>
          <w:highlight w:val="none"/>
          <w:lang w:val="en-US" w:eastAsia="zh-CN" w:bidi="ar"/>
          <w14:textFill>
            <w14:solidFill>
              <w14:schemeClr w14:val="tx1"/>
            </w14:solidFill>
          </w14:textFill>
        </w:rPr>
        <w:t>6</w:t>
      </w:r>
      <w:r>
        <w:rPr>
          <w:rFonts w:hint="default" w:ascii="Times New Roman" w:hAnsi="Times New Roman" w:cs="Times New Roman"/>
          <w:b w:val="0"/>
          <w:bCs w:val="0"/>
          <w:color w:val="000000" w:themeColor="text1"/>
          <w:szCs w:val="22"/>
          <w:highlight w:val="none"/>
          <w:lang w:val="en-US" w:eastAsia="zh-CN" w:bidi="ar"/>
          <w14:textFill>
            <w14:solidFill>
              <w14:schemeClr w14:val="tx1"/>
            </w14:solidFill>
          </w14:textFill>
        </w:rPr>
        <w:t>75×10</w:t>
      </w:r>
      <w:r>
        <w:rPr>
          <w:rFonts w:hint="default" w:ascii="Times New Roman" w:hAnsi="Times New Roman" w:cs="Times New Roman"/>
          <w:b w:val="0"/>
          <w:bCs w:val="0"/>
          <w:color w:val="000000" w:themeColor="text1"/>
          <w:szCs w:val="22"/>
          <w:highlight w:val="none"/>
          <w:vertAlign w:val="superscript"/>
          <w:lang w:val="en-US" w:eastAsia="zh-CN" w:bidi="ar"/>
          <w14:textFill>
            <w14:solidFill>
              <w14:schemeClr w14:val="tx1"/>
            </w14:solidFill>
          </w14:textFill>
        </w:rPr>
        <w:t>-3</w:t>
      </w:r>
      <w:r>
        <w:rPr>
          <w:rFonts w:hint="default" w:ascii="Times New Roman" w:hAnsi="Times New Roman" w:cs="Times New Roman"/>
          <w:b w:val="0"/>
          <w:bCs w:val="0"/>
          <w:color w:val="000000" w:themeColor="text1"/>
          <w:szCs w:val="22"/>
          <w:highlight w:val="none"/>
          <w:vertAlign w:val="baseline"/>
          <w:lang w:val="en-US" w:eastAsia="zh-CN" w:bidi="ar"/>
          <w14:textFill>
            <w14:solidFill>
              <w14:schemeClr w14:val="tx1"/>
            </w14:solidFill>
          </w14:textFill>
        </w:rPr>
        <w:t>k</w:t>
      </w:r>
      <w:r>
        <w:rPr>
          <w:rFonts w:hint="default" w:ascii="Times New Roman" w:hAnsi="Times New Roman" w:cs="Times New Roman"/>
          <w:b w:val="0"/>
          <w:bCs w:val="0"/>
          <w:color w:val="000000" w:themeColor="text1"/>
          <w:szCs w:val="22"/>
          <w:highlight w:val="none"/>
          <w:lang w:val="en-US" w:eastAsia="zh-CN" w:bidi="ar"/>
          <w14:textFill>
            <w14:solidFill>
              <w14:schemeClr w14:val="tx1"/>
            </w14:solidFill>
          </w14:textFill>
        </w:rPr>
        <w:t>g/h。</w:t>
      </w:r>
    </w:p>
    <w:p w14:paraId="78E47E68">
      <w:pPr>
        <w:pStyle w:val="24"/>
        <w:snapToGrid w:val="0"/>
        <w:jc w:val="left"/>
        <w:rPr>
          <w:rFonts w:hint="default" w:ascii="Times New Roman" w:hAnsi="Times New Roman" w:eastAsia="华文中宋" w:cs="Times New Roman"/>
          <w:color w:val="auto"/>
          <w:lang w:val="en-US" w:eastAsia="zh-CN"/>
        </w:rPr>
      </w:pPr>
      <w:r>
        <w:rPr>
          <w:rFonts w:hint="eastAsia" w:ascii="Calibri" w:hAnsi="Calibri" w:cs="Calibri"/>
          <w:color w:val="auto"/>
          <w:lang w:val="en-US" w:eastAsia="zh-CN"/>
        </w:rPr>
        <w:t>（3）</w:t>
      </w:r>
      <w:r>
        <w:rPr>
          <w:rFonts w:hint="default" w:ascii="Times New Roman" w:hAnsi="Times New Roman" w:eastAsia="华文中宋" w:cs="Times New Roman"/>
          <w:color w:val="auto"/>
          <w:lang w:val="en-US" w:eastAsia="zh-CN"/>
        </w:rPr>
        <w:t>爆破废气</w:t>
      </w:r>
    </w:p>
    <w:p w14:paraId="718C4C39">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爆破过程会产生含CO、NOx等的爆破烟气，属瞬时污染源，同时还会产生爆破粉尘，其中CO和NOx为有毒有害气体，产生量与炸药使用量等有关。根据黄忆龙《工程爆破中的灾害及其控制》以及《露天矿爆破粉尘排放量的计算分析》（《金属矿山》，1996年第3期，张兴凯）。爆破炮烟中NOx、CO、粉尘的产生量分别按32g/kg、3.6g/kg、54.2g/kg炸药量估算，项目炸药消耗量为</w:t>
      </w:r>
      <w:r>
        <w:rPr>
          <w:rFonts w:hint="eastAsia" w:ascii="Times New Roman" w:hAnsi="Times New Roman" w:cs="Times New Roman"/>
          <w:color w:val="auto"/>
          <w:lang w:val="en-US" w:eastAsia="zh-CN"/>
        </w:rPr>
        <w:t>151.65</w:t>
      </w:r>
      <w:r>
        <w:rPr>
          <w:rFonts w:hint="default" w:ascii="Times New Roman" w:hAnsi="Times New Roman" w:eastAsia="华文中宋" w:cs="Times New Roman"/>
          <w:color w:val="auto"/>
          <w:lang w:val="en-US" w:eastAsia="zh-CN"/>
        </w:rPr>
        <w:t>t/a。每年爆破产生的NOx、CO、粉尘的量分别为</w:t>
      </w:r>
      <w:r>
        <w:rPr>
          <w:rFonts w:hint="eastAsia" w:ascii="Times New Roman" w:hAnsi="Times New Roman" w:cs="Times New Roman"/>
          <w:color w:val="auto"/>
          <w:lang w:val="en-US" w:eastAsia="zh-CN"/>
        </w:rPr>
        <w:t>4.853</w:t>
      </w:r>
      <w:r>
        <w:rPr>
          <w:rFonts w:hint="default" w:ascii="Times New Roman" w:hAnsi="Times New Roman" w:eastAsia="华文中宋" w:cs="Times New Roman"/>
          <w:color w:val="auto"/>
          <w:lang w:val="en-US" w:eastAsia="zh-CN"/>
        </w:rPr>
        <w:t>t/a，0.</w:t>
      </w:r>
      <w:r>
        <w:rPr>
          <w:rFonts w:hint="eastAsia" w:ascii="Times New Roman" w:hAnsi="Times New Roman" w:cs="Times New Roman"/>
          <w:color w:val="auto"/>
          <w:lang w:val="en-US" w:eastAsia="zh-CN"/>
        </w:rPr>
        <w:t>546</w:t>
      </w:r>
      <w:r>
        <w:rPr>
          <w:rFonts w:hint="default" w:ascii="Times New Roman" w:hAnsi="Times New Roman" w:eastAsia="华文中宋" w:cs="Times New Roman"/>
          <w:color w:val="auto"/>
          <w:lang w:val="en-US" w:eastAsia="zh-CN"/>
        </w:rPr>
        <w:t>t/a，</w:t>
      </w:r>
      <w:r>
        <w:rPr>
          <w:rFonts w:hint="eastAsia" w:ascii="Times New Roman" w:hAnsi="Times New Roman" w:cs="Times New Roman"/>
          <w:color w:val="auto"/>
          <w:lang w:val="en-US" w:eastAsia="zh-CN"/>
        </w:rPr>
        <w:t>8.219</w:t>
      </w:r>
      <w:r>
        <w:rPr>
          <w:rFonts w:hint="default" w:ascii="Times New Roman" w:hAnsi="Times New Roman" w:eastAsia="华文中宋" w:cs="Times New Roman"/>
          <w:color w:val="auto"/>
          <w:lang w:val="en-US" w:eastAsia="zh-CN"/>
        </w:rPr>
        <w:t>t/a。为减少爆破时粉尘的产生量，除采用合理的炮孔网度、微差爆破与空气柱间隔装药外，还需要对预爆区洒水预湿，国内外的经验表明，预湿的捕尘效率可达到61%～83%。本次评价捕尘效率按</w:t>
      </w:r>
      <w:r>
        <w:rPr>
          <w:rFonts w:hint="eastAsia" w:ascii="Times New Roman" w:hAnsi="Times New Roman" w:cs="Times New Roman"/>
          <w:color w:val="auto"/>
          <w:lang w:val="en-US" w:eastAsia="zh-CN"/>
        </w:rPr>
        <w:t>其平均值取72%</w:t>
      </w:r>
      <w:r>
        <w:rPr>
          <w:rFonts w:hint="default" w:ascii="Times New Roman" w:hAnsi="Times New Roman" w:eastAsia="华文中宋" w:cs="Times New Roman"/>
          <w:color w:val="auto"/>
          <w:lang w:val="en-US" w:eastAsia="zh-CN"/>
        </w:rPr>
        <w:t>计，则本项目爆破粉尘的排放量为</w:t>
      </w:r>
      <w:r>
        <w:rPr>
          <w:rFonts w:hint="eastAsia" w:ascii="Times New Roman" w:hAnsi="Times New Roman" w:cs="Times New Roman"/>
          <w:color w:val="auto"/>
          <w:lang w:val="en-US" w:eastAsia="zh-CN"/>
        </w:rPr>
        <w:t>1.359</w:t>
      </w:r>
      <w:r>
        <w:rPr>
          <w:rFonts w:hint="default" w:ascii="Times New Roman" w:hAnsi="Times New Roman" w:eastAsia="华文中宋" w:cs="Times New Roman"/>
          <w:color w:val="auto"/>
          <w:lang w:val="en-US" w:eastAsia="zh-CN"/>
        </w:rPr>
        <w:t>t/a</w:t>
      </w:r>
      <w:r>
        <w:rPr>
          <w:rFonts w:hint="eastAsia" w:ascii="Times New Roman" w:hAnsi="Times New Roman" w:cs="Times New Roman"/>
          <w:color w:val="auto"/>
          <w:lang w:val="en-US" w:eastAsia="zh-CN"/>
        </w:rPr>
        <w:t>（其中矿石爆破产生粉尘0.154t/a，废石爆破产生粉尘1.205t/a）</w:t>
      </w:r>
      <w:r>
        <w:rPr>
          <w:rFonts w:hint="default" w:ascii="Times New Roman" w:hAnsi="Times New Roman" w:eastAsia="华文中宋" w:cs="Times New Roman"/>
          <w:color w:val="auto"/>
          <w:lang w:val="en-US" w:eastAsia="zh-CN"/>
        </w:rPr>
        <w:t>。</w:t>
      </w:r>
    </w:p>
    <w:p w14:paraId="50DA79AB">
      <w:pPr>
        <w:pStyle w:val="24"/>
        <w:snapToGrid w:val="0"/>
        <w:jc w:val="left"/>
        <w:rPr>
          <w:rFonts w:hint="default" w:ascii="Times New Roman" w:hAnsi="Times New Roman" w:eastAsia="华文中宋" w:cs="Times New Roman"/>
          <w:color w:val="auto"/>
          <w:highlight w:val="none"/>
          <w:lang w:val="en-US" w:eastAsia="zh-CN"/>
        </w:rPr>
      </w:pPr>
      <w:r>
        <w:rPr>
          <w:rFonts w:hint="eastAsia" w:ascii="Times New Roman" w:hAnsi="Times New Roman" w:cs="Times New Roman"/>
          <w:color w:val="auto"/>
          <w:highlight w:val="none"/>
          <w:lang w:val="en-US" w:eastAsia="zh-CN"/>
        </w:rPr>
        <w:t>根据《民丰县万水源矿业有限责任公司新疆民丰县盼水河锑铅矿矿产资源开发利用与生态保护修复方案》，</w:t>
      </w:r>
      <w:r>
        <w:rPr>
          <w:rFonts w:hint="eastAsia" w:ascii="宋体" w:hAnsi="宋体"/>
          <w:b w:val="0"/>
          <w:bCs w:val="0"/>
          <w:color w:val="000000"/>
          <w:szCs w:val="22"/>
          <w:highlight w:val="none"/>
          <w:lang w:bidi="ar"/>
        </w:rPr>
        <w:t>该矿铅采出平均品位5.757%</w:t>
      </w:r>
      <w:r>
        <w:rPr>
          <w:rFonts w:hint="eastAsia" w:ascii="宋体" w:hAnsi="宋体"/>
          <w:b w:val="0"/>
          <w:bCs w:val="0"/>
          <w:color w:val="000000"/>
          <w:szCs w:val="22"/>
          <w:highlight w:val="none"/>
          <w:lang w:eastAsia="zh-CN" w:bidi="ar"/>
        </w:rPr>
        <w:t>，</w:t>
      </w:r>
      <w:r>
        <w:rPr>
          <w:rFonts w:hint="default" w:ascii="Times New Roman" w:hAnsi="Times New Roman" w:cs="Times New Roman"/>
          <w:b w:val="0"/>
          <w:bCs w:val="0"/>
          <w:color w:val="000000" w:themeColor="text1"/>
          <w:szCs w:val="22"/>
          <w:highlight w:val="none"/>
          <w:lang w:val="en-US" w:eastAsia="zh-CN" w:bidi="ar"/>
          <w14:textFill>
            <w14:solidFill>
              <w14:schemeClr w14:val="tx1"/>
            </w14:solidFill>
          </w14:textFill>
        </w:rPr>
        <w:t>废石</w:t>
      </w:r>
      <w:r>
        <w:rPr>
          <w:rFonts w:hint="eastAsia" w:ascii="Times New Roman" w:hAnsi="Times New Roman" w:cs="Times New Roman"/>
          <w:b w:val="0"/>
          <w:bCs w:val="0"/>
          <w:color w:val="000000" w:themeColor="text1"/>
          <w:szCs w:val="22"/>
          <w:highlight w:val="none"/>
          <w:lang w:val="en-US" w:eastAsia="zh-CN" w:bidi="ar"/>
          <w14:textFill>
            <w14:solidFill>
              <w14:schemeClr w14:val="tx1"/>
            </w14:solidFill>
          </w14:textFill>
        </w:rPr>
        <w:t>根据毒性浸出实验，铅未检出。</w:t>
      </w:r>
      <w:r>
        <w:rPr>
          <w:rFonts w:hint="eastAsia" w:ascii="宋体" w:hAnsi="宋体"/>
          <w:b w:val="0"/>
          <w:bCs w:val="0"/>
          <w:color w:val="000000"/>
          <w:szCs w:val="22"/>
          <w:highlight w:val="none"/>
          <w:lang w:val="en-US" w:eastAsia="zh-CN" w:bidi="ar"/>
        </w:rPr>
        <w:t>因此爆破粉尘中无组织颗粒物排放量为1.350t/a；铅及其化合物大气无组织排放量为0.00887t/a。</w:t>
      </w:r>
    </w:p>
    <w:p w14:paraId="7B8296D2">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项目露天开采，空气流动性较好，受自然风流扩散影响，可造成采场采矿下风向的大气瞬时污染，这种瞬时污染随着时间推移，以及污染物在空气中不断扩散，其浓度也会逐渐降低。</w:t>
      </w:r>
    </w:p>
    <w:p w14:paraId="427FBE65">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（4）</w:t>
      </w:r>
      <w:r>
        <w:rPr>
          <w:rFonts w:hint="default" w:ascii="Times New Roman" w:hAnsi="Times New Roman" w:eastAsia="华文中宋" w:cs="Times New Roman"/>
          <w:color w:val="auto"/>
          <w:lang w:val="en-US" w:eastAsia="zh-CN"/>
        </w:rPr>
        <w:t>堆场粉尘</w:t>
      </w:r>
    </w:p>
    <w:p w14:paraId="4771597F">
      <w:pPr>
        <w:pStyle w:val="24"/>
        <w:snapToGrid w:val="0"/>
        <w:jc w:val="left"/>
        <w:rPr>
          <w:rFonts w:hint="eastAsia"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本项目堆场粉尘采用清华大学在霍州矿务局现场得出公式：</w:t>
      </w:r>
    </w:p>
    <w:p w14:paraId="44E4125E">
      <w:pPr>
        <w:pStyle w:val="24"/>
        <w:snapToGrid w:val="0"/>
        <w:ind w:firstLine="960" w:firstLineChars="40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采用公式：Q=11.7U</w:t>
      </w:r>
      <w:r>
        <w:rPr>
          <w:rFonts w:hint="default" w:ascii="Times New Roman" w:hAnsi="Times New Roman" w:eastAsia="华文中宋" w:cs="Times New Roman"/>
          <w:color w:val="auto"/>
          <w:vertAlign w:val="superscript"/>
          <w:lang w:val="en-US" w:eastAsia="zh-CN"/>
        </w:rPr>
        <w:t>2.45</w:t>
      </w:r>
      <w:r>
        <w:rPr>
          <w:rFonts w:hint="default" w:ascii="Times New Roman" w:hAnsi="Times New Roman" w:eastAsia="华文中宋" w:cs="Times New Roman"/>
          <w:color w:val="auto"/>
          <w:lang w:val="en-US" w:eastAsia="zh-CN"/>
        </w:rPr>
        <w:t>·S</w:t>
      </w:r>
      <w:r>
        <w:rPr>
          <w:rFonts w:hint="default" w:ascii="Times New Roman" w:hAnsi="Times New Roman" w:eastAsia="华文中宋" w:cs="Times New Roman"/>
          <w:color w:val="auto"/>
          <w:vertAlign w:val="superscript"/>
          <w:lang w:val="en-US" w:eastAsia="zh-CN"/>
        </w:rPr>
        <w:t>0.345</w:t>
      </w:r>
      <w:r>
        <w:rPr>
          <w:rFonts w:hint="default" w:ascii="Times New Roman" w:hAnsi="Times New Roman" w:eastAsia="华文中宋" w:cs="Times New Roman"/>
          <w:color w:val="auto"/>
          <w:lang w:val="en-US" w:eastAsia="zh-CN"/>
        </w:rPr>
        <w:t>·e</w:t>
      </w:r>
      <w:r>
        <w:rPr>
          <w:rFonts w:hint="default" w:ascii="Times New Roman" w:hAnsi="Times New Roman" w:eastAsia="华文中宋" w:cs="Times New Roman"/>
          <w:color w:val="auto"/>
          <w:vertAlign w:val="superscript"/>
          <w:lang w:val="en-US" w:eastAsia="zh-CN"/>
        </w:rPr>
        <w:t>-0.5</w:t>
      </w:r>
      <w:r>
        <w:rPr>
          <w:rFonts w:hint="eastAsia" w:ascii="微软雅黑" w:hAnsi="微软雅黑" w:eastAsia="微软雅黑" w:cs="微软雅黑"/>
          <w:color w:val="auto"/>
          <w:vertAlign w:val="superscript"/>
          <w:lang w:val="en-US" w:eastAsia="zh-CN"/>
        </w:rPr>
        <w:t>ω</w:t>
      </w:r>
      <w:r>
        <w:rPr>
          <w:rFonts w:hint="eastAsia" w:ascii="Times New Roman" w:hAnsi="Times New Roman" w:cs="Times New Roman"/>
          <w:color w:val="auto"/>
          <w:vertAlign w:val="baseline"/>
          <w:lang w:val="en-US" w:eastAsia="zh-CN"/>
        </w:rPr>
        <w:t>·</w:t>
      </w:r>
      <w:r>
        <w:rPr>
          <w:rFonts w:hint="default" w:ascii="Times New Roman" w:hAnsi="Times New Roman" w:eastAsia="华文中宋" w:cs="Times New Roman"/>
          <w:color w:val="auto"/>
          <w:lang w:val="en-US" w:eastAsia="zh-CN"/>
        </w:rPr>
        <w:t>e</w:t>
      </w:r>
      <w:r>
        <w:rPr>
          <w:rFonts w:hint="default" w:ascii="Times New Roman" w:hAnsi="Times New Roman" w:eastAsia="华文中宋" w:cs="Times New Roman"/>
          <w:color w:val="auto"/>
          <w:vertAlign w:val="superscript"/>
          <w:lang w:val="en-US" w:eastAsia="zh-CN"/>
        </w:rPr>
        <w:t>-0.5</w:t>
      </w:r>
      <w:r>
        <w:rPr>
          <w:rFonts w:hint="eastAsia" w:ascii="Times New Roman" w:hAnsi="Times New Roman" w:cs="Times New Roman"/>
          <w:color w:val="auto"/>
          <w:vertAlign w:val="superscript"/>
          <w:lang w:val="en-US" w:eastAsia="zh-CN"/>
        </w:rPr>
        <w:t>5（w-0.07）</w:t>
      </w:r>
    </w:p>
    <w:p w14:paraId="6A082AD0">
      <w:pPr>
        <w:pStyle w:val="24"/>
        <w:snapToGrid w:val="0"/>
        <w:ind w:firstLine="2160" w:firstLineChars="900"/>
        <w:jc w:val="left"/>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Q</w:t>
      </w:r>
      <w:r>
        <w:rPr>
          <w:rFonts w:hint="default" w:ascii="Times New Roman" w:hAnsi="Times New Roman" w:eastAsia="华文中宋" w:cs="Times New Roman"/>
          <w:color w:val="auto"/>
          <w:lang w:val="en-US" w:eastAsia="zh-CN"/>
        </w:rPr>
        <w:t>—</w:t>
      </w:r>
      <w:r>
        <w:rPr>
          <w:rFonts w:hint="eastAsia" w:ascii="Times New Roman" w:hAnsi="Times New Roman" w:cs="Times New Roman"/>
          <w:color w:val="auto"/>
          <w:lang w:val="en-US" w:eastAsia="zh-CN"/>
        </w:rPr>
        <w:t>粉尘产生量，（mg/s）</w:t>
      </w:r>
    </w:p>
    <w:p w14:paraId="18D863DC">
      <w:pPr>
        <w:pStyle w:val="24"/>
        <w:snapToGrid w:val="0"/>
        <w:ind w:firstLine="2160" w:firstLineChars="90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W—物料湿度，（%）；</w:t>
      </w:r>
    </w:p>
    <w:p w14:paraId="44D87491">
      <w:pPr>
        <w:pStyle w:val="24"/>
        <w:snapToGrid w:val="0"/>
        <w:ind w:firstLine="2160" w:firstLineChars="900"/>
        <w:jc w:val="left"/>
        <w:rPr>
          <w:rFonts w:hint="default" w:ascii="Times New Roman" w:hAnsi="Times New Roman" w:eastAsia="华文中宋" w:cs="Times New Roman"/>
          <w:color w:val="auto"/>
          <w:vertAlign w:val="baseline"/>
          <w:lang w:val="en-US" w:eastAsia="zh-CN"/>
        </w:rPr>
      </w:pPr>
      <w:r>
        <w:rPr>
          <w:rFonts w:hint="eastAsia" w:ascii="微软雅黑" w:hAnsi="微软雅黑" w:eastAsia="微软雅黑" w:cs="微软雅黑"/>
          <w:color w:val="auto"/>
          <w:vertAlign w:val="baseline"/>
          <w:lang w:val="en-US" w:eastAsia="zh-CN"/>
        </w:rPr>
        <w:t>ω</w:t>
      </w:r>
      <w:r>
        <w:rPr>
          <w:rFonts w:hint="default" w:ascii="Times New Roman" w:hAnsi="Times New Roman" w:eastAsia="华文中宋" w:cs="Times New Roman"/>
          <w:color w:val="auto"/>
          <w:lang w:val="en-US" w:eastAsia="zh-CN"/>
        </w:rPr>
        <w:t>—</w:t>
      </w:r>
      <w:r>
        <w:rPr>
          <w:rFonts w:hint="eastAsia" w:ascii="Times New Roman" w:hAnsi="Times New Roman" w:cs="Times New Roman"/>
          <w:color w:val="auto"/>
          <w:lang w:val="en-US" w:eastAsia="zh-CN"/>
        </w:rPr>
        <w:t>空气相对湿度，（3%）</w:t>
      </w:r>
    </w:p>
    <w:p w14:paraId="2D3709D5">
      <w:pPr>
        <w:pStyle w:val="24"/>
        <w:snapToGrid w:val="0"/>
        <w:ind w:firstLine="2160" w:firstLineChars="90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S—堆场表面积；</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2</w:t>
      </w:r>
      <w:r>
        <w:rPr>
          <w:rFonts w:hint="eastAsia" w:ascii="Times New Roman" w:hAnsi="Times New Roman" w:cs="Times New Roman"/>
          <w:color w:val="auto"/>
          <w:lang w:val="en-US" w:eastAsia="zh-CN"/>
        </w:rPr>
        <w:t>）</w:t>
      </w:r>
    </w:p>
    <w:p w14:paraId="70A3B95F">
      <w:pPr>
        <w:pStyle w:val="24"/>
        <w:snapToGrid w:val="0"/>
        <w:ind w:firstLine="2160" w:firstLineChars="90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U—临界风速，（m/s）。</w:t>
      </w:r>
    </w:p>
    <w:p w14:paraId="015F034E">
      <w:pPr>
        <w:adjustRightInd w:val="0"/>
        <w:snapToGrid w:val="0"/>
        <w:spacing w:before="250" w:beforeLines="50"/>
        <w:ind w:firstLine="422" w:firstLineChars="200"/>
        <w:jc w:val="center"/>
        <w:rPr>
          <w:rFonts w:hint="default"/>
          <w:b/>
          <w:bCs/>
          <w:lang w:val="en-US" w:eastAsia="zh-CN"/>
        </w:rPr>
      </w:pPr>
      <w:r>
        <w:rPr>
          <w:rFonts w:hint="eastAsia"/>
          <w:b/>
          <w:bCs/>
          <w:lang w:val="en-US" w:eastAsia="zh-CN"/>
        </w:rPr>
        <w:t>表3.2-4  堆场源强系数表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6"/>
        <w:gridCol w:w="925"/>
        <w:gridCol w:w="584"/>
        <w:gridCol w:w="1173"/>
        <w:gridCol w:w="1464"/>
        <w:gridCol w:w="1217"/>
        <w:gridCol w:w="1091"/>
        <w:gridCol w:w="1139"/>
      </w:tblGrid>
      <w:tr w14:paraId="43086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pct"/>
            <w:vMerge w:val="restart"/>
            <w:vAlign w:val="center"/>
          </w:tcPr>
          <w:p w14:paraId="77A7943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污染源</w:t>
            </w:r>
          </w:p>
        </w:tc>
        <w:tc>
          <w:tcPr>
            <w:tcW w:w="543" w:type="pct"/>
            <w:vAlign w:val="center"/>
          </w:tcPr>
          <w:p w14:paraId="444384A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面源面积</w:t>
            </w:r>
            <w:r>
              <w:rPr>
                <w:rFonts w:hint="eastAsia" w:ascii="Times New Roman" w:hAnsi="Times New Roman" w:eastAsia="华文中宋" w:cs="Times New Roman"/>
                <w:szCs w:val="21"/>
                <w:lang w:val="en-US" w:eastAsia="zh-CN"/>
              </w:rPr>
              <w:t>S</w:t>
            </w:r>
          </w:p>
        </w:tc>
        <w:tc>
          <w:tcPr>
            <w:tcW w:w="2603" w:type="pct"/>
            <w:gridSpan w:val="4"/>
            <w:vAlign w:val="center"/>
          </w:tcPr>
          <w:p w14:paraId="6685D32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计算系数</w:t>
            </w:r>
          </w:p>
        </w:tc>
        <w:tc>
          <w:tcPr>
            <w:tcW w:w="1308" w:type="pct"/>
            <w:gridSpan w:val="2"/>
            <w:vAlign w:val="center"/>
          </w:tcPr>
          <w:p w14:paraId="541A34A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产生量</w:t>
            </w:r>
            <w:r>
              <w:rPr>
                <w:rFonts w:hint="eastAsia" w:ascii="Times New Roman" w:hAnsi="Times New Roman" w:eastAsia="华文中宋" w:cs="Times New Roman"/>
                <w:szCs w:val="21"/>
                <w:lang w:val="en-US" w:eastAsia="zh-CN"/>
              </w:rPr>
              <w:t>（Q）</w:t>
            </w:r>
          </w:p>
        </w:tc>
      </w:tr>
      <w:tr w14:paraId="25DBE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pct"/>
            <w:vMerge w:val="continue"/>
            <w:vAlign w:val="center"/>
          </w:tcPr>
          <w:p w14:paraId="565946F1">
            <w:pPr>
              <w:spacing w:line="300" w:lineRule="exact"/>
              <w:jc w:val="center"/>
              <w:rPr>
                <w:rFonts w:hint="default" w:ascii="Times New Roman" w:hAnsi="Times New Roman" w:eastAsia="华文中宋" w:cs="Times New Roman"/>
                <w:szCs w:val="21"/>
                <w:lang w:val="en-US" w:eastAsia="zh-CN"/>
              </w:rPr>
            </w:pPr>
          </w:p>
        </w:tc>
        <w:tc>
          <w:tcPr>
            <w:tcW w:w="543" w:type="pct"/>
            <w:vAlign w:val="center"/>
          </w:tcPr>
          <w:p w14:paraId="25C4A87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m</w:t>
            </w:r>
            <w:r>
              <w:rPr>
                <w:rFonts w:hint="default" w:ascii="Times New Roman" w:hAnsi="Times New Roman" w:eastAsia="华文中宋" w:cs="Times New Roman"/>
                <w:szCs w:val="21"/>
                <w:vertAlign w:val="superscript"/>
                <w:lang w:val="en-US" w:eastAsia="zh-CN"/>
              </w:rPr>
              <w:t>2</w:t>
            </w:r>
          </w:p>
        </w:tc>
        <w:tc>
          <w:tcPr>
            <w:tcW w:w="342" w:type="pct"/>
            <w:vAlign w:val="center"/>
          </w:tcPr>
          <w:p w14:paraId="0F1F109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U</w:t>
            </w:r>
          </w:p>
        </w:tc>
        <w:tc>
          <w:tcPr>
            <w:tcW w:w="688" w:type="pct"/>
            <w:vAlign w:val="center"/>
          </w:tcPr>
          <w:p w14:paraId="2D471A9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w:t>
            </w:r>
          </w:p>
        </w:tc>
        <w:tc>
          <w:tcPr>
            <w:tcW w:w="859" w:type="pct"/>
            <w:shd w:val="clear" w:color="auto" w:fill="auto"/>
            <w:vAlign w:val="center"/>
          </w:tcPr>
          <w:p w14:paraId="71C41A2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S</w:t>
            </w:r>
          </w:p>
        </w:tc>
        <w:tc>
          <w:tcPr>
            <w:tcW w:w="712" w:type="pct"/>
            <w:shd w:val="clear" w:color="auto" w:fill="auto"/>
            <w:vAlign w:val="center"/>
          </w:tcPr>
          <w:p w14:paraId="38E00B64">
            <w:pPr>
              <w:spacing w:line="300" w:lineRule="exact"/>
              <w:jc w:val="center"/>
              <w:rPr>
                <w:rFonts w:hint="eastAsia" w:ascii="Times New Roman" w:hAnsi="Times New Roman" w:eastAsia="华文中宋" w:cs="Times New Roman"/>
                <w:szCs w:val="21"/>
                <w:lang w:val="en-US" w:eastAsia="zh-CN"/>
              </w:rPr>
            </w:pPr>
            <w:r>
              <w:rPr>
                <w:rFonts w:hint="eastAsia" w:ascii="微软雅黑" w:hAnsi="微软雅黑" w:eastAsia="微软雅黑" w:cs="微软雅黑"/>
                <w:color w:val="auto"/>
                <w:vertAlign w:val="baseline"/>
                <w:lang w:val="en-US" w:eastAsia="zh-CN"/>
              </w:rPr>
              <w:t>ω</w:t>
            </w:r>
          </w:p>
        </w:tc>
        <w:tc>
          <w:tcPr>
            <w:tcW w:w="640" w:type="pct"/>
            <w:shd w:val="clear" w:color="auto" w:fill="auto"/>
            <w:vAlign w:val="center"/>
          </w:tcPr>
          <w:p w14:paraId="2858BAD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mg/s</w:t>
            </w:r>
          </w:p>
        </w:tc>
        <w:tc>
          <w:tcPr>
            <w:tcW w:w="668" w:type="pct"/>
            <w:shd w:val="clear" w:color="auto" w:fill="auto"/>
            <w:vAlign w:val="center"/>
          </w:tcPr>
          <w:p w14:paraId="02CEE61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t/a(8760h)</w:t>
            </w:r>
          </w:p>
        </w:tc>
      </w:tr>
      <w:tr w14:paraId="03032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pct"/>
            <w:vAlign w:val="center"/>
          </w:tcPr>
          <w:p w14:paraId="12E40EEF">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表土堆放场</w:t>
            </w:r>
          </w:p>
        </w:tc>
        <w:tc>
          <w:tcPr>
            <w:tcW w:w="543" w:type="pct"/>
            <w:vAlign w:val="center"/>
          </w:tcPr>
          <w:p w14:paraId="6F579F7C">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8000</w:t>
            </w:r>
          </w:p>
        </w:tc>
        <w:tc>
          <w:tcPr>
            <w:tcW w:w="342" w:type="pct"/>
            <w:vMerge w:val="restart"/>
            <w:vAlign w:val="center"/>
          </w:tcPr>
          <w:p w14:paraId="63E215D5">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2.15</w:t>
            </w:r>
          </w:p>
        </w:tc>
        <w:tc>
          <w:tcPr>
            <w:tcW w:w="688" w:type="pct"/>
            <w:vAlign w:val="center"/>
          </w:tcPr>
          <w:p w14:paraId="176857E8">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15%</w:t>
            </w:r>
          </w:p>
        </w:tc>
        <w:tc>
          <w:tcPr>
            <w:tcW w:w="859" w:type="pct"/>
            <w:vAlign w:val="center"/>
          </w:tcPr>
          <w:p w14:paraId="10691069">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8000</w:t>
            </w:r>
          </w:p>
        </w:tc>
        <w:tc>
          <w:tcPr>
            <w:tcW w:w="712" w:type="pct"/>
            <w:vMerge w:val="restart"/>
            <w:vAlign w:val="center"/>
          </w:tcPr>
          <w:p w14:paraId="0A95BEB9">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0.35</w:t>
            </w:r>
          </w:p>
        </w:tc>
        <w:tc>
          <w:tcPr>
            <w:tcW w:w="640" w:type="pct"/>
            <w:vAlign w:val="center"/>
          </w:tcPr>
          <w:p w14:paraId="504A4E49">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84.400</w:t>
            </w:r>
          </w:p>
        </w:tc>
        <w:tc>
          <w:tcPr>
            <w:tcW w:w="668" w:type="pct"/>
            <w:vAlign w:val="center"/>
          </w:tcPr>
          <w:p w14:paraId="2678DE2F">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1.362</w:t>
            </w:r>
          </w:p>
        </w:tc>
      </w:tr>
      <w:tr w14:paraId="10541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pct"/>
            <w:vAlign w:val="center"/>
          </w:tcPr>
          <w:p w14:paraId="5AD4370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废石堆放场</w:t>
            </w:r>
          </w:p>
        </w:tc>
        <w:tc>
          <w:tcPr>
            <w:tcW w:w="543" w:type="pct"/>
            <w:vAlign w:val="center"/>
          </w:tcPr>
          <w:p w14:paraId="2F4DEEF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7000</w:t>
            </w:r>
            <w:r>
              <w:rPr>
                <w:rFonts w:hint="eastAsia" w:ascii="Times New Roman" w:hAnsi="Times New Roman" w:eastAsia="华文中宋" w:cs="Times New Roman"/>
                <w:szCs w:val="21"/>
                <w:lang w:val="en-US" w:eastAsia="zh-CN"/>
              </w:rPr>
              <w:t>0</w:t>
            </w:r>
          </w:p>
        </w:tc>
        <w:tc>
          <w:tcPr>
            <w:tcW w:w="342" w:type="pct"/>
            <w:vMerge w:val="continue"/>
            <w:vAlign w:val="center"/>
          </w:tcPr>
          <w:p w14:paraId="127FAA84">
            <w:pPr>
              <w:spacing w:line="300" w:lineRule="exact"/>
              <w:jc w:val="center"/>
              <w:rPr>
                <w:rFonts w:hint="default" w:ascii="Times New Roman" w:hAnsi="Times New Roman" w:eastAsia="华文中宋" w:cs="Times New Roman"/>
                <w:szCs w:val="21"/>
                <w:lang w:val="en-US" w:eastAsia="zh-CN"/>
              </w:rPr>
            </w:pPr>
          </w:p>
        </w:tc>
        <w:tc>
          <w:tcPr>
            <w:tcW w:w="688" w:type="pct"/>
            <w:vAlign w:val="center"/>
          </w:tcPr>
          <w:p w14:paraId="68C7C867">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highlight w:val="none"/>
                <w:lang w:val="en-US" w:eastAsia="zh-CN"/>
              </w:rPr>
              <w:t>10%</w:t>
            </w:r>
          </w:p>
        </w:tc>
        <w:tc>
          <w:tcPr>
            <w:tcW w:w="859" w:type="pct"/>
            <w:vAlign w:val="center"/>
          </w:tcPr>
          <w:p w14:paraId="175E56B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7000</w:t>
            </w:r>
            <w:r>
              <w:rPr>
                <w:rFonts w:hint="eastAsia" w:ascii="Times New Roman" w:hAnsi="Times New Roman" w:eastAsia="华文中宋" w:cs="Times New Roman"/>
                <w:szCs w:val="21"/>
                <w:lang w:val="en-US" w:eastAsia="zh-CN"/>
              </w:rPr>
              <w:t>0</w:t>
            </w:r>
          </w:p>
        </w:tc>
        <w:tc>
          <w:tcPr>
            <w:tcW w:w="712" w:type="pct"/>
            <w:vMerge w:val="continue"/>
            <w:vAlign w:val="center"/>
          </w:tcPr>
          <w:p w14:paraId="160E288E">
            <w:pPr>
              <w:spacing w:line="300" w:lineRule="exact"/>
              <w:jc w:val="center"/>
              <w:rPr>
                <w:rFonts w:hint="eastAsia" w:ascii="Times New Roman" w:hAnsi="Times New Roman" w:eastAsia="华文中宋" w:cs="Times New Roman"/>
                <w:szCs w:val="21"/>
                <w:lang w:val="en-US" w:eastAsia="zh-CN"/>
              </w:rPr>
            </w:pPr>
          </w:p>
        </w:tc>
        <w:tc>
          <w:tcPr>
            <w:tcW w:w="640" w:type="pct"/>
            <w:vAlign w:val="center"/>
          </w:tcPr>
          <w:p w14:paraId="6F08978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799.424</w:t>
            </w:r>
          </w:p>
        </w:tc>
        <w:tc>
          <w:tcPr>
            <w:tcW w:w="668" w:type="pct"/>
            <w:vAlign w:val="center"/>
          </w:tcPr>
          <w:p w14:paraId="307480E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2.958</w:t>
            </w:r>
          </w:p>
        </w:tc>
      </w:tr>
      <w:tr w14:paraId="5AF93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pct"/>
            <w:vAlign w:val="center"/>
          </w:tcPr>
          <w:p w14:paraId="0BE9277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矿石转运场</w:t>
            </w:r>
          </w:p>
        </w:tc>
        <w:tc>
          <w:tcPr>
            <w:tcW w:w="543" w:type="pct"/>
            <w:vAlign w:val="center"/>
          </w:tcPr>
          <w:p w14:paraId="52F65D60">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5200</w:t>
            </w:r>
          </w:p>
        </w:tc>
        <w:tc>
          <w:tcPr>
            <w:tcW w:w="342" w:type="pct"/>
            <w:vMerge w:val="continue"/>
            <w:vAlign w:val="center"/>
          </w:tcPr>
          <w:p w14:paraId="3D9DB6BF">
            <w:pPr>
              <w:spacing w:line="300" w:lineRule="exact"/>
              <w:jc w:val="center"/>
              <w:rPr>
                <w:rFonts w:hint="default" w:ascii="Times New Roman" w:hAnsi="Times New Roman" w:eastAsia="华文中宋" w:cs="Times New Roman"/>
                <w:szCs w:val="21"/>
                <w:lang w:val="en-US" w:eastAsia="zh-CN"/>
              </w:rPr>
            </w:pPr>
          </w:p>
        </w:tc>
        <w:tc>
          <w:tcPr>
            <w:tcW w:w="688" w:type="pct"/>
            <w:vAlign w:val="center"/>
          </w:tcPr>
          <w:p w14:paraId="048ABA1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highlight w:val="none"/>
                <w:lang w:val="en-US" w:eastAsia="zh-CN"/>
              </w:rPr>
              <w:t>10%</w:t>
            </w:r>
          </w:p>
        </w:tc>
        <w:tc>
          <w:tcPr>
            <w:tcW w:w="859" w:type="pct"/>
            <w:vAlign w:val="center"/>
          </w:tcPr>
          <w:p w14:paraId="4E1E762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5200</w:t>
            </w:r>
          </w:p>
        </w:tc>
        <w:tc>
          <w:tcPr>
            <w:tcW w:w="712" w:type="pct"/>
            <w:vMerge w:val="continue"/>
            <w:vAlign w:val="center"/>
          </w:tcPr>
          <w:p w14:paraId="7CDB6887">
            <w:pPr>
              <w:spacing w:line="300" w:lineRule="exact"/>
              <w:jc w:val="center"/>
              <w:rPr>
                <w:rFonts w:hint="eastAsia" w:ascii="Times New Roman" w:hAnsi="Times New Roman" w:eastAsia="华文中宋" w:cs="Times New Roman"/>
                <w:szCs w:val="21"/>
                <w:lang w:val="en-US" w:eastAsia="zh-CN"/>
              </w:rPr>
            </w:pPr>
          </w:p>
        </w:tc>
        <w:tc>
          <w:tcPr>
            <w:tcW w:w="640" w:type="pct"/>
            <w:vAlign w:val="center"/>
          </w:tcPr>
          <w:p w14:paraId="5D1B2D7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326.016</w:t>
            </w:r>
          </w:p>
        </w:tc>
        <w:tc>
          <w:tcPr>
            <w:tcW w:w="668" w:type="pct"/>
            <w:vAlign w:val="center"/>
          </w:tcPr>
          <w:p w14:paraId="12FAA96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1.206</w:t>
            </w:r>
          </w:p>
        </w:tc>
      </w:tr>
    </w:tbl>
    <w:p w14:paraId="026AFC92">
      <w:pPr>
        <w:adjustRightInd w:val="0"/>
        <w:snapToGrid w:val="0"/>
        <w:spacing w:line="500" w:lineRule="exact"/>
        <w:jc w:val="center"/>
        <w:rPr>
          <w:rFonts w:hint="eastAsia" w:ascii="Calibri" w:hAnsi="Calibri" w:eastAsia="华文中宋" w:cs="Calibri"/>
          <w:sz w:val="24"/>
          <w:lang w:val="en-US" w:eastAsia="zh-CN"/>
        </w:rPr>
      </w:pPr>
      <w:r>
        <w:rPr>
          <w:rFonts w:hint="default" w:ascii="Times New Roman" w:hAnsi="Times New Roman" w:eastAsia="华文中宋" w:cs="Times New Roman"/>
          <w:b/>
          <w:szCs w:val="21"/>
          <w:lang w:val="en-US" w:eastAsia="zh-CN"/>
        </w:rPr>
        <w:t>表3.2-</w:t>
      </w:r>
      <w:r>
        <w:rPr>
          <w:rFonts w:hint="eastAsia" w:ascii="Times New Roman" w:hAnsi="Times New Roman" w:eastAsia="华文中宋" w:cs="Times New Roman"/>
          <w:b/>
          <w:szCs w:val="21"/>
          <w:lang w:val="en-US" w:eastAsia="zh-CN"/>
        </w:rPr>
        <w:t>5</w:t>
      </w:r>
      <w:r>
        <w:rPr>
          <w:rFonts w:hint="default" w:ascii="Times New Roman" w:hAnsi="Times New Roman" w:eastAsia="华文中宋" w:cs="Times New Roman"/>
          <w:b/>
          <w:szCs w:val="21"/>
          <w:lang w:val="en-US" w:eastAsia="zh-CN"/>
        </w:rPr>
        <w:t xml:space="preserve">  </w:t>
      </w:r>
      <w:r>
        <w:rPr>
          <w:rFonts w:hint="eastAsia" w:ascii="Times New Roman" w:hAnsi="Times New Roman" w:eastAsia="华文中宋" w:cs="Times New Roman"/>
          <w:b/>
          <w:szCs w:val="21"/>
          <w:lang w:val="en-US" w:eastAsia="zh-CN"/>
        </w:rPr>
        <w:t>项目区各类</w:t>
      </w:r>
      <w:r>
        <w:rPr>
          <w:rFonts w:hint="default" w:ascii="Times New Roman" w:hAnsi="Times New Roman" w:eastAsia="华文中宋" w:cs="Times New Roman"/>
          <w:b/>
          <w:szCs w:val="21"/>
          <w:lang w:val="en-US" w:eastAsia="zh-CN"/>
        </w:rPr>
        <w:t>堆场扬尘</w:t>
      </w:r>
      <w:r>
        <w:rPr>
          <w:rFonts w:hint="eastAsia" w:ascii="Times New Roman" w:hAnsi="Times New Roman" w:eastAsia="华文中宋" w:cs="Times New Roman"/>
          <w:b/>
          <w:szCs w:val="21"/>
          <w:lang w:val="en-US" w:eastAsia="zh-CN"/>
        </w:rPr>
        <w:t>排放</w:t>
      </w:r>
      <w:r>
        <w:rPr>
          <w:rFonts w:hint="default" w:ascii="Times New Roman" w:hAnsi="Times New Roman" w:eastAsia="华文中宋" w:cs="Times New Roman"/>
          <w:b/>
          <w:szCs w:val="21"/>
          <w:lang w:val="en-US" w:eastAsia="zh-CN"/>
        </w:rPr>
        <w:t>情况统计表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1268"/>
        <w:gridCol w:w="3134"/>
        <w:gridCol w:w="1382"/>
        <w:gridCol w:w="1320"/>
      </w:tblGrid>
      <w:tr w14:paraId="4AA0C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pct"/>
            <w:vMerge w:val="restart"/>
            <w:vAlign w:val="center"/>
          </w:tcPr>
          <w:p w14:paraId="02565C4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污染源</w:t>
            </w:r>
          </w:p>
        </w:tc>
        <w:tc>
          <w:tcPr>
            <w:tcW w:w="744" w:type="pct"/>
            <w:vMerge w:val="restart"/>
            <w:vAlign w:val="center"/>
          </w:tcPr>
          <w:p w14:paraId="53E3490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产生量t</w:t>
            </w:r>
          </w:p>
        </w:tc>
        <w:tc>
          <w:tcPr>
            <w:tcW w:w="1839" w:type="pct"/>
            <w:vMerge w:val="restart"/>
            <w:vAlign w:val="center"/>
          </w:tcPr>
          <w:p w14:paraId="5DB9022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控制措施</w:t>
            </w:r>
          </w:p>
        </w:tc>
        <w:tc>
          <w:tcPr>
            <w:tcW w:w="1585" w:type="pct"/>
            <w:gridSpan w:val="2"/>
            <w:vAlign w:val="center"/>
          </w:tcPr>
          <w:p w14:paraId="10294EF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排放量</w:t>
            </w:r>
          </w:p>
        </w:tc>
      </w:tr>
      <w:tr w14:paraId="64837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pct"/>
            <w:vMerge w:val="continue"/>
            <w:vAlign w:val="center"/>
          </w:tcPr>
          <w:p w14:paraId="630F9DE4">
            <w:pPr>
              <w:spacing w:line="300" w:lineRule="exact"/>
              <w:jc w:val="center"/>
              <w:rPr>
                <w:rFonts w:hint="default" w:ascii="Times New Roman" w:hAnsi="Times New Roman" w:eastAsia="华文中宋" w:cs="Times New Roman"/>
                <w:szCs w:val="21"/>
                <w:lang w:val="en-US" w:eastAsia="zh-CN"/>
              </w:rPr>
            </w:pPr>
          </w:p>
        </w:tc>
        <w:tc>
          <w:tcPr>
            <w:tcW w:w="744" w:type="pct"/>
            <w:vMerge w:val="continue"/>
            <w:vAlign w:val="center"/>
          </w:tcPr>
          <w:p w14:paraId="0137ADB0">
            <w:pPr>
              <w:spacing w:line="300" w:lineRule="exact"/>
              <w:jc w:val="center"/>
              <w:rPr>
                <w:rFonts w:hint="default" w:ascii="Times New Roman" w:hAnsi="Times New Roman" w:eastAsia="华文中宋" w:cs="Times New Roman"/>
                <w:szCs w:val="21"/>
                <w:lang w:val="en-US" w:eastAsia="zh-CN"/>
              </w:rPr>
            </w:pPr>
          </w:p>
        </w:tc>
        <w:tc>
          <w:tcPr>
            <w:tcW w:w="1839" w:type="pct"/>
            <w:vMerge w:val="continue"/>
            <w:vAlign w:val="center"/>
          </w:tcPr>
          <w:p w14:paraId="7851CD37">
            <w:pPr>
              <w:spacing w:line="300" w:lineRule="exact"/>
              <w:jc w:val="center"/>
              <w:rPr>
                <w:rFonts w:hint="default" w:ascii="Times New Roman" w:hAnsi="Times New Roman" w:eastAsia="华文中宋" w:cs="Times New Roman"/>
                <w:szCs w:val="21"/>
                <w:lang w:val="en-US" w:eastAsia="zh-CN"/>
              </w:rPr>
            </w:pPr>
          </w:p>
        </w:tc>
        <w:tc>
          <w:tcPr>
            <w:tcW w:w="811" w:type="pct"/>
            <w:shd w:val="clear" w:color="auto" w:fill="auto"/>
            <w:vAlign w:val="center"/>
          </w:tcPr>
          <w:p w14:paraId="17135FB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kg/h</w:t>
            </w:r>
          </w:p>
        </w:tc>
        <w:tc>
          <w:tcPr>
            <w:tcW w:w="774" w:type="pct"/>
            <w:shd w:val="clear" w:color="auto" w:fill="auto"/>
            <w:vAlign w:val="center"/>
          </w:tcPr>
          <w:p w14:paraId="2C4D8BF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t/a</w:t>
            </w:r>
          </w:p>
        </w:tc>
      </w:tr>
      <w:tr w14:paraId="1EF69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pct"/>
            <w:vAlign w:val="center"/>
          </w:tcPr>
          <w:p w14:paraId="4AA67C7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表土堆放场</w:t>
            </w:r>
          </w:p>
        </w:tc>
        <w:tc>
          <w:tcPr>
            <w:tcW w:w="1268" w:type="dxa"/>
            <w:vAlign w:val="center"/>
          </w:tcPr>
          <w:p w14:paraId="59CABC1D">
            <w:pPr>
              <w:spacing w:line="300" w:lineRule="exact"/>
              <w:jc w:val="center"/>
              <w:rPr>
                <w:rFonts w:hint="default" w:ascii="Times New Roman" w:hAnsi="Times New Roman" w:eastAsia="华文中宋" w:cs="Times New Roman"/>
                <w:szCs w:val="21"/>
                <w:vertAlign w:val="baseline"/>
                <w:lang w:val="en-US" w:eastAsia="zh-CN"/>
              </w:rPr>
            </w:pPr>
            <w:r>
              <w:rPr>
                <w:rFonts w:hint="eastAsia" w:ascii="Times New Roman" w:hAnsi="Times New Roman" w:eastAsia="华文中宋" w:cs="Times New Roman"/>
                <w:szCs w:val="21"/>
                <w:highlight w:val="none"/>
                <w:lang w:val="en-US" w:eastAsia="zh-CN"/>
              </w:rPr>
              <w:t>1.362</w:t>
            </w:r>
          </w:p>
        </w:tc>
        <w:tc>
          <w:tcPr>
            <w:tcW w:w="1839" w:type="pct"/>
            <w:vAlign w:val="center"/>
          </w:tcPr>
          <w:p w14:paraId="00AC764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采取洒水抑尘，排放量降低74%</w:t>
            </w:r>
          </w:p>
        </w:tc>
        <w:tc>
          <w:tcPr>
            <w:tcW w:w="811" w:type="pct"/>
            <w:vAlign w:val="center"/>
          </w:tcPr>
          <w:p w14:paraId="637CF10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0.040</w:t>
            </w:r>
          </w:p>
        </w:tc>
        <w:tc>
          <w:tcPr>
            <w:tcW w:w="774" w:type="pct"/>
            <w:vAlign w:val="center"/>
          </w:tcPr>
          <w:p w14:paraId="53778D0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0.354</w:t>
            </w:r>
          </w:p>
        </w:tc>
      </w:tr>
      <w:tr w14:paraId="52E25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pct"/>
            <w:vAlign w:val="center"/>
          </w:tcPr>
          <w:p w14:paraId="10A4ED3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废石堆放场</w:t>
            </w:r>
          </w:p>
        </w:tc>
        <w:tc>
          <w:tcPr>
            <w:tcW w:w="1268" w:type="dxa"/>
            <w:vAlign w:val="center"/>
          </w:tcPr>
          <w:p w14:paraId="183AB6C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2.958</w:t>
            </w:r>
          </w:p>
        </w:tc>
        <w:tc>
          <w:tcPr>
            <w:tcW w:w="1839" w:type="pct"/>
            <w:vAlign w:val="center"/>
          </w:tcPr>
          <w:p w14:paraId="73DAA4B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采取洒水抑尘，排放量降低74%</w:t>
            </w:r>
          </w:p>
        </w:tc>
        <w:tc>
          <w:tcPr>
            <w:tcW w:w="811" w:type="pct"/>
            <w:vAlign w:val="center"/>
          </w:tcPr>
          <w:p w14:paraId="04D2490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0.088</w:t>
            </w:r>
          </w:p>
        </w:tc>
        <w:tc>
          <w:tcPr>
            <w:tcW w:w="774" w:type="pct"/>
            <w:vAlign w:val="center"/>
          </w:tcPr>
          <w:p w14:paraId="3A8A600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0.769</w:t>
            </w:r>
          </w:p>
        </w:tc>
      </w:tr>
      <w:tr w14:paraId="30122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pct"/>
            <w:vAlign w:val="center"/>
          </w:tcPr>
          <w:p w14:paraId="0C00EE4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矿石转运场</w:t>
            </w:r>
          </w:p>
        </w:tc>
        <w:tc>
          <w:tcPr>
            <w:tcW w:w="1268" w:type="dxa"/>
            <w:vAlign w:val="center"/>
          </w:tcPr>
          <w:p w14:paraId="57BC020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1.206</w:t>
            </w:r>
          </w:p>
        </w:tc>
        <w:tc>
          <w:tcPr>
            <w:tcW w:w="1839" w:type="pct"/>
            <w:vAlign w:val="center"/>
          </w:tcPr>
          <w:p w14:paraId="4684D06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采取</w:t>
            </w:r>
            <w:r>
              <w:rPr>
                <w:rFonts w:hint="eastAsia" w:ascii="Times New Roman" w:hAnsi="Times New Roman" w:eastAsia="华文中宋" w:cs="Times New Roman"/>
                <w:szCs w:val="21"/>
                <w:lang w:val="en-US" w:eastAsia="zh-CN"/>
              </w:rPr>
              <w:t>编织覆盖及</w:t>
            </w:r>
            <w:r>
              <w:rPr>
                <w:rFonts w:hint="default" w:ascii="Times New Roman" w:hAnsi="Times New Roman" w:eastAsia="华文中宋" w:cs="Times New Roman"/>
                <w:szCs w:val="21"/>
                <w:lang w:val="en-US" w:eastAsia="zh-CN"/>
              </w:rPr>
              <w:t>洒水抑尘，排放量降低</w:t>
            </w:r>
            <w:r>
              <w:rPr>
                <w:rFonts w:hint="eastAsia" w:ascii="Times New Roman" w:hAnsi="Times New Roman" w:eastAsia="华文中宋" w:cs="Times New Roman"/>
                <w:szCs w:val="21"/>
                <w:lang w:val="en-US" w:eastAsia="zh-CN"/>
              </w:rPr>
              <w:t>96</w:t>
            </w:r>
            <w:r>
              <w:rPr>
                <w:rFonts w:hint="default" w:ascii="Times New Roman" w:hAnsi="Times New Roman" w:eastAsia="华文中宋" w:cs="Times New Roman"/>
                <w:szCs w:val="21"/>
                <w:lang w:val="en-US" w:eastAsia="zh-CN"/>
              </w:rPr>
              <w:t>%</w:t>
            </w:r>
          </w:p>
        </w:tc>
        <w:tc>
          <w:tcPr>
            <w:tcW w:w="811" w:type="pct"/>
            <w:vAlign w:val="center"/>
          </w:tcPr>
          <w:p w14:paraId="7E4F52D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0.005</w:t>
            </w:r>
          </w:p>
        </w:tc>
        <w:tc>
          <w:tcPr>
            <w:tcW w:w="774" w:type="pct"/>
            <w:vAlign w:val="center"/>
          </w:tcPr>
          <w:p w14:paraId="3D6599E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0.048</w:t>
            </w:r>
          </w:p>
        </w:tc>
      </w:tr>
    </w:tbl>
    <w:p w14:paraId="736D8D04">
      <w:pPr>
        <w:pStyle w:val="24"/>
        <w:snapToGrid w:val="0"/>
        <w:ind w:left="0" w:leftChars="0" w:firstLine="480" w:firstLineChars="200"/>
        <w:jc w:val="left"/>
        <w:rPr>
          <w:rFonts w:hint="default" w:ascii="Times New Roman" w:hAnsi="Times New Roman" w:cs="Times New Roman"/>
          <w:b w:val="0"/>
          <w:bCs w:val="0"/>
          <w:color w:val="000000"/>
          <w:szCs w:val="22"/>
          <w:highlight w:val="none"/>
          <w:lang w:val="en-US" w:eastAsia="zh-CN" w:bidi="ar"/>
        </w:rPr>
      </w:pPr>
      <w:r>
        <w:rPr>
          <w:rFonts w:hint="default" w:ascii="Times New Roman" w:hAnsi="Times New Roman" w:cs="Times New Roman"/>
          <w:color w:val="auto"/>
          <w:highlight w:val="none"/>
          <w:lang w:val="en-US" w:eastAsia="zh-CN"/>
        </w:rPr>
        <w:t>根据土壤环境质量现状监测，</w:t>
      </w:r>
      <w:r>
        <w:rPr>
          <w:rFonts w:hint="default" w:ascii="Times New Roman" w:hAnsi="Times New Roman" w:eastAsia="华文中宋" w:cs="Times New Roman"/>
          <w:color w:val="auto"/>
          <w:lang w:val="en-US" w:eastAsia="zh-CN"/>
        </w:rPr>
        <w:t>项目区内土壤中平均铅含量为16.758mg/kg</w:t>
      </w:r>
      <w:r>
        <w:rPr>
          <w:rFonts w:hint="default" w:ascii="Times New Roman" w:hAnsi="Times New Roman" w:cs="Times New Roman"/>
          <w:color w:val="auto"/>
          <w:lang w:val="en-US" w:eastAsia="zh-CN"/>
        </w:rPr>
        <w:t>，</w:t>
      </w:r>
      <w:r>
        <w:rPr>
          <w:rFonts w:hint="default" w:ascii="Times New Roman" w:hAnsi="Times New Roman" w:cs="Times New Roman"/>
          <w:b w:val="0"/>
          <w:bCs w:val="0"/>
          <w:color w:val="000000"/>
          <w:szCs w:val="22"/>
          <w:highlight w:val="none"/>
          <w:lang w:val="en-US" w:eastAsia="zh-CN" w:bidi="ar"/>
        </w:rPr>
        <w:t>因此表土堆放场扬尘中无组织颗粒物排放量为0.354t/a，排放速率为0.040kg/h；铅及其化合物大气无组织排放量为</w:t>
      </w:r>
      <w:r>
        <w:rPr>
          <w:rFonts w:hint="eastAsia" w:ascii="Times New Roman" w:hAnsi="Times New Roman" w:cs="Times New Roman"/>
          <w:b w:val="0"/>
          <w:bCs w:val="0"/>
          <w:color w:val="000000"/>
          <w:szCs w:val="22"/>
          <w:highlight w:val="none"/>
          <w:lang w:val="en-US" w:eastAsia="zh-CN" w:bidi="ar"/>
        </w:rPr>
        <w:t>5.932</w:t>
      </w:r>
      <w:r>
        <w:rPr>
          <w:rFonts w:hint="default" w:ascii="Times New Roman" w:hAnsi="Times New Roman" w:cs="Times New Roman"/>
          <w:b w:val="0"/>
          <w:bCs w:val="0"/>
          <w:color w:val="000000"/>
          <w:szCs w:val="22"/>
          <w:highlight w:val="none"/>
          <w:lang w:val="en-US" w:eastAsia="zh-CN" w:bidi="ar"/>
        </w:rPr>
        <w:t>×10</w:t>
      </w:r>
      <w:r>
        <w:rPr>
          <w:rFonts w:hint="default" w:ascii="Times New Roman" w:hAnsi="Times New Roman" w:cs="Times New Roman"/>
          <w:b w:val="0"/>
          <w:bCs w:val="0"/>
          <w:color w:val="000000"/>
          <w:szCs w:val="22"/>
          <w:highlight w:val="none"/>
          <w:vertAlign w:val="superscript"/>
          <w:lang w:val="en-US" w:eastAsia="zh-CN" w:bidi="ar"/>
        </w:rPr>
        <w:t>-6</w:t>
      </w:r>
      <w:r>
        <w:rPr>
          <w:rFonts w:hint="default" w:ascii="Times New Roman" w:hAnsi="Times New Roman" w:cs="Times New Roman"/>
          <w:b w:val="0"/>
          <w:bCs w:val="0"/>
          <w:color w:val="000000"/>
          <w:szCs w:val="22"/>
          <w:highlight w:val="none"/>
          <w:lang w:val="en-US" w:eastAsia="zh-CN" w:bidi="ar"/>
        </w:rPr>
        <w:t>t/a，排放速率为6.849×10</w:t>
      </w:r>
      <w:r>
        <w:rPr>
          <w:rFonts w:hint="default" w:ascii="Times New Roman" w:hAnsi="Times New Roman" w:cs="Times New Roman"/>
          <w:b w:val="0"/>
          <w:bCs w:val="0"/>
          <w:color w:val="000000"/>
          <w:szCs w:val="22"/>
          <w:highlight w:val="none"/>
          <w:vertAlign w:val="superscript"/>
          <w:lang w:val="en-US" w:eastAsia="zh-CN" w:bidi="ar"/>
        </w:rPr>
        <w:t>-7</w:t>
      </w:r>
      <w:r>
        <w:rPr>
          <w:rFonts w:hint="default" w:ascii="Times New Roman" w:hAnsi="Times New Roman" w:cs="Times New Roman"/>
          <w:b w:val="0"/>
          <w:bCs w:val="0"/>
          <w:color w:val="000000"/>
          <w:szCs w:val="22"/>
          <w:highlight w:val="none"/>
          <w:lang w:val="en-US" w:eastAsia="zh-CN" w:bidi="ar"/>
        </w:rPr>
        <w:t>kg/h。</w:t>
      </w:r>
    </w:p>
    <w:p w14:paraId="71A55D3C">
      <w:pPr>
        <w:pStyle w:val="24"/>
        <w:snapToGrid w:val="0"/>
        <w:ind w:left="0" w:leftChars="0" w:firstLine="480" w:firstLineChars="200"/>
        <w:jc w:val="left"/>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废石</w:t>
      </w:r>
      <w:r>
        <w:rPr>
          <w:rFonts w:hint="eastAsia" w:ascii="Times New Roman" w:hAnsi="Times New Roman" w:cs="Times New Roman"/>
          <w:color w:val="auto"/>
          <w:highlight w:val="none"/>
          <w:lang w:val="en-US" w:eastAsia="zh-CN"/>
        </w:rPr>
        <w:t>根据毒性浸出实验，铅未检出，因此废石堆放场排放扬尘均以颗粒物计，则颗粒物排放量为0.769t/a，排放速率为0.088kg/h。</w:t>
      </w:r>
    </w:p>
    <w:p w14:paraId="5C025249">
      <w:pPr>
        <w:pStyle w:val="24"/>
        <w:snapToGrid w:val="0"/>
        <w:ind w:left="0" w:leftChars="0" w:firstLine="480" w:firstLineChars="200"/>
        <w:jc w:val="left"/>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根据《民丰县万水源矿业有限责任公司新疆民丰县盼水河锑铅矿矿产资源开发利用与生态保护修复方案》，矿石中铅采出平均品位5.757%。则矿石转运场扬尘中无组织颗粒物排放量为0.045t/a，排放速率为0.005kg/h；铅及其化合物大气无组织排放量为0.003t/a，排放速率为2.957×10</w:t>
      </w:r>
      <w:r>
        <w:rPr>
          <w:rFonts w:hint="eastAsia" w:ascii="Times New Roman" w:hAnsi="Times New Roman" w:cs="Times New Roman"/>
          <w:color w:val="auto"/>
          <w:highlight w:val="none"/>
          <w:vertAlign w:val="superscript"/>
          <w:lang w:val="en-US" w:eastAsia="zh-CN"/>
        </w:rPr>
        <w:t>-4</w:t>
      </w:r>
      <w:r>
        <w:rPr>
          <w:rFonts w:hint="eastAsia" w:ascii="Times New Roman" w:hAnsi="Times New Roman" w:cs="Times New Roman"/>
          <w:color w:val="auto"/>
          <w:highlight w:val="none"/>
          <w:lang w:val="en-US" w:eastAsia="zh-CN"/>
        </w:rPr>
        <w:t>kg/h。</w:t>
      </w:r>
    </w:p>
    <w:p w14:paraId="4EC2FDF0">
      <w:pPr>
        <w:adjustRightInd w:val="0"/>
        <w:snapToGrid w:val="0"/>
        <w:spacing w:line="500" w:lineRule="exact"/>
        <w:ind w:firstLine="240" w:firstLineChars="100"/>
        <w:jc w:val="left"/>
        <w:rPr>
          <w:rFonts w:hint="default" w:ascii="Times New Roman" w:hAnsi="Times New Roman" w:eastAsia="华文中宋" w:cs="Times New Roman"/>
          <w:sz w:val="24"/>
          <w:highlight w:val="none"/>
          <w:lang w:val="en-US" w:eastAsia="zh-CN"/>
        </w:rPr>
      </w:pPr>
      <w:r>
        <w:rPr>
          <w:rFonts w:hint="eastAsia" w:ascii="Calibri" w:hAnsi="Calibri" w:eastAsia="华文中宋" w:cs="Calibri"/>
          <w:sz w:val="24"/>
          <w:highlight w:val="none"/>
          <w:lang w:val="en-US" w:eastAsia="zh-CN"/>
        </w:rPr>
        <w:t>（5）</w:t>
      </w:r>
      <w:r>
        <w:rPr>
          <w:rFonts w:hint="default" w:ascii="Times New Roman" w:hAnsi="Times New Roman" w:eastAsia="华文中宋" w:cs="Times New Roman"/>
          <w:sz w:val="24"/>
          <w:highlight w:val="none"/>
          <w:lang w:val="en-US" w:eastAsia="zh-CN"/>
        </w:rPr>
        <w:t>装卸粉尘</w:t>
      </w:r>
    </w:p>
    <w:p w14:paraId="31B96A23">
      <w:pPr>
        <w:adjustRightInd w:val="0"/>
        <w:snapToGrid w:val="0"/>
        <w:spacing w:line="500" w:lineRule="exact"/>
        <w:ind w:firstLine="480" w:firstLineChars="200"/>
        <w:jc w:val="left"/>
        <w:rPr>
          <w:rFonts w:hint="eastAsia" w:ascii="Times New Roman" w:hAnsi="Times New Roman" w:eastAsia="华文中宋" w:cs="Times New Roman"/>
          <w:sz w:val="24"/>
          <w:highlight w:val="none"/>
          <w:lang w:eastAsia="zh-CN"/>
        </w:rPr>
      </w:pPr>
      <w:r>
        <w:rPr>
          <w:rFonts w:hint="default" w:ascii="Times New Roman" w:hAnsi="Times New Roman" w:eastAsia="华文中宋" w:cs="Times New Roman"/>
          <w:sz w:val="24"/>
          <w:highlight w:val="none"/>
        </w:rPr>
        <w:t>装卸作业产生的粉尘与矿岩的相对密度、湿度以及作业环境的风速等因素有关。清华大学装卸扬尘公式计算</w:t>
      </w:r>
      <w:r>
        <w:rPr>
          <w:rFonts w:hint="eastAsia" w:ascii="Times New Roman" w:hAnsi="Times New Roman" w:eastAsia="华文中宋" w:cs="Times New Roman"/>
          <w:sz w:val="24"/>
          <w:highlight w:val="none"/>
          <w:lang w:eastAsia="zh-CN"/>
        </w:rPr>
        <w:t>：</w:t>
      </w:r>
    </w:p>
    <w:p w14:paraId="7EC22FBF">
      <w:pPr>
        <w:adjustRightInd w:val="0"/>
        <w:snapToGrid w:val="0"/>
        <w:spacing w:line="500" w:lineRule="exact"/>
        <w:ind w:firstLine="420" w:firstLineChars="200"/>
        <w:jc w:val="center"/>
        <w:rPr>
          <w:rFonts w:hint="default" w:ascii="Times New Roman" w:hAnsi="Times New Roman" w:eastAsia="华文中宋" w:cs="Times New Roman"/>
          <w:color w:val="auto"/>
          <w:vertAlign w:val="superscript"/>
          <w:lang w:val="en-US" w:eastAsia="zh-CN"/>
        </w:rPr>
      </w:pPr>
      <w:r>
        <w:rPr>
          <w:rFonts w:hint="default" w:ascii="Times New Roman" w:hAnsi="Times New Roman" w:eastAsia="华文中宋" w:cs="Times New Roman"/>
          <w:color w:val="auto"/>
          <w:lang w:val="en-US" w:eastAsia="zh-CN"/>
        </w:rPr>
        <w:t>Q=M·e</w:t>
      </w:r>
      <w:r>
        <w:rPr>
          <w:rFonts w:hint="default" w:ascii="Times New Roman" w:hAnsi="Times New Roman" w:eastAsia="华文中宋" w:cs="Times New Roman"/>
          <w:color w:val="auto"/>
          <w:vertAlign w:val="superscript"/>
          <w:lang w:val="en-US" w:eastAsia="zh-CN"/>
        </w:rPr>
        <w:t>0.64U</w:t>
      </w:r>
      <w:r>
        <w:rPr>
          <w:rFonts w:hint="default" w:ascii="Times New Roman" w:hAnsi="Times New Roman" w:eastAsia="华文中宋" w:cs="Times New Roman"/>
          <w:color w:val="auto"/>
          <w:lang w:val="en-US" w:eastAsia="zh-CN"/>
        </w:rPr>
        <w:t>·e</w:t>
      </w:r>
      <w:r>
        <w:rPr>
          <w:rFonts w:hint="default" w:ascii="Times New Roman" w:hAnsi="Times New Roman" w:eastAsia="华文中宋" w:cs="Times New Roman"/>
          <w:color w:val="auto"/>
          <w:vertAlign w:val="superscript"/>
          <w:lang w:val="en-US" w:eastAsia="zh-CN"/>
        </w:rPr>
        <w:t>-0.27W</w:t>
      </w:r>
      <w:r>
        <w:rPr>
          <w:rFonts w:hint="default" w:ascii="Times New Roman" w:hAnsi="Times New Roman" w:eastAsia="华文中宋" w:cs="Times New Roman"/>
          <w:color w:val="auto"/>
          <w:lang w:val="en-US" w:eastAsia="zh-CN"/>
        </w:rPr>
        <w:t>·H</w:t>
      </w:r>
      <w:r>
        <w:rPr>
          <w:rFonts w:hint="default" w:ascii="Times New Roman" w:hAnsi="Times New Roman" w:eastAsia="华文中宋" w:cs="Times New Roman"/>
          <w:color w:val="auto"/>
          <w:vertAlign w:val="superscript"/>
          <w:lang w:val="en-US" w:eastAsia="zh-CN"/>
        </w:rPr>
        <w:t>1.283</w:t>
      </w:r>
    </w:p>
    <w:p w14:paraId="36099407">
      <w:pPr>
        <w:pStyle w:val="24"/>
        <w:snapToGrid w:val="0"/>
        <w:ind w:firstLine="2160" w:firstLineChars="900"/>
        <w:jc w:val="left"/>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Q</w:t>
      </w:r>
      <w:r>
        <w:rPr>
          <w:rFonts w:hint="default" w:ascii="Times New Roman" w:hAnsi="Times New Roman" w:eastAsia="华文中宋" w:cs="Times New Roman"/>
          <w:color w:val="auto"/>
          <w:lang w:val="en-US" w:eastAsia="zh-CN"/>
        </w:rPr>
        <w:t>—</w:t>
      </w:r>
      <w:r>
        <w:rPr>
          <w:rFonts w:hint="eastAsia" w:ascii="Times New Roman" w:hAnsi="Times New Roman" w:cs="Times New Roman"/>
          <w:color w:val="auto"/>
          <w:lang w:val="en-US" w:eastAsia="zh-CN"/>
        </w:rPr>
        <w:t>粉尘产生量，g/次；</w:t>
      </w:r>
    </w:p>
    <w:p w14:paraId="21FC6D11">
      <w:pPr>
        <w:pStyle w:val="24"/>
        <w:snapToGrid w:val="0"/>
        <w:ind w:firstLine="2160" w:firstLineChars="90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U</w:t>
      </w:r>
      <w:r>
        <w:rPr>
          <w:rFonts w:hint="default" w:ascii="Times New Roman" w:hAnsi="Times New Roman" w:eastAsia="华文中宋" w:cs="Times New Roman"/>
          <w:color w:val="auto"/>
          <w:lang w:val="en-US" w:eastAsia="zh-CN"/>
        </w:rPr>
        <w:t>—</w:t>
      </w:r>
      <w:r>
        <w:rPr>
          <w:rFonts w:hint="eastAsia" w:ascii="Times New Roman" w:hAnsi="Times New Roman" w:cs="Times New Roman"/>
          <w:color w:val="auto"/>
          <w:lang w:val="en-US" w:eastAsia="zh-CN"/>
        </w:rPr>
        <w:t>风速</w:t>
      </w:r>
      <w:r>
        <w:rPr>
          <w:rFonts w:hint="default" w:ascii="Times New Roman" w:hAnsi="Times New Roman" w:eastAsia="华文中宋" w:cs="Times New Roman"/>
          <w:color w:val="auto"/>
          <w:lang w:val="en-US" w:eastAsia="zh-CN"/>
        </w:rPr>
        <w:t>，</w:t>
      </w:r>
      <w:r>
        <w:rPr>
          <w:rFonts w:hint="eastAsia" w:ascii="Times New Roman" w:hAnsi="Times New Roman" w:cs="Times New Roman"/>
          <w:color w:val="auto"/>
          <w:lang w:val="en-US" w:eastAsia="zh-CN"/>
        </w:rPr>
        <w:t>2.15m/s</w:t>
      </w:r>
      <w:r>
        <w:rPr>
          <w:rFonts w:hint="default" w:ascii="Times New Roman" w:hAnsi="Times New Roman" w:eastAsia="华文中宋" w:cs="Times New Roman"/>
          <w:color w:val="auto"/>
          <w:lang w:val="en-US" w:eastAsia="zh-CN"/>
        </w:rPr>
        <w:t>；</w:t>
      </w:r>
    </w:p>
    <w:p w14:paraId="0389B29B">
      <w:pPr>
        <w:pStyle w:val="24"/>
        <w:snapToGrid w:val="0"/>
        <w:ind w:firstLine="2160" w:firstLineChars="900"/>
        <w:jc w:val="left"/>
        <w:rPr>
          <w:rFonts w:hint="default" w:ascii="Times New Roman" w:hAnsi="Times New Roman" w:eastAsia="华文中宋" w:cs="Times New Roman"/>
          <w:color w:val="auto"/>
          <w:vertAlign w:val="baseline"/>
          <w:lang w:val="en-US" w:eastAsia="zh-CN"/>
        </w:rPr>
      </w:pPr>
      <w:r>
        <w:rPr>
          <w:rFonts w:hint="eastAsia" w:ascii="微软雅黑" w:hAnsi="微软雅黑" w:eastAsia="微软雅黑" w:cs="微软雅黑"/>
          <w:color w:val="auto"/>
          <w:vertAlign w:val="baseline"/>
          <w:lang w:val="en-US" w:eastAsia="zh-CN"/>
        </w:rPr>
        <w:t>W</w:t>
      </w:r>
      <w:r>
        <w:rPr>
          <w:rFonts w:hint="default" w:ascii="Times New Roman" w:hAnsi="Times New Roman" w:eastAsia="华文中宋" w:cs="Times New Roman"/>
          <w:color w:val="auto"/>
          <w:lang w:val="en-US" w:eastAsia="zh-CN"/>
        </w:rPr>
        <w:t>—</w:t>
      </w:r>
      <w:r>
        <w:rPr>
          <w:rFonts w:hint="eastAsia" w:ascii="Times New Roman" w:hAnsi="Times New Roman" w:cs="Times New Roman"/>
          <w:color w:val="auto"/>
          <w:lang w:val="en-US" w:eastAsia="zh-CN"/>
        </w:rPr>
        <w:t>物料湿度，10%</w:t>
      </w:r>
    </w:p>
    <w:p w14:paraId="762676F0">
      <w:pPr>
        <w:pStyle w:val="24"/>
        <w:snapToGrid w:val="0"/>
        <w:ind w:firstLine="2160" w:firstLineChars="90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M</w:t>
      </w:r>
      <w:r>
        <w:rPr>
          <w:rFonts w:hint="default" w:ascii="Times New Roman" w:hAnsi="Times New Roman" w:eastAsia="华文中宋" w:cs="Times New Roman"/>
          <w:color w:val="auto"/>
          <w:lang w:val="en-US" w:eastAsia="zh-CN"/>
        </w:rPr>
        <w:t>—</w:t>
      </w:r>
      <w:r>
        <w:rPr>
          <w:rFonts w:hint="eastAsia" w:ascii="Times New Roman" w:hAnsi="Times New Roman" w:cs="Times New Roman"/>
          <w:color w:val="auto"/>
          <w:lang w:val="en-US" w:eastAsia="zh-CN"/>
        </w:rPr>
        <w:t>车辆吨位，12t；</w:t>
      </w:r>
    </w:p>
    <w:p w14:paraId="78F29FD5">
      <w:pPr>
        <w:pStyle w:val="24"/>
        <w:snapToGrid w:val="0"/>
        <w:ind w:firstLine="2160" w:firstLineChars="90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H</w:t>
      </w:r>
      <w:r>
        <w:rPr>
          <w:rFonts w:hint="default" w:ascii="Times New Roman" w:hAnsi="Times New Roman" w:eastAsia="华文中宋" w:cs="Times New Roman"/>
          <w:color w:val="auto"/>
          <w:lang w:val="en-US" w:eastAsia="zh-CN"/>
        </w:rPr>
        <w:t>—</w:t>
      </w:r>
      <w:r>
        <w:rPr>
          <w:rFonts w:hint="eastAsia" w:ascii="Times New Roman" w:hAnsi="Times New Roman" w:cs="Times New Roman"/>
          <w:color w:val="auto"/>
          <w:lang w:val="en-US" w:eastAsia="zh-CN"/>
        </w:rPr>
        <w:t>装卸高度</w:t>
      </w:r>
      <w:r>
        <w:rPr>
          <w:rFonts w:hint="default" w:ascii="Times New Roman" w:hAnsi="Times New Roman" w:eastAsia="华文中宋" w:cs="Times New Roman"/>
          <w:color w:val="auto"/>
          <w:lang w:val="en-US" w:eastAsia="zh-CN"/>
        </w:rPr>
        <w:t>，</w:t>
      </w:r>
      <w:r>
        <w:rPr>
          <w:rFonts w:hint="eastAsia" w:ascii="Times New Roman" w:hAnsi="Times New Roman" w:cs="Times New Roman"/>
          <w:color w:val="auto"/>
          <w:lang w:val="en-US" w:eastAsia="zh-CN"/>
        </w:rPr>
        <w:t>1.5m</w:t>
      </w:r>
      <w:r>
        <w:rPr>
          <w:rFonts w:hint="default" w:ascii="Times New Roman" w:hAnsi="Times New Roman" w:eastAsia="华文中宋" w:cs="Times New Roman"/>
          <w:color w:val="auto"/>
          <w:lang w:val="en-US" w:eastAsia="zh-CN"/>
        </w:rPr>
        <w:t>。</w:t>
      </w:r>
    </w:p>
    <w:p w14:paraId="376EBAE2">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本项目矿石剥采量为105.6万t/a（矿石12万t，废石93.6万t），则本项目</w:t>
      </w:r>
      <w:r>
        <w:rPr>
          <w:rFonts w:hint="eastAsia" w:ascii="Times New Roman" w:hAnsi="Times New Roman" w:eastAsia="华文中宋" w:cs="Times New Roman"/>
          <w:sz w:val="24"/>
          <w:highlight w:val="none"/>
          <w:lang w:val="en-US" w:eastAsia="zh-CN"/>
        </w:rPr>
        <w:t>矿石装卸粉尘产生量为5.477t/a</w:t>
      </w:r>
      <w:r>
        <w:rPr>
          <w:rFonts w:hint="default" w:ascii="Times New Roman" w:hAnsi="Times New Roman" w:eastAsia="华文中宋" w:cs="Times New Roman"/>
          <w:sz w:val="24"/>
          <w:highlight w:val="none"/>
          <w:lang w:val="en-US" w:eastAsia="zh-CN"/>
        </w:rPr>
        <w:t>。在装卸过程中采取降低装卸高度以及洒水降尘的情况下，可减少85%的粉尘排放量，因此矿石的装卸粉尘排放量为</w:t>
      </w:r>
      <w:r>
        <w:rPr>
          <w:rFonts w:hint="eastAsia" w:ascii="Times New Roman" w:hAnsi="Times New Roman" w:eastAsia="华文中宋" w:cs="Times New Roman"/>
          <w:sz w:val="24"/>
          <w:highlight w:val="none"/>
          <w:lang w:val="en-US" w:eastAsia="zh-CN"/>
        </w:rPr>
        <w:t>0.822</w:t>
      </w:r>
      <w:r>
        <w:rPr>
          <w:rFonts w:hint="default" w:ascii="Times New Roman" w:hAnsi="Times New Roman" w:eastAsia="华文中宋" w:cs="Times New Roman"/>
          <w:sz w:val="24"/>
          <w:highlight w:val="none"/>
          <w:lang w:val="en-US" w:eastAsia="zh-CN"/>
        </w:rPr>
        <w:t>t/a</w:t>
      </w:r>
      <w:r>
        <w:rPr>
          <w:rFonts w:hint="eastAsia" w:ascii="Times New Roman" w:hAnsi="Times New Roman" w:eastAsia="华文中宋" w:cs="Times New Roman"/>
          <w:sz w:val="24"/>
          <w:highlight w:val="none"/>
          <w:lang w:val="en-US" w:eastAsia="zh-CN"/>
        </w:rPr>
        <w:t>（矿石装卸粉尘0.093t/a，废石装卸粉尘0.729t/a）</w:t>
      </w:r>
      <w:r>
        <w:rPr>
          <w:rFonts w:hint="default" w:ascii="Times New Roman" w:hAnsi="Times New Roman" w:eastAsia="华文中宋" w:cs="Times New Roman"/>
          <w:sz w:val="24"/>
          <w:highlight w:val="none"/>
          <w:lang w:val="en-US" w:eastAsia="zh-CN"/>
        </w:rPr>
        <w:t>。</w:t>
      </w:r>
    </w:p>
    <w:p w14:paraId="6AFA18A6">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eastAsia" w:ascii="Times New Roman" w:hAnsi="Times New Roman" w:eastAsia="华文中宋" w:cs="Times New Roman"/>
          <w:sz w:val="24"/>
          <w:highlight w:val="none"/>
          <w:lang w:val="en-US" w:eastAsia="zh-CN"/>
        </w:rPr>
        <w:t>根据《民丰县万水源矿业有限责任公司新疆民丰县盼水河锑铅矿矿产资源开发利用与生态保护修复方案》，该矿铅采出平均品位5.757%，</w:t>
      </w:r>
      <w:r>
        <w:rPr>
          <w:rFonts w:hint="default" w:ascii="Times New Roman" w:hAnsi="Times New Roman" w:eastAsia="华文中宋" w:cs="Times New Roman"/>
          <w:sz w:val="24"/>
          <w:highlight w:val="none"/>
          <w:lang w:val="en-US" w:eastAsia="zh-CN"/>
        </w:rPr>
        <w:t>废石</w:t>
      </w:r>
      <w:r>
        <w:rPr>
          <w:rFonts w:hint="eastAsia" w:ascii="Times New Roman" w:hAnsi="Times New Roman" w:eastAsia="华文中宋" w:cs="Times New Roman"/>
          <w:sz w:val="24"/>
          <w:highlight w:val="none"/>
          <w:lang w:val="en-US" w:eastAsia="zh-CN"/>
        </w:rPr>
        <w:t>根据毒性浸出实验，铅未检出。因此装卸粉尘中无组织颗粒物排放量为0.817t/a，排放速率为0.511kg/h；铅及其化合物大气无组织排放量为0.005t/a，排放速率为0.003kg/h。</w:t>
      </w:r>
    </w:p>
    <w:p w14:paraId="7983960A">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eastAsia" w:ascii="Calibri" w:hAnsi="Calibri" w:eastAsia="华文中宋" w:cs="Calibri"/>
          <w:sz w:val="24"/>
          <w:highlight w:val="none"/>
          <w:lang w:val="en-US" w:eastAsia="zh-CN"/>
        </w:rPr>
        <w:t>（6）</w:t>
      </w:r>
      <w:r>
        <w:rPr>
          <w:rFonts w:hint="default" w:ascii="Times New Roman" w:hAnsi="Times New Roman" w:eastAsia="华文中宋" w:cs="Times New Roman"/>
          <w:sz w:val="24"/>
          <w:highlight w:val="none"/>
          <w:lang w:val="en-US" w:eastAsia="zh-CN"/>
        </w:rPr>
        <w:t>矿石、废石运输扬尘</w:t>
      </w:r>
    </w:p>
    <w:p w14:paraId="79AD53E0">
      <w:pPr>
        <w:adjustRightInd w:val="0"/>
        <w:snapToGrid w:val="0"/>
        <w:spacing w:line="500" w:lineRule="exact"/>
        <w:ind w:firstLine="480" w:firstLineChars="200"/>
        <w:jc w:val="left"/>
        <w:rPr>
          <w:rFonts w:hint="default" w:ascii="Times New Roman" w:hAnsi="Times New Roman" w:eastAsia="华文中宋" w:cs="Times New Roman"/>
          <w:sz w:val="24"/>
        </w:rPr>
      </w:pPr>
      <w:r>
        <w:rPr>
          <w:rFonts w:hint="default" w:ascii="Times New Roman" w:hAnsi="Times New Roman" w:eastAsia="华文中宋" w:cs="Times New Roman"/>
          <w:sz w:val="24"/>
          <w:lang w:val="en-US" w:eastAsia="zh-CN"/>
        </w:rPr>
        <w:t>矿区通过简易公路将采场与</w:t>
      </w:r>
      <w:r>
        <w:rPr>
          <w:rFonts w:hint="eastAsia" w:ascii="Times New Roman" w:hAnsi="Times New Roman" w:eastAsia="华文中宋" w:cs="Times New Roman"/>
          <w:sz w:val="24"/>
          <w:lang w:val="en-US" w:eastAsia="zh-CN"/>
        </w:rPr>
        <w:t>矿石转运场、废石堆放场</w:t>
      </w:r>
      <w:r>
        <w:rPr>
          <w:rFonts w:hint="default" w:ascii="Times New Roman" w:hAnsi="Times New Roman" w:eastAsia="华文中宋" w:cs="Times New Roman"/>
          <w:sz w:val="24"/>
          <w:lang w:val="en-US" w:eastAsia="zh-CN"/>
        </w:rPr>
        <w:t>连接，道路运输扬尘量计算采用上海港环境保护中心与原武汉水运学院提出的关于汽车在有散状物料的道路上的扬尘量经验公式计算。</w:t>
      </w:r>
    </w:p>
    <w:p w14:paraId="56AB9EB2">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采用公式：Qp=0.123·(V/5)·(M/6.8)</w:t>
      </w:r>
      <w:r>
        <w:rPr>
          <w:rFonts w:hint="default" w:ascii="Times New Roman" w:hAnsi="Times New Roman" w:eastAsia="华文中宋" w:cs="Times New Roman"/>
          <w:sz w:val="24"/>
          <w:vertAlign w:val="superscript"/>
          <w:lang w:val="en-US" w:eastAsia="zh-CN"/>
        </w:rPr>
        <w:t>0.85</w:t>
      </w:r>
      <w:r>
        <w:rPr>
          <w:rFonts w:hint="default" w:ascii="Times New Roman" w:hAnsi="Times New Roman" w:eastAsia="华文中宋" w:cs="Times New Roman"/>
          <w:sz w:val="24"/>
          <w:lang w:val="en-US" w:eastAsia="zh-CN"/>
        </w:rPr>
        <w:t>·(P/0.5)</w:t>
      </w:r>
      <w:r>
        <w:rPr>
          <w:rFonts w:hint="default" w:ascii="Times New Roman" w:hAnsi="Times New Roman" w:eastAsia="华文中宋" w:cs="Times New Roman"/>
          <w:sz w:val="24"/>
          <w:vertAlign w:val="superscript"/>
          <w:lang w:val="en-US" w:eastAsia="zh-CN"/>
        </w:rPr>
        <w:t>0.72</w:t>
      </w:r>
    </w:p>
    <w:p w14:paraId="2A787B33">
      <w:pPr>
        <w:keepNext w:val="0"/>
        <w:keepLines w:val="0"/>
        <w:widowControl/>
        <w:suppressLineNumbers w:val="0"/>
        <w:spacing w:line="360" w:lineRule="auto"/>
        <w:ind w:firstLine="2160" w:firstLineChars="900"/>
        <w:jc w:val="left"/>
        <w:rPr>
          <w:rFonts w:hint="default" w:ascii="Times New Roman" w:hAnsi="Times New Roman" w:cs="Times New Roman"/>
          <w:lang w:val="en-US"/>
        </w:rPr>
      </w:pPr>
      <w:r>
        <w:rPr>
          <w:rFonts w:hint="default" w:ascii="Times New Roman" w:hAnsi="Times New Roman" w:eastAsia="宋体" w:cs="Times New Roman"/>
          <w:color w:val="000000"/>
          <w:kern w:val="0"/>
          <w:sz w:val="24"/>
          <w:szCs w:val="24"/>
          <w:lang w:val="en-US" w:eastAsia="zh-CN" w:bidi="ar"/>
        </w:rPr>
        <w:t>Q′</w:t>
      </w:r>
      <w:r>
        <w:rPr>
          <w:rFonts w:hint="default" w:ascii="Times New Roman" w:hAnsi="Times New Roman" w:eastAsia="宋体" w:cs="Times New Roman"/>
          <w:color w:val="000000"/>
          <w:kern w:val="0"/>
          <w:sz w:val="15"/>
          <w:szCs w:val="15"/>
          <w:lang w:val="en-US" w:eastAsia="zh-CN" w:bidi="ar"/>
        </w:rPr>
        <w:t>p</w:t>
      </w:r>
      <w:r>
        <w:rPr>
          <w:rFonts w:hint="default" w:ascii="Times New Roman" w:hAnsi="Times New Roman" w:eastAsia="宋体" w:cs="Times New Roman"/>
          <w:color w:val="000000"/>
          <w:kern w:val="0"/>
          <w:sz w:val="24"/>
          <w:szCs w:val="24"/>
          <w:lang w:val="en-US" w:eastAsia="zh-CN" w:bidi="ar"/>
        </w:rPr>
        <w:t>=Q</w:t>
      </w:r>
      <w:r>
        <w:rPr>
          <w:rFonts w:hint="default" w:ascii="Times New Roman" w:hAnsi="Times New Roman" w:eastAsia="宋体" w:cs="Times New Roman"/>
          <w:color w:val="000000"/>
          <w:kern w:val="0"/>
          <w:sz w:val="15"/>
          <w:szCs w:val="15"/>
          <w:lang w:val="en-US" w:eastAsia="zh-CN" w:bidi="ar"/>
        </w:rPr>
        <w:t>p</w:t>
      </w:r>
      <w:r>
        <w:rPr>
          <w:rFonts w:hint="default" w:ascii="Times New Roman" w:hAnsi="Times New Roman" w:eastAsia="宋体" w:cs="Times New Roman"/>
          <w:color w:val="000000"/>
          <w:kern w:val="0"/>
          <w:sz w:val="24"/>
          <w:szCs w:val="24"/>
          <w:lang w:val="en-US" w:eastAsia="zh-CN" w:bidi="ar"/>
        </w:rPr>
        <w:t>·L·Q/M·10</w:t>
      </w:r>
      <w:r>
        <w:rPr>
          <w:rFonts w:hint="default" w:ascii="Times New Roman" w:hAnsi="Times New Roman" w:eastAsia="宋体" w:cs="Times New Roman"/>
          <w:color w:val="000000"/>
          <w:kern w:val="0"/>
          <w:sz w:val="24"/>
          <w:szCs w:val="24"/>
          <w:vertAlign w:val="superscript"/>
          <w:lang w:val="en-US" w:eastAsia="zh-CN" w:bidi="ar"/>
        </w:rPr>
        <w:t>-3</w:t>
      </w:r>
    </w:p>
    <w:p w14:paraId="159A7E9B">
      <w:pPr>
        <w:adjustRightInd w:val="0"/>
        <w:snapToGrid w:val="0"/>
        <w:spacing w:line="500" w:lineRule="exact"/>
        <w:ind w:firstLine="480" w:firstLineChars="200"/>
        <w:jc w:val="left"/>
        <w:rPr>
          <w:rFonts w:hint="default" w:ascii="Times New Roman" w:hAnsi="Times New Roman" w:eastAsia="华文中宋" w:cs="Times New Roman"/>
          <w:sz w:val="24"/>
        </w:rPr>
      </w:pPr>
      <w:r>
        <w:rPr>
          <w:rFonts w:hint="default" w:ascii="Times New Roman" w:hAnsi="Times New Roman" w:eastAsia="华文中宋" w:cs="Times New Roman"/>
          <w:sz w:val="24"/>
          <w:lang w:val="en-US" w:eastAsia="zh-CN"/>
        </w:rPr>
        <w:t>计算参数：Qp—道路扬尘量，（kg/km·辆）；</w:t>
      </w:r>
    </w:p>
    <w:p w14:paraId="29FE903C">
      <w:pPr>
        <w:adjustRightInd w:val="0"/>
        <w:snapToGrid w:val="0"/>
        <w:spacing w:line="500" w:lineRule="exact"/>
        <w:ind w:firstLine="480" w:firstLineChars="200"/>
        <w:jc w:val="left"/>
        <w:rPr>
          <w:rFonts w:hint="default" w:ascii="Times New Roman" w:hAnsi="Times New Roman" w:eastAsia="华文中宋" w:cs="Times New Roman"/>
          <w:sz w:val="24"/>
        </w:rPr>
      </w:pPr>
      <w:r>
        <w:rPr>
          <w:rFonts w:hint="default" w:ascii="Times New Roman" w:hAnsi="Times New Roman" w:eastAsia="华文中宋" w:cs="Times New Roman"/>
          <w:sz w:val="24"/>
          <w:lang w:val="en-US" w:eastAsia="zh-CN"/>
        </w:rPr>
        <w:t>Q′p—总扬尘量，（t/a）；</w:t>
      </w:r>
    </w:p>
    <w:p w14:paraId="39996A3E">
      <w:pPr>
        <w:adjustRightInd w:val="0"/>
        <w:snapToGrid w:val="0"/>
        <w:spacing w:line="500" w:lineRule="exact"/>
        <w:ind w:firstLine="480" w:firstLineChars="200"/>
        <w:jc w:val="left"/>
        <w:rPr>
          <w:rFonts w:hint="default" w:ascii="Times New Roman" w:hAnsi="Times New Roman" w:eastAsia="华文中宋" w:cs="Times New Roman"/>
          <w:sz w:val="24"/>
        </w:rPr>
      </w:pPr>
      <w:r>
        <w:rPr>
          <w:rFonts w:hint="default" w:ascii="Times New Roman" w:hAnsi="Times New Roman" w:eastAsia="华文中宋" w:cs="Times New Roman"/>
          <w:sz w:val="24"/>
          <w:lang w:val="en-US" w:eastAsia="zh-CN"/>
        </w:rPr>
        <w:t>V—车辆速度，（20km/h）；</w:t>
      </w:r>
    </w:p>
    <w:p w14:paraId="113ADC11">
      <w:pPr>
        <w:adjustRightInd w:val="0"/>
        <w:snapToGrid w:val="0"/>
        <w:spacing w:line="500" w:lineRule="exact"/>
        <w:ind w:firstLine="480" w:firstLineChars="200"/>
        <w:jc w:val="left"/>
        <w:rPr>
          <w:rFonts w:hint="default" w:ascii="Times New Roman" w:hAnsi="Times New Roman" w:eastAsia="华文中宋" w:cs="Times New Roman"/>
          <w:sz w:val="24"/>
        </w:rPr>
      </w:pPr>
      <w:r>
        <w:rPr>
          <w:rFonts w:hint="default" w:ascii="Times New Roman" w:hAnsi="Times New Roman" w:eastAsia="华文中宋" w:cs="Times New Roman"/>
          <w:sz w:val="24"/>
          <w:lang w:val="en-US" w:eastAsia="zh-CN"/>
        </w:rPr>
        <w:t>M—车辆载重，30t/辆；</w:t>
      </w:r>
    </w:p>
    <w:p w14:paraId="3E2BC496">
      <w:pPr>
        <w:adjustRightInd w:val="0"/>
        <w:snapToGrid w:val="0"/>
        <w:spacing w:line="500" w:lineRule="exact"/>
        <w:ind w:firstLine="480" w:firstLineChars="200"/>
        <w:jc w:val="left"/>
        <w:rPr>
          <w:rFonts w:hint="default" w:ascii="Times New Roman" w:hAnsi="Times New Roman" w:eastAsia="华文中宋" w:cs="Times New Roman"/>
          <w:sz w:val="24"/>
        </w:rPr>
      </w:pPr>
      <w:r>
        <w:rPr>
          <w:rFonts w:hint="default" w:ascii="Times New Roman" w:hAnsi="Times New Roman" w:eastAsia="华文中宋" w:cs="Times New Roman"/>
          <w:sz w:val="24"/>
          <w:lang w:val="en-US" w:eastAsia="zh-CN"/>
        </w:rPr>
        <w:t>P—路面灰尘覆盖率，自然含水率状态下取0.05kg/m</w:t>
      </w:r>
      <w:r>
        <w:rPr>
          <w:rFonts w:hint="default" w:ascii="Times New Roman" w:hAnsi="Times New Roman" w:eastAsia="华文中宋" w:cs="Times New Roman"/>
          <w:sz w:val="24"/>
          <w:vertAlign w:val="superscript"/>
          <w:lang w:val="en-US" w:eastAsia="zh-CN"/>
        </w:rPr>
        <w:t>2</w:t>
      </w:r>
      <w:r>
        <w:rPr>
          <w:rFonts w:hint="default" w:ascii="Times New Roman" w:hAnsi="Times New Roman" w:eastAsia="华文中宋" w:cs="Times New Roman"/>
          <w:sz w:val="24"/>
          <w:lang w:val="en-US" w:eastAsia="zh-CN"/>
        </w:rPr>
        <w:t xml:space="preserve">； </w:t>
      </w:r>
    </w:p>
    <w:p w14:paraId="60960574">
      <w:pPr>
        <w:adjustRightInd w:val="0"/>
        <w:snapToGrid w:val="0"/>
        <w:spacing w:line="500" w:lineRule="exact"/>
        <w:ind w:firstLine="480" w:firstLineChars="200"/>
        <w:jc w:val="left"/>
        <w:rPr>
          <w:rFonts w:hint="default" w:ascii="Times New Roman" w:hAnsi="Times New Roman" w:eastAsia="华文中宋" w:cs="Times New Roman"/>
          <w:sz w:val="24"/>
        </w:rPr>
      </w:pPr>
      <w:r>
        <w:rPr>
          <w:rFonts w:hint="default" w:ascii="Times New Roman" w:hAnsi="Times New Roman" w:eastAsia="华文中宋" w:cs="Times New Roman"/>
          <w:sz w:val="24"/>
          <w:lang w:val="en-US" w:eastAsia="zh-CN"/>
        </w:rPr>
        <w:t>L—运距，（厂区内运距</w:t>
      </w:r>
      <w:r>
        <w:rPr>
          <w:rFonts w:hint="eastAsia" w:ascii="Times New Roman" w:hAnsi="Times New Roman" w:eastAsia="华文中宋" w:cs="Times New Roman"/>
          <w:sz w:val="24"/>
          <w:lang w:val="en-US" w:eastAsia="zh-CN"/>
        </w:rPr>
        <w:t>平均</w:t>
      </w:r>
      <w:r>
        <w:rPr>
          <w:rFonts w:hint="default" w:ascii="Times New Roman" w:hAnsi="Times New Roman" w:eastAsia="华文中宋" w:cs="Times New Roman"/>
          <w:sz w:val="24"/>
          <w:lang w:val="en-US" w:eastAsia="zh-CN"/>
        </w:rPr>
        <w:t>约960m）；</w:t>
      </w:r>
    </w:p>
    <w:p w14:paraId="6C416230">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Q—运输量，（原矿12万t/a，废石93.6万t/a）。</w:t>
      </w:r>
    </w:p>
    <w:p w14:paraId="548C4DA4">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矿石在厂区内运输过程中的产尘量为11.187t/a，在采取路面铺石子、道路洒水降尘、运输车辆加盖篷布、对沿线洒落物料及时清扫等措施后，可以抑制扬尘量约</w:t>
      </w:r>
      <w:r>
        <w:rPr>
          <w:rFonts w:hint="eastAsia" w:ascii="Times New Roman" w:hAnsi="Times New Roman" w:cs="Times New Roman"/>
          <w:color w:val="auto"/>
          <w:lang w:val="en-US" w:eastAsia="zh-CN"/>
        </w:rPr>
        <w:t>95</w:t>
      </w:r>
      <w:r>
        <w:rPr>
          <w:rFonts w:hint="default" w:ascii="Times New Roman" w:hAnsi="Times New Roman" w:eastAsia="华文中宋" w:cs="Times New Roman"/>
          <w:color w:val="auto"/>
          <w:lang w:val="en-US" w:eastAsia="zh-CN"/>
        </w:rPr>
        <w:t>％，采取措施后运输扬尘量为</w:t>
      </w:r>
      <w:r>
        <w:rPr>
          <w:rFonts w:hint="eastAsia" w:ascii="Times New Roman" w:hAnsi="Times New Roman" w:cs="Times New Roman"/>
          <w:color w:val="auto"/>
          <w:lang w:val="en-US" w:eastAsia="zh-CN"/>
        </w:rPr>
        <w:t>0.559</w:t>
      </w:r>
      <w:r>
        <w:rPr>
          <w:rFonts w:hint="default" w:ascii="Times New Roman" w:hAnsi="Times New Roman" w:eastAsia="华文中宋" w:cs="Times New Roman"/>
          <w:color w:val="auto"/>
          <w:lang w:val="en-US" w:eastAsia="zh-CN"/>
        </w:rPr>
        <w:t>t/a</w:t>
      </w:r>
      <w:r>
        <w:rPr>
          <w:rFonts w:hint="eastAsia" w:ascii="Times New Roman" w:hAnsi="Times New Roman" w:cs="Times New Roman"/>
          <w:color w:val="auto"/>
          <w:lang w:val="en-US" w:eastAsia="zh-CN"/>
        </w:rPr>
        <w:t>（矿石运输扬尘0.064t/a，废石运输粉尘0.495t/a）</w:t>
      </w:r>
      <w:r>
        <w:rPr>
          <w:rFonts w:hint="default" w:ascii="Times New Roman" w:hAnsi="Times New Roman" w:eastAsia="华文中宋" w:cs="Times New Roman"/>
          <w:color w:val="auto"/>
          <w:lang w:val="en-US" w:eastAsia="zh-CN"/>
        </w:rPr>
        <w:t>。</w:t>
      </w:r>
      <w:r>
        <w:rPr>
          <w:rFonts w:hint="eastAsia" w:ascii="Times New Roman" w:hAnsi="Times New Roman" w:eastAsia="华文中宋" w:cs="Times New Roman"/>
          <w:color w:val="auto"/>
          <w:lang w:val="en-US" w:eastAsia="zh-CN"/>
        </w:rPr>
        <w:t>根据《民丰县万水源矿业有限责任公司新疆民丰县盼水河锑铅矿矿产资源开发利用与生态保护修复方案》，该矿铅采出平均品位5.757%，</w:t>
      </w:r>
      <w:r>
        <w:rPr>
          <w:rFonts w:hint="default" w:ascii="Times New Roman" w:hAnsi="Times New Roman" w:eastAsia="华文中宋" w:cs="Times New Roman"/>
          <w:color w:val="auto"/>
          <w:lang w:val="en-US" w:eastAsia="zh-CN"/>
        </w:rPr>
        <w:t>废石</w:t>
      </w:r>
      <w:r>
        <w:rPr>
          <w:rFonts w:hint="eastAsia" w:ascii="Times New Roman" w:hAnsi="Times New Roman" w:eastAsia="华文中宋" w:cs="Times New Roman"/>
          <w:color w:val="auto"/>
          <w:lang w:val="en-US" w:eastAsia="zh-CN"/>
        </w:rPr>
        <w:t>根据毒性浸出实验，铅未检出。因此运输扬尘中无组织颗粒物排放量为</w:t>
      </w:r>
      <w:r>
        <w:rPr>
          <w:rFonts w:hint="eastAsia" w:ascii="Times New Roman" w:hAnsi="Times New Roman" w:cs="Times New Roman"/>
          <w:color w:val="auto"/>
          <w:lang w:val="en-US" w:eastAsia="zh-CN"/>
        </w:rPr>
        <w:t>0.555</w:t>
      </w:r>
      <w:r>
        <w:rPr>
          <w:rFonts w:hint="eastAsia" w:ascii="Times New Roman" w:hAnsi="Times New Roman" w:eastAsia="华文中宋" w:cs="Times New Roman"/>
          <w:color w:val="auto"/>
          <w:lang w:val="en-US" w:eastAsia="zh-CN"/>
        </w:rPr>
        <w:t>t/a；铅及其化合物大气无组织排放量为0.</w:t>
      </w:r>
      <w:r>
        <w:rPr>
          <w:rFonts w:hint="eastAsia" w:ascii="Times New Roman" w:hAnsi="Times New Roman" w:cs="Times New Roman"/>
          <w:color w:val="auto"/>
          <w:lang w:val="en-US" w:eastAsia="zh-CN"/>
        </w:rPr>
        <w:t>004</w:t>
      </w:r>
      <w:r>
        <w:rPr>
          <w:rFonts w:hint="eastAsia" w:ascii="Times New Roman" w:hAnsi="Times New Roman" w:eastAsia="华文中宋" w:cs="Times New Roman"/>
          <w:color w:val="auto"/>
          <w:lang w:val="en-US" w:eastAsia="zh-CN"/>
        </w:rPr>
        <w:t>t/a。</w:t>
      </w:r>
    </w:p>
    <w:p w14:paraId="021914CF">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（7）</w:t>
      </w:r>
      <w:r>
        <w:rPr>
          <w:rFonts w:hint="default" w:ascii="Times New Roman" w:hAnsi="Times New Roman" w:eastAsia="华文中宋" w:cs="Times New Roman"/>
          <w:color w:val="auto"/>
          <w:lang w:val="en-US" w:eastAsia="zh-CN"/>
        </w:rPr>
        <w:t>燃油废气</w:t>
      </w:r>
    </w:p>
    <w:p w14:paraId="7E635C4E">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矿山柴油使用主要为矿区柴油发电机</w:t>
      </w:r>
      <w:r>
        <w:rPr>
          <w:rFonts w:hint="eastAsia" w:ascii="Times New Roman" w:hAnsi="Times New Roman" w:eastAsia="华文中宋" w:cs="Times New Roman"/>
          <w:color w:val="auto"/>
          <w:lang w:val="en-US" w:eastAsia="zh-CN"/>
        </w:rPr>
        <w:t>废气以及少量</w:t>
      </w:r>
      <w:r>
        <w:rPr>
          <w:rFonts w:hint="default" w:ascii="Times New Roman" w:hAnsi="Times New Roman" w:eastAsia="华文中宋" w:cs="Times New Roman"/>
          <w:color w:val="auto"/>
          <w:lang w:val="en-US" w:eastAsia="zh-CN"/>
        </w:rPr>
        <w:t>柴油空压机及运输车辆等工程机械</w:t>
      </w:r>
      <w:r>
        <w:rPr>
          <w:rFonts w:hint="eastAsia" w:ascii="Times New Roman" w:hAnsi="Times New Roman" w:eastAsia="华文中宋" w:cs="Times New Roman"/>
          <w:color w:val="auto"/>
          <w:lang w:val="en-US" w:eastAsia="zh-CN"/>
        </w:rPr>
        <w:t>废气</w:t>
      </w:r>
      <w:r>
        <w:rPr>
          <w:rFonts w:hint="default" w:ascii="Times New Roman" w:hAnsi="Times New Roman" w:eastAsia="华文中宋" w:cs="Times New Roman"/>
          <w:color w:val="auto"/>
          <w:lang w:val="en-US" w:eastAsia="zh-CN"/>
        </w:rPr>
        <w:t>，矿山日燃油量4.02吨，年用油量为803.76吨</w:t>
      </w:r>
      <w:r>
        <w:rPr>
          <w:rFonts w:hint="eastAsia" w:ascii="Times New Roman" w:hAnsi="Times New Roman" w:eastAsia="华文中宋" w:cs="Times New Roman"/>
          <w:color w:val="auto"/>
          <w:lang w:val="en-US" w:eastAsia="zh-CN"/>
        </w:rPr>
        <w:t>（945.222m</w:t>
      </w:r>
      <w:r>
        <w:rPr>
          <w:rFonts w:hint="eastAsia" w:ascii="Times New Roman" w:hAnsi="Times New Roman" w:eastAsia="华文中宋" w:cs="Times New Roman"/>
          <w:color w:val="auto"/>
          <w:vertAlign w:val="superscript"/>
          <w:lang w:val="en-US" w:eastAsia="zh-CN"/>
        </w:rPr>
        <w:t>3</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/年。</w:t>
      </w:r>
      <w:r>
        <w:rPr>
          <w:rFonts w:hint="eastAsia" w:ascii="Times New Roman" w:hAnsi="Times New Roman" w:eastAsia="华文中宋" w:cs="Times New Roman"/>
          <w:color w:val="auto"/>
          <w:lang w:val="en-US" w:eastAsia="zh-CN"/>
        </w:rPr>
        <w:t>根据《环评工程师注册培训教材—社会区域》给出的计算参数：柴油发电机运行污染物排放系数为：SO</w:t>
      </w:r>
      <w:r>
        <w:rPr>
          <w:rFonts w:hint="eastAsia" w:ascii="Times New Roman" w:hAnsi="Times New Roman" w:cs="Times New Roman"/>
          <w:color w:val="auto"/>
          <w:vertAlign w:val="subscript"/>
          <w:lang w:val="en-US" w:eastAsia="zh-CN"/>
        </w:rPr>
        <w:t>2</w:t>
      </w:r>
      <w:r>
        <w:rPr>
          <w:rFonts w:hint="eastAsia" w:ascii="Times New Roman" w:hAnsi="Times New Roman" w:eastAsia="华文中宋" w:cs="Times New Roman"/>
          <w:color w:val="auto"/>
          <w:lang w:val="en-US" w:eastAsia="zh-CN"/>
        </w:rPr>
        <w:t>：4g/L，烟尘：0.714g/L，NOx：2.56g/L。</w:t>
      </w:r>
    </w:p>
    <w:p w14:paraId="4A50F785">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废气污染物产生情况见表3.2-</w:t>
      </w:r>
      <w:r>
        <w:rPr>
          <w:rFonts w:hint="eastAsia" w:ascii="Times New Roman" w:hAnsi="Times New Roman" w:eastAsia="华文中宋" w:cs="Times New Roman"/>
          <w:color w:val="auto"/>
          <w:lang w:val="en-US" w:eastAsia="zh-CN"/>
        </w:rPr>
        <w:t>6</w:t>
      </w:r>
      <w:r>
        <w:rPr>
          <w:rFonts w:hint="default" w:ascii="Times New Roman" w:hAnsi="Times New Roman" w:eastAsia="华文中宋" w:cs="Times New Roman"/>
          <w:color w:val="auto"/>
          <w:lang w:val="en-US" w:eastAsia="zh-CN"/>
        </w:rPr>
        <w:t>。</w:t>
      </w:r>
    </w:p>
    <w:p w14:paraId="6156FBCF">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eastAsia="zh-CN"/>
        </w:rPr>
        <w:t>表</w:t>
      </w:r>
      <w:r>
        <w:rPr>
          <w:rFonts w:hint="default" w:ascii="Times New Roman" w:hAnsi="Times New Roman" w:eastAsia="华文中宋" w:cs="Times New Roman"/>
          <w:b/>
          <w:szCs w:val="21"/>
          <w:lang w:val="en-US" w:eastAsia="zh-CN"/>
        </w:rPr>
        <w:t>3.2-</w:t>
      </w:r>
      <w:r>
        <w:rPr>
          <w:rFonts w:hint="eastAsia" w:ascii="Times New Roman" w:hAnsi="Times New Roman" w:eastAsia="华文中宋" w:cs="Times New Roman"/>
          <w:b/>
          <w:szCs w:val="21"/>
          <w:lang w:val="en-US" w:eastAsia="zh-CN"/>
        </w:rPr>
        <w:t>6</w:t>
      </w:r>
      <w:r>
        <w:rPr>
          <w:rFonts w:hint="default" w:ascii="Times New Roman" w:hAnsi="Times New Roman" w:eastAsia="华文中宋" w:cs="Times New Roman"/>
          <w:b/>
          <w:szCs w:val="21"/>
          <w:lang w:val="en-US" w:eastAsia="zh-CN"/>
        </w:rPr>
        <w:t xml:space="preserve">  柴油燃烧废气污染物产生一览表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4258"/>
        <w:gridCol w:w="4258"/>
      </w:tblGrid>
      <w:tr w14:paraId="289A642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4258" w:type="dxa"/>
            <w:tcBorders>
              <w:tl2br w:val="nil"/>
              <w:tr2bl w:val="nil"/>
            </w:tcBorders>
            <w:vAlign w:val="top"/>
          </w:tcPr>
          <w:p w14:paraId="4ADB61E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污染物名称</w:t>
            </w:r>
          </w:p>
        </w:tc>
        <w:tc>
          <w:tcPr>
            <w:tcW w:w="4258" w:type="dxa"/>
            <w:tcBorders>
              <w:tl2br w:val="nil"/>
              <w:tr2bl w:val="nil"/>
            </w:tcBorders>
            <w:vAlign w:val="top"/>
          </w:tcPr>
          <w:p w14:paraId="49C0F87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产生量（t/a）</w:t>
            </w:r>
          </w:p>
        </w:tc>
      </w:tr>
      <w:tr w14:paraId="727712E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4258" w:type="dxa"/>
            <w:tcBorders>
              <w:tl2br w:val="nil"/>
              <w:tr2bl w:val="nil"/>
            </w:tcBorders>
            <w:vAlign w:val="top"/>
          </w:tcPr>
          <w:p w14:paraId="31F9116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NOx</w:t>
            </w:r>
          </w:p>
        </w:tc>
        <w:tc>
          <w:tcPr>
            <w:tcW w:w="4258" w:type="dxa"/>
            <w:tcBorders>
              <w:tl2br w:val="nil"/>
              <w:tr2bl w:val="nil"/>
            </w:tcBorders>
            <w:vAlign w:val="top"/>
          </w:tcPr>
          <w:p w14:paraId="6F546E6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2.420</w:t>
            </w:r>
          </w:p>
        </w:tc>
      </w:tr>
      <w:tr w14:paraId="0B96FB0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4258" w:type="dxa"/>
            <w:tcBorders>
              <w:tl2br w:val="nil"/>
              <w:tr2bl w:val="nil"/>
            </w:tcBorders>
            <w:vAlign w:val="top"/>
          </w:tcPr>
          <w:p w14:paraId="6CD9E12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烟尘</w:t>
            </w:r>
          </w:p>
        </w:tc>
        <w:tc>
          <w:tcPr>
            <w:tcW w:w="4258" w:type="dxa"/>
            <w:tcBorders>
              <w:tl2br w:val="nil"/>
              <w:tr2bl w:val="nil"/>
            </w:tcBorders>
            <w:vAlign w:val="top"/>
          </w:tcPr>
          <w:p w14:paraId="63BBBF37">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0.675</w:t>
            </w:r>
          </w:p>
        </w:tc>
      </w:tr>
      <w:tr w14:paraId="5DBDE0D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4258" w:type="dxa"/>
            <w:tcBorders>
              <w:tl2br w:val="nil"/>
              <w:tr2bl w:val="nil"/>
            </w:tcBorders>
            <w:vAlign w:val="top"/>
          </w:tcPr>
          <w:p w14:paraId="2BA549F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SO</w:t>
            </w:r>
            <w:r>
              <w:rPr>
                <w:rFonts w:hint="default" w:ascii="Times New Roman" w:hAnsi="Times New Roman" w:eastAsia="华文中宋" w:cs="Times New Roman"/>
                <w:szCs w:val="21"/>
                <w:vertAlign w:val="subscript"/>
                <w:lang w:val="en-US" w:eastAsia="zh-CN"/>
              </w:rPr>
              <w:t>2</w:t>
            </w:r>
          </w:p>
        </w:tc>
        <w:tc>
          <w:tcPr>
            <w:tcW w:w="4258" w:type="dxa"/>
            <w:tcBorders>
              <w:tl2br w:val="nil"/>
              <w:tr2bl w:val="nil"/>
            </w:tcBorders>
            <w:vAlign w:val="top"/>
          </w:tcPr>
          <w:p w14:paraId="29DCC52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w:t>
            </w:r>
            <w:r>
              <w:rPr>
                <w:rFonts w:hint="eastAsia" w:ascii="Times New Roman" w:hAnsi="Times New Roman" w:eastAsia="华文中宋" w:cs="Times New Roman"/>
                <w:szCs w:val="21"/>
                <w:lang w:val="en-US" w:eastAsia="zh-CN"/>
              </w:rPr>
              <w:t>781</w:t>
            </w:r>
          </w:p>
        </w:tc>
      </w:tr>
    </w:tbl>
    <w:p w14:paraId="47FBED2D">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（8）</w:t>
      </w:r>
      <w:r>
        <w:rPr>
          <w:rFonts w:hint="default" w:ascii="Times New Roman" w:hAnsi="Times New Roman" w:eastAsia="华文中宋" w:cs="Times New Roman"/>
          <w:color w:val="auto"/>
          <w:lang w:val="en-US" w:eastAsia="zh-CN"/>
        </w:rPr>
        <w:t>食堂油烟</w:t>
      </w:r>
    </w:p>
    <w:p w14:paraId="2D8B7545">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本项目采场生活设施，食堂采用电磁炉，食物在烹饪、加工过程中将挥发出油脂、有机质及热分解或裂解产物，从而产生油烟废气。按人均食用油日用量约30g/人·d，一般油烟挥发量占总耗油量的2%～4%，根据相关经验系数本项目按2.84%计算，职工有50人，年工作200d。食用油消耗及油烟废气排放情况见表3.2-</w:t>
      </w:r>
      <w:r>
        <w:rPr>
          <w:rFonts w:hint="eastAsia" w:ascii="Times New Roman" w:hAnsi="Times New Roman" w:cs="Times New Roman"/>
          <w:color w:val="auto"/>
          <w:lang w:val="en-US" w:eastAsia="zh-CN"/>
        </w:rPr>
        <w:t>7</w:t>
      </w:r>
      <w:r>
        <w:rPr>
          <w:rFonts w:hint="default" w:ascii="Times New Roman" w:hAnsi="Times New Roman" w:eastAsia="华文中宋" w:cs="Times New Roman"/>
          <w:color w:val="auto"/>
          <w:lang w:val="en-US" w:eastAsia="zh-CN"/>
        </w:rPr>
        <w:t>。</w:t>
      </w:r>
    </w:p>
    <w:p w14:paraId="75B6DC42">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eastAsia="zh-CN"/>
        </w:rPr>
        <w:t>表</w:t>
      </w:r>
      <w:r>
        <w:rPr>
          <w:rFonts w:hint="default" w:ascii="Times New Roman" w:hAnsi="Times New Roman" w:eastAsia="华文中宋" w:cs="Times New Roman"/>
          <w:b/>
          <w:szCs w:val="21"/>
          <w:lang w:val="en-US" w:eastAsia="zh-CN"/>
        </w:rPr>
        <w:t>3.2-</w:t>
      </w:r>
      <w:r>
        <w:rPr>
          <w:rFonts w:hint="eastAsia" w:ascii="Times New Roman" w:hAnsi="Times New Roman" w:eastAsia="华文中宋" w:cs="Times New Roman"/>
          <w:b/>
          <w:szCs w:val="21"/>
          <w:lang w:val="en-US" w:eastAsia="zh-CN"/>
        </w:rPr>
        <w:t>7</w:t>
      </w:r>
      <w:r>
        <w:rPr>
          <w:rFonts w:hint="default" w:ascii="Times New Roman" w:hAnsi="Times New Roman" w:eastAsia="华文中宋" w:cs="Times New Roman"/>
          <w:b/>
          <w:szCs w:val="21"/>
          <w:lang w:val="en-US" w:eastAsia="zh-CN"/>
        </w:rPr>
        <w:t xml:space="preserve">  食用油消耗和油烟废气产生情况</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074"/>
        <w:gridCol w:w="1395"/>
        <w:gridCol w:w="1806"/>
        <w:gridCol w:w="1513"/>
        <w:gridCol w:w="2550"/>
      </w:tblGrid>
      <w:tr w14:paraId="2DF1D5B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1074" w:type="dxa"/>
            <w:tcBorders>
              <w:tl2br w:val="nil"/>
              <w:tr2bl w:val="nil"/>
            </w:tcBorders>
            <w:vAlign w:val="center"/>
          </w:tcPr>
          <w:p w14:paraId="048C44C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类型</w:t>
            </w:r>
          </w:p>
        </w:tc>
        <w:tc>
          <w:tcPr>
            <w:tcW w:w="1395" w:type="dxa"/>
            <w:tcBorders>
              <w:tl2br w:val="nil"/>
              <w:tr2bl w:val="nil"/>
            </w:tcBorders>
            <w:vAlign w:val="center"/>
          </w:tcPr>
          <w:p w14:paraId="797B52E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规模</w:t>
            </w:r>
          </w:p>
        </w:tc>
        <w:tc>
          <w:tcPr>
            <w:tcW w:w="1806" w:type="dxa"/>
            <w:tcBorders>
              <w:tl2br w:val="nil"/>
              <w:tr2bl w:val="nil"/>
            </w:tcBorders>
            <w:vAlign w:val="center"/>
          </w:tcPr>
          <w:p w14:paraId="457EEFC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耗油量（t/a）</w:t>
            </w:r>
          </w:p>
        </w:tc>
        <w:tc>
          <w:tcPr>
            <w:tcW w:w="1513" w:type="dxa"/>
            <w:tcBorders>
              <w:tl2br w:val="nil"/>
              <w:tr2bl w:val="nil"/>
            </w:tcBorders>
            <w:vAlign w:val="center"/>
          </w:tcPr>
          <w:p w14:paraId="78AB23C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油烟挥发系数</w:t>
            </w:r>
          </w:p>
        </w:tc>
        <w:tc>
          <w:tcPr>
            <w:tcW w:w="2550" w:type="dxa"/>
            <w:tcBorders>
              <w:tl2br w:val="nil"/>
              <w:tr2bl w:val="nil"/>
            </w:tcBorders>
            <w:vAlign w:val="center"/>
          </w:tcPr>
          <w:p w14:paraId="6692ECC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油烟产生量（t/a）</w:t>
            </w:r>
          </w:p>
        </w:tc>
      </w:tr>
      <w:tr w14:paraId="5FA336C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1074" w:type="dxa"/>
            <w:tcBorders>
              <w:tl2br w:val="nil"/>
              <w:tr2bl w:val="nil"/>
            </w:tcBorders>
            <w:vAlign w:val="center"/>
          </w:tcPr>
          <w:p w14:paraId="26BAA46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职工食堂</w:t>
            </w:r>
          </w:p>
        </w:tc>
        <w:tc>
          <w:tcPr>
            <w:tcW w:w="1395" w:type="dxa"/>
            <w:tcBorders>
              <w:tl2br w:val="nil"/>
              <w:tr2bl w:val="nil"/>
            </w:tcBorders>
            <w:vAlign w:val="center"/>
          </w:tcPr>
          <w:p w14:paraId="5E912D5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50</w:t>
            </w:r>
            <w:r>
              <w:rPr>
                <w:rFonts w:hint="default" w:ascii="Times New Roman" w:hAnsi="Times New Roman" w:eastAsia="华文中宋" w:cs="Times New Roman"/>
                <w:szCs w:val="21"/>
                <w:lang w:val="en-US" w:eastAsia="zh-CN"/>
              </w:rPr>
              <w:t>人</w:t>
            </w:r>
          </w:p>
        </w:tc>
        <w:tc>
          <w:tcPr>
            <w:tcW w:w="1806" w:type="dxa"/>
            <w:tcBorders>
              <w:tl2br w:val="nil"/>
              <w:tr2bl w:val="nil"/>
            </w:tcBorders>
            <w:vAlign w:val="center"/>
          </w:tcPr>
          <w:p w14:paraId="3B4EE0C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0.3</w:t>
            </w:r>
          </w:p>
        </w:tc>
        <w:tc>
          <w:tcPr>
            <w:tcW w:w="1513" w:type="dxa"/>
            <w:tcBorders>
              <w:tl2br w:val="nil"/>
              <w:tr2bl w:val="nil"/>
            </w:tcBorders>
            <w:vAlign w:val="center"/>
          </w:tcPr>
          <w:p w14:paraId="469D855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2.84%</w:t>
            </w:r>
          </w:p>
        </w:tc>
        <w:tc>
          <w:tcPr>
            <w:tcW w:w="2550" w:type="dxa"/>
            <w:tcBorders>
              <w:tl2br w:val="nil"/>
              <w:tr2bl w:val="nil"/>
            </w:tcBorders>
            <w:vAlign w:val="center"/>
          </w:tcPr>
          <w:p w14:paraId="1226E3C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0.0085</w:t>
            </w:r>
          </w:p>
        </w:tc>
      </w:tr>
    </w:tbl>
    <w:p w14:paraId="65740E91">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综上，本项目大气污染物产生及排放量见表3.</w:t>
      </w:r>
      <w:r>
        <w:rPr>
          <w:rFonts w:hint="eastAsia" w:ascii="Times New Roman" w:hAnsi="Times New Roman" w:cs="Times New Roman"/>
          <w:color w:val="auto"/>
          <w:lang w:val="en-US" w:eastAsia="zh-CN"/>
        </w:rPr>
        <w:t>2</w:t>
      </w:r>
      <w:r>
        <w:rPr>
          <w:rFonts w:hint="default" w:ascii="Times New Roman" w:hAnsi="Times New Roman" w:eastAsia="华文中宋" w:cs="Times New Roman"/>
          <w:color w:val="auto"/>
          <w:lang w:val="en-US" w:eastAsia="zh-CN"/>
        </w:rPr>
        <w:t>-</w:t>
      </w:r>
      <w:r>
        <w:rPr>
          <w:rFonts w:hint="eastAsia" w:ascii="Times New Roman" w:hAnsi="Times New Roman" w:cs="Times New Roman"/>
          <w:color w:val="auto"/>
          <w:lang w:val="en-US" w:eastAsia="zh-CN"/>
        </w:rPr>
        <w:t>8</w:t>
      </w:r>
      <w:r>
        <w:rPr>
          <w:rFonts w:hint="default" w:ascii="Times New Roman" w:hAnsi="Times New Roman" w:eastAsia="华文中宋" w:cs="Times New Roman"/>
          <w:color w:val="auto"/>
          <w:lang w:val="en-US" w:eastAsia="zh-CN"/>
        </w:rPr>
        <w:t>。</w:t>
      </w:r>
    </w:p>
    <w:p w14:paraId="6EE34F4F">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rPr>
        <w:t>表</w:t>
      </w:r>
      <w:r>
        <w:rPr>
          <w:rFonts w:hint="default" w:ascii="Times New Roman" w:hAnsi="Times New Roman" w:eastAsia="华文中宋" w:cs="Times New Roman"/>
          <w:b/>
          <w:szCs w:val="21"/>
          <w:lang w:val="en-US" w:eastAsia="zh-CN"/>
        </w:rPr>
        <w:t>3.2-</w:t>
      </w:r>
      <w:r>
        <w:rPr>
          <w:rFonts w:hint="eastAsia" w:ascii="Times New Roman" w:hAnsi="Times New Roman" w:eastAsia="华文中宋" w:cs="Times New Roman"/>
          <w:b/>
          <w:szCs w:val="21"/>
          <w:lang w:val="en-US" w:eastAsia="zh-CN"/>
        </w:rPr>
        <w:t>8</w:t>
      </w:r>
      <w:r>
        <w:rPr>
          <w:rFonts w:hint="default" w:ascii="Times New Roman" w:hAnsi="Times New Roman" w:eastAsia="华文中宋" w:cs="Times New Roman"/>
          <w:b/>
          <w:szCs w:val="21"/>
          <w:lang w:val="en-US" w:eastAsia="zh-CN"/>
        </w:rPr>
        <w:t xml:space="preserve">  </w:t>
      </w:r>
      <w:r>
        <w:rPr>
          <w:rFonts w:hint="default" w:ascii="Times New Roman" w:hAnsi="Times New Roman" w:eastAsia="华文中宋" w:cs="Times New Roman"/>
          <w:b/>
          <w:szCs w:val="21"/>
          <w:lang w:eastAsia="zh-CN"/>
        </w:rPr>
        <w:t>本项目大气污染物</w:t>
      </w:r>
      <w:r>
        <w:rPr>
          <w:rFonts w:hint="default" w:ascii="Times New Roman" w:hAnsi="Times New Roman" w:eastAsia="华文中宋" w:cs="Times New Roman"/>
          <w:b/>
          <w:szCs w:val="21"/>
        </w:rPr>
        <w:t>产生及排放</w:t>
      </w:r>
      <w:r>
        <w:rPr>
          <w:rFonts w:hint="default" w:ascii="Times New Roman" w:hAnsi="Times New Roman" w:eastAsia="华文中宋" w:cs="Times New Roman"/>
          <w:b/>
          <w:szCs w:val="21"/>
          <w:lang w:eastAsia="zh-CN"/>
        </w:rPr>
        <w:t>量表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108"/>
        <w:gridCol w:w="933"/>
        <w:gridCol w:w="1064"/>
        <w:gridCol w:w="3060"/>
        <w:gridCol w:w="1231"/>
        <w:gridCol w:w="1126"/>
      </w:tblGrid>
      <w:tr w14:paraId="7C758EF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1108" w:type="dxa"/>
            <w:vMerge w:val="restart"/>
            <w:tcBorders>
              <w:tl2br w:val="nil"/>
              <w:tr2bl w:val="nil"/>
            </w:tcBorders>
            <w:vAlign w:val="center"/>
          </w:tcPr>
          <w:p w14:paraId="20A3B066">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污染源</w:t>
            </w:r>
          </w:p>
        </w:tc>
        <w:tc>
          <w:tcPr>
            <w:tcW w:w="933" w:type="dxa"/>
            <w:vMerge w:val="restart"/>
            <w:tcBorders>
              <w:tl2br w:val="nil"/>
              <w:tr2bl w:val="nil"/>
            </w:tcBorders>
            <w:vAlign w:val="center"/>
          </w:tcPr>
          <w:p w14:paraId="2459A580">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污染物</w:t>
            </w:r>
          </w:p>
        </w:tc>
        <w:tc>
          <w:tcPr>
            <w:tcW w:w="1064" w:type="dxa"/>
            <w:vMerge w:val="restart"/>
            <w:tcBorders>
              <w:tl2br w:val="nil"/>
              <w:tr2bl w:val="nil"/>
            </w:tcBorders>
            <w:vAlign w:val="center"/>
          </w:tcPr>
          <w:p w14:paraId="0A4A4331">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污染物产生量（</w:t>
            </w:r>
            <w:r>
              <w:rPr>
                <w:rFonts w:hint="default" w:ascii="Times New Roman" w:hAnsi="Times New Roman" w:eastAsia="华文中宋" w:cs="Times New Roman"/>
                <w:szCs w:val="21"/>
                <w:lang w:val="en-US" w:eastAsia="zh-CN"/>
              </w:rPr>
              <w:t>t/a</w:t>
            </w:r>
            <w:r>
              <w:rPr>
                <w:rFonts w:hint="default" w:ascii="Times New Roman" w:hAnsi="Times New Roman" w:eastAsia="华文中宋" w:cs="Times New Roman"/>
                <w:szCs w:val="21"/>
                <w:lang w:eastAsia="zh-CN"/>
              </w:rPr>
              <w:t>）</w:t>
            </w:r>
          </w:p>
        </w:tc>
        <w:tc>
          <w:tcPr>
            <w:tcW w:w="4291" w:type="dxa"/>
            <w:gridSpan w:val="2"/>
            <w:tcBorders>
              <w:tl2br w:val="nil"/>
              <w:tr2bl w:val="nil"/>
            </w:tcBorders>
            <w:vAlign w:val="center"/>
          </w:tcPr>
          <w:p w14:paraId="5767715E">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大气治理</w:t>
            </w:r>
          </w:p>
        </w:tc>
        <w:tc>
          <w:tcPr>
            <w:tcW w:w="0" w:type="auto"/>
            <w:vMerge w:val="restart"/>
            <w:tcBorders>
              <w:tl2br w:val="nil"/>
              <w:tr2bl w:val="nil"/>
            </w:tcBorders>
            <w:vAlign w:val="center"/>
          </w:tcPr>
          <w:p w14:paraId="17FCD1C8">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污染物排放量（</w:t>
            </w:r>
            <w:r>
              <w:rPr>
                <w:rFonts w:hint="default" w:ascii="Times New Roman" w:hAnsi="Times New Roman" w:eastAsia="华文中宋" w:cs="Times New Roman"/>
                <w:szCs w:val="21"/>
                <w:lang w:val="en-US" w:eastAsia="zh-CN"/>
              </w:rPr>
              <w:t>t/a</w:t>
            </w:r>
            <w:r>
              <w:rPr>
                <w:rFonts w:hint="default" w:ascii="Times New Roman" w:hAnsi="Times New Roman" w:eastAsia="华文中宋" w:cs="Times New Roman"/>
                <w:szCs w:val="21"/>
                <w:lang w:eastAsia="zh-CN"/>
              </w:rPr>
              <w:t>）</w:t>
            </w:r>
          </w:p>
        </w:tc>
      </w:tr>
      <w:tr w14:paraId="44F86DC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1108" w:type="dxa"/>
            <w:vMerge w:val="continue"/>
            <w:tcBorders>
              <w:tl2br w:val="nil"/>
              <w:tr2bl w:val="nil"/>
            </w:tcBorders>
            <w:vAlign w:val="center"/>
          </w:tcPr>
          <w:p w14:paraId="3C8B3E4E">
            <w:pPr>
              <w:spacing w:line="300" w:lineRule="exact"/>
              <w:jc w:val="center"/>
              <w:rPr>
                <w:rFonts w:hint="default" w:ascii="Times New Roman" w:hAnsi="Times New Roman" w:eastAsia="华文中宋" w:cs="Times New Roman"/>
                <w:szCs w:val="21"/>
              </w:rPr>
            </w:pPr>
          </w:p>
        </w:tc>
        <w:tc>
          <w:tcPr>
            <w:tcW w:w="933" w:type="dxa"/>
            <w:vMerge w:val="continue"/>
            <w:tcBorders>
              <w:tl2br w:val="nil"/>
              <w:tr2bl w:val="nil"/>
            </w:tcBorders>
            <w:vAlign w:val="center"/>
          </w:tcPr>
          <w:p w14:paraId="12FDD096">
            <w:pPr>
              <w:spacing w:line="300" w:lineRule="exact"/>
              <w:jc w:val="center"/>
              <w:rPr>
                <w:rFonts w:hint="default" w:ascii="Times New Roman" w:hAnsi="Times New Roman" w:eastAsia="华文中宋" w:cs="Times New Roman"/>
                <w:szCs w:val="21"/>
              </w:rPr>
            </w:pPr>
          </w:p>
        </w:tc>
        <w:tc>
          <w:tcPr>
            <w:tcW w:w="1064" w:type="dxa"/>
            <w:vMerge w:val="continue"/>
            <w:tcBorders>
              <w:tl2br w:val="nil"/>
              <w:tr2bl w:val="nil"/>
            </w:tcBorders>
            <w:vAlign w:val="center"/>
          </w:tcPr>
          <w:p w14:paraId="01ACB9BB">
            <w:pPr>
              <w:spacing w:line="300" w:lineRule="exact"/>
              <w:jc w:val="center"/>
              <w:rPr>
                <w:rFonts w:hint="default" w:ascii="Times New Roman" w:hAnsi="Times New Roman" w:eastAsia="华文中宋" w:cs="Times New Roman"/>
                <w:szCs w:val="21"/>
              </w:rPr>
            </w:pPr>
          </w:p>
        </w:tc>
        <w:tc>
          <w:tcPr>
            <w:tcW w:w="3060" w:type="dxa"/>
            <w:tcBorders>
              <w:tl2br w:val="nil"/>
              <w:tr2bl w:val="nil"/>
            </w:tcBorders>
            <w:vAlign w:val="center"/>
          </w:tcPr>
          <w:p w14:paraId="748652E7">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工艺</w:t>
            </w:r>
          </w:p>
        </w:tc>
        <w:tc>
          <w:tcPr>
            <w:tcW w:w="0" w:type="auto"/>
            <w:tcBorders>
              <w:tl2br w:val="nil"/>
              <w:tr2bl w:val="nil"/>
            </w:tcBorders>
            <w:vAlign w:val="center"/>
          </w:tcPr>
          <w:p w14:paraId="3FEE9935">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效率（</w:t>
            </w:r>
            <w:r>
              <w:rPr>
                <w:rFonts w:hint="default" w:ascii="Times New Roman" w:hAnsi="Times New Roman" w:eastAsia="华文中宋" w:cs="Times New Roman"/>
                <w:szCs w:val="21"/>
                <w:lang w:val="en-US" w:eastAsia="zh-CN"/>
              </w:rPr>
              <w:t>%</w:t>
            </w:r>
            <w:r>
              <w:rPr>
                <w:rFonts w:hint="default" w:ascii="Times New Roman" w:hAnsi="Times New Roman" w:eastAsia="华文中宋" w:cs="Times New Roman"/>
                <w:szCs w:val="21"/>
                <w:lang w:eastAsia="zh-CN"/>
              </w:rPr>
              <w:t>）</w:t>
            </w:r>
          </w:p>
        </w:tc>
        <w:tc>
          <w:tcPr>
            <w:tcW w:w="0" w:type="auto"/>
            <w:vMerge w:val="continue"/>
            <w:tcBorders>
              <w:tl2br w:val="nil"/>
              <w:tr2bl w:val="nil"/>
            </w:tcBorders>
            <w:vAlign w:val="center"/>
          </w:tcPr>
          <w:p w14:paraId="4A1CB3CC">
            <w:pPr>
              <w:spacing w:line="300" w:lineRule="exact"/>
              <w:jc w:val="center"/>
              <w:rPr>
                <w:rFonts w:hint="default" w:ascii="Times New Roman" w:hAnsi="Times New Roman" w:eastAsia="华文中宋" w:cs="Times New Roman"/>
                <w:szCs w:val="21"/>
              </w:rPr>
            </w:pPr>
          </w:p>
        </w:tc>
      </w:tr>
      <w:tr w14:paraId="156633A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78" w:hRule="atLeast"/>
        </w:trPr>
        <w:tc>
          <w:tcPr>
            <w:tcW w:w="1108" w:type="dxa"/>
            <w:vMerge w:val="restart"/>
            <w:tcBorders>
              <w:tl2br w:val="nil"/>
              <w:tr2bl w:val="nil"/>
            </w:tcBorders>
            <w:shd w:val="clear" w:color="auto" w:fill="auto"/>
            <w:vAlign w:val="center"/>
          </w:tcPr>
          <w:p w14:paraId="28F0C0E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表土剥离</w:t>
            </w:r>
          </w:p>
        </w:tc>
        <w:tc>
          <w:tcPr>
            <w:tcW w:w="933" w:type="dxa"/>
            <w:tcBorders>
              <w:tl2br w:val="nil"/>
              <w:tr2bl w:val="nil"/>
            </w:tcBorders>
            <w:shd w:val="clear" w:color="auto" w:fill="auto"/>
            <w:vAlign w:val="center"/>
          </w:tcPr>
          <w:p w14:paraId="40FD574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颗粒物</w:t>
            </w:r>
          </w:p>
        </w:tc>
        <w:tc>
          <w:tcPr>
            <w:tcW w:w="1064" w:type="dxa"/>
            <w:vMerge w:val="restart"/>
            <w:tcBorders>
              <w:tl2br w:val="nil"/>
              <w:tr2bl w:val="nil"/>
            </w:tcBorders>
            <w:shd w:val="clear" w:color="auto" w:fill="auto"/>
            <w:vAlign w:val="center"/>
          </w:tcPr>
          <w:p w14:paraId="19D71F5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1.683</w:t>
            </w:r>
          </w:p>
        </w:tc>
        <w:tc>
          <w:tcPr>
            <w:tcW w:w="3060" w:type="dxa"/>
            <w:vMerge w:val="restart"/>
            <w:tcBorders>
              <w:tl2br w:val="nil"/>
              <w:tr2bl w:val="nil"/>
            </w:tcBorders>
            <w:shd w:val="clear" w:color="auto" w:fill="auto"/>
            <w:vAlign w:val="center"/>
          </w:tcPr>
          <w:p w14:paraId="51D1F69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采取洒水抑尘</w:t>
            </w:r>
          </w:p>
        </w:tc>
        <w:tc>
          <w:tcPr>
            <w:tcW w:w="1231" w:type="dxa"/>
            <w:vMerge w:val="restart"/>
            <w:tcBorders>
              <w:tl2br w:val="nil"/>
              <w:tr2bl w:val="nil"/>
            </w:tcBorders>
            <w:shd w:val="clear" w:color="auto" w:fill="auto"/>
            <w:vAlign w:val="center"/>
          </w:tcPr>
          <w:p w14:paraId="2960F08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74</w:t>
            </w:r>
          </w:p>
        </w:tc>
        <w:tc>
          <w:tcPr>
            <w:tcW w:w="0" w:type="auto"/>
            <w:tcBorders>
              <w:tl2br w:val="nil"/>
              <w:tr2bl w:val="nil"/>
            </w:tcBorders>
            <w:shd w:val="clear" w:color="auto" w:fill="auto"/>
            <w:vAlign w:val="center"/>
          </w:tcPr>
          <w:p w14:paraId="607AF4D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w:t>
            </w:r>
            <w:r>
              <w:rPr>
                <w:rFonts w:hint="eastAsia" w:ascii="Times New Roman" w:hAnsi="Times New Roman" w:eastAsia="华文中宋" w:cs="Times New Roman"/>
                <w:szCs w:val="21"/>
                <w:lang w:val="en-US" w:eastAsia="zh-CN"/>
              </w:rPr>
              <w:t>438</w:t>
            </w:r>
          </w:p>
        </w:tc>
      </w:tr>
      <w:tr w14:paraId="16EB77F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78" w:hRule="atLeast"/>
        </w:trPr>
        <w:tc>
          <w:tcPr>
            <w:tcW w:w="1108" w:type="dxa"/>
            <w:vMerge w:val="continue"/>
            <w:tcBorders>
              <w:tl2br w:val="nil"/>
              <w:tr2bl w:val="nil"/>
            </w:tcBorders>
            <w:shd w:val="clear" w:color="auto" w:fill="auto"/>
            <w:vAlign w:val="center"/>
          </w:tcPr>
          <w:p w14:paraId="65260235">
            <w:pPr>
              <w:spacing w:line="300" w:lineRule="exact"/>
              <w:jc w:val="center"/>
              <w:rPr>
                <w:rFonts w:hint="default" w:ascii="Times New Roman" w:hAnsi="Times New Roman" w:eastAsia="华文中宋" w:cs="Times New Roman"/>
                <w:szCs w:val="21"/>
                <w:lang w:val="en-US" w:eastAsia="zh-CN"/>
              </w:rPr>
            </w:pPr>
          </w:p>
        </w:tc>
        <w:tc>
          <w:tcPr>
            <w:tcW w:w="933" w:type="dxa"/>
            <w:tcBorders>
              <w:tl2br w:val="nil"/>
              <w:tr2bl w:val="nil"/>
            </w:tcBorders>
            <w:shd w:val="clear" w:color="auto" w:fill="auto"/>
            <w:vAlign w:val="center"/>
          </w:tcPr>
          <w:p w14:paraId="3F5374A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铅及其化合物</w:t>
            </w:r>
          </w:p>
        </w:tc>
        <w:tc>
          <w:tcPr>
            <w:tcW w:w="1064" w:type="dxa"/>
            <w:vMerge w:val="continue"/>
            <w:tcBorders>
              <w:tl2br w:val="nil"/>
              <w:tr2bl w:val="nil"/>
            </w:tcBorders>
            <w:shd w:val="clear" w:color="auto" w:fill="auto"/>
            <w:vAlign w:val="center"/>
          </w:tcPr>
          <w:p w14:paraId="7BE0336F">
            <w:pPr>
              <w:spacing w:line="300" w:lineRule="exact"/>
              <w:jc w:val="center"/>
              <w:rPr>
                <w:rFonts w:hint="default" w:ascii="Times New Roman" w:hAnsi="Times New Roman" w:eastAsia="华文中宋" w:cs="Times New Roman"/>
                <w:szCs w:val="21"/>
                <w:lang w:val="en-US" w:eastAsia="zh-CN"/>
              </w:rPr>
            </w:pPr>
          </w:p>
        </w:tc>
        <w:tc>
          <w:tcPr>
            <w:tcW w:w="3060" w:type="dxa"/>
            <w:vMerge w:val="continue"/>
            <w:tcBorders>
              <w:tl2br w:val="nil"/>
              <w:tr2bl w:val="nil"/>
            </w:tcBorders>
            <w:shd w:val="clear" w:color="auto" w:fill="auto"/>
            <w:vAlign w:val="center"/>
          </w:tcPr>
          <w:p w14:paraId="532FB93B">
            <w:pPr>
              <w:spacing w:line="300" w:lineRule="exact"/>
              <w:jc w:val="center"/>
              <w:rPr>
                <w:rFonts w:hint="default" w:ascii="Times New Roman" w:hAnsi="Times New Roman" w:eastAsia="华文中宋" w:cs="Times New Roman"/>
                <w:szCs w:val="21"/>
                <w:lang w:val="en-US" w:eastAsia="zh-CN"/>
              </w:rPr>
            </w:pPr>
          </w:p>
        </w:tc>
        <w:tc>
          <w:tcPr>
            <w:tcW w:w="1231" w:type="dxa"/>
            <w:vMerge w:val="continue"/>
            <w:tcBorders>
              <w:tl2br w:val="nil"/>
              <w:tr2bl w:val="nil"/>
            </w:tcBorders>
            <w:shd w:val="clear" w:color="auto" w:fill="auto"/>
            <w:vAlign w:val="center"/>
          </w:tcPr>
          <w:p w14:paraId="64D22AB3">
            <w:pPr>
              <w:spacing w:line="300" w:lineRule="exact"/>
              <w:jc w:val="center"/>
              <w:rPr>
                <w:rFonts w:hint="default" w:ascii="Times New Roman" w:hAnsi="Times New Roman" w:eastAsia="华文中宋" w:cs="Times New Roman"/>
                <w:szCs w:val="21"/>
                <w:lang w:val="en-US" w:eastAsia="zh-CN"/>
              </w:rPr>
            </w:pPr>
          </w:p>
        </w:tc>
        <w:tc>
          <w:tcPr>
            <w:tcW w:w="0" w:type="auto"/>
            <w:tcBorders>
              <w:tl2br w:val="nil"/>
              <w:tr2bl w:val="nil"/>
            </w:tcBorders>
            <w:shd w:val="clear" w:color="auto" w:fill="auto"/>
            <w:vAlign w:val="center"/>
          </w:tcPr>
          <w:p w14:paraId="4946147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7.34×10</w:t>
            </w:r>
            <w:r>
              <w:rPr>
                <w:rFonts w:hint="eastAsia" w:ascii="Times New Roman" w:hAnsi="Times New Roman" w:eastAsia="华文中宋" w:cs="Times New Roman"/>
                <w:szCs w:val="21"/>
                <w:vertAlign w:val="superscript"/>
                <w:lang w:val="en-US" w:eastAsia="zh-CN"/>
              </w:rPr>
              <w:t>-6</w:t>
            </w:r>
          </w:p>
        </w:tc>
      </w:tr>
      <w:tr w14:paraId="3280082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78" w:hRule="atLeast"/>
        </w:trPr>
        <w:tc>
          <w:tcPr>
            <w:tcW w:w="1108" w:type="dxa"/>
            <w:vMerge w:val="restart"/>
            <w:tcBorders>
              <w:tl2br w:val="nil"/>
              <w:tr2bl w:val="nil"/>
            </w:tcBorders>
            <w:vAlign w:val="center"/>
          </w:tcPr>
          <w:p w14:paraId="567C51F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凿岩钻孔</w:t>
            </w:r>
          </w:p>
        </w:tc>
        <w:tc>
          <w:tcPr>
            <w:tcW w:w="933" w:type="dxa"/>
            <w:tcBorders>
              <w:tl2br w:val="nil"/>
              <w:tr2bl w:val="nil"/>
            </w:tcBorders>
            <w:vAlign w:val="center"/>
          </w:tcPr>
          <w:p w14:paraId="775B5C8D">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颗粒物</w:t>
            </w:r>
          </w:p>
        </w:tc>
        <w:tc>
          <w:tcPr>
            <w:tcW w:w="1064" w:type="dxa"/>
            <w:vMerge w:val="restart"/>
            <w:tcBorders>
              <w:tl2br w:val="nil"/>
              <w:tr2bl w:val="nil"/>
            </w:tcBorders>
            <w:vAlign w:val="center"/>
          </w:tcPr>
          <w:p w14:paraId="659FE8E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4.22</w:t>
            </w:r>
          </w:p>
        </w:tc>
        <w:tc>
          <w:tcPr>
            <w:tcW w:w="3060" w:type="dxa"/>
            <w:vMerge w:val="restart"/>
            <w:tcBorders>
              <w:tl2br w:val="nil"/>
              <w:tr2bl w:val="nil"/>
            </w:tcBorders>
            <w:vAlign w:val="center"/>
          </w:tcPr>
          <w:p w14:paraId="05994F8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湿式穿孔凿岩，钻机配备干式捕尘器，工作面喷雾洒水降尘</w:t>
            </w:r>
          </w:p>
        </w:tc>
        <w:tc>
          <w:tcPr>
            <w:tcW w:w="1231" w:type="dxa"/>
            <w:vMerge w:val="restart"/>
            <w:tcBorders>
              <w:tl2br w:val="nil"/>
              <w:tr2bl w:val="nil"/>
            </w:tcBorders>
            <w:vAlign w:val="center"/>
          </w:tcPr>
          <w:p w14:paraId="3438EC9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90</w:t>
            </w:r>
          </w:p>
        </w:tc>
        <w:tc>
          <w:tcPr>
            <w:tcW w:w="0" w:type="auto"/>
            <w:tcBorders>
              <w:tl2br w:val="nil"/>
              <w:tr2bl w:val="nil"/>
            </w:tcBorders>
            <w:vAlign w:val="center"/>
          </w:tcPr>
          <w:p w14:paraId="5F95D1C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0.403</w:t>
            </w:r>
          </w:p>
        </w:tc>
      </w:tr>
      <w:tr w14:paraId="5E2BD10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78" w:hRule="atLeast"/>
        </w:trPr>
        <w:tc>
          <w:tcPr>
            <w:tcW w:w="1108" w:type="dxa"/>
            <w:vMerge w:val="continue"/>
            <w:tcBorders>
              <w:tl2br w:val="nil"/>
              <w:tr2bl w:val="nil"/>
            </w:tcBorders>
            <w:vAlign w:val="center"/>
          </w:tcPr>
          <w:p w14:paraId="38158D1D">
            <w:pPr>
              <w:spacing w:line="300" w:lineRule="exact"/>
              <w:jc w:val="center"/>
              <w:rPr>
                <w:rFonts w:hint="default" w:ascii="Times New Roman" w:hAnsi="Times New Roman" w:eastAsia="华文中宋" w:cs="Times New Roman"/>
                <w:szCs w:val="21"/>
                <w:lang w:val="en-US" w:eastAsia="zh-CN"/>
              </w:rPr>
            </w:pPr>
          </w:p>
        </w:tc>
        <w:tc>
          <w:tcPr>
            <w:tcW w:w="933" w:type="dxa"/>
            <w:tcBorders>
              <w:tl2br w:val="nil"/>
              <w:tr2bl w:val="nil"/>
            </w:tcBorders>
            <w:vAlign w:val="center"/>
          </w:tcPr>
          <w:p w14:paraId="0CD97568">
            <w:pPr>
              <w:spacing w:line="300" w:lineRule="exact"/>
              <w:jc w:val="center"/>
              <w:rPr>
                <w:rFonts w:hint="default" w:ascii="Times New Roman" w:hAnsi="Times New Roman" w:eastAsia="华文中宋" w:cs="Times New Roman"/>
                <w:szCs w:val="21"/>
                <w:lang w:eastAsia="zh-CN"/>
              </w:rPr>
            </w:pPr>
            <w:r>
              <w:rPr>
                <w:rFonts w:hint="eastAsia" w:ascii="Times New Roman" w:hAnsi="Times New Roman" w:eastAsia="华文中宋" w:cs="Times New Roman"/>
                <w:szCs w:val="21"/>
                <w:lang w:val="en-US" w:eastAsia="zh-CN"/>
              </w:rPr>
              <w:t>铅及其化合物</w:t>
            </w:r>
          </w:p>
        </w:tc>
        <w:tc>
          <w:tcPr>
            <w:tcW w:w="1064" w:type="dxa"/>
            <w:vMerge w:val="continue"/>
            <w:tcBorders>
              <w:tl2br w:val="nil"/>
              <w:tr2bl w:val="nil"/>
            </w:tcBorders>
            <w:vAlign w:val="center"/>
          </w:tcPr>
          <w:p w14:paraId="6BDEC94D">
            <w:pPr>
              <w:spacing w:line="300" w:lineRule="exact"/>
              <w:jc w:val="center"/>
              <w:rPr>
                <w:rFonts w:hint="default" w:ascii="Times New Roman" w:hAnsi="Times New Roman" w:eastAsia="华文中宋" w:cs="Times New Roman"/>
                <w:szCs w:val="21"/>
                <w:lang w:val="en-US" w:eastAsia="zh-CN"/>
              </w:rPr>
            </w:pPr>
          </w:p>
        </w:tc>
        <w:tc>
          <w:tcPr>
            <w:tcW w:w="3060" w:type="dxa"/>
            <w:vMerge w:val="continue"/>
            <w:tcBorders>
              <w:tl2br w:val="nil"/>
              <w:tr2bl w:val="nil"/>
            </w:tcBorders>
            <w:vAlign w:val="center"/>
          </w:tcPr>
          <w:p w14:paraId="61CE7E69">
            <w:pPr>
              <w:spacing w:line="300" w:lineRule="exact"/>
              <w:jc w:val="center"/>
              <w:rPr>
                <w:rFonts w:hint="default" w:ascii="Times New Roman" w:hAnsi="Times New Roman" w:eastAsia="华文中宋" w:cs="Times New Roman"/>
                <w:szCs w:val="21"/>
              </w:rPr>
            </w:pPr>
          </w:p>
        </w:tc>
        <w:tc>
          <w:tcPr>
            <w:tcW w:w="1231" w:type="dxa"/>
            <w:vMerge w:val="continue"/>
            <w:tcBorders>
              <w:tl2br w:val="nil"/>
              <w:tr2bl w:val="nil"/>
            </w:tcBorders>
            <w:vAlign w:val="center"/>
          </w:tcPr>
          <w:p w14:paraId="52F71282">
            <w:pPr>
              <w:spacing w:line="300" w:lineRule="exact"/>
              <w:jc w:val="center"/>
              <w:rPr>
                <w:rFonts w:hint="default" w:ascii="Times New Roman" w:hAnsi="Times New Roman" w:eastAsia="华文中宋" w:cs="Times New Roman"/>
                <w:szCs w:val="21"/>
                <w:lang w:val="en-US" w:eastAsia="zh-CN"/>
              </w:rPr>
            </w:pPr>
          </w:p>
        </w:tc>
        <w:tc>
          <w:tcPr>
            <w:tcW w:w="0" w:type="auto"/>
            <w:tcBorders>
              <w:tl2br w:val="nil"/>
              <w:tr2bl w:val="nil"/>
            </w:tcBorders>
            <w:vAlign w:val="center"/>
          </w:tcPr>
          <w:p w14:paraId="34A801C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2.68×10</w:t>
            </w:r>
            <w:r>
              <w:rPr>
                <w:rFonts w:hint="eastAsia" w:ascii="Times New Roman" w:hAnsi="Times New Roman" w:eastAsia="华文中宋" w:cs="Times New Roman"/>
                <w:szCs w:val="21"/>
                <w:vertAlign w:val="superscript"/>
                <w:lang w:val="en-US" w:eastAsia="zh-CN"/>
              </w:rPr>
              <w:t>-3</w:t>
            </w:r>
          </w:p>
        </w:tc>
      </w:tr>
      <w:tr w14:paraId="569F4E0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52" w:hRule="atLeast"/>
        </w:trPr>
        <w:tc>
          <w:tcPr>
            <w:tcW w:w="1108" w:type="dxa"/>
            <w:vMerge w:val="restart"/>
            <w:tcBorders>
              <w:tl2br w:val="nil"/>
              <w:tr2bl w:val="nil"/>
            </w:tcBorders>
            <w:vAlign w:val="center"/>
          </w:tcPr>
          <w:p w14:paraId="37AD5449">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爆破</w:t>
            </w:r>
          </w:p>
        </w:tc>
        <w:tc>
          <w:tcPr>
            <w:tcW w:w="933" w:type="dxa"/>
            <w:tcBorders>
              <w:tl2br w:val="nil"/>
              <w:tr2bl w:val="nil"/>
            </w:tcBorders>
            <w:vAlign w:val="center"/>
          </w:tcPr>
          <w:p w14:paraId="0B28AF3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CO</w:t>
            </w:r>
          </w:p>
        </w:tc>
        <w:tc>
          <w:tcPr>
            <w:tcW w:w="1064" w:type="dxa"/>
            <w:tcBorders>
              <w:tl2br w:val="nil"/>
              <w:tr2bl w:val="nil"/>
            </w:tcBorders>
            <w:vAlign w:val="center"/>
          </w:tcPr>
          <w:p w14:paraId="3BE6C45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w:t>
            </w:r>
            <w:r>
              <w:rPr>
                <w:rFonts w:hint="eastAsia" w:ascii="Times New Roman" w:hAnsi="Times New Roman" w:eastAsia="华文中宋" w:cs="Times New Roman"/>
                <w:szCs w:val="21"/>
                <w:lang w:val="en-US" w:eastAsia="zh-CN"/>
              </w:rPr>
              <w:t>546</w:t>
            </w:r>
          </w:p>
        </w:tc>
        <w:tc>
          <w:tcPr>
            <w:tcW w:w="3060" w:type="dxa"/>
            <w:vMerge w:val="restart"/>
            <w:tcBorders>
              <w:tl2br w:val="nil"/>
              <w:tr2bl w:val="nil"/>
            </w:tcBorders>
            <w:vAlign w:val="center"/>
          </w:tcPr>
          <w:p w14:paraId="6E49583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优化爆破参数</w:t>
            </w:r>
            <w:r>
              <w:rPr>
                <w:rFonts w:hint="default" w:ascii="Times New Roman" w:hAnsi="Times New Roman" w:eastAsia="华文中宋" w:cs="Times New Roman"/>
                <w:szCs w:val="21"/>
              </w:rPr>
              <w:t>，爆破前洒水预湿</w:t>
            </w:r>
          </w:p>
        </w:tc>
        <w:tc>
          <w:tcPr>
            <w:tcW w:w="0" w:type="auto"/>
            <w:tcBorders>
              <w:tl2br w:val="nil"/>
              <w:tr2bl w:val="nil"/>
            </w:tcBorders>
            <w:vAlign w:val="center"/>
          </w:tcPr>
          <w:p w14:paraId="0EFFD48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w:t>
            </w:r>
          </w:p>
        </w:tc>
        <w:tc>
          <w:tcPr>
            <w:tcW w:w="0" w:type="auto"/>
            <w:tcBorders>
              <w:tl2br w:val="nil"/>
              <w:tr2bl w:val="nil"/>
            </w:tcBorders>
            <w:vAlign w:val="center"/>
          </w:tcPr>
          <w:p w14:paraId="275E314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w:t>
            </w:r>
            <w:r>
              <w:rPr>
                <w:rFonts w:hint="eastAsia" w:ascii="Times New Roman" w:hAnsi="Times New Roman" w:eastAsia="华文中宋" w:cs="Times New Roman"/>
                <w:szCs w:val="21"/>
                <w:lang w:val="en-US" w:eastAsia="zh-CN"/>
              </w:rPr>
              <w:t>546</w:t>
            </w:r>
          </w:p>
        </w:tc>
      </w:tr>
      <w:tr w14:paraId="26C86BF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19" w:hRule="atLeast"/>
        </w:trPr>
        <w:tc>
          <w:tcPr>
            <w:tcW w:w="1108" w:type="dxa"/>
            <w:vMerge w:val="continue"/>
            <w:tcBorders>
              <w:tl2br w:val="nil"/>
              <w:tr2bl w:val="nil"/>
            </w:tcBorders>
            <w:vAlign w:val="center"/>
          </w:tcPr>
          <w:p w14:paraId="05672295">
            <w:pPr>
              <w:spacing w:line="300" w:lineRule="exact"/>
              <w:jc w:val="center"/>
              <w:rPr>
                <w:rFonts w:hint="default" w:ascii="Times New Roman" w:hAnsi="Times New Roman" w:eastAsia="华文中宋" w:cs="Times New Roman"/>
                <w:szCs w:val="21"/>
              </w:rPr>
            </w:pPr>
          </w:p>
        </w:tc>
        <w:tc>
          <w:tcPr>
            <w:tcW w:w="933" w:type="dxa"/>
            <w:tcBorders>
              <w:tl2br w:val="nil"/>
              <w:tr2bl w:val="nil"/>
            </w:tcBorders>
            <w:vAlign w:val="center"/>
          </w:tcPr>
          <w:p w14:paraId="18BC7B1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NOx</w:t>
            </w:r>
          </w:p>
        </w:tc>
        <w:tc>
          <w:tcPr>
            <w:tcW w:w="1064" w:type="dxa"/>
            <w:tcBorders>
              <w:tl2br w:val="nil"/>
              <w:tr2bl w:val="nil"/>
            </w:tcBorders>
            <w:vAlign w:val="center"/>
          </w:tcPr>
          <w:p w14:paraId="5AAA66A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4.853</w:t>
            </w:r>
          </w:p>
        </w:tc>
        <w:tc>
          <w:tcPr>
            <w:tcW w:w="3060" w:type="dxa"/>
            <w:vMerge w:val="continue"/>
            <w:tcBorders>
              <w:tl2br w:val="nil"/>
              <w:tr2bl w:val="nil"/>
            </w:tcBorders>
            <w:vAlign w:val="center"/>
          </w:tcPr>
          <w:p w14:paraId="13619D36">
            <w:pPr>
              <w:spacing w:line="300" w:lineRule="exact"/>
              <w:jc w:val="center"/>
              <w:rPr>
                <w:rFonts w:hint="default" w:ascii="Times New Roman" w:hAnsi="Times New Roman" w:eastAsia="华文中宋" w:cs="Times New Roman"/>
                <w:szCs w:val="21"/>
              </w:rPr>
            </w:pPr>
          </w:p>
        </w:tc>
        <w:tc>
          <w:tcPr>
            <w:tcW w:w="0" w:type="auto"/>
            <w:tcBorders>
              <w:tl2br w:val="nil"/>
              <w:tr2bl w:val="nil"/>
            </w:tcBorders>
            <w:vAlign w:val="center"/>
          </w:tcPr>
          <w:p w14:paraId="7F885C4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w:t>
            </w:r>
          </w:p>
        </w:tc>
        <w:tc>
          <w:tcPr>
            <w:tcW w:w="0" w:type="auto"/>
            <w:tcBorders>
              <w:tl2br w:val="nil"/>
              <w:tr2bl w:val="nil"/>
            </w:tcBorders>
            <w:vAlign w:val="center"/>
          </w:tcPr>
          <w:p w14:paraId="26239FD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4.853</w:t>
            </w:r>
          </w:p>
        </w:tc>
      </w:tr>
      <w:tr w14:paraId="7E2E1EF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19" w:hRule="atLeast"/>
        </w:trPr>
        <w:tc>
          <w:tcPr>
            <w:tcW w:w="1108" w:type="dxa"/>
            <w:vMerge w:val="continue"/>
            <w:tcBorders>
              <w:tl2br w:val="nil"/>
              <w:tr2bl w:val="nil"/>
            </w:tcBorders>
            <w:vAlign w:val="center"/>
          </w:tcPr>
          <w:p w14:paraId="1CAFCA83">
            <w:pPr>
              <w:spacing w:line="300" w:lineRule="exact"/>
              <w:jc w:val="center"/>
              <w:rPr>
                <w:rFonts w:hint="default" w:ascii="Times New Roman" w:hAnsi="Times New Roman" w:eastAsia="华文中宋" w:cs="Times New Roman"/>
                <w:szCs w:val="21"/>
              </w:rPr>
            </w:pPr>
          </w:p>
        </w:tc>
        <w:tc>
          <w:tcPr>
            <w:tcW w:w="933" w:type="dxa"/>
            <w:tcBorders>
              <w:tl2br w:val="nil"/>
              <w:tr2bl w:val="nil"/>
            </w:tcBorders>
            <w:vAlign w:val="center"/>
          </w:tcPr>
          <w:p w14:paraId="12FD675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颗粒物</w:t>
            </w:r>
          </w:p>
        </w:tc>
        <w:tc>
          <w:tcPr>
            <w:tcW w:w="1064" w:type="dxa"/>
            <w:vMerge w:val="restart"/>
            <w:tcBorders>
              <w:tl2br w:val="nil"/>
              <w:tr2bl w:val="nil"/>
            </w:tcBorders>
            <w:vAlign w:val="center"/>
          </w:tcPr>
          <w:p w14:paraId="76E777E0">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8.219</w:t>
            </w:r>
          </w:p>
        </w:tc>
        <w:tc>
          <w:tcPr>
            <w:tcW w:w="3060" w:type="dxa"/>
            <w:vMerge w:val="continue"/>
            <w:tcBorders>
              <w:tl2br w:val="nil"/>
              <w:tr2bl w:val="nil"/>
            </w:tcBorders>
            <w:vAlign w:val="center"/>
          </w:tcPr>
          <w:p w14:paraId="46DE6666">
            <w:pPr>
              <w:spacing w:line="300" w:lineRule="exact"/>
              <w:jc w:val="center"/>
              <w:rPr>
                <w:rFonts w:hint="default" w:ascii="Times New Roman" w:hAnsi="Times New Roman" w:eastAsia="华文中宋" w:cs="Times New Roman"/>
                <w:szCs w:val="21"/>
              </w:rPr>
            </w:pPr>
          </w:p>
        </w:tc>
        <w:tc>
          <w:tcPr>
            <w:tcW w:w="1231" w:type="dxa"/>
            <w:vMerge w:val="restart"/>
            <w:tcBorders>
              <w:tl2br w:val="nil"/>
              <w:tr2bl w:val="nil"/>
            </w:tcBorders>
            <w:vAlign w:val="center"/>
          </w:tcPr>
          <w:p w14:paraId="0C7543A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72</w:t>
            </w:r>
          </w:p>
        </w:tc>
        <w:tc>
          <w:tcPr>
            <w:tcW w:w="0" w:type="auto"/>
            <w:tcBorders>
              <w:tl2br w:val="nil"/>
              <w:tr2bl w:val="nil"/>
            </w:tcBorders>
            <w:vAlign w:val="center"/>
          </w:tcPr>
          <w:p w14:paraId="31CDFD6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1.350</w:t>
            </w:r>
          </w:p>
        </w:tc>
      </w:tr>
      <w:tr w14:paraId="45F8547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19" w:hRule="atLeast"/>
        </w:trPr>
        <w:tc>
          <w:tcPr>
            <w:tcW w:w="1108" w:type="dxa"/>
            <w:vMerge w:val="continue"/>
            <w:tcBorders>
              <w:tl2br w:val="nil"/>
              <w:tr2bl w:val="nil"/>
            </w:tcBorders>
            <w:vAlign w:val="center"/>
          </w:tcPr>
          <w:p w14:paraId="48A20C4D">
            <w:pPr>
              <w:spacing w:line="300" w:lineRule="exact"/>
              <w:jc w:val="center"/>
              <w:rPr>
                <w:rFonts w:hint="default" w:ascii="Times New Roman" w:hAnsi="Times New Roman" w:eastAsia="华文中宋" w:cs="Times New Roman"/>
                <w:szCs w:val="21"/>
              </w:rPr>
            </w:pPr>
          </w:p>
        </w:tc>
        <w:tc>
          <w:tcPr>
            <w:tcW w:w="933" w:type="dxa"/>
            <w:tcBorders>
              <w:tl2br w:val="nil"/>
              <w:tr2bl w:val="nil"/>
            </w:tcBorders>
            <w:vAlign w:val="center"/>
          </w:tcPr>
          <w:p w14:paraId="4BD62EF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铅及其化合物</w:t>
            </w:r>
          </w:p>
        </w:tc>
        <w:tc>
          <w:tcPr>
            <w:tcW w:w="1064" w:type="dxa"/>
            <w:vMerge w:val="continue"/>
            <w:tcBorders>
              <w:tl2br w:val="nil"/>
              <w:tr2bl w:val="nil"/>
            </w:tcBorders>
            <w:vAlign w:val="center"/>
          </w:tcPr>
          <w:p w14:paraId="4017E184">
            <w:pPr>
              <w:spacing w:line="300" w:lineRule="exact"/>
              <w:jc w:val="center"/>
              <w:rPr>
                <w:rFonts w:hint="default" w:ascii="Times New Roman" w:hAnsi="Times New Roman" w:eastAsia="华文中宋" w:cs="Times New Roman"/>
                <w:szCs w:val="21"/>
                <w:lang w:val="en-US" w:eastAsia="zh-CN"/>
              </w:rPr>
            </w:pPr>
          </w:p>
        </w:tc>
        <w:tc>
          <w:tcPr>
            <w:tcW w:w="3060" w:type="dxa"/>
            <w:vMerge w:val="continue"/>
            <w:tcBorders>
              <w:tl2br w:val="nil"/>
              <w:tr2bl w:val="nil"/>
            </w:tcBorders>
            <w:vAlign w:val="center"/>
          </w:tcPr>
          <w:p w14:paraId="26813AC1">
            <w:pPr>
              <w:spacing w:line="300" w:lineRule="exact"/>
              <w:jc w:val="center"/>
              <w:rPr>
                <w:rFonts w:hint="default" w:ascii="Times New Roman" w:hAnsi="Times New Roman" w:eastAsia="华文中宋" w:cs="Times New Roman"/>
                <w:szCs w:val="21"/>
              </w:rPr>
            </w:pPr>
          </w:p>
        </w:tc>
        <w:tc>
          <w:tcPr>
            <w:tcW w:w="1231" w:type="dxa"/>
            <w:vMerge w:val="continue"/>
            <w:tcBorders>
              <w:tl2br w:val="nil"/>
              <w:tr2bl w:val="nil"/>
            </w:tcBorders>
            <w:vAlign w:val="center"/>
          </w:tcPr>
          <w:p w14:paraId="2C9D6A35">
            <w:pPr>
              <w:spacing w:line="300" w:lineRule="exact"/>
              <w:jc w:val="center"/>
              <w:rPr>
                <w:rFonts w:hint="default" w:ascii="Times New Roman" w:hAnsi="Times New Roman" w:eastAsia="华文中宋" w:cs="Times New Roman"/>
                <w:szCs w:val="21"/>
                <w:lang w:val="en-US" w:eastAsia="zh-CN"/>
              </w:rPr>
            </w:pPr>
          </w:p>
        </w:tc>
        <w:tc>
          <w:tcPr>
            <w:tcW w:w="0" w:type="auto"/>
            <w:tcBorders>
              <w:tl2br w:val="nil"/>
              <w:tr2bl w:val="nil"/>
            </w:tcBorders>
            <w:vAlign w:val="center"/>
          </w:tcPr>
          <w:p w14:paraId="62ACC05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8.87×10</w:t>
            </w:r>
            <w:r>
              <w:rPr>
                <w:rFonts w:hint="eastAsia" w:ascii="Times New Roman" w:hAnsi="Times New Roman" w:eastAsia="华文中宋" w:cs="Times New Roman"/>
                <w:szCs w:val="21"/>
                <w:vertAlign w:val="superscript"/>
                <w:lang w:val="en-US" w:eastAsia="zh-CN"/>
              </w:rPr>
              <w:t>-3</w:t>
            </w:r>
          </w:p>
        </w:tc>
      </w:tr>
      <w:tr w14:paraId="71C5766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1108" w:type="dxa"/>
            <w:vMerge w:val="restart"/>
            <w:tcBorders>
              <w:tl2br w:val="nil"/>
              <w:tr2bl w:val="nil"/>
            </w:tcBorders>
            <w:vAlign w:val="center"/>
          </w:tcPr>
          <w:p w14:paraId="06574A5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装卸</w:t>
            </w:r>
          </w:p>
        </w:tc>
        <w:tc>
          <w:tcPr>
            <w:tcW w:w="933" w:type="dxa"/>
            <w:tcBorders>
              <w:tl2br w:val="nil"/>
              <w:tr2bl w:val="nil"/>
            </w:tcBorders>
            <w:vAlign w:val="center"/>
          </w:tcPr>
          <w:p w14:paraId="4316995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eastAsia="zh-CN"/>
              </w:rPr>
              <w:t>颗粒物</w:t>
            </w:r>
          </w:p>
        </w:tc>
        <w:tc>
          <w:tcPr>
            <w:tcW w:w="1064" w:type="dxa"/>
            <w:vMerge w:val="restart"/>
            <w:tcBorders>
              <w:tl2br w:val="nil"/>
              <w:tr2bl w:val="nil"/>
            </w:tcBorders>
            <w:vAlign w:val="center"/>
          </w:tcPr>
          <w:p w14:paraId="1B783B3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5.477</w:t>
            </w:r>
          </w:p>
        </w:tc>
        <w:tc>
          <w:tcPr>
            <w:tcW w:w="3060" w:type="dxa"/>
            <w:vMerge w:val="restart"/>
            <w:tcBorders>
              <w:tl2br w:val="nil"/>
              <w:tr2bl w:val="nil"/>
            </w:tcBorders>
            <w:vAlign w:val="center"/>
          </w:tcPr>
          <w:p w14:paraId="513A0797">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通过减少卸载高度，洒水降尘措施</w:t>
            </w:r>
          </w:p>
        </w:tc>
        <w:tc>
          <w:tcPr>
            <w:tcW w:w="1231" w:type="dxa"/>
            <w:vMerge w:val="restart"/>
            <w:tcBorders>
              <w:tl2br w:val="nil"/>
              <w:tr2bl w:val="nil"/>
            </w:tcBorders>
            <w:vAlign w:val="center"/>
          </w:tcPr>
          <w:p w14:paraId="2ADA717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85</w:t>
            </w:r>
          </w:p>
        </w:tc>
        <w:tc>
          <w:tcPr>
            <w:tcW w:w="0" w:type="auto"/>
            <w:tcBorders>
              <w:tl2br w:val="nil"/>
              <w:tr2bl w:val="nil"/>
            </w:tcBorders>
            <w:vAlign w:val="center"/>
          </w:tcPr>
          <w:p w14:paraId="0CB7704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0.817</w:t>
            </w:r>
          </w:p>
        </w:tc>
      </w:tr>
      <w:tr w14:paraId="7C96EB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1108" w:type="dxa"/>
            <w:vMerge w:val="continue"/>
            <w:tcBorders>
              <w:tl2br w:val="nil"/>
              <w:tr2bl w:val="nil"/>
            </w:tcBorders>
            <w:vAlign w:val="center"/>
          </w:tcPr>
          <w:p w14:paraId="42CA06A4">
            <w:pPr>
              <w:spacing w:line="300" w:lineRule="exact"/>
              <w:jc w:val="center"/>
              <w:rPr>
                <w:rFonts w:hint="default" w:ascii="Times New Roman" w:hAnsi="Times New Roman" w:eastAsia="华文中宋" w:cs="Times New Roman"/>
                <w:szCs w:val="21"/>
              </w:rPr>
            </w:pPr>
          </w:p>
        </w:tc>
        <w:tc>
          <w:tcPr>
            <w:tcW w:w="933" w:type="dxa"/>
            <w:tcBorders>
              <w:tl2br w:val="nil"/>
              <w:tr2bl w:val="nil"/>
            </w:tcBorders>
            <w:vAlign w:val="center"/>
          </w:tcPr>
          <w:p w14:paraId="28FB67B5">
            <w:pPr>
              <w:spacing w:line="300" w:lineRule="exact"/>
              <w:jc w:val="center"/>
              <w:rPr>
                <w:rFonts w:hint="default" w:ascii="Times New Roman" w:hAnsi="Times New Roman" w:eastAsia="华文中宋" w:cs="Times New Roman"/>
                <w:szCs w:val="21"/>
                <w:lang w:eastAsia="zh-CN"/>
              </w:rPr>
            </w:pPr>
            <w:r>
              <w:rPr>
                <w:rFonts w:hint="eastAsia" w:ascii="Times New Roman" w:hAnsi="Times New Roman" w:eastAsia="华文中宋" w:cs="Times New Roman"/>
                <w:szCs w:val="21"/>
                <w:lang w:val="en-US" w:eastAsia="zh-CN"/>
              </w:rPr>
              <w:t>铅及其化合物</w:t>
            </w:r>
          </w:p>
        </w:tc>
        <w:tc>
          <w:tcPr>
            <w:tcW w:w="1064" w:type="dxa"/>
            <w:vMerge w:val="continue"/>
            <w:tcBorders>
              <w:tl2br w:val="nil"/>
              <w:tr2bl w:val="nil"/>
            </w:tcBorders>
            <w:vAlign w:val="center"/>
          </w:tcPr>
          <w:p w14:paraId="6288E252">
            <w:pPr>
              <w:spacing w:line="300" w:lineRule="exact"/>
              <w:jc w:val="center"/>
              <w:rPr>
                <w:rFonts w:hint="default" w:ascii="Times New Roman" w:hAnsi="Times New Roman" w:eastAsia="华文中宋" w:cs="Times New Roman"/>
                <w:szCs w:val="21"/>
                <w:lang w:val="en-US" w:eastAsia="zh-CN"/>
              </w:rPr>
            </w:pPr>
          </w:p>
        </w:tc>
        <w:tc>
          <w:tcPr>
            <w:tcW w:w="3060" w:type="dxa"/>
            <w:vMerge w:val="continue"/>
            <w:tcBorders>
              <w:tl2br w:val="nil"/>
              <w:tr2bl w:val="nil"/>
            </w:tcBorders>
            <w:vAlign w:val="center"/>
          </w:tcPr>
          <w:p w14:paraId="7436FC86">
            <w:pPr>
              <w:spacing w:line="300" w:lineRule="exact"/>
              <w:jc w:val="center"/>
              <w:rPr>
                <w:rFonts w:hint="default" w:ascii="Times New Roman" w:hAnsi="Times New Roman" w:eastAsia="华文中宋" w:cs="Times New Roman"/>
                <w:szCs w:val="21"/>
              </w:rPr>
            </w:pPr>
          </w:p>
        </w:tc>
        <w:tc>
          <w:tcPr>
            <w:tcW w:w="1231" w:type="dxa"/>
            <w:vMerge w:val="continue"/>
            <w:tcBorders>
              <w:tl2br w:val="nil"/>
              <w:tr2bl w:val="nil"/>
            </w:tcBorders>
            <w:vAlign w:val="center"/>
          </w:tcPr>
          <w:p w14:paraId="2D5A0D6F">
            <w:pPr>
              <w:spacing w:line="300" w:lineRule="exact"/>
              <w:jc w:val="center"/>
              <w:rPr>
                <w:rFonts w:hint="default" w:ascii="Times New Roman" w:hAnsi="Times New Roman" w:eastAsia="华文中宋" w:cs="Times New Roman"/>
                <w:szCs w:val="21"/>
                <w:lang w:val="en-US" w:eastAsia="zh-CN"/>
              </w:rPr>
            </w:pPr>
          </w:p>
        </w:tc>
        <w:tc>
          <w:tcPr>
            <w:tcW w:w="0" w:type="auto"/>
            <w:tcBorders>
              <w:tl2br w:val="nil"/>
              <w:tr2bl w:val="nil"/>
            </w:tcBorders>
            <w:vAlign w:val="center"/>
          </w:tcPr>
          <w:p w14:paraId="652C359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0.005</w:t>
            </w:r>
          </w:p>
        </w:tc>
      </w:tr>
      <w:tr w14:paraId="2325BBA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1108" w:type="dxa"/>
            <w:vMerge w:val="restart"/>
            <w:tcBorders>
              <w:tl2br w:val="nil"/>
              <w:tr2bl w:val="nil"/>
            </w:tcBorders>
            <w:vAlign w:val="center"/>
          </w:tcPr>
          <w:p w14:paraId="2128BD03">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运输</w:t>
            </w:r>
          </w:p>
        </w:tc>
        <w:tc>
          <w:tcPr>
            <w:tcW w:w="933" w:type="dxa"/>
            <w:tcBorders>
              <w:tl2br w:val="nil"/>
              <w:tr2bl w:val="nil"/>
            </w:tcBorders>
            <w:vAlign w:val="center"/>
          </w:tcPr>
          <w:p w14:paraId="68FC6F2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eastAsia="zh-CN"/>
              </w:rPr>
              <w:t>颗粒物</w:t>
            </w:r>
          </w:p>
        </w:tc>
        <w:tc>
          <w:tcPr>
            <w:tcW w:w="1064" w:type="dxa"/>
            <w:vMerge w:val="restart"/>
            <w:tcBorders>
              <w:tl2br w:val="nil"/>
              <w:tr2bl w:val="nil"/>
            </w:tcBorders>
            <w:vAlign w:val="center"/>
          </w:tcPr>
          <w:p w14:paraId="7DC6464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11.187</w:t>
            </w:r>
          </w:p>
        </w:tc>
        <w:tc>
          <w:tcPr>
            <w:tcW w:w="3060" w:type="dxa"/>
            <w:vMerge w:val="restart"/>
            <w:tcBorders>
              <w:tl2br w:val="nil"/>
              <w:tr2bl w:val="nil"/>
            </w:tcBorders>
            <w:vAlign w:val="center"/>
          </w:tcPr>
          <w:p w14:paraId="06FF8BA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通过路面压实、碎石铺设、定时洒水</w:t>
            </w:r>
            <w:r>
              <w:rPr>
                <w:rFonts w:hint="eastAsia" w:ascii="Times New Roman" w:hAnsi="Times New Roman" w:eastAsia="华文中宋" w:cs="Times New Roman"/>
                <w:szCs w:val="21"/>
                <w:lang w:val="en-US" w:eastAsia="zh-CN"/>
              </w:rPr>
              <w:t>、篷布遮盖</w:t>
            </w:r>
            <w:r>
              <w:rPr>
                <w:rFonts w:hint="default" w:ascii="Times New Roman" w:hAnsi="Times New Roman" w:eastAsia="华文中宋" w:cs="Times New Roman"/>
                <w:szCs w:val="21"/>
                <w:lang w:val="en-US" w:eastAsia="zh-CN"/>
              </w:rPr>
              <w:t>等措施</w:t>
            </w:r>
          </w:p>
        </w:tc>
        <w:tc>
          <w:tcPr>
            <w:tcW w:w="1231" w:type="dxa"/>
            <w:vMerge w:val="restart"/>
            <w:tcBorders>
              <w:tl2br w:val="nil"/>
              <w:tr2bl w:val="nil"/>
            </w:tcBorders>
            <w:vAlign w:val="center"/>
          </w:tcPr>
          <w:p w14:paraId="597DDBA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95</w:t>
            </w:r>
          </w:p>
        </w:tc>
        <w:tc>
          <w:tcPr>
            <w:tcW w:w="0" w:type="auto"/>
            <w:tcBorders>
              <w:tl2br w:val="nil"/>
              <w:tr2bl w:val="nil"/>
            </w:tcBorders>
            <w:vAlign w:val="center"/>
          </w:tcPr>
          <w:p w14:paraId="2E1D8EE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0.555</w:t>
            </w:r>
          </w:p>
        </w:tc>
      </w:tr>
      <w:tr w14:paraId="563810E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1108" w:type="dxa"/>
            <w:vMerge w:val="continue"/>
            <w:tcBorders>
              <w:tl2br w:val="nil"/>
              <w:tr2bl w:val="nil"/>
            </w:tcBorders>
            <w:vAlign w:val="center"/>
          </w:tcPr>
          <w:p w14:paraId="585D25D3">
            <w:pPr>
              <w:spacing w:line="300" w:lineRule="exact"/>
              <w:jc w:val="center"/>
              <w:rPr>
                <w:rFonts w:hint="default" w:ascii="Times New Roman" w:hAnsi="Times New Roman" w:eastAsia="华文中宋" w:cs="Times New Roman"/>
                <w:szCs w:val="21"/>
                <w:lang w:eastAsia="zh-CN"/>
              </w:rPr>
            </w:pPr>
          </w:p>
        </w:tc>
        <w:tc>
          <w:tcPr>
            <w:tcW w:w="933" w:type="dxa"/>
            <w:tcBorders>
              <w:tl2br w:val="nil"/>
              <w:tr2bl w:val="nil"/>
            </w:tcBorders>
            <w:vAlign w:val="center"/>
          </w:tcPr>
          <w:p w14:paraId="17CDE7D1">
            <w:pPr>
              <w:spacing w:line="300" w:lineRule="exact"/>
              <w:jc w:val="center"/>
              <w:rPr>
                <w:rFonts w:hint="default" w:ascii="Times New Roman" w:hAnsi="Times New Roman" w:eastAsia="华文中宋" w:cs="Times New Roman"/>
                <w:szCs w:val="21"/>
                <w:lang w:eastAsia="zh-CN"/>
              </w:rPr>
            </w:pPr>
            <w:r>
              <w:rPr>
                <w:rFonts w:hint="eastAsia" w:ascii="Times New Roman" w:hAnsi="Times New Roman" w:eastAsia="华文中宋" w:cs="Times New Roman"/>
                <w:szCs w:val="21"/>
                <w:lang w:val="en-US" w:eastAsia="zh-CN"/>
              </w:rPr>
              <w:t>铅及其化合物</w:t>
            </w:r>
          </w:p>
        </w:tc>
        <w:tc>
          <w:tcPr>
            <w:tcW w:w="1064" w:type="dxa"/>
            <w:vMerge w:val="continue"/>
            <w:tcBorders>
              <w:tl2br w:val="nil"/>
              <w:tr2bl w:val="nil"/>
            </w:tcBorders>
            <w:vAlign w:val="center"/>
          </w:tcPr>
          <w:p w14:paraId="04B51C4A">
            <w:pPr>
              <w:spacing w:line="300" w:lineRule="exact"/>
              <w:jc w:val="center"/>
              <w:rPr>
                <w:rFonts w:hint="default" w:ascii="Times New Roman" w:hAnsi="Times New Roman" w:eastAsia="华文中宋" w:cs="Times New Roman"/>
                <w:szCs w:val="21"/>
                <w:lang w:val="en-US" w:eastAsia="zh-CN"/>
              </w:rPr>
            </w:pPr>
          </w:p>
        </w:tc>
        <w:tc>
          <w:tcPr>
            <w:tcW w:w="3060" w:type="dxa"/>
            <w:vMerge w:val="continue"/>
            <w:tcBorders>
              <w:tl2br w:val="nil"/>
              <w:tr2bl w:val="nil"/>
            </w:tcBorders>
            <w:vAlign w:val="center"/>
          </w:tcPr>
          <w:p w14:paraId="6E5245F8">
            <w:pPr>
              <w:spacing w:line="300" w:lineRule="exact"/>
              <w:jc w:val="center"/>
              <w:rPr>
                <w:rFonts w:hint="default" w:ascii="Times New Roman" w:hAnsi="Times New Roman" w:eastAsia="华文中宋" w:cs="Times New Roman"/>
                <w:szCs w:val="21"/>
                <w:lang w:val="en-US" w:eastAsia="zh-CN"/>
              </w:rPr>
            </w:pPr>
          </w:p>
        </w:tc>
        <w:tc>
          <w:tcPr>
            <w:tcW w:w="1231" w:type="dxa"/>
            <w:vMerge w:val="continue"/>
            <w:tcBorders>
              <w:tl2br w:val="nil"/>
              <w:tr2bl w:val="nil"/>
            </w:tcBorders>
            <w:vAlign w:val="center"/>
          </w:tcPr>
          <w:p w14:paraId="717E5283">
            <w:pPr>
              <w:spacing w:line="300" w:lineRule="exact"/>
              <w:jc w:val="center"/>
              <w:rPr>
                <w:rFonts w:hint="default" w:ascii="Times New Roman" w:hAnsi="Times New Roman" w:eastAsia="华文中宋" w:cs="Times New Roman"/>
                <w:szCs w:val="21"/>
                <w:lang w:val="en-US" w:eastAsia="zh-CN"/>
              </w:rPr>
            </w:pPr>
          </w:p>
        </w:tc>
        <w:tc>
          <w:tcPr>
            <w:tcW w:w="0" w:type="auto"/>
            <w:tcBorders>
              <w:tl2br w:val="nil"/>
              <w:tr2bl w:val="nil"/>
            </w:tcBorders>
            <w:vAlign w:val="center"/>
          </w:tcPr>
          <w:p w14:paraId="3926325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eastAsia="zh-CN"/>
              </w:rPr>
              <w:t>0.</w:t>
            </w:r>
            <w:r>
              <w:rPr>
                <w:rFonts w:hint="eastAsia" w:ascii="Times New Roman" w:hAnsi="Times New Roman" w:eastAsia="华文中宋" w:cs="Times New Roman"/>
                <w:szCs w:val="21"/>
                <w:lang w:val="en-US" w:eastAsia="zh-CN"/>
              </w:rPr>
              <w:t>004</w:t>
            </w:r>
          </w:p>
        </w:tc>
      </w:tr>
      <w:tr w14:paraId="0D4746C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1108" w:type="dxa"/>
            <w:vMerge w:val="restart"/>
            <w:tcBorders>
              <w:tl2br w:val="nil"/>
              <w:tr2bl w:val="nil"/>
            </w:tcBorders>
            <w:vAlign w:val="center"/>
          </w:tcPr>
          <w:p w14:paraId="57893481">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废石堆场</w:t>
            </w:r>
          </w:p>
        </w:tc>
        <w:tc>
          <w:tcPr>
            <w:tcW w:w="933" w:type="dxa"/>
            <w:tcBorders>
              <w:tl2br w:val="nil"/>
              <w:tr2bl w:val="nil"/>
            </w:tcBorders>
            <w:vAlign w:val="center"/>
          </w:tcPr>
          <w:p w14:paraId="3C4D98F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eastAsia="zh-CN"/>
              </w:rPr>
              <w:t>颗粒物</w:t>
            </w:r>
          </w:p>
        </w:tc>
        <w:tc>
          <w:tcPr>
            <w:tcW w:w="1064" w:type="dxa"/>
            <w:vMerge w:val="restart"/>
            <w:tcBorders>
              <w:tl2br w:val="nil"/>
              <w:tr2bl w:val="nil"/>
            </w:tcBorders>
            <w:vAlign w:val="center"/>
          </w:tcPr>
          <w:p w14:paraId="73FCC9C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2.958</w:t>
            </w:r>
          </w:p>
        </w:tc>
        <w:tc>
          <w:tcPr>
            <w:tcW w:w="3060" w:type="dxa"/>
            <w:vMerge w:val="restart"/>
            <w:tcBorders>
              <w:tl2br w:val="nil"/>
              <w:tr2bl w:val="nil"/>
            </w:tcBorders>
            <w:vAlign w:val="center"/>
          </w:tcPr>
          <w:p w14:paraId="0611DC37">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集中压实堆放，</w:t>
            </w:r>
            <w:r>
              <w:rPr>
                <w:rFonts w:hint="default" w:ascii="Times New Roman" w:hAnsi="Times New Roman" w:eastAsia="华文中宋" w:cs="Times New Roman"/>
                <w:szCs w:val="21"/>
                <w:lang w:eastAsia="zh-CN"/>
              </w:rPr>
              <w:t>废石堆放场</w:t>
            </w:r>
            <w:r>
              <w:rPr>
                <w:rFonts w:hint="default" w:ascii="Times New Roman" w:hAnsi="Times New Roman" w:eastAsia="华文中宋" w:cs="Times New Roman"/>
                <w:szCs w:val="21"/>
              </w:rPr>
              <w:t>采区洒水降尘处理</w:t>
            </w:r>
          </w:p>
        </w:tc>
        <w:tc>
          <w:tcPr>
            <w:tcW w:w="1231" w:type="dxa"/>
            <w:vMerge w:val="restart"/>
            <w:tcBorders>
              <w:tl2br w:val="nil"/>
              <w:tr2bl w:val="nil"/>
            </w:tcBorders>
            <w:vAlign w:val="center"/>
          </w:tcPr>
          <w:p w14:paraId="6A0CD6B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74</w:t>
            </w:r>
          </w:p>
        </w:tc>
        <w:tc>
          <w:tcPr>
            <w:tcW w:w="1126" w:type="dxa"/>
            <w:tcBorders>
              <w:tl2br w:val="nil"/>
              <w:tr2bl w:val="nil"/>
            </w:tcBorders>
            <w:vAlign w:val="center"/>
          </w:tcPr>
          <w:p w14:paraId="2A5C4CD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0.769</w:t>
            </w:r>
          </w:p>
        </w:tc>
      </w:tr>
      <w:tr w14:paraId="3AC1844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1108" w:type="dxa"/>
            <w:vMerge w:val="continue"/>
            <w:tcBorders>
              <w:tl2br w:val="nil"/>
              <w:tr2bl w:val="nil"/>
            </w:tcBorders>
            <w:vAlign w:val="center"/>
          </w:tcPr>
          <w:p w14:paraId="45DF8846">
            <w:pPr>
              <w:spacing w:line="300" w:lineRule="exact"/>
              <w:jc w:val="center"/>
              <w:rPr>
                <w:rFonts w:hint="default" w:ascii="Times New Roman" w:hAnsi="Times New Roman" w:eastAsia="华文中宋" w:cs="Times New Roman"/>
                <w:szCs w:val="21"/>
                <w:lang w:val="en-US" w:eastAsia="zh-CN"/>
              </w:rPr>
            </w:pPr>
          </w:p>
        </w:tc>
        <w:tc>
          <w:tcPr>
            <w:tcW w:w="933" w:type="dxa"/>
            <w:tcBorders>
              <w:tl2br w:val="nil"/>
              <w:tr2bl w:val="nil"/>
            </w:tcBorders>
            <w:vAlign w:val="center"/>
          </w:tcPr>
          <w:p w14:paraId="2FD39BFA">
            <w:pPr>
              <w:spacing w:line="300" w:lineRule="exact"/>
              <w:jc w:val="center"/>
              <w:rPr>
                <w:rFonts w:hint="default" w:ascii="Times New Roman" w:hAnsi="Times New Roman" w:eastAsia="华文中宋" w:cs="Times New Roman"/>
                <w:szCs w:val="21"/>
                <w:lang w:eastAsia="zh-CN"/>
              </w:rPr>
            </w:pPr>
            <w:r>
              <w:rPr>
                <w:rFonts w:hint="eastAsia" w:ascii="Times New Roman" w:hAnsi="Times New Roman" w:eastAsia="华文中宋" w:cs="Times New Roman"/>
                <w:szCs w:val="21"/>
                <w:lang w:val="en-US" w:eastAsia="zh-CN"/>
              </w:rPr>
              <w:t>铅及其化合物</w:t>
            </w:r>
          </w:p>
        </w:tc>
        <w:tc>
          <w:tcPr>
            <w:tcW w:w="1064" w:type="dxa"/>
            <w:vMerge w:val="continue"/>
            <w:tcBorders>
              <w:tl2br w:val="nil"/>
              <w:tr2bl w:val="nil"/>
            </w:tcBorders>
            <w:vAlign w:val="center"/>
          </w:tcPr>
          <w:p w14:paraId="4D3CB8B9">
            <w:pPr>
              <w:spacing w:line="300" w:lineRule="exact"/>
              <w:jc w:val="center"/>
              <w:rPr>
                <w:rFonts w:hint="eastAsia" w:ascii="Times New Roman" w:hAnsi="Times New Roman" w:eastAsia="华文中宋" w:cs="Times New Roman"/>
                <w:szCs w:val="21"/>
                <w:lang w:val="en-US" w:eastAsia="zh-CN"/>
              </w:rPr>
            </w:pPr>
          </w:p>
        </w:tc>
        <w:tc>
          <w:tcPr>
            <w:tcW w:w="3060" w:type="dxa"/>
            <w:vMerge w:val="continue"/>
            <w:tcBorders>
              <w:tl2br w:val="nil"/>
              <w:tr2bl w:val="nil"/>
            </w:tcBorders>
            <w:vAlign w:val="center"/>
          </w:tcPr>
          <w:p w14:paraId="5F725E99">
            <w:pPr>
              <w:spacing w:line="300" w:lineRule="exact"/>
              <w:jc w:val="center"/>
              <w:rPr>
                <w:rFonts w:hint="default" w:ascii="Times New Roman" w:hAnsi="Times New Roman" w:eastAsia="华文中宋" w:cs="Times New Roman"/>
                <w:szCs w:val="21"/>
              </w:rPr>
            </w:pPr>
          </w:p>
        </w:tc>
        <w:tc>
          <w:tcPr>
            <w:tcW w:w="1231" w:type="dxa"/>
            <w:vMerge w:val="continue"/>
            <w:tcBorders>
              <w:tl2br w:val="nil"/>
              <w:tr2bl w:val="nil"/>
            </w:tcBorders>
            <w:vAlign w:val="center"/>
          </w:tcPr>
          <w:p w14:paraId="669CACB6">
            <w:pPr>
              <w:spacing w:line="300" w:lineRule="exact"/>
              <w:jc w:val="center"/>
              <w:rPr>
                <w:rFonts w:hint="default" w:ascii="Times New Roman" w:hAnsi="Times New Roman" w:eastAsia="华文中宋" w:cs="Times New Roman"/>
                <w:szCs w:val="21"/>
                <w:lang w:val="en-US" w:eastAsia="zh-CN"/>
              </w:rPr>
            </w:pPr>
          </w:p>
        </w:tc>
        <w:tc>
          <w:tcPr>
            <w:tcW w:w="1126" w:type="dxa"/>
            <w:tcBorders>
              <w:tl2br w:val="nil"/>
              <w:tr2bl w:val="nil"/>
            </w:tcBorders>
            <w:vAlign w:val="center"/>
          </w:tcPr>
          <w:p w14:paraId="76FCD4B3">
            <w:pPr>
              <w:spacing w:line="300" w:lineRule="exact"/>
              <w:jc w:val="center"/>
              <w:rPr>
                <w:rFonts w:hint="default" w:ascii="Times New Roman" w:hAnsi="Times New Roman" w:eastAsia="华文中宋" w:cs="Times New Roman"/>
                <w:szCs w:val="21"/>
                <w:lang w:eastAsia="zh-CN"/>
              </w:rPr>
            </w:pPr>
            <w:r>
              <w:rPr>
                <w:rFonts w:hint="eastAsia" w:ascii="Times New Roman" w:hAnsi="Times New Roman" w:eastAsia="华文中宋" w:cs="Times New Roman"/>
                <w:szCs w:val="21"/>
                <w:lang w:val="en-US" w:eastAsia="zh-CN"/>
              </w:rPr>
              <w:t>0</w:t>
            </w:r>
          </w:p>
        </w:tc>
      </w:tr>
      <w:tr w14:paraId="2E787F5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1108" w:type="dxa"/>
            <w:vMerge w:val="restart"/>
            <w:tcBorders>
              <w:tl2br w:val="nil"/>
              <w:tr2bl w:val="nil"/>
            </w:tcBorders>
            <w:vAlign w:val="center"/>
          </w:tcPr>
          <w:p w14:paraId="32343EA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表土堆放场</w:t>
            </w:r>
          </w:p>
        </w:tc>
        <w:tc>
          <w:tcPr>
            <w:tcW w:w="933" w:type="dxa"/>
            <w:tcBorders>
              <w:tl2br w:val="nil"/>
              <w:tr2bl w:val="nil"/>
            </w:tcBorders>
            <w:vAlign w:val="center"/>
          </w:tcPr>
          <w:p w14:paraId="2164CF9A">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颗粒物</w:t>
            </w:r>
          </w:p>
        </w:tc>
        <w:tc>
          <w:tcPr>
            <w:tcW w:w="1064" w:type="dxa"/>
            <w:vMerge w:val="restart"/>
            <w:tcBorders>
              <w:tl2br w:val="nil"/>
              <w:tr2bl w:val="nil"/>
            </w:tcBorders>
            <w:vAlign w:val="center"/>
          </w:tcPr>
          <w:p w14:paraId="5B571B4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1.362</w:t>
            </w:r>
          </w:p>
        </w:tc>
        <w:tc>
          <w:tcPr>
            <w:tcW w:w="3060" w:type="dxa"/>
            <w:vMerge w:val="restart"/>
            <w:tcBorders>
              <w:tl2br w:val="nil"/>
              <w:tr2bl w:val="nil"/>
            </w:tcBorders>
            <w:vAlign w:val="center"/>
          </w:tcPr>
          <w:p w14:paraId="6777A06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集中压实堆放，</w:t>
            </w:r>
            <w:r>
              <w:rPr>
                <w:rFonts w:hint="default" w:ascii="Times New Roman" w:hAnsi="Times New Roman" w:eastAsia="华文中宋" w:cs="Times New Roman"/>
                <w:szCs w:val="21"/>
                <w:lang w:val="en-US" w:eastAsia="zh-CN"/>
              </w:rPr>
              <w:t>表土表层进行编织覆盖</w:t>
            </w:r>
            <w:r>
              <w:rPr>
                <w:rFonts w:hint="default" w:ascii="Times New Roman" w:hAnsi="Times New Roman" w:eastAsia="华文中宋" w:cs="Times New Roman"/>
                <w:szCs w:val="21"/>
              </w:rPr>
              <w:t>；表土堆放场地洒水降尘、起风面表面喷洒抑尘</w:t>
            </w:r>
          </w:p>
        </w:tc>
        <w:tc>
          <w:tcPr>
            <w:tcW w:w="1231" w:type="dxa"/>
            <w:vMerge w:val="restart"/>
            <w:tcBorders>
              <w:tl2br w:val="nil"/>
              <w:tr2bl w:val="nil"/>
            </w:tcBorders>
            <w:vAlign w:val="center"/>
          </w:tcPr>
          <w:p w14:paraId="355D584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74</w:t>
            </w:r>
          </w:p>
        </w:tc>
        <w:tc>
          <w:tcPr>
            <w:tcW w:w="1126" w:type="dxa"/>
            <w:tcBorders>
              <w:tl2br w:val="nil"/>
              <w:tr2bl w:val="nil"/>
            </w:tcBorders>
            <w:vAlign w:val="center"/>
          </w:tcPr>
          <w:p w14:paraId="154B2800">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0.354</w:t>
            </w:r>
          </w:p>
        </w:tc>
      </w:tr>
      <w:tr w14:paraId="6619391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1108" w:type="dxa"/>
            <w:vMerge w:val="continue"/>
            <w:tcBorders>
              <w:tl2br w:val="nil"/>
              <w:tr2bl w:val="nil"/>
            </w:tcBorders>
            <w:vAlign w:val="center"/>
          </w:tcPr>
          <w:p w14:paraId="46A6E4D3">
            <w:pPr>
              <w:spacing w:line="300" w:lineRule="exact"/>
              <w:jc w:val="center"/>
              <w:rPr>
                <w:rFonts w:hint="default" w:ascii="Times New Roman" w:hAnsi="Times New Roman" w:eastAsia="华文中宋" w:cs="Times New Roman"/>
                <w:szCs w:val="21"/>
                <w:lang w:val="en-US" w:eastAsia="zh-CN"/>
              </w:rPr>
            </w:pPr>
          </w:p>
        </w:tc>
        <w:tc>
          <w:tcPr>
            <w:tcW w:w="933" w:type="dxa"/>
            <w:tcBorders>
              <w:tl2br w:val="nil"/>
              <w:tr2bl w:val="nil"/>
            </w:tcBorders>
            <w:vAlign w:val="center"/>
          </w:tcPr>
          <w:p w14:paraId="5B08F03E">
            <w:pPr>
              <w:spacing w:line="300" w:lineRule="exact"/>
              <w:jc w:val="center"/>
              <w:rPr>
                <w:rFonts w:hint="default" w:ascii="Times New Roman" w:hAnsi="Times New Roman" w:eastAsia="华文中宋" w:cs="Times New Roman"/>
                <w:szCs w:val="21"/>
                <w:lang w:eastAsia="zh-CN"/>
              </w:rPr>
            </w:pPr>
            <w:r>
              <w:rPr>
                <w:rFonts w:hint="eastAsia" w:ascii="Times New Roman" w:hAnsi="Times New Roman" w:eastAsia="华文中宋" w:cs="Times New Roman"/>
                <w:szCs w:val="21"/>
                <w:lang w:val="en-US" w:eastAsia="zh-CN"/>
              </w:rPr>
              <w:t>铅及其化合物</w:t>
            </w:r>
          </w:p>
        </w:tc>
        <w:tc>
          <w:tcPr>
            <w:tcW w:w="1064" w:type="dxa"/>
            <w:vMerge w:val="continue"/>
            <w:tcBorders>
              <w:tl2br w:val="nil"/>
              <w:tr2bl w:val="nil"/>
            </w:tcBorders>
            <w:vAlign w:val="center"/>
          </w:tcPr>
          <w:p w14:paraId="24BAC071">
            <w:pPr>
              <w:spacing w:line="300" w:lineRule="exact"/>
              <w:jc w:val="center"/>
              <w:rPr>
                <w:rFonts w:hint="eastAsia" w:ascii="Times New Roman" w:hAnsi="Times New Roman" w:eastAsia="华文中宋" w:cs="Times New Roman"/>
                <w:szCs w:val="21"/>
                <w:lang w:val="en-US" w:eastAsia="zh-CN"/>
              </w:rPr>
            </w:pPr>
          </w:p>
        </w:tc>
        <w:tc>
          <w:tcPr>
            <w:tcW w:w="3060" w:type="dxa"/>
            <w:vMerge w:val="continue"/>
            <w:tcBorders>
              <w:tl2br w:val="nil"/>
              <w:tr2bl w:val="nil"/>
            </w:tcBorders>
            <w:vAlign w:val="center"/>
          </w:tcPr>
          <w:p w14:paraId="54D30026">
            <w:pPr>
              <w:spacing w:line="300" w:lineRule="exact"/>
              <w:jc w:val="center"/>
              <w:rPr>
                <w:rFonts w:hint="default" w:ascii="Times New Roman" w:hAnsi="Times New Roman" w:eastAsia="华文中宋" w:cs="Times New Roman"/>
                <w:szCs w:val="21"/>
              </w:rPr>
            </w:pPr>
          </w:p>
        </w:tc>
        <w:tc>
          <w:tcPr>
            <w:tcW w:w="1231" w:type="dxa"/>
            <w:vMerge w:val="continue"/>
            <w:tcBorders>
              <w:tl2br w:val="nil"/>
              <w:tr2bl w:val="nil"/>
            </w:tcBorders>
            <w:vAlign w:val="center"/>
          </w:tcPr>
          <w:p w14:paraId="0A72E7B0">
            <w:pPr>
              <w:spacing w:line="300" w:lineRule="exact"/>
              <w:jc w:val="center"/>
              <w:rPr>
                <w:rFonts w:hint="eastAsia" w:ascii="Times New Roman" w:hAnsi="Times New Roman" w:eastAsia="华文中宋" w:cs="Times New Roman"/>
                <w:szCs w:val="21"/>
                <w:lang w:val="en-US" w:eastAsia="zh-CN"/>
              </w:rPr>
            </w:pPr>
          </w:p>
        </w:tc>
        <w:tc>
          <w:tcPr>
            <w:tcW w:w="1126" w:type="dxa"/>
            <w:tcBorders>
              <w:tl2br w:val="nil"/>
              <w:tr2bl w:val="nil"/>
            </w:tcBorders>
            <w:vAlign w:val="center"/>
          </w:tcPr>
          <w:p w14:paraId="4545D446">
            <w:pPr>
              <w:spacing w:line="300" w:lineRule="exact"/>
              <w:jc w:val="center"/>
              <w:rPr>
                <w:rFonts w:hint="default" w:ascii="Times New Roman" w:hAnsi="Times New Roman" w:eastAsia="华文中宋" w:cs="Times New Roman"/>
                <w:szCs w:val="21"/>
                <w:lang w:eastAsia="zh-CN"/>
              </w:rPr>
            </w:pPr>
            <w:r>
              <w:rPr>
                <w:rFonts w:hint="eastAsia" w:ascii="Times New Roman" w:hAnsi="Times New Roman" w:cs="Times New Roman"/>
                <w:b w:val="0"/>
                <w:bCs w:val="0"/>
                <w:color w:val="000000"/>
                <w:szCs w:val="22"/>
                <w:highlight w:val="none"/>
                <w:lang w:val="en-US" w:eastAsia="zh-CN" w:bidi="ar"/>
              </w:rPr>
              <w:t>5.93</w:t>
            </w:r>
            <w:r>
              <w:rPr>
                <w:rFonts w:hint="default" w:ascii="Times New Roman" w:hAnsi="Times New Roman" w:cs="Times New Roman"/>
                <w:b w:val="0"/>
                <w:bCs w:val="0"/>
                <w:color w:val="000000"/>
                <w:szCs w:val="22"/>
                <w:highlight w:val="none"/>
                <w:lang w:val="en-US" w:eastAsia="zh-CN" w:bidi="ar"/>
              </w:rPr>
              <w:t>×10</w:t>
            </w:r>
            <w:r>
              <w:rPr>
                <w:rFonts w:hint="default" w:ascii="Times New Roman" w:hAnsi="Times New Roman" w:cs="Times New Roman"/>
                <w:b w:val="0"/>
                <w:bCs w:val="0"/>
                <w:color w:val="000000"/>
                <w:szCs w:val="22"/>
                <w:highlight w:val="none"/>
                <w:vertAlign w:val="superscript"/>
                <w:lang w:val="en-US" w:eastAsia="zh-CN" w:bidi="ar"/>
              </w:rPr>
              <w:t>-6</w:t>
            </w:r>
          </w:p>
        </w:tc>
      </w:tr>
      <w:tr w14:paraId="0C39B7F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1108" w:type="dxa"/>
            <w:vMerge w:val="restart"/>
            <w:tcBorders>
              <w:tl2br w:val="nil"/>
              <w:tr2bl w:val="nil"/>
            </w:tcBorders>
            <w:vAlign w:val="center"/>
          </w:tcPr>
          <w:p w14:paraId="2DAF5A9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矿石转运场</w:t>
            </w:r>
          </w:p>
        </w:tc>
        <w:tc>
          <w:tcPr>
            <w:tcW w:w="933" w:type="dxa"/>
            <w:tcBorders>
              <w:tl2br w:val="nil"/>
              <w:tr2bl w:val="nil"/>
            </w:tcBorders>
            <w:vAlign w:val="center"/>
          </w:tcPr>
          <w:p w14:paraId="2482C510">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颗粒物</w:t>
            </w:r>
          </w:p>
        </w:tc>
        <w:tc>
          <w:tcPr>
            <w:tcW w:w="1064" w:type="dxa"/>
            <w:vMerge w:val="restart"/>
            <w:tcBorders>
              <w:tl2br w:val="nil"/>
              <w:tr2bl w:val="nil"/>
            </w:tcBorders>
            <w:vAlign w:val="center"/>
          </w:tcPr>
          <w:p w14:paraId="6CC44D7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1.206</w:t>
            </w:r>
          </w:p>
        </w:tc>
        <w:tc>
          <w:tcPr>
            <w:tcW w:w="3060" w:type="dxa"/>
            <w:vMerge w:val="restart"/>
            <w:tcBorders>
              <w:tl2br w:val="nil"/>
              <w:tr2bl w:val="nil"/>
            </w:tcBorders>
            <w:vAlign w:val="center"/>
          </w:tcPr>
          <w:p w14:paraId="0822690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采取洒水抑尘</w:t>
            </w:r>
          </w:p>
        </w:tc>
        <w:tc>
          <w:tcPr>
            <w:tcW w:w="1231" w:type="dxa"/>
            <w:vMerge w:val="restart"/>
            <w:tcBorders>
              <w:tl2br w:val="nil"/>
              <w:tr2bl w:val="nil"/>
            </w:tcBorders>
            <w:vAlign w:val="center"/>
          </w:tcPr>
          <w:p w14:paraId="4D0858A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74</w:t>
            </w:r>
          </w:p>
        </w:tc>
        <w:tc>
          <w:tcPr>
            <w:tcW w:w="1126" w:type="dxa"/>
            <w:tcBorders>
              <w:tl2br w:val="nil"/>
              <w:tr2bl w:val="nil"/>
            </w:tcBorders>
            <w:vAlign w:val="center"/>
          </w:tcPr>
          <w:p w14:paraId="58D9A73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0.045</w:t>
            </w:r>
          </w:p>
        </w:tc>
      </w:tr>
      <w:tr w14:paraId="1C7BE40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108" w:type="dxa"/>
            <w:vMerge w:val="continue"/>
            <w:tcBorders>
              <w:tl2br w:val="nil"/>
              <w:tr2bl w:val="nil"/>
            </w:tcBorders>
            <w:vAlign w:val="center"/>
          </w:tcPr>
          <w:p w14:paraId="3C74289C">
            <w:pPr>
              <w:spacing w:line="300" w:lineRule="exact"/>
              <w:jc w:val="center"/>
              <w:rPr>
                <w:rFonts w:hint="eastAsia" w:ascii="Times New Roman" w:hAnsi="Times New Roman" w:eastAsia="华文中宋" w:cs="Times New Roman"/>
                <w:szCs w:val="21"/>
                <w:lang w:val="en-US" w:eastAsia="zh-CN"/>
              </w:rPr>
            </w:pPr>
          </w:p>
        </w:tc>
        <w:tc>
          <w:tcPr>
            <w:tcW w:w="933" w:type="dxa"/>
            <w:tcBorders>
              <w:tl2br w:val="nil"/>
              <w:tr2bl w:val="nil"/>
            </w:tcBorders>
            <w:vAlign w:val="center"/>
          </w:tcPr>
          <w:p w14:paraId="6CF31375">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铅及其化合物</w:t>
            </w:r>
          </w:p>
        </w:tc>
        <w:tc>
          <w:tcPr>
            <w:tcW w:w="1064" w:type="dxa"/>
            <w:vMerge w:val="continue"/>
            <w:tcBorders>
              <w:tl2br w:val="nil"/>
              <w:tr2bl w:val="nil"/>
            </w:tcBorders>
            <w:vAlign w:val="center"/>
          </w:tcPr>
          <w:p w14:paraId="5A6C0A5B">
            <w:pPr>
              <w:spacing w:line="300" w:lineRule="exact"/>
              <w:jc w:val="center"/>
              <w:rPr>
                <w:rFonts w:hint="eastAsia" w:ascii="Times New Roman" w:hAnsi="Times New Roman" w:eastAsia="华文中宋" w:cs="Times New Roman"/>
                <w:szCs w:val="21"/>
                <w:lang w:val="en-US" w:eastAsia="zh-CN"/>
              </w:rPr>
            </w:pPr>
          </w:p>
        </w:tc>
        <w:tc>
          <w:tcPr>
            <w:tcW w:w="3060" w:type="dxa"/>
            <w:vMerge w:val="continue"/>
            <w:tcBorders>
              <w:tl2br w:val="nil"/>
              <w:tr2bl w:val="nil"/>
            </w:tcBorders>
            <w:vAlign w:val="center"/>
          </w:tcPr>
          <w:p w14:paraId="4CD66CFF">
            <w:pPr>
              <w:spacing w:line="300" w:lineRule="exact"/>
              <w:jc w:val="center"/>
              <w:rPr>
                <w:rFonts w:hint="default" w:ascii="Times New Roman" w:hAnsi="Times New Roman" w:eastAsia="华文中宋" w:cs="Times New Roman"/>
                <w:szCs w:val="21"/>
                <w:lang w:val="en-US" w:eastAsia="zh-CN"/>
              </w:rPr>
            </w:pPr>
          </w:p>
        </w:tc>
        <w:tc>
          <w:tcPr>
            <w:tcW w:w="1231" w:type="dxa"/>
            <w:vMerge w:val="continue"/>
            <w:tcBorders>
              <w:tl2br w:val="nil"/>
              <w:tr2bl w:val="nil"/>
            </w:tcBorders>
            <w:vAlign w:val="center"/>
          </w:tcPr>
          <w:p w14:paraId="69D623C5">
            <w:pPr>
              <w:spacing w:line="300" w:lineRule="exact"/>
              <w:jc w:val="center"/>
              <w:rPr>
                <w:rFonts w:hint="eastAsia" w:ascii="Times New Roman" w:hAnsi="Times New Roman" w:eastAsia="华文中宋" w:cs="Times New Roman"/>
                <w:szCs w:val="21"/>
                <w:lang w:val="en-US" w:eastAsia="zh-CN"/>
              </w:rPr>
            </w:pPr>
          </w:p>
        </w:tc>
        <w:tc>
          <w:tcPr>
            <w:tcW w:w="1126" w:type="dxa"/>
            <w:tcBorders>
              <w:tl2br w:val="nil"/>
              <w:tr2bl w:val="nil"/>
            </w:tcBorders>
            <w:vAlign w:val="center"/>
          </w:tcPr>
          <w:p w14:paraId="4D1FE97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0.003</w:t>
            </w:r>
          </w:p>
        </w:tc>
      </w:tr>
      <w:tr w14:paraId="44B189F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1108" w:type="dxa"/>
            <w:vMerge w:val="restart"/>
            <w:tcBorders>
              <w:tl2br w:val="nil"/>
              <w:tr2bl w:val="nil"/>
            </w:tcBorders>
            <w:vAlign w:val="center"/>
          </w:tcPr>
          <w:p w14:paraId="40BE4D10">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燃油废气</w:t>
            </w:r>
          </w:p>
        </w:tc>
        <w:tc>
          <w:tcPr>
            <w:tcW w:w="933" w:type="dxa"/>
            <w:tcBorders>
              <w:tl2br w:val="nil"/>
              <w:tr2bl w:val="nil"/>
            </w:tcBorders>
            <w:vAlign w:val="center"/>
          </w:tcPr>
          <w:p w14:paraId="4F5D3B35">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烟尘</w:t>
            </w:r>
          </w:p>
        </w:tc>
        <w:tc>
          <w:tcPr>
            <w:tcW w:w="1064" w:type="dxa"/>
            <w:tcBorders>
              <w:tl2br w:val="nil"/>
              <w:tr2bl w:val="nil"/>
            </w:tcBorders>
            <w:vAlign w:val="center"/>
          </w:tcPr>
          <w:p w14:paraId="1C744635">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0.675</w:t>
            </w:r>
          </w:p>
        </w:tc>
        <w:tc>
          <w:tcPr>
            <w:tcW w:w="3060" w:type="dxa"/>
            <w:vMerge w:val="restart"/>
            <w:tcBorders>
              <w:tl2br w:val="nil"/>
              <w:tr2bl w:val="nil"/>
            </w:tcBorders>
            <w:vAlign w:val="center"/>
          </w:tcPr>
          <w:p w14:paraId="2BE5F26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保养、选用低能耗、高效率的燃油设备和车辆</w:t>
            </w:r>
          </w:p>
        </w:tc>
        <w:tc>
          <w:tcPr>
            <w:tcW w:w="0" w:type="auto"/>
            <w:vMerge w:val="restart"/>
            <w:tcBorders>
              <w:tl2br w:val="nil"/>
              <w:tr2bl w:val="nil"/>
            </w:tcBorders>
            <w:vAlign w:val="center"/>
          </w:tcPr>
          <w:p w14:paraId="0E6274C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w:t>
            </w:r>
          </w:p>
        </w:tc>
        <w:tc>
          <w:tcPr>
            <w:tcW w:w="0" w:type="auto"/>
            <w:tcBorders>
              <w:tl2br w:val="nil"/>
              <w:tr2bl w:val="nil"/>
            </w:tcBorders>
            <w:vAlign w:val="center"/>
          </w:tcPr>
          <w:p w14:paraId="3F6B846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0.675</w:t>
            </w:r>
          </w:p>
        </w:tc>
      </w:tr>
      <w:tr w14:paraId="241F7A2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1108" w:type="dxa"/>
            <w:vMerge w:val="continue"/>
            <w:tcBorders>
              <w:tl2br w:val="nil"/>
              <w:tr2bl w:val="nil"/>
            </w:tcBorders>
            <w:vAlign w:val="center"/>
          </w:tcPr>
          <w:p w14:paraId="402E2BCF">
            <w:pPr>
              <w:spacing w:line="300" w:lineRule="exact"/>
              <w:jc w:val="center"/>
              <w:rPr>
                <w:rFonts w:hint="default" w:ascii="Times New Roman" w:hAnsi="Times New Roman" w:eastAsia="华文中宋" w:cs="Times New Roman"/>
                <w:szCs w:val="21"/>
                <w:lang w:eastAsia="zh-CN"/>
              </w:rPr>
            </w:pPr>
          </w:p>
        </w:tc>
        <w:tc>
          <w:tcPr>
            <w:tcW w:w="933" w:type="dxa"/>
            <w:tcBorders>
              <w:tl2br w:val="nil"/>
              <w:tr2bl w:val="nil"/>
            </w:tcBorders>
            <w:vAlign w:val="center"/>
          </w:tcPr>
          <w:p w14:paraId="42C75B5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NOx</w:t>
            </w:r>
          </w:p>
        </w:tc>
        <w:tc>
          <w:tcPr>
            <w:tcW w:w="1064" w:type="dxa"/>
            <w:tcBorders>
              <w:tl2br w:val="nil"/>
              <w:tr2bl w:val="nil"/>
            </w:tcBorders>
            <w:vAlign w:val="center"/>
          </w:tcPr>
          <w:p w14:paraId="25F6A35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2.420</w:t>
            </w:r>
          </w:p>
        </w:tc>
        <w:tc>
          <w:tcPr>
            <w:tcW w:w="3060" w:type="dxa"/>
            <w:vMerge w:val="continue"/>
            <w:tcBorders>
              <w:tl2br w:val="nil"/>
              <w:tr2bl w:val="nil"/>
            </w:tcBorders>
            <w:vAlign w:val="center"/>
          </w:tcPr>
          <w:p w14:paraId="699626BB">
            <w:pPr>
              <w:spacing w:line="300" w:lineRule="exact"/>
              <w:jc w:val="center"/>
              <w:rPr>
                <w:rFonts w:hint="default" w:ascii="Times New Roman" w:hAnsi="Times New Roman" w:eastAsia="华文中宋" w:cs="Times New Roman"/>
                <w:szCs w:val="21"/>
              </w:rPr>
            </w:pPr>
          </w:p>
        </w:tc>
        <w:tc>
          <w:tcPr>
            <w:tcW w:w="0" w:type="auto"/>
            <w:vMerge w:val="continue"/>
            <w:tcBorders>
              <w:tl2br w:val="nil"/>
              <w:tr2bl w:val="nil"/>
            </w:tcBorders>
            <w:vAlign w:val="center"/>
          </w:tcPr>
          <w:p w14:paraId="1832FCBB">
            <w:pPr>
              <w:spacing w:line="300" w:lineRule="exact"/>
              <w:jc w:val="center"/>
              <w:rPr>
                <w:rFonts w:hint="default" w:ascii="Times New Roman" w:hAnsi="Times New Roman" w:eastAsia="华文中宋" w:cs="Times New Roman"/>
                <w:szCs w:val="21"/>
                <w:lang w:val="en-US" w:eastAsia="zh-CN"/>
              </w:rPr>
            </w:pPr>
          </w:p>
        </w:tc>
        <w:tc>
          <w:tcPr>
            <w:tcW w:w="0" w:type="auto"/>
            <w:tcBorders>
              <w:tl2br w:val="nil"/>
              <w:tr2bl w:val="nil"/>
            </w:tcBorders>
            <w:vAlign w:val="center"/>
          </w:tcPr>
          <w:p w14:paraId="292C711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2.420</w:t>
            </w:r>
          </w:p>
        </w:tc>
      </w:tr>
      <w:tr w14:paraId="3276D90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1108" w:type="dxa"/>
            <w:vMerge w:val="continue"/>
            <w:tcBorders>
              <w:tl2br w:val="nil"/>
              <w:tr2bl w:val="nil"/>
            </w:tcBorders>
            <w:vAlign w:val="center"/>
          </w:tcPr>
          <w:p w14:paraId="447460C6">
            <w:pPr>
              <w:spacing w:line="300" w:lineRule="exact"/>
              <w:jc w:val="center"/>
              <w:rPr>
                <w:rFonts w:hint="default" w:ascii="Times New Roman" w:hAnsi="Times New Roman" w:eastAsia="华文中宋" w:cs="Times New Roman"/>
                <w:szCs w:val="21"/>
                <w:lang w:eastAsia="zh-CN"/>
              </w:rPr>
            </w:pPr>
          </w:p>
        </w:tc>
        <w:tc>
          <w:tcPr>
            <w:tcW w:w="933" w:type="dxa"/>
            <w:tcBorders>
              <w:tl2br w:val="nil"/>
              <w:tr2bl w:val="nil"/>
            </w:tcBorders>
            <w:vAlign w:val="center"/>
          </w:tcPr>
          <w:p w14:paraId="7C6935C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SO</w:t>
            </w:r>
            <w:r>
              <w:rPr>
                <w:rFonts w:hint="default" w:ascii="Times New Roman" w:hAnsi="Times New Roman" w:eastAsia="华文中宋" w:cs="Times New Roman"/>
                <w:szCs w:val="21"/>
                <w:vertAlign w:val="subscript"/>
                <w:lang w:val="en-US" w:eastAsia="zh-CN"/>
              </w:rPr>
              <w:t>2</w:t>
            </w:r>
          </w:p>
        </w:tc>
        <w:tc>
          <w:tcPr>
            <w:tcW w:w="1064" w:type="dxa"/>
            <w:tcBorders>
              <w:tl2br w:val="nil"/>
              <w:tr2bl w:val="nil"/>
            </w:tcBorders>
            <w:vAlign w:val="center"/>
          </w:tcPr>
          <w:p w14:paraId="2F7E633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w:t>
            </w:r>
            <w:r>
              <w:rPr>
                <w:rFonts w:hint="eastAsia" w:ascii="Times New Roman" w:hAnsi="Times New Roman" w:eastAsia="华文中宋" w:cs="Times New Roman"/>
                <w:szCs w:val="21"/>
                <w:lang w:val="en-US" w:eastAsia="zh-CN"/>
              </w:rPr>
              <w:t>781</w:t>
            </w:r>
          </w:p>
        </w:tc>
        <w:tc>
          <w:tcPr>
            <w:tcW w:w="3060" w:type="dxa"/>
            <w:vMerge w:val="continue"/>
            <w:tcBorders>
              <w:tl2br w:val="nil"/>
              <w:tr2bl w:val="nil"/>
            </w:tcBorders>
            <w:vAlign w:val="center"/>
          </w:tcPr>
          <w:p w14:paraId="149F1B08">
            <w:pPr>
              <w:spacing w:line="300" w:lineRule="exact"/>
              <w:jc w:val="center"/>
              <w:rPr>
                <w:rFonts w:hint="default" w:ascii="Times New Roman" w:hAnsi="Times New Roman" w:eastAsia="华文中宋" w:cs="Times New Roman"/>
                <w:szCs w:val="21"/>
              </w:rPr>
            </w:pPr>
          </w:p>
        </w:tc>
        <w:tc>
          <w:tcPr>
            <w:tcW w:w="0" w:type="auto"/>
            <w:vMerge w:val="continue"/>
            <w:tcBorders>
              <w:tl2br w:val="nil"/>
              <w:tr2bl w:val="nil"/>
            </w:tcBorders>
            <w:vAlign w:val="center"/>
          </w:tcPr>
          <w:p w14:paraId="2CC01095">
            <w:pPr>
              <w:spacing w:line="300" w:lineRule="exact"/>
              <w:jc w:val="center"/>
              <w:rPr>
                <w:rFonts w:hint="default" w:ascii="Times New Roman" w:hAnsi="Times New Roman" w:eastAsia="华文中宋" w:cs="Times New Roman"/>
                <w:szCs w:val="21"/>
              </w:rPr>
            </w:pPr>
          </w:p>
        </w:tc>
        <w:tc>
          <w:tcPr>
            <w:tcW w:w="0" w:type="auto"/>
            <w:tcBorders>
              <w:tl2br w:val="nil"/>
              <w:tr2bl w:val="nil"/>
            </w:tcBorders>
            <w:vAlign w:val="center"/>
          </w:tcPr>
          <w:p w14:paraId="07245F8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w:t>
            </w:r>
            <w:r>
              <w:rPr>
                <w:rFonts w:hint="eastAsia" w:ascii="Times New Roman" w:hAnsi="Times New Roman" w:eastAsia="华文中宋" w:cs="Times New Roman"/>
                <w:szCs w:val="21"/>
                <w:lang w:val="en-US" w:eastAsia="zh-CN"/>
              </w:rPr>
              <w:t>781</w:t>
            </w:r>
          </w:p>
        </w:tc>
      </w:tr>
      <w:tr w14:paraId="45EE548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1108" w:type="dxa"/>
            <w:tcBorders>
              <w:tl2br w:val="nil"/>
              <w:tr2bl w:val="nil"/>
            </w:tcBorders>
            <w:vAlign w:val="center"/>
          </w:tcPr>
          <w:p w14:paraId="7034F7D0">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食堂</w:t>
            </w:r>
          </w:p>
        </w:tc>
        <w:tc>
          <w:tcPr>
            <w:tcW w:w="933" w:type="dxa"/>
            <w:tcBorders>
              <w:tl2br w:val="nil"/>
              <w:tr2bl w:val="nil"/>
            </w:tcBorders>
            <w:vAlign w:val="center"/>
          </w:tcPr>
          <w:p w14:paraId="319EE4E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油烟</w:t>
            </w:r>
          </w:p>
        </w:tc>
        <w:tc>
          <w:tcPr>
            <w:tcW w:w="1064" w:type="dxa"/>
            <w:tcBorders>
              <w:tl2br w:val="nil"/>
              <w:tr2bl w:val="nil"/>
            </w:tcBorders>
            <w:vAlign w:val="center"/>
          </w:tcPr>
          <w:p w14:paraId="47B526E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0.00</w:t>
            </w:r>
            <w:r>
              <w:rPr>
                <w:rFonts w:hint="eastAsia" w:ascii="Times New Roman" w:hAnsi="Times New Roman" w:eastAsia="华文中宋" w:cs="Times New Roman"/>
                <w:szCs w:val="21"/>
                <w:lang w:val="en-US" w:eastAsia="zh-CN"/>
              </w:rPr>
              <w:t>85</w:t>
            </w:r>
          </w:p>
        </w:tc>
        <w:tc>
          <w:tcPr>
            <w:tcW w:w="3060" w:type="dxa"/>
            <w:tcBorders>
              <w:tl2br w:val="nil"/>
              <w:tr2bl w:val="nil"/>
            </w:tcBorders>
            <w:vAlign w:val="center"/>
          </w:tcPr>
          <w:p w14:paraId="68DF4BC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食用产油烟低的食用油</w:t>
            </w:r>
          </w:p>
        </w:tc>
        <w:tc>
          <w:tcPr>
            <w:tcW w:w="0" w:type="auto"/>
            <w:tcBorders>
              <w:tl2br w:val="nil"/>
              <w:tr2bl w:val="nil"/>
            </w:tcBorders>
            <w:vAlign w:val="center"/>
          </w:tcPr>
          <w:p w14:paraId="7153A3E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w:t>
            </w:r>
          </w:p>
        </w:tc>
        <w:tc>
          <w:tcPr>
            <w:tcW w:w="0" w:type="auto"/>
            <w:tcBorders>
              <w:tl2br w:val="nil"/>
              <w:tr2bl w:val="nil"/>
            </w:tcBorders>
            <w:vAlign w:val="center"/>
          </w:tcPr>
          <w:p w14:paraId="2C59711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0.0085</w:t>
            </w:r>
          </w:p>
        </w:tc>
      </w:tr>
    </w:tbl>
    <w:p w14:paraId="354D3BB7">
      <w:pPr>
        <w:pStyle w:val="24"/>
        <w:snapToGrid w:val="0"/>
        <w:ind w:left="0" w:leftChars="0" w:firstLine="0" w:firstLineChars="0"/>
        <w:jc w:val="left"/>
        <w:rPr>
          <w:rFonts w:hint="default" w:ascii="Times New Roman" w:hAnsi="Times New Roman" w:eastAsia="华文中宋" w:cs="Times New Roman"/>
          <w:b/>
          <w:bCs/>
          <w:color w:val="auto"/>
          <w:lang w:val="en-US" w:eastAsia="zh-CN"/>
        </w:rPr>
      </w:pPr>
      <w:r>
        <w:rPr>
          <w:rFonts w:hint="eastAsia" w:ascii="Times New Roman" w:hAnsi="Times New Roman" w:cs="Times New Roman"/>
          <w:b/>
          <w:bCs/>
          <w:color w:val="auto"/>
          <w:lang w:val="en-US" w:eastAsia="zh-CN"/>
        </w:rPr>
        <w:t>3.2.2.3</w:t>
      </w:r>
      <w:r>
        <w:rPr>
          <w:rFonts w:hint="default" w:ascii="Times New Roman" w:hAnsi="Times New Roman" w:eastAsia="华文中宋" w:cs="Times New Roman"/>
          <w:b/>
          <w:bCs/>
          <w:color w:val="auto"/>
          <w:lang w:val="en-US" w:eastAsia="zh-CN"/>
        </w:rPr>
        <w:t>水污染源及污染物排放情况</w:t>
      </w:r>
    </w:p>
    <w:p w14:paraId="4EF3818E">
      <w:pPr>
        <w:pStyle w:val="24"/>
        <w:snapToGrid w:val="0"/>
        <w:jc w:val="left"/>
        <w:rPr>
          <w:rFonts w:hint="default" w:ascii="Calibri" w:hAnsi="Calibri" w:eastAsia="华文中宋" w:cs="Calibri"/>
          <w:color w:val="auto"/>
          <w:lang w:val="en-US" w:eastAsia="zh-CN"/>
        </w:rPr>
      </w:pPr>
      <w:r>
        <w:rPr>
          <w:rFonts w:hint="eastAsia" w:ascii="Calibri" w:hAnsi="Calibri" w:eastAsia="华文中宋" w:cs="Calibri"/>
          <w:color w:val="auto"/>
          <w:lang w:val="en-US" w:eastAsia="zh-CN"/>
        </w:rPr>
        <w:t>本项目在正常工况下水污染源主要为采坑废水和生活污水。</w:t>
      </w:r>
    </w:p>
    <w:p w14:paraId="74BE8B87">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（1）</w:t>
      </w:r>
      <w:r>
        <w:rPr>
          <w:rFonts w:hint="eastAsia" w:ascii="Times New Roman" w:hAnsi="Times New Roman" w:eastAsia="华文中宋" w:cs="Times New Roman"/>
          <w:color w:val="auto"/>
          <w:lang w:val="en-US" w:eastAsia="zh-CN"/>
        </w:rPr>
        <w:t>采坑废水</w:t>
      </w:r>
    </w:p>
    <w:p w14:paraId="296864C3">
      <w:pPr>
        <w:pStyle w:val="24"/>
        <w:snapToGrid w:val="0"/>
        <w:jc w:val="left"/>
        <w:rPr>
          <w:rFonts w:hint="default" w:ascii="Times New Roman" w:hAnsi="Times New Roman" w:eastAsia="华文中宋" w:cs="Times New Roman"/>
          <w:snapToGrid w:val="0"/>
          <w:color w:val="auto"/>
          <w:kern w:val="0"/>
          <w:sz w:val="24"/>
          <w:szCs w:val="20"/>
          <w:lang w:val="en-US" w:eastAsia="zh-CN" w:bidi="ar-SA"/>
        </w:rPr>
      </w:pPr>
      <w:r>
        <w:rPr>
          <w:rFonts w:hint="default" w:ascii="Times New Roman" w:hAnsi="Times New Roman" w:eastAsia="华文中宋" w:cs="Times New Roman"/>
          <w:snapToGrid w:val="0"/>
          <w:color w:val="auto"/>
          <w:kern w:val="0"/>
          <w:sz w:val="24"/>
          <w:szCs w:val="20"/>
          <w:lang w:val="en-US" w:eastAsia="zh-CN" w:bidi="ar-SA"/>
        </w:rPr>
        <w:t>据《新疆民丰县盼水河铅锑矿</w:t>
      </w:r>
      <w:r>
        <w:rPr>
          <w:rFonts w:hint="eastAsia" w:ascii="Times New Roman" w:hAnsi="Times New Roman" w:eastAsia="华文中宋" w:cs="Times New Roman"/>
          <w:snapToGrid w:val="0"/>
          <w:color w:val="auto"/>
          <w:kern w:val="0"/>
          <w:sz w:val="24"/>
          <w:szCs w:val="20"/>
          <w:lang w:val="en-US" w:eastAsia="zh-CN" w:bidi="ar-SA"/>
        </w:rPr>
        <w:t>水文地质勘查</w:t>
      </w:r>
      <w:r>
        <w:rPr>
          <w:rFonts w:hint="default" w:ascii="Times New Roman" w:hAnsi="Times New Roman" w:eastAsia="华文中宋" w:cs="Times New Roman"/>
          <w:snapToGrid w:val="0"/>
          <w:color w:val="auto"/>
          <w:kern w:val="0"/>
          <w:sz w:val="24"/>
          <w:szCs w:val="20"/>
          <w:lang w:val="en-US" w:eastAsia="zh-CN" w:bidi="ar-SA"/>
        </w:rPr>
        <w:t>报告》</w:t>
      </w:r>
      <w:r>
        <w:rPr>
          <w:rFonts w:hint="eastAsia" w:ascii="Times New Roman" w:hAnsi="Times New Roman" w:eastAsia="华文中宋" w:cs="Times New Roman"/>
          <w:snapToGrid w:val="0"/>
          <w:color w:val="auto"/>
          <w:kern w:val="0"/>
          <w:sz w:val="24"/>
          <w:szCs w:val="20"/>
          <w:lang w:val="en-US" w:eastAsia="zh-CN" w:bidi="ar-SA"/>
        </w:rPr>
        <w:t>，</w:t>
      </w:r>
      <w:r>
        <w:rPr>
          <w:rFonts w:hint="default" w:ascii="Times New Roman" w:hAnsi="Times New Roman" w:eastAsia="华文中宋" w:cs="Times New Roman"/>
          <w:snapToGrid w:val="0"/>
          <w:color w:val="auto"/>
          <w:kern w:val="0"/>
          <w:sz w:val="24"/>
          <w:szCs w:val="20"/>
          <w:lang w:val="en-US" w:eastAsia="zh-CN" w:bidi="ar-SA"/>
        </w:rPr>
        <w:t>矿体开采方式主要为凹陷式开采。勘查区施工钻孔均为干孔，静止水位观测最深的钻孔孔深为102米</w:t>
      </w:r>
      <w:r>
        <w:rPr>
          <w:rFonts w:hint="eastAsia" w:ascii="Times New Roman" w:hAnsi="Times New Roman" w:eastAsia="华文中宋" w:cs="Times New Roman"/>
          <w:snapToGrid w:val="0"/>
          <w:color w:val="auto"/>
          <w:kern w:val="0"/>
          <w:sz w:val="24"/>
          <w:szCs w:val="20"/>
          <w:lang w:val="en-US" w:eastAsia="zh-CN" w:bidi="ar-SA"/>
        </w:rPr>
        <w:t>，</w:t>
      </w:r>
      <w:r>
        <w:rPr>
          <w:rFonts w:hint="default" w:ascii="Times New Roman" w:hAnsi="Times New Roman" w:eastAsia="华文中宋" w:cs="Times New Roman"/>
          <w:snapToGrid w:val="0"/>
          <w:color w:val="auto"/>
          <w:kern w:val="0"/>
          <w:sz w:val="24"/>
          <w:szCs w:val="20"/>
          <w:lang w:val="en-US" w:eastAsia="zh-CN" w:bidi="ar-SA"/>
        </w:rPr>
        <w:t>矿床评价深度均位于地下水位之上，仅局部存在少量裂隙水，故在露天开采过程中可不考虑地下水对矿床充水的情况。矿床主要充水来源为大气降水，暴雨引发的突发性地表水涌入</w:t>
      </w:r>
      <w:r>
        <w:rPr>
          <w:rFonts w:hint="eastAsia" w:ascii="Times New Roman" w:hAnsi="Times New Roman" w:eastAsia="华文中宋" w:cs="Times New Roman"/>
          <w:snapToGrid w:val="0"/>
          <w:color w:val="auto"/>
          <w:kern w:val="0"/>
          <w:sz w:val="24"/>
          <w:szCs w:val="20"/>
          <w:lang w:val="en-US" w:eastAsia="zh-CN" w:bidi="ar-SA"/>
        </w:rPr>
        <w:t>。</w:t>
      </w:r>
      <w:r>
        <w:rPr>
          <w:rFonts w:hint="default" w:ascii="Times New Roman" w:hAnsi="Times New Roman" w:eastAsia="华文中宋" w:cs="Times New Roman"/>
          <w:snapToGrid w:val="0"/>
          <w:color w:val="auto"/>
          <w:kern w:val="0"/>
          <w:sz w:val="24"/>
          <w:szCs w:val="20"/>
          <w:lang w:val="en-US" w:eastAsia="zh-CN" w:bidi="ar-SA"/>
        </w:rPr>
        <w:t>采矿场为凹陷式露天采场，设计采用机械集中排水，在采场最低平台合适位置建简易集水坑，集水坑长3m，宽2m，深2.5m。容积为15m</w:t>
      </w:r>
      <w:r>
        <w:rPr>
          <w:rFonts w:hint="default" w:ascii="Times New Roman" w:hAnsi="Times New Roman" w:eastAsia="华文中宋" w:cs="Times New Roman"/>
          <w:snapToGrid w:val="0"/>
          <w:color w:val="auto"/>
          <w:kern w:val="0"/>
          <w:sz w:val="24"/>
          <w:szCs w:val="20"/>
          <w:vertAlign w:val="superscript"/>
          <w:lang w:val="en-US" w:eastAsia="zh-CN" w:bidi="ar-SA"/>
        </w:rPr>
        <w:t>3</w:t>
      </w:r>
      <w:r>
        <w:rPr>
          <w:rFonts w:hint="default" w:ascii="Times New Roman" w:hAnsi="Times New Roman" w:eastAsia="华文中宋" w:cs="Times New Roman"/>
          <w:snapToGrid w:val="0"/>
          <w:color w:val="auto"/>
          <w:kern w:val="0"/>
          <w:sz w:val="24"/>
          <w:szCs w:val="20"/>
          <w:lang w:val="en-US" w:eastAsia="zh-CN" w:bidi="ar-SA"/>
        </w:rPr>
        <w:t>，集水坑采用挖掘机不定期清淤。集水坑集排水设备随采场开采深度下降而移动</w:t>
      </w:r>
      <w:r>
        <w:rPr>
          <w:rFonts w:hint="eastAsia" w:ascii="Times New Roman" w:hAnsi="Times New Roman" w:eastAsia="华文中宋" w:cs="Times New Roman"/>
          <w:snapToGrid w:val="0"/>
          <w:color w:val="auto"/>
          <w:kern w:val="0"/>
          <w:sz w:val="24"/>
          <w:szCs w:val="20"/>
          <w:lang w:val="en-US" w:eastAsia="zh-CN" w:bidi="ar-SA"/>
        </w:rPr>
        <w:t>。采水坑内用水经沉淀后用于矿山洒水降尘或自然蒸干，不外排。</w:t>
      </w:r>
    </w:p>
    <w:p w14:paraId="06E4D1CD">
      <w:pPr>
        <w:pStyle w:val="24"/>
        <w:snapToGrid w:val="0"/>
        <w:jc w:val="left"/>
        <w:rPr>
          <w:rFonts w:hint="default" w:ascii="Times New Roman" w:hAnsi="Times New Roman" w:eastAsia="华文中宋" w:cs="Times New Roman"/>
          <w:color w:val="auto"/>
          <w:lang w:val="en-US" w:eastAsia="zh-CN"/>
        </w:rPr>
      </w:pPr>
      <w:r>
        <w:rPr>
          <w:rFonts w:hint="eastAsia" w:ascii="Calibri" w:hAnsi="Calibri" w:cs="Calibri"/>
          <w:color w:val="auto"/>
          <w:lang w:val="en-US" w:eastAsia="zh-CN"/>
        </w:rPr>
        <w:t>（2）</w:t>
      </w:r>
      <w:r>
        <w:rPr>
          <w:rFonts w:hint="default" w:ascii="Times New Roman" w:hAnsi="Times New Roman" w:eastAsia="华文中宋" w:cs="Times New Roman"/>
          <w:color w:val="auto"/>
          <w:lang w:val="en-US" w:eastAsia="zh-CN"/>
        </w:rPr>
        <w:t>生活污水</w:t>
      </w:r>
    </w:p>
    <w:p w14:paraId="0A805396">
      <w:pPr>
        <w:adjustRightInd w:val="0"/>
        <w:snapToGrid w:val="0"/>
        <w:spacing w:line="500" w:lineRule="exact"/>
        <w:ind w:firstLine="480" w:firstLineChars="200"/>
        <w:jc w:val="left"/>
        <w:rPr>
          <w:rFonts w:hint="default" w:ascii="Times New Roman" w:hAnsi="Times New Roman" w:eastAsia="华文中宋" w:cs="Times New Roman"/>
          <w:snapToGrid w:val="0"/>
          <w:color w:val="auto"/>
          <w:kern w:val="0"/>
          <w:sz w:val="24"/>
          <w:szCs w:val="20"/>
          <w:lang w:val="en-US" w:eastAsia="zh-CN" w:bidi="ar-SA"/>
        </w:rPr>
      </w:pPr>
      <w:r>
        <w:rPr>
          <w:rFonts w:hint="default" w:ascii="Times New Roman" w:hAnsi="Times New Roman" w:eastAsia="华文中宋" w:cs="Times New Roman"/>
          <w:snapToGrid w:val="0"/>
          <w:color w:val="auto"/>
          <w:kern w:val="0"/>
          <w:sz w:val="24"/>
          <w:szCs w:val="20"/>
          <w:lang w:val="en-US" w:eastAsia="zh-CN" w:bidi="ar-SA"/>
        </w:rPr>
        <w:t>本项目职工共50人，生活污水主要来自职工食堂、洗漱等生活污水，每日生活污水排放量4m³/d（800m³/a），矿部生活区拟建1座生活污水</w:t>
      </w:r>
      <w:r>
        <w:rPr>
          <w:rFonts w:hint="default" w:ascii="Times New Roman" w:hAnsi="Times New Roman" w:eastAsia="华文中宋" w:cs="Times New Roman"/>
          <w:snapToGrid w:val="0"/>
          <w:color w:val="auto"/>
          <w:kern w:val="0"/>
          <w:sz w:val="24"/>
          <w:szCs w:val="20"/>
          <w:highlight w:val="none"/>
          <w:lang w:val="en-US" w:eastAsia="zh-CN" w:bidi="ar-SA"/>
        </w:rPr>
        <w:t>处理站，处理能力10m</w:t>
      </w:r>
      <w:r>
        <w:rPr>
          <w:rFonts w:hint="default" w:ascii="Times New Roman" w:hAnsi="Times New Roman" w:eastAsia="华文中宋" w:cs="Times New Roman"/>
          <w:snapToGrid w:val="0"/>
          <w:color w:val="auto"/>
          <w:kern w:val="0"/>
          <w:sz w:val="24"/>
          <w:szCs w:val="20"/>
          <w:highlight w:val="none"/>
          <w:vertAlign w:val="superscript"/>
          <w:lang w:val="en-US" w:eastAsia="zh-CN" w:bidi="ar-SA"/>
        </w:rPr>
        <w:t>3</w:t>
      </w:r>
      <w:r>
        <w:rPr>
          <w:rFonts w:hint="default" w:ascii="Times New Roman" w:hAnsi="Times New Roman" w:eastAsia="华文中宋" w:cs="Times New Roman"/>
          <w:snapToGrid w:val="0"/>
          <w:color w:val="auto"/>
          <w:kern w:val="0"/>
          <w:sz w:val="24"/>
          <w:szCs w:val="20"/>
          <w:highlight w:val="none"/>
          <w:lang w:val="en-US" w:eastAsia="zh-CN" w:bidi="ar-SA"/>
        </w:rPr>
        <w:t>/d，生活污水经“AO+MBR+混凝沉淀+过滤+消毒”处理，</w:t>
      </w:r>
      <w:r>
        <w:rPr>
          <w:rFonts w:hint="default" w:ascii="Times New Roman" w:hAnsi="Times New Roman" w:eastAsia="华文中宋" w:cs="Times New Roman"/>
          <w:snapToGrid w:val="0"/>
          <w:color w:val="auto"/>
          <w:kern w:val="0"/>
          <w:sz w:val="24"/>
          <w:szCs w:val="20"/>
          <w:lang w:val="en-US" w:eastAsia="zh-CN" w:bidi="ar-SA"/>
        </w:rPr>
        <w:t>出水标准能达到《农村生活污水处理排放标准》（DB654275-2019）表2中A级排放标准，出水全部回用矿区采掘场、废石堆放场和矿区道路降尘洒水等，不外排。</w:t>
      </w:r>
    </w:p>
    <w:p w14:paraId="75DF7991">
      <w:pPr>
        <w:adjustRightInd w:val="0"/>
        <w:snapToGrid w:val="0"/>
        <w:spacing w:line="500" w:lineRule="exact"/>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b/>
          <w:bCs/>
          <w:sz w:val="24"/>
          <w:lang w:val="en-US" w:eastAsia="zh-CN"/>
        </w:rPr>
        <w:t>3.2.2.3噪声污染源及排放情况</w:t>
      </w:r>
    </w:p>
    <w:p w14:paraId="73665D40">
      <w:pPr>
        <w:adjustRightInd w:val="0"/>
        <w:snapToGrid w:val="0"/>
        <w:spacing w:line="500" w:lineRule="exact"/>
        <w:ind w:firstLine="480" w:firstLineChars="200"/>
        <w:jc w:val="left"/>
        <w:rPr>
          <w:rFonts w:hint="default" w:ascii="Times New Roman" w:hAnsi="Times New Roman" w:eastAsia="华文中宋" w:cs="Times New Roman"/>
          <w:sz w:val="24"/>
        </w:rPr>
      </w:pPr>
      <w:r>
        <w:rPr>
          <w:rFonts w:hint="default" w:ascii="Times New Roman" w:hAnsi="Times New Roman" w:eastAsia="华文中宋" w:cs="Times New Roman"/>
          <w:sz w:val="24"/>
        </w:rPr>
        <w:t>项目运营期噪声源分为三种，包括：固定位置的稳态声源（主要为辅助生产区、生活区</w:t>
      </w:r>
      <w:r>
        <w:rPr>
          <w:rFonts w:hint="eastAsia" w:ascii="Times New Roman" w:hAnsi="Times New Roman" w:eastAsia="华文中宋" w:cs="Times New Roman"/>
          <w:sz w:val="24"/>
          <w:lang w:eastAsia="zh-CN"/>
        </w:rPr>
        <w:t>、</w:t>
      </w:r>
      <w:r>
        <w:rPr>
          <w:rFonts w:hint="eastAsia" w:ascii="Times New Roman" w:hAnsi="Times New Roman" w:eastAsia="华文中宋" w:cs="Times New Roman"/>
          <w:sz w:val="24"/>
          <w:lang w:val="en-US" w:eastAsia="zh-CN"/>
        </w:rPr>
        <w:t>开采区</w:t>
      </w:r>
      <w:r>
        <w:rPr>
          <w:rFonts w:hint="default" w:ascii="Times New Roman" w:hAnsi="Times New Roman" w:eastAsia="华文中宋" w:cs="Times New Roman"/>
          <w:sz w:val="24"/>
        </w:rPr>
        <w:t>）、流动声源（主要为运输设备）及突发噪声源（短促的爆破噪声）。</w:t>
      </w:r>
    </w:p>
    <w:p w14:paraId="73B78EEC">
      <w:pPr>
        <w:adjustRightInd w:val="0"/>
        <w:snapToGrid w:val="0"/>
        <w:spacing w:line="500" w:lineRule="exact"/>
        <w:ind w:firstLine="480" w:firstLineChars="200"/>
        <w:jc w:val="left"/>
        <w:rPr>
          <w:rFonts w:hint="default" w:ascii="Times New Roman" w:hAnsi="Times New Roman" w:eastAsia="华文中宋" w:cs="Times New Roman"/>
          <w:b/>
          <w:szCs w:val="21"/>
        </w:rPr>
      </w:pPr>
      <w:r>
        <w:rPr>
          <w:rFonts w:hint="default" w:ascii="Times New Roman" w:hAnsi="Times New Roman" w:eastAsia="华文中宋" w:cs="Times New Roman"/>
          <w:sz w:val="24"/>
        </w:rPr>
        <w:t>本项目运营期主要噪声污染源及噪声级见表</w:t>
      </w:r>
      <w:r>
        <w:rPr>
          <w:rFonts w:hint="default" w:ascii="Times New Roman" w:hAnsi="Times New Roman" w:eastAsia="华文中宋" w:cs="Times New Roman"/>
          <w:sz w:val="24"/>
          <w:lang w:val="en-US" w:eastAsia="zh-CN"/>
        </w:rPr>
        <w:t>3.2-</w:t>
      </w:r>
      <w:r>
        <w:rPr>
          <w:rFonts w:hint="eastAsia" w:ascii="Times New Roman" w:hAnsi="Times New Roman" w:eastAsia="华文中宋" w:cs="Times New Roman"/>
          <w:sz w:val="24"/>
          <w:lang w:val="en-US" w:eastAsia="zh-CN"/>
        </w:rPr>
        <w:t>9</w:t>
      </w:r>
      <w:r>
        <w:rPr>
          <w:rFonts w:hint="default" w:ascii="Times New Roman" w:hAnsi="Times New Roman" w:eastAsia="华文中宋" w:cs="Times New Roman"/>
          <w:sz w:val="24"/>
        </w:rPr>
        <w:t>。</w:t>
      </w:r>
    </w:p>
    <w:p w14:paraId="42D7CCF1">
      <w:pPr>
        <w:adjustRightInd w:val="0"/>
        <w:snapToGrid w:val="0"/>
        <w:spacing w:before="250" w:beforeLines="50"/>
        <w:ind w:firstLine="422" w:firstLineChars="200"/>
        <w:jc w:val="center"/>
        <w:rPr>
          <w:rFonts w:hint="default" w:ascii="Times New Roman" w:hAnsi="Times New Roman" w:eastAsia="华文中宋" w:cs="Times New Roman"/>
          <w:b/>
          <w:szCs w:val="21"/>
        </w:rPr>
      </w:pPr>
      <w:r>
        <w:rPr>
          <w:rFonts w:hint="default" w:ascii="Times New Roman" w:hAnsi="Times New Roman" w:eastAsia="华文中宋" w:cs="Times New Roman"/>
          <w:b/>
          <w:szCs w:val="21"/>
        </w:rPr>
        <w:t>表</w:t>
      </w:r>
      <w:r>
        <w:rPr>
          <w:rFonts w:hint="default" w:ascii="Times New Roman" w:hAnsi="Times New Roman" w:eastAsia="华文中宋" w:cs="Times New Roman"/>
          <w:b/>
          <w:szCs w:val="21"/>
          <w:lang w:val="en-US" w:eastAsia="zh-CN"/>
        </w:rPr>
        <w:t>3.2-</w:t>
      </w:r>
      <w:r>
        <w:rPr>
          <w:rFonts w:hint="eastAsia" w:ascii="Times New Roman" w:hAnsi="Times New Roman" w:eastAsia="华文中宋" w:cs="Times New Roman"/>
          <w:b/>
          <w:szCs w:val="21"/>
          <w:lang w:val="en-US" w:eastAsia="zh-CN"/>
        </w:rPr>
        <w:t>9</w:t>
      </w:r>
      <w:r>
        <w:rPr>
          <w:rFonts w:hint="default" w:ascii="Times New Roman" w:hAnsi="Times New Roman" w:eastAsia="华文中宋" w:cs="Times New Roman"/>
          <w:b/>
          <w:szCs w:val="21"/>
          <w:lang w:val="en-US" w:eastAsia="zh-CN"/>
        </w:rPr>
        <w:t xml:space="preserve">  </w:t>
      </w:r>
      <w:r>
        <w:rPr>
          <w:rFonts w:hint="default" w:ascii="Times New Roman" w:hAnsi="Times New Roman" w:eastAsia="华文中宋" w:cs="Times New Roman"/>
          <w:b/>
          <w:szCs w:val="21"/>
        </w:rPr>
        <w:t>主要噪声源及</w:t>
      </w:r>
      <w:r>
        <w:rPr>
          <w:rFonts w:hint="default" w:ascii="Times New Roman" w:hAnsi="Times New Roman" w:eastAsia="华文中宋" w:cs="Times New Roman"/>
          <w:b/>
          <w:szCs w:val="21"/>
          <w:lang w:val="en-US" w:eastAsia="zh-CN"/>
        </w:rPr>
        <w:t>声源特点</w:t>
      </w:r>
      <w:r>
        <w:rPr>
          <w:rFonts w:hint="default" w:ascii="Times New Roman" w:hAnsi="Times New Roman" w:eastAsia="华文中宋" w:cs="Times New Roman"/>
          <w:b/>
          <w:szCs w:val="21"/>
        </w:rPr>
        <w:t>一览表</w:t>
      </w:r>
    </w:p>
    <w:tbl>
      <w:tblPr>
        <w:tblStyle w:val="19"/>
        <w:tblW w:w="8834"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992"/>
        <w:gridCol w:w="2966"/>
        <w:gridCol w:w="2190"/>
        <w:gridCol w:w="1686"/>
      </w:tblGrid>
      <w:tr w14:paraId="632F70E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jc w:val="center"/>
        </w:trPr>
        <w:tc>
          <w:tcPr>
            <w:tcW w:w="1992" w:type="dxa"/>
            <w:tcBorders>
              <w:tl2br w:val="nil"/>
              <w:tr2bl w:val="nil"/>
            </w:tcBorders>
            <w:noWrap w:val="0"/>
            <w:vAlign w:val="center"/>
          </w:tcPr>
          <w:p w14:paraId="4463C45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噪声源类型</w:t>
            </w:r>
          </w:p>
        </w:tc>
        <w:tc>
          <w:tcPr>
            <w:tcW w:w="2966" w:type="dxa"/>
            <w:tcBorders>
              <w:tl2br w:val="nil"/>
              <w:tr2bl w:val="nil"/>
            </w:tcBorders>
            <w:noWrap w:val="0"/>
            <w:vAlign w:val="center"/>
          </w:tcPr>
          <w:p w14:paraId="5E7CAE37">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噪声源</w:t>
            </w:r>
          </w:p>
        </w:tc>
        <w:tc>
          <w:tcPr>
            <w:tcW w:w="2190" w:type="dxa"/>
            <w:tcBorders>
              <w:tl2br w:val="nil"/>
              <w:tr2bl w:val="nil"/>
            </w:tcBorders>
            <w:noWrap w:val="0"/>
            <w:vAlign w:val="center"/>
          </w:tcPr>
          <w:p w14:paraId="696CC05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声源强度dB（A）</w:t>
            </w:r>
          </w:p>
        </w:tc>
        <w:tc>
          <w:tcPr>
            <w:tcW w:w="1686" w:type="dxa"/>
            <w:tcBorders>
              <w:tl2br w:val="nil"/>
              <w:tr2bl w:val="nil"/>
            </w:tcBorders>
            <w:noWrap w:val="0"/>
            <w:vAlign w:val="center"/>
          </w:tcPr>
          <w:p w14:paraId="381A50F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备注</w:t>
            </w:r>
          </w:p>
        </w:tc>
      </w:tr>
      <w:tr w14:paraId="585F9C6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jc w:val="center"/>
        </w:trPr>
        <w:tc>
          <w:tcPr>
            <w:tcW w:w="1992" w:type="dxa"/>
            <w:vMerge w:val="restart"/>
            <w:tcBorders>
              <w:tl2br w:val="nil"/>
              <w:tr2bl w:val="nil"/>
            </w:tcBorders>
            <w:noWrap w:val="0"/>
            <w:vAlign w:val="center"/>
          </w:tcPr>
          <w:p w14:paraId="7139309C">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机械噪声</w:t>
            </w:r>
          </w:p>
        </w:tc>
        <w:tc>
          <w:tcPr>
            <w:tcW w:w="2966" w:type="dxa"/>
            <w:tcBorders>
              <w:tl2br w:val="nil"/>
              <w:tr2bl w:val="nil"/>
            </w:tcBorders>
            <w:noWrap w:val="0"/>
            <w:vAlign w:val="center"/>
          </w:tcPr>
          <w:p w14:paraId="777C45B3">
            <w:pPr>
              <w:spacing w:line="300" w:lineRule="exact"/>
              <w:jc w:val="center"/>
              <w:rPr>
                <w:rFonts w:hint="default" w:ascii="Times New Roman" w:hAnsi="Times New Roman" w:eastAsia="华文中宋" w:cs="Times New Roman"/>
                <w:szCs w:val="21"/>
              </w:rPr>
            </w:pPr>
            <w:r>
              <w:rPr>
                <w:rFonts w:hint="eastAsia" w:ascii="Times New Roman" w:hAnsi="Times New Roman" w:eastAsia="华文中宋" w:cs="Times New Roman"/>
                <w:szCs w:val="21"/>
                <w:lang w:val="en-US" w:eastAsia="zh-CN"/>
              </w:rPr>
              <w:t>露天</w:t>
            </w:r>
            <w:r>
              <w:rPr>
                <w:rFonts w:hint="default" w:ascii="Times New Roman" w:hAnsi="Times New Roman" w:eastAsia="华文中宋" w:cs="Times New Roman"/>
                <w:szCs w:val="21"/>
                <w:lang w:val="en-US" w:eastAsia="zh-CN"/>
              </w:rPr>
              <w:t>潜孔钻机</w:t>
            </w:r>
          </w:p>
        </w:tc>
        <w:tc>
          <w:tcPr>
            <w:tcW w:w="2190" w:type="dxa"/>
            <w:tcBorders>
              <w:tl2br w:val="nil"/>
              <w:tr2bl w:val="nil"/>
            </w:tcBorders>
            <w:noWrap w:val="0"/>
            <w:vAlign w:val="center"/>
          </w:tcPr>
          <w:p w14:paraId="14D4CA9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70~</w:t>
            </w:r>
            <w:r>
              <w:rPr>
                <w:rFonts w:hint="default" w:ascii="Times New Roman" w:hAnsi="Times New Roman" w:eastAsia="华文中宋" w:cs="Times New Roman"/>
                <w:szCs w:val="21"/>
              </w:rPr>
              <w:t>90</w:t>
            </w:r>
          </w:p>
        </w:tc>
        <w:tc>
          <w:tcPr>
            <w:tcW w:w="1686" w:type="dxa"/>
            <w:tcBorders>
              <w:tl2br w:val="nil"/>
              <w:tr2bl w:val="nil"/>
            </w:tcBorders>
            <w:noWrap w:val="0"/>
            <w:vAlign w:val="center"/>
          </w:tcPr>
          <w:p w14:paraId="661175D3">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间歇性</w:t>
            </w:r>
          </w:p>
        </w:tc>
      </w:tr>
      <w:tr w14:paraId="190950F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jc w:val="center"/>
        </w:trPr>
        <w:tc>
          <w:tcPr>
            <w:tcW w:w="1992" w:type="dxa"/>
            <w:vMerge w:val="continue"/>
            <w:tcBorders>
              <w:tl2br w:val="nil"/>
              <w:tr2bl w:val="nil"/>
            </w:tcBorders>
            <w:noWrap w:val="0"/>
            <w:vAlign w:val="center"/>
          </w:tcPr>
          <w:p w14:paraId="5E11D922">
            <w:pPr>
              <w:spacing w:line="300" w:lineRule="exact"/>
              <w:jc w:val="center"/>
              <w:rPr>
                <w:rFonts w:hint="default" w:ascii="Times New Roman" w:hAnsi="Times New Roman" w:eastAsia="华文中宋" w:cs="Times New Roman"/>
                <w:szCs w:val="21"/>
              </w:rPr>
            </w:pPr>
          </w:p>
        </w:tc>
        <w:tc>
          <w:tcPr>
            <w:tcW w:w="2966" w:type="dxa"/>
            <w:tcBorders>
              <w:tl2br w:val="nil"/>
              <w:tr2bl w:val="nil"/>
            </w:tcBorders>
            <w:noWrap w:val="0"/>
            <w:vAlign w:val="center"/>
          </w:tcPr>
          <w:p w14:paraId="25F89C6C">
            <w:pPr>
              <w:spacing w:line="300" w:lineRule="exact"/>
              <w:jc w:val="center"/>
              <w:rPr>
                <w:rFonts w:hint="default" w:ascii="Times New Roman" w:hAnsi="Times New Roman" w:eastAsia="华文中宋" w:cs="Times New Roman"/>
                <w:szCs w:val="21"/>
              </w:rPr>
            </w:pPr>
            <w:r>
              <w:rPr>
                <w:rFonts w:hint="eastAsia" w:ascii="Times New Roman" w:hAnsi="Times New Roman" w:eastAsia="华文中宋" w:cs="Times New Roman"/>
                <w:szCs w:val="21"/>
                <w:lang w:val="en-US" w:eastAsia="zh-CN"/>
              </w:rPr>
              <w:t>全液压</w:t>
            </w:r>
            <w:r>
              <w:rPr>
                <w:rFonts w:hint="default" w:ascii="Times New Roman" w:hAnsi="Times New Roman" w:eastAsia="华文中宋" w:cs="Times New Roman"/>
                <w:szCs w:val="21"/>
                <w:lang w:val="en-US" w:eastAsia="zh-CN"/>
              </w:rPr>
              <w:t>挖掘机</w:t>
            </w:r>
          </w:p>
        </w:tc>
        <w:tc>
          <w:tcPr>
            <w:tcW w:w="2190" w:type="dxa"/>
            <w:tcBorders>
              <w:tl2br w:val="nil"/>
              <w:tr2bl w:val="nil"/>
            </w:tcBorders>
            <w:noWrap w:val="0"/>
            <w:vAlign w:val="center"/>
          </w:tcPr>
          <w:p w14:paraId="2DC2072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75~95</w:t>
            </w:r>
          </w:p>
        </w:tc>
        <w:tc>
          <w:tcPr>
            <w:tcW w:w="1686" w:type="dxa"/>
            <w:tcBorders>
              <w:tl2br w:val="nil"/>
              <w:tr2bl w:val="nil"/>
            </w:tcBorders>
            <w:noWrap w:val="0"/>
            <w:vAlign w:val="center"/>
          </w:tcPr>
          <w:p w14:paraId="360CDB5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间歇性</w:t>
            </w:r>
          </w:p>
        </w:tc>
      </w:tr>
      <w:tr w14:paraId="205AEB5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jc w:val="center"/>
        </w:trPr>
        <w:tc>
          <w:tcPr>
            <w:tcW w:w="1992" w:type="dxa"/>
            <w:vMerge w:val="continue"/>
            <w:tcBorders>
              <w:tl2br w:val="nil"/>
              <w:tr2bl w:val="nil"/>
            </w:tcBorders>
            <w:noWrap w:val="0"/>
            <w:vAlign w:val="center"/>
          </w:tcPr>
          <w:p w14:paraId="3D146E16">
            <w:pPr>
              <w:spacing w:line="300" w:lineRule="exact"/>
              <w:jc w:val="center"/>
              <w:rPr>
                <w:rFonts w:hint="default" w:ascii="Times New Roman" w:hAnsi="Times New Roman" w:eastAsia="华文中宋" w:cs="Times New Roman"/>
                <w:szCs w:val="21"/>
              </w:rPr>
            </w:pPr>
          </w:p>
        </w:tc>
        <w:tc>
          <w:tcPr>
            <w:tcW w:w="2966" w:type="dxa"/>
            <w:tcBorders>
              <w:tl2br w:val="nil"/>
              <w:tr2bl w:val="nil"/>
            </w:tcBorders>
            <w:noWrap w:val="0"/>
            <w:vAlign w:val="center"/>
          </w:tcPr>
          <w:p w14:paraId="01033320">
            <w:pPr>
              <w:spacing w:line="300" w:lineRule="exact"/>
              <w:jc w:val="center"/>
              <w:rPr>
                <w:rFonts w:hint="default" w:ascii="Times New Roman" w:hAnsi="Times New Roman" w:eastAsia="华文中宋" w:cs="Times New Roman"/>
                <w:szCs w:val="21"/>
              </w:rPr>
            </w:pPr>
            <w:r>
              <w:rPr>
                <w:rFonts w:hint="eastAsia" w:ascii="Times New Roman" w:hAnsi="Times New Roman" w:eastAsia="华文中宋" w:cs="Times New Roman"/>
                <w:szCs w:val="21"/>
                <w:lang w:val="en-US" w:eastAsia="zh-CN"/>
              </w:rPr>
              <w:t>碎石机</w:t>
            </w:r>
          </w:p>
        </w:tc>
        <w:tc>
          <w:tcPr>
            <w:tcW w:w="2190" w:type="dxa"/>
            <w:tcBorders>
              <w:tl2br w:val="nil"/>
              <w:tr2bl w:val="nil"/>
            </w:tcBorders>
            <w:noWrap w:val="0"/>
            <w:vAlign w:val="center"/>
          </w:tcPr>
          <w:p w14:paraId="62C4872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75~95</w:t>
            </w:r>
          </w:p>
        </w:tc>
        <w:tc>
          <w:tcPr>
            <w:tcW w:w="1686" w:type="dxa"/>
            <w:tcBorders>
              <w:tl2br w:val="nil"/>
              <w:tr2bl w:val="nil"/>
            </w:tcBorders>
            <w:noWrap w:val="0"/>
            <w:vAlign w:val="center"/>
          </w:tcPr>
          <w:p w14:paraId="0BD4692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间歇性</w:t>
            </w:r>
          </w:p>
        </w:tc>
      </w:tr>
      <w:tr w14:paraId="29F9C07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jc w:val="center"/>
        </w:trPr>
        <w:tc>
          <w:tcPr>
            <w:tcW w:w="1992" w:type="dxa"/>
            <w:vMerge w:val="continue"/>
            <w:tcBorders>
              <w:tl2br w:val="nil"/>
              <w:tr2bl w:val="nil"/>
            </w:tcBorders>
            <w:noWrap w:val="0"/>
            <w:vAlign w:val="center"/>
          </w:tcPr>
          <w:p w14:paraId="4AAD5C93">
            <w:pPr>
              <w:spacing w:line="300" w:lineRule="exact"/>
              <w:jc w:val="center"/>
              <w:rPr>
                <w:rFonts w:hint="default" w:ascii="Times New Roman" w:hAnsi="Times New Roman" w:eastAsia="华文中宋" w:cs="Times New Roman"/>
                <w:szCs w:val="21"/>
              </w:rPr>
            </w:pPr>
          </w:p>
        </w:tc>
        <w:tc>
          <w:tcPr>
            <w:tcW w:w="2966" w:type="dxa"/>
            <w:tcBorders>
              <w:tl2br w:val="nil"/>
              <w:tr2bl w:val="nil"/>
            </w:tcBorders>
            <w:noWrap w:val="0"/>
            <w:vAlign w:val="center"/>
          </w:tcPr>
          <w:p w14:paraId="596C7153">
            <w:pPr>
              <w:spacing w:line="300" w:lineRule="exact"/>
              <w:jc w:val="center"/>
              <w:rPr>
                <w:rFonts w:hint="default" w:ascii="Times New Roman" w:hAnsi="Times New Roman" w:eastAsia="华文中宋" w:cs="Times New Roman"/>
                <w:szCs w:val="21"/>
              </w:rPr>
            </w:pPr>
            <w:r>
              <w:rPr>
                <w:rFonts w:hint="eastAsia" w:ascii="Times New Roman" w:hAnsi="Times New Roman" w:eastAsia="华文中宋" w:cs="Times New Roman"/>
                <w:szCs w:val="21"/>
                <w:lang w:val="en-US" w:eastAsia="zh-CN"/>
              </w:rPr>
              <w:t>移动式</w:t>
            </w:r>
            <w:r>
              <w:rPr>
                <w:rFonts w:hint="default" w:ascii="Times New Roman" w:hAnsi="Times New Roman" w:eastAsia="华文中宋" w:cs="Times New Roman"/>
                <w:szCs w:val="21"/>
                <w:lang w:val="en-US" w:eastAsia="zh-CN"/>
              </w:rPr>
              <w:t>空压机</w:t>
            </w:r>
          </w:p>
        </w:tc>
        <w:tc>
          <w:tcPr>
            <w:tcW w:w="2190" w:type="dxa"/>
            <w:tcBorders>
              <w:tl2br w:val="nil"/>
              <w:tr2bl w:val="nil"/>
            </w:tcBorders>
            <w:noWrap w:val="0"/>
            <w:vAlign w:val="center"/>
          </w:tcPr>
          <w:p w14:paraId="7827BD8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70~90</w:t>
            </w:r>
          </w:p>
        </w:tc>
        <w:tc>
          <w:tcPr>
            <w:tcW w:w="1686" w:type="dxa"/>
            <w:tcBorders>
              <w:tl2br w:val="nil"/>
              <w:tr2bl w:val="nil"/>
            </w:tcBorders>
            <w:noWrap w:val="0"/>
            <w:vAlign w:val="center"/>
          </w:tcPr>
          <w:p w14:paraId="65564C8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间歇性</w:t>
            </w:r>
          </w:p>
        </w:tc>
      </w:tr>
      <w:tr w14:paraId="539DA64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jc w:val="center"/>
        </w:trPr>
        <w:tc>
          <w:tcPr>
            <w:tcW w:w="1992" w:type="dxa"/>
            <w:vMerge w:val="continue"/>
            <w:tcBorders>
              <w:tl2br w:val="nil"/>
              <w:tr2bl w:val="nil"/>
            </w:tcBorders>
            <w:noWrap w:val="0"/>
            <w:vAlign w:val="center"/>
          </w:tcPr>
          <w:p w14:paraId="57212FB4">
            <w:pPr>
              <w:spacing w:line="300" w:lineRule="exact"/>
              <w:jc w:val="center"/>
              <w:rPr>
                <w:rFonts w:hint="default" w:ascii="Times New Roman" w:hAnsi="Times New Roman" w:eastAsia="华文中宋" w:cs="Times New Roman"/>
                <w:szCs w:val="21"/>
              </w:rPr>
            </w:pPr>
          </w:p>
        </w:tc>
        <w:tc>
          <w:tcPr>
            <w:tcW w:w="2966" w:type="dxa"/>
            <w:tcBorders>
              <w:tl2br w:val="nil"/>
              <w:tr2bl w:val="nil"/>
            </w:tcBorders>
            <w:noWrap w:val="0"/>
            <w:vAlign w:val="center"/>
          </w:tcPr>
          <w:p w14:paraId="4CF0D763">
            <w:pPr>
              <w:spacing w:line="300" w:lineRule="exact"/>
              <w:jc w:val="center"/>
              <w:rPr>
                <w:rFonts w:hint="default" w:ascii="Times New Roman" w:hAnsi="Times New Roman" w:eastAsia="华文中宋" w:cs="Times New Roman"/>
                <w:szCs w:val="21"/>
              </w:rPr>
            </w:pPr>
            <w:r>
              <w:rPr>
                <w:rFonts w:hint="eastAsia" w:ascii="Times New Roman" w:hAnsi="Times New Roman" w:eastAsia="华文中宋" w:cs="Times New Roman"/>
                <w:szCs w:val="21"/>
                <w:lang w:val="en-US" w:eastAsia="zh-CN"/>
              </w:rPr>
              <w:t>轮胎式</w:t>
            </w:r>
            <w:r>
              <w:rPr>
                <w:rFonts w:hint="default" w:ascii="Times New Roman" w:hAnsi="Times New Roman" w:eastAsia="华文中宋" w:cs="Times New Roman"/>
                <w:szCs w:val="21"/>
                <w:lang w:val="en-US" w:eastAsia="zh-CN"/>
              </w:rPr>
              <w:t>装载机</w:t>
            </w:r>
          </w:p>
        </w:tc>
        <w:tc>
          <w:tcPr>
            <w:tcW w:w="2190" w:type="dxa"/>
            <w:tcBorders>
              <w:tl2br w:val="nil"/>
              <w:tr2bl w:val="nil"/>
            </w:tcBorders>
            <w:noWrap w:val="0"/>
            <w:vAlign w:val="center"/>
          </w:tcPr>
          <w:p w14:paraId="760F4AF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80~100</w:t>
            </w:r>
          </w:p>
        </w:tc>
        <w:tc>
          <w:tcPr>
            <w:tcW w:w="1686" w:type="dxa"/>
            <w:tcBorders>
              <w:tl2br w:val="nil"/>
              <w:tr2bl w:val="nil"/>
            </w:tcBorders>
            <w:noWrap w:val="0"/>
            <w:vAlign w:val="center"/>
          </w:tcPr>
          <w:p w14:paraId="7023BBC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间歇</w:t>
            </w:r>
            <w:r>
              <w:rPr>
                <w:rFonts w:hint="default" w:ascii="Times New Roman" w:hAnsi="Times New Roman" w:eastAsia="华文中宋" w:cs="Times New Roman"/>
                <w:szCs w:val="21"/>
              </w:rPr>
              <w:t>性</w:t>
            </w:r>
          </w:p>
        </w:tc>
      </w:tr>
      <w:tr w14:paraId="68A78A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jc w:val="center"/>
        </w:trPr>
        <w:tc>
          <w:tcPr>
            <w:tcW w:w="1992" w:type="dxa"/>
            <w:vMerge w:val="continue"/>
            <w:tcBorders>
              <w:tl2br w:val="nil"/>
              <w:tr2bl w:val="nil"/>
            </w:tcBorders>
            <w:noWrap w:val="0"/>
            <w:vAlign w:val="center"/>
          </w:tcPr>
          <w:p w14:paraId="02E25334">
            <w:pPr>
              <w:spacing w:line="300" w:lineRule="exact"/>
              <w:jc w:val="center"/>
              <w:rPr>
                <w:rFonts w:hint="default" w:ascii="Times New Roman" w:hAnsi="Times New Roman" w:eastAsia="华文中宋" w:cs="Times New Roman"/>
                <w:szCs w:val="21"/>
              </w:rPr>
            </w:pPr>
          </w:p>
        </w:tc>
        <w:tc>
          <w:tcPr>
            <w:tcW w:w="2966" w:type="dxa"/>
            <w:tcBorders>
              <w:tl2br w:val="nil"/>
              <w:tr2bl w:val="nil"/>
            </w:tcBorders>
            <w:noWrap w:val="0"/>
            <w:vAlign w:val="center"/>
          </w:tcPr>
          <w:p w14:paraId="2BC98920">
            <w:pPr>
              <w:spacing w:line="300" w:lineRule="exact"/>
              <w:jc w:val="center"/>
              <w:rPr>
                <w:rFonts w:hint="default" w:ascii="Times New Roman" w:hAnsi="Times New Roman" w:eastAsia="华文中宋" w:cs="Times New Roman"/>
                <w:szCs w:val="21"/>
              </w:rPr>
            </w:pPr>
            <w:r>
              <w:rPr>
                <w:rFonts w:hint="eastAsia" w:ascii="Times New Roman" w:hAnsi="Times New Roman" w:eastAsia="华文中宋" w:cs="Times New Roman"/>
                <w:szCs w:val="21"/>
                <w:lang w:val="en-US" w:eastAsia="zh-CN"/>
              </w:rPr>
              <w:t>洒水车</w:t>
            </w:r>
          </w:p>
        </w:tc>
        <w:tc>
          <w:tcPr>
            <w:tcW w:w="2190" w:type="dxa"/>
            <w:tcBorders>
              <w:tl2br w:val="nil"/>
              <w:tr2bl w:val="nil"/>
            </w:tcBorders>
            <w:noWrap w:val="0"/>
            <w:vAlign w:val="center"/>
          </w:tcPr>
          <w:p w14:paraId="14478C9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80~100</w:t>
            </w:r>
          </w:p>
        </w:tc>
        <w:tc>
          <w:tcPr>
            <w:tcW w:w="1686" w:type="dxa"/>
            <w:tcBorders>
              <w:tl2br w:val="nil"/>
              <w:tr2bl w:val="nil"/>
            </w:tcBorders>
            <w:noWrap w:val="0"/>
            <w:vAlign w:val="center"/>
          </w:tcPr>
          <w:p w14:paraId="186A5EB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间歇</w:t>
            </w:r>
            <w:r>
              <w:rPr>
                <w:rFonts w:hint="default" w:ascii="Times New Roman" w:hAnsi="Times New Roman" w:eastAsia="华文中宋" w:cs="Times New Roman"/>
                <w:szCs w:val="21"/>
              </w:rPr>
              <w:t>性</w:t>
            </w:r>
          </w:p>
        </w:tc>
      </w:tr>
      <w:tr w14:paraId="03D008C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79" w:hRule="atLeast"/>
          <w:jc w:val="center"/>
        </w:trPr>
        <w:tc>
          <w:tcPr>
            <w:tcW w:w="1992" w:type="dxa"/>
            <w:vMerge w:val="continue"/>
            <w:tcBorders>
              <w:tl2br w:val="nil"/>
              <w:tr2bl w:val="nil"/>
            </w:tcBorders>
            <w:noWrap w:val="0"/>
            <w:vAlign w:val="center"/>
          </w:tcPr>
          <w:p w14:paraId="38441C08">
            <w:pPr>
              <w:spacing w:line="300" w:lineRule="exact"/>
              <w:jc w:val="center"/>
              <w:rPr>
                <w:rFonts w:hint="default" w:ascii="Times New Roman" w:hAnsi="Times New Roman" w:eastAsia="华文中宋" w:cs="Times New Roman"/>
                <w:szCs w:val="21"/>
              </w:rPr>
            </w:pPr>
          </w:p>
        </w:tc>
        <w:tc>
          <w:tcPr>
            <w:tcW w:w="2966" w:type="dxa"/>
            <w:tcBorders>
              <w:tl2br w:val="nil"/>
              <w:tr2bl w:val="nil"/>
            </w:tcBorders>
            <w:noWrap w:val="0"/>
            <w:vAlign w:val="center"/>
          </w:tcPr>
          <w:p w14:paraId="779C9F35">
            <w:pPr>
              <w:spacing w:line="300" w:lineRule="exact"/>
              <w:jc w:val="center"/>
              <w:rPr>
                <w:rFonts w:hint="default" w:ascii="Times New Roman" w:hAnsi="Times New Roman" w:eastAsia="华文中宋" w:cs="Times New Roman"/>
                <w:szCs w:val="21"/>
                <w:lang w:eastAsia="zh-CN"/>
              </w:rPr>
            </w:pPr>
            <w:r>
              <w:rPr>
                <w:rFonts w:hint="eastAsia" w:ascii="Times New Roman" w:hAnsi="Times New Roman" w:eastAsia="华文中宋" w:cs="Times New Roman"/>
                <w:szCs w:val="21"/>
                <w:lang w:val="en-US" w:eastAsia="zh-CN"/>
              </w:rPr>
              <w:t>光选机</w:t>
            </w:r>
          </w:p>
        </w:tc>
        <w:tc>
          <w:tcPr>
            <w:tcW w:w="2190" w:type="dxa"/>
            <w:tcBorders>
              <w:tl2br w:val="nil"/>
              <w:tr2bl w:val="nil"/>
            </w:tcBorders>
            <w:noWrap w:val="0"/>
            <w:vAlign w:val="center"/>
          </w:tcPr>
          <w:p w14:paraId="3A65AB9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75</w:t>
            </w:r>
            <w:r>
              <w:rPr>
                <w:rFonts w:hint="default" w:ascii="Times New Roman" w:hAnsi="Times New Roman" w:eastAsia="华文中宋" w:cs="Times New Roman"/>
                <w:szCs w:val="21"/>
                <w:lang w:val="en-US" w:eastAsia="zh-CN"/>
              </w:rPr>
              <w:t>~100</w:t>
            </w:r>
          </w:p>
        </w:tc>
        <w:tc>
          <w:tcPr>
            <w:tcW w:w="1686" w:type="dxa"/>
            <w:tcBorders>
              <w:tl2br w:val="nil"/>
              <w:tr2bl w:val="nil"/>
            </w:tcBorders>
            <w:noWrap w:val="0"/>
            <w:vAlign w:val="center"/>
          </w:tcPr>
          <w:p w14:paraId="52A8EF53">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间歇</w:t>
            </w:r>
            <w:r>
              <w:rPr>
                <w:rFonts w:hint="default" w:ascii="Times New Roman" w:hAnsi="Times New Roman" w:eastAsia="华文中宋" w:cs="Times New Roman"/>
                <w:szCs w:val="21"/>
              </w:rPr>
              <w:t>性</w:t>
            </w:r>
          </w:p>
        </w:tc>
      </w:tr>
      <w:tr w14:paraId="3B9589D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jc w:val="center"/>
        </w:trPr>
        <w:tc>
          <w:tcPr>
            <w:tcW w:w="1992" w:type="dxa"/>
            <w:vMerge w:val="continue"/>
            <w:tcBorders>
              <w:tl2br w:val="nil"/>
              <w:tr2bl w:val="nil"/>
            </w:tcBorders>
            <w:noWrap w:val="0"/>
            <w:vAlign w:val="center"/>
          </w:tcPr>
          <w:p w14:paraId="2FD02E3D">
            <w:pPr>
              <w:spacing w:line="300" w:lineRule="exact"/>
              <w:jc w:val="center"/>
              <w:rPr>
                <w:rFonts w:hint="default" w:ascii="Times New Roman" w:hAnsi="Times New Roman" w:eastAsia="华文中宋" w:cs="Times New Roman"/>
                <w:szCs w:val="21"/>
              </w:rPr>
            </w:pPr>
          </w:p>
        </w:tc>
        <w:tc>
          <w:tcPr>
            <w:tcW w:w="2966" w:type="dxa"/>
            <w:tcBorders>
              <w:tl2br w:val="nil"/>
              <w:tr2bl w:val="nil"/>
            </w:tcBorders>
            <w:noWrap w:val="0"/>
            <w:vAlign w:val="center"/>
          </w:tcPr>
          <w:p w14:paraId="504F25A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柴油发电机</w:t>
            </w:r>
          </w:p>
        </w:tc>
        <w:tc>
          <w:tcPr>
            <w:tcW w:w="2190" w:type="dxa"/>
            <w:tcBorders>
              <w:tl2br w:val="nil"/>
              <w:tr2bl w:val="nil"/>
            </w:tcBorders>
            <w:noWrap w:val="0"/>
            <w:vAlign w:val="center"/>
          </w:tcPr>
          <w:p w14:paraId="6B13E1B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80~100</w:t>
            </w:r>
          </w:p>
        </w:tc>
        <w:tc>
          <w:tcPr>
            <w:tcW w:w="1686" w:type="dxa"/>
            <w:tcBorders>
              <w:tl2br w:val="nil"/>
              <w:tr2bl w:val="nil"/>
            </w:tcBorders>
            <w:noWrap w:val="0"/>
            <w:vAlign w:val="center"/>
          </w:tcPr>
          <w:p w14:paraId="377EA78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间歇</w:t>
            </w:r>
            <w:r>
              <w:rPr>
                <w:rFonts w:hint="default" w:ascii="Times New Roman" w:hAnsi="Times New Roman" w:eastAsia="华文中宋" w:cs="Times New Roman"/>
                <w:szCs w:val="21"/>
              </w:rPr>
              <w:t>性</w:t>
            </w:r>
          </w:p>
        </w:tc>
      </w:tr>
      <w:tr w14:paraId="7757B8C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jc w:val="center"/>
        </w:trPr>
        <w:tc>
          <w:tcPr>
            <w:tcW w:w="1992" w:type="dxa"/>
            <w:tcBorders>
              <w:tl2br w:val="nil"/>
              <w:tr2bl w:val="nil"/>
            </w:tcBorders>
            <w:noWrap w:val="0"/>
            <w:vAlign w:val="center"/>
          </w:tcPr>
          <w:p w14:paraId="38E6AF0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突发噪声</w:t>
            </w:r>
          </w:p>
        </w:tc>
        <w:tc>
          <w:tcPr>
            <w:tcW w:w="2966" w:type="dxa"/>
            <w:tcBorders>
              <w:tl2br w:val="nil"/>
              <w:tr2bl w:val="nil"/>
            </w:tcBorders>
            <w:noWrap w:val="0"/>
            <w:vAlign w:val="center"/>
          </w:tcPr>
          <w:p w14:paraId="5682B9A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爆破噪声</w:t>
            </w:r>
          </w:p>
        </w:tc>
        <w:tc>
          <w:tcPr>
            <w:tcW w:w="2190" w:type="dxa"/>
            <w:tcBorders>
              <w:tl2br w:val="nil"/>
              <w:tr2bl w:val="nil"/>
            </w:tcBorders>
            <w:noWrap w:val="0"/>
            <w:vAlign w:val="center"/>
          </w:tcPr>
          <w:p w14:paraId="029526B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100~</w:t>
            </w:r>
            <w:r>
              <w:rPr>
                <w:rFonts w:hint="default" w:ascii="Times New Roman" w:hAnsi="Times New Roman" w:eastAsia="华文中宋" w:cs="Times New Roman"/>
                <w:szCs w:val="21"/>
              </w:rPr>
              <w:t>110</w:t>
            </w:r>
          </w:p>
        </w:tc>
        <w:tc>
          <w:tcPr>
            <w:tcW w:w="1686" w:type="dxa"/>
            <w:tcBorders>
              <w:tl2br w:val="nil"/>
              <w:tr2bl w:val="nil"/>
            </w:tcBorders>
            <w:noWrap w:val="0"/>
            <w:vAlign w:val="center"/>
          </w:tcPr>
          <w:p w14:paraId="414329A3">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偶发性</w:t>
            </w:r>
          </w:p>
        </w:tc>
      </w:tr>
    </w:tbl>
    <w:p w14:paraId="0CB501E2">
      <w:pPr>
        <w:adjustRightInd w:val="0"/>
        <w:snapToGrid w:val="0"/>
        <w:spacing w:line="500" w:lineRule="exact"/>
        <w:jc w:val="left"/>
        <w:rPr>
          <w:rFonts w:hint="default" w:ascii="Times New Roman" w:hAnsi="Times New Roman" w:eastAsia="华文中宋" w:cs="Times New Roman"/>
          <w:b/>
          <w:bCs/>
          <w:sz w:val="24"/>
          <w:lang w:val="en-US" w:eastAsia="zh-CN"/>
        </w:rPr>
      </w:pPr>
      <w:r>
        <w:rPr>
          <w:rFonts w:hint="default" w:ascii="Times New Roman" w:hAnsi="Times New Roman" w:eastAsia="华文中宋" w:cs="Times New Roman"/>
          <w:b/>
          <w:bCs/>
          <w:sz w:val="24"/>
          <w:lang w:val="en-US" w:eastAsia="zh-CN"/>
        </w:rPr>
        <w:t>3.2.2.</w:t>
      </w:r>
      <w:r>
        <w:rPr>
          <w:rFonts w:hint="eastAsia" w:ascii="Times New Roman" w:hAnsi="Times New Roman" w:eastAsia="华文中宋" w:cs="Times New Roman"/>
          <w:b/>
          <w:bCs/>
          <w:sz w:val="24"/>
          <w:lang w:val="en-US" w:eastAsia="zh-CN"/>
        </w:rPr>
        <w:t>4</w:t>
      </w:r>
      <w:r>
        <w:rPr>
          <w:rFonts w:hint="default" w:ascii="Times New Roman" w:hAnsi="Times New Roman" w:eastAsia="华文中宋" w:cs="Times New Roman"/>
          <w:b/>
          <w:bCs/>
          <w:sz w:val="24"/>
          <w:lang w:val="en-US" w:eastAsia="zh-CN"/>
        </w:rPr>
        <w:t>固体废物排放情况</w:t>
      </w:r>
    </w:p>
    <w:p w14:paraId="65CA812C">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default" w:ascii="Times New Roman" w:hAnsi="Times New Roman" w:eastAsia="华文中宋" w:cs="Times New Roman"/>
          <w:sz w:val="24"/>
        </w:rPr>
        <w:t>本项目营运期的固体废物主要为废石、生活垃圾</w:t>
      </w:r>
      <w:r>
        <w:rPr>
          <w:rFonts w:hint="default" w:ascii="Times New Roman" w:hAnsi="Times New Roman" w:eastAsia="华文中宋" w:cs="Times New Roman"/>
          <w:sz w:val="24"/>
          <w:lang w:eastAsia="zh-CN"/>
        </w:rPr>
        <w:t>和废机油</w:t>
      </w:r>
      <w:r>
        <w:rPr>
          <w:rFonts w:hint="eastAsia" w:ascii="Times New Roman" w:hAnsi="Times New Roman" w:eastAsia="华文中宋" w:cs="Times New Roman"/>
          <w:sz w:val="24"/>
          <w:lang w:val="en-US" w:eastAsia="zh-CN"/>
        </w:rPr>
        <w:t>以及生活污水处理产生的污泥。</w:t>
      </w:r>
    </w:p>
    <w:p w14:paraId="0B04C0A5">
      <w:pPr>
        <w:pStyle w:val="24"/>
        <w:snapToGrid w:val="0"/>
        <w:jc w:val="left"/>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r>
        <w:rPr>
          <w:rFonts w:hint="default" w:ascii="Times New Roman" w:hAnsi="Times New Roman" w:cs="Times New Roman"/>
          <w:color w:val="auto"/>
          <w:lang w:val="en-US" w:eastAsia="zh-CN"/>
        </w:rPr>
        <w:t>采矿废石</w:t>
      </w:r>
    </w:p>
    <w:p w14:paraId="18EB6732">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根据《一般工业固体废物</w:t>
      </w:r>
      <w:r>
        <w:rPr>
          <w:rFonts w:hint="eastAsia" w:ascii="Times New Roman" w:hAnsi="Times New Roman" w:cs="Times New Roman"/>
          <w:color w:val="auto"/>
          <w:lang w:val="en-US" w:eastAsia="zh-CN"/>
        </w:rPr>
        <w:t>管理台账</w:t>
      </w:r>
      <w:r>
        <w:rPr>
          <w:rFonts w:hint="default" w:ascii="Times New Roman" w:hAnsi="Times New Roman" w:cs="Times New Roman"/>
          <w:color w:val="auto"/>
          <w:lang w:val="en-US" w:eastAsia="zh-CN"/>
        </w:rPr>
        <w:t>制定指南（试行）》和《</w:t>
      </w:r>
      <w:r>
        <w:rPr>
          <w:rFonts w:hint="eastAsia" w:ascii="Times New Roman" w:hAnsi="Times New Roman" w:cs="Times New Roman"/>
          <w:color w:val="auto"/>
          <w:lang w:val="en-US" w:eastAsia="zh-CN"/>
        </w:rPr>
        <w:t>一般工业固体废物贮存和填埋污染控制标准</w:t>
      </w:r>
      <w:r>
        <w:rPr>
          <w:rFonts w:hint="default" w:ascii="Times New Roman" w:hAnsi="Times New Roman" w:cs="Times New Roman"/>
          <w:color w:val="auto"/>
          <w:lang w:val="en-US" w:eastAsia="zh-CN"/>
        </w:rPr>
        <w:t>》（GB18599-2020）中第Ⅰ类一般工业固体废物的有关规定，一般工业固体废物系指未被列入《国家危险废物名录》或者根据国家规定的CB5085鉴别标准和</w:t>
      </w:r>
      <w:r>
        <w:rPr>
          <w:rFonts w:hint="eastAsia" w:ascii="Times New Roman" w:hAnsi="Times New Roman" w:cs="Times New Roman"/>
          <w:color w:val="auto"/>
          <w:lang w:val="en-US" w:eastAsia="zh-CN"/>
        </w:rPr>
        <w:t>GB 5086.1-1997</w:t>
      </w:r>
      <w:r>
        <w:rPr>
          <w:rFonts w:hint="default" w:ascii="Times New Roman" w:hAnsi="Times New Roman" w:cs="Times New Roman"/>
          <w:color w:val="auto"/>
          <w:lang w:val="en-US" w:eastAsia="zh-CN"/>
        </w:rPr>
        <w:t>及GB/T15555</w:t>
      </w:r>
      <w:r>
        <w:rPr>
          <w:rFonts w:hint="eastAsia" w:ascii="Times New Roman" w:hAnsi="Times New Roman" w:cs="Times New Roman"/>
          <w:color w:val="auto"/>
          <w:lang w:val="en-US" w:eastAsia="zh-CN"/>
        </w:rPr>
        <w:t>.12</w:t>
      </w:r>
      <w:r>
        <w:rPr>
          <w:rFonts w:hint="default" w:ascii="Times New Roman" w:hAnsi="Times New Roman" w:cs="Times New Roman"/>
          <w:color w:val="auto"/>
          <w:lang w:val="en-US" w:eastAsia="zh-CN"/>
        </w:rPr>
        <w:t>鉴别方法判定不具有危险特性的工业固体废物。根据矿山矿石成分表可知，其化学成分主要为PbS、Sb、ZnS、SiO</w:t>
      </w:r>
      <w:r>
        <w:rPr>
          <w:rFonts w:hint="default"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、CaCO</w:t>
      </w:r>
      <w:r>
        <w:rPr>
          <w:rFonts w:hint="default" w:ascii="Times New Roman" w:hAnsi="Times New Roman" w:cs="Times New Roman"/>
          <w:color w:val="auto"/>
          <w:vertAlign w:val="subscript"/>
          <w:lang w:val="en-US" w:eastAsia="zh-CN"/>
        </w:rPr>
        <w:t>3</w:t>
      </w:r>
      <w:r>
        <w:rPr>
          <w:rFonts w:hint="default" w:ascii="Times New Roman" w:hAnsi="Times New Roman" w:cs="Times New Roman"/>
          <w:color w:val="auto"/>
          <w:lang w:val="en-US" w:eastAsia="zh-CN"/>
        </w:rPr>
        <w:t>本项目矿山开采过程中产生的废石属于第Ⅰ类一般工业固体废物，按照第Ⅰ类一般工业固体废物处理。</w:t>
      </w:r>
    </w:p>
    <w:p w14:paraId="73CE1A4C">
      <w:pPr>
        <w:pStyle w:val="24"/>
        <w:snapToGrid w:val="0"/>
        <w:jc w:val="left"/>
        <w:rPr>
          <w:rFonts w:hint="eastAsia" w:ascii="Times New Roman" w:hAnsi="Times New Roman" w:cs="Times New Roman"/>
          <w:color w:val="auto"/>
          <w:highlight w:val="none"/>
          <w:lang w:val="en-US" w:eastAsia="zh-CN"/>
        </w:rPr>
      </w:pPr>
      <w:r>
        <w:rPr>
          <w:rFonts w:hint="default" w:ascii="Times New Roman" w:hAnsi="Times New Roman" w:cs="Times New Roman"/>
          <w:color w:val="auto"/>
          <w:lang w:val="en-US" w:eastAsia="zh-CN"/>
        </w:rPr>
        <w:t>根据《一般工业固体废物贮存和填埋污染控制标准》（GB18599-2020）5.2中Ⅰ类场技术要求：当天然基础层饱和渗透系数不大于1.0×10</w:t>
      </w:r>
      <w:r>
        <w:rPr>
          <w:rFonts w:hint="eastAsia" w:ascii="Times New Roman" w:hAnsi="Times New Roman" w:cs="Times New Roman"/>
          <w:color w:val="auto"/>
          <w:vertAlign w:val="superscript"/>
          <w:lang w:val="en-US" w:eastAsia="zh-CN"/>
        </w:rPr>
        <w:t>-</w:t>
      </w:r>
      <w:r>
        <w:rPr>
          <w:rFonts w:hint="default" w:ascii="Times New Roman" w:hAnsi="Times New Roman" w:cs="Times New Roman"/>
          <w:color w:val="auto"/>
          <w:vertAlign w:val="superscript"/>
          <w:lang w:val="en-US" w:eastAsia="zh-CN"/>
        </w:rPr>
        <w:t>5</w:t>
      </w:r>
      <w:r>
        <w:rPr>
          <w:rFonts w:hint="default" w:ascii="Times New Roman" w:hAnsi="Times New Roman" w:cs="Times New Roman"/>
          <w:color w:val="auto"/>
          <w:lang w:val="en-US" w:eastAsia="zh-CN"/>
        </w:rPr>
        <w:t>cm/s，且厚度不小于0.</w:t>
      </w:r>
      <w:r>
        <w:rPr>
          <w:rFonts w:hint="default" w:ascii="Times New Roman" w:hAnsi="Times New Roman" w:cs="Times New Roman"/>
          <w:color w:val="auto"/>
          <w:highlight w:val="none"/>
          <w:lang w:val="en-US" w:eastAsia="zh-CN"/>
        </w:rPr>
        <w:t>75m时，可以采用天然基础层作为防渗衬层。本项目所在区域岩土层厚度大于1m</w:t>
      </w:r>
      <w:r>
        <w:rPr>
          <w:rFonts w:hint="eastAsia" w:ascii="Times New Roman" w:hAnsi="Times New Roman" w:cs="Times New Roman"/>
          <w:color w:val="auto"/>
          <w:highlight w:val="none"/>
          <w:lang w:val="en-US" w:eastAsia="zh-CN"/>
        </w:rPr>
        <w:t>但</w:t>
      </w:r>
      <w:r>
        <w:rPr>
          <w:rFonts w:hint="default" w:ascii="Times New Roman" w:hAnsi="Times New Roman" w:cs="Times New Roman"/>
          <w:color w:val="auto"/>
          <w:highlight w:val="none"/>
          <w:lang w:val="en-US" w:eastAsia="zh-CN"/>
        </w:rPr>
        <w:t>渗透系数</w:t>
      </w:r>
      <w:r>
        <w:rPr>
          <w:rFonts w:hint="eastAsia" w:ascii="Times New Roman" w:hAnsi="Times New Roman" w:cs="Times New Roman"/>
          <w:color w:val="auto"/>
          <w:highlight w:val="none"/>
          <w:lang w:val="en-US" w:eastAsia="zh-CN"/>
        </w:rPr>
        <w:t>大于</w:t>
      </w:r>
      <w:r>
        <w:rPr>
          <w:rFonts w:hint="default" w:ascii="Times New Roman" w:hAnsi="Times New Roman" w:cs="Times New Roman"/>
          <w:color w:val="auto"/>
          <w:highlight w:val="none"/>
          <w:lang w:val="en-US" w:eastAsia="zh-CN"/>
        </w:rPr>
        <w:t>1.0×10</w:t>
      </w:r>
      <w:r>
        <w:rPr>
          <w:rFonts w:hint="eastAsia" w:ascii="Times New Roman" w:hAnsi="Times New Roman" w:cs="Times New Roman"/>
          <w:color w:val="auto"/>
          <w:highlight w:val="none"/>
          <w:vertAlign w:val="superscript"/>
          <w:lang w:val="en-US" w:eastAsia="zh-CN"/>
        </w:rPr>
        <w:t>-5</w:t>
      </w:r>
      <w:r>
        <w:rPr>
          <w:rFonts w:hint="default" w:ascii="Times New Roman" w:hAnsi="Times New Roman" w:cs="Times New Roman"/>
          <w:color w:val="auto"/>
          <w:highlight w:val="none"/>
          <w:lang w:val="en-US" w:eastAsia="zh-CN"/>
        </w:rPr>
        <w:t>cm/s，</w:t>
      </w:r>
      <w:r>
        <w:rPr>
          <w:rFonts w:hint="eastAsia" w:ascii="Times New Roman" w:hAnsi="Times New Roman" w:cs="Times New Roman"/>
          <w:color w:val="auto"/>
          <w:highlight w:val="none"/>
          <w:lang w:val="en-US" w:eastAsia="zh-CN"/>
        </w:rPr>
        <w:t>需对项目废石堆放场</w:t>
      </w:r>
      <w:r>
        <w:rPr>
          <w:rFonts w:hint="default" w:ascii="Times New Roman" w:hAnsi="Times New Roman" w:eastAsia="华文中宋" w:cs="Times New Roman"/>
          <w:color w:val="auto"/>
          <w:lang w:val="en-US" w:eastAsia="zh-CN"/>
        </w:rPr>
        <w:t>可采用改性压实粘土类衬层或具有同等以上隔水效力的其他材料防渗衬层，其防渗性能应至少相当于渗透系数为1.0×10</w:t>
      </w:r>
      <w:r>
        <w:rPr>
          <w:rFonts w:hint="eastAsia" w:ascii="Times New Roman" w:hAnsi="Times New Roman" w:eastAsia="华文中宋" w:cs="Times New Roman"/>
          <w:color w:val="auto"/>
          <w:vertAlign w:val="superscript"/>
          <w:lang w:val="en-US" w:eastAsia="zh-CN"/>
        </w:rPr>
        <w:t>-</w:t>
      </w:r>
      <w:r>
        <w:rPr>
          <w:rFonts w:hint="default" w:ascii="Times New Roman" w:hAnsi="Times New Roman" w:eastAsia="华文中宋" w:cs="Times New Roman"/>
          <w:color w:val="auto"/>
          <w:vertAlign w:val="superscript"/>
          <w:lang w:val="en-US" w:eastAsia="zh-CN"/>
        </w:rPr>
        <w:t>5</w:t>
      </w:r>
      <w:r>
        <w:rPr>
          <w:rFonts w:hint="default" w:ascii="Times New Roman" w:hAnsi="Times New Roman" w:eastAsia="华文中宋" w:cs="Times New Roman"/>
          <w:color w:val="auto"/>
          <w:lang w:val="en-US" w:eastAsia="zh-CN"/>
        </w:rPr>
        <w:t>cm/s且厚度为0.75m的天然基础层。</w:t>
      </w:r>
    </w:p>
    <w:p w14:paraId="4312AF68">
      <w:pPr>
        <w:adjustRightInd w:val="0"/>
        <w:snapToGrid w:val="0"/>
        <w:spacing w:line="500" w:lineRule="exact"/>
        <w:ind w:firstLine="480" w:firstLineChars="200"/>
        <w:jc w:val="left"/>
        <w:rPr>
          <w:rFonts w:hint="eastAsia" w:ascii="Times New Roman" w:hAnsi="Times New Roman" w:eastAsia="华文中宋" w:cs="Times New Roman"/>
          <w:snapToGrid w:val="0"/>
          <w:color w:val="auto"/>
          <w:kern w:val="0"/>
          <w:sz w:val="24"/>
          <w:szCs w:val="20"/>
          <w:highlight w:val="none"/>
          <w:lang w:val="en-US" w:eastAsia="zh-CN" w:bidi="ar-SA"/>
        </w:rPr>
      </w:pPr>
      <w:r>
        <w:rPr>
          <w:rFonts w:hint="eastAsia" w:ascii="Times New Roman" w:hAnsi="Times New Roman" w:eastAsia="华文中宋" w:cs="Times New Roman"/>
          <w:snapToGrid w:val="0"/>
          <w:color w:val="auto"/>
          <w:kern w:val="0"/>
          <w:sz w:val="24"/>
          <w:szCs w:val="20"/>
          <w:highlight w:val="none"/>
          <w:lang w:val="en-US" w:eastAsia="zh-CN" w:bidi="ar-SA"/>
        </w:rPr>
        <w:t>矿山服务期5.09年内产生废石总量471.76万吨，废石比重为2.9吨/立方米，则废石体积为162.676万立方米。其中北露天采场产生废石量106.245万立方米，南露天采场产生废石量54.431万立方米。</w:t>
      </w:r>
    </w:p>
    <w:p w14:paraId="59A9B0B7">
      <w:pPr>
        <w:adjustRightInd w:val="0"/>
        <w:snapToGrid w:val="0"/>
        <w:spacing w:line="500" w:lineRule="exact"/>
        <w:ind w:firstLine="480" w:firstLineChars="200"/>
        <w:jc w:val="left"/>
        <w:rPr>
          <w:rFonts w:hint="default" w:ascii="Times New Roman" w:hAnsi="Times New Roman" w:eastAsia="华文中宋" w:cs="Times New Roman"/>
          <w:snapToGrid w:val="0"/>
          <w:color w:val="auto"/>
          <w:kern w:val="0"/>
          <w:sz w:val="24"/>
          <w:szCs w:val="20"/>
          <w:highlight w:val="none"/>
          <w:lang w:val="en-US" w:eastAsia="zh-CN" w:bidi="ar-SA"/>
        </w:rPr>
      </w:pPr>
      <w:r>
        <w:rPr>
          <w:rFonts w:hint="eastAsia" w:ascii="Times New Roman" w:hAnsi="Times New Roman" w:eastAsia="华文中宋" w:cs="Times New Roman"/>
          <w:snapToGrid w:val="0"/>
          <w:color w:val="auto"/>
          <w:kern w:val="0"/>
          <w:sz w:val="24"/>
          <w:szCs w:val="20"/>
          <w:highlight w:val="none"/>
          <w:lang w:val="en-US" w:eastAsia="zh-CN" w:bidi="ar-SA"/>
        </w:rPr>
        <w:t>北露天采场开采期间3.12年内产生废石106.25万立方米，堆放在废石堆放场，采用分层压实堆放</w:t>
      </w:r>
      <w:r>
        <w:rPr>
          <w:rFonts w:hint="default" w:ascii="Times New Roman" w:hAnsi="Times New Roman" w:eastAsia="华文中宋" w:cs="Times New Roman"/>
          <w:snapToGrid w:val="0"/>
          <w:color w:val="auto"/>
          <w:kern w:val="0"/>
          <w:sz w:val="24"/>
          <w:szCs w:val="20"/>
          <w:highlight w:val="none"/>
          <w:lang w:val="en-US" w:eastAsia="zh-CN" w:bidi="ar-SA"/>
        </w:rPr>
        <w:t>。废石堆放场面积7.0公顷，设计最大堆高30米，</w:t>
      </w:r>
      <w:r>
        <w:rPr>
          <w:rFonts w:hint="eastAsia" w:eastAsia="华文中宋" w:cs="Times New Roman"/>
          <w:snapToGrid w:val="0"/>
          <w:color w:val="auto"/>
          <w:kern w:val="0"/>
          <w:sz w:val="24"/>
          <w:szCs w:val="20"/>
          <w:highlight w:val="none"/>
          <w:lang w:val="en-US" w:eastAsia="zh-CN" w:bidi="ar-SA"/>
        </w:rPr>
        <w:t>经计算</w:t>
      </w:r>
      <w:r>
        <w:rPr>
          <w:rFonts w:hint="default" w:ascii="Times New Roman" w:hAnsi="Times New Roman" w:eastAsia="华文中宋" w:cs="Times New Roman"/>
          <w:snapToGrid w:val="0"/>
          <w:color w:val="auto"/>
          <w:kern w:val="0"/>
          <w:sz w:val="24"/>
          <w:szCs w:val="20"/>
          <w:highlight w:val="none"/>
          <w:lang w:val="en-US" w:eastAsia="zh-CN" w:bidi="ar-SA"/>
        </w:rPr>
        <w:t>有效容积</w:t>
      </w:r>
      <w:r>
        <w:rPr>
          <w:rFonts w:hint="eastAsia" w:ascii="Times New Roman" w:hAnsi="Times New Roman" w:eastAsia="华文中宋" w:cs="Times New Roman"/>
          <w:snapToGrid w:val="0"/>
          <w:color w:val="auto"/>
          <w:kern w:val="0"/>
          <w:sz w:val="24"/>
          <w:szCs w:val="20"/>
          <w:highlight w:val="none"/>
          <w:lang w:val="en-US" w:eastAsia="zh-CN" w:bidi="ar-SA"/>
        </w:rPr>
        <w:t>120</w:t>
      </w:r>
      <w:r>
        <w:rPr>
          <w:rFonts w:hint="default" w:ascii="Times New Roman" w:hAnsi="Times New Roman" w:eastAsia="华文中宋" w:cs="Times New Roman"/>
          <w:snapToGrid w:val="0"/>
          <w:color w:val="auto"/>
          <w:kern w:val="0"/>
          <w:sz w:val="24"/>
          <w:szCs w:val="20"/>
          <w:highlight w:val="none"/>
          <w:lang w:val="en-US" w:eastAsia="zh-CN" w:bidi="ar-SA"/>
        </w:rPr>
        <w:t>万立方米，可满足废石的堆放需求。</w:t>
      </w:r>
    </w:p>
    <w:p w14:paraId="08D0A9B0">
      <w:pPr>
        <w:adjustRightInd w:val="0"/>
        <w:snapToGrid w:val="0"/>
        <w:spacing w:line="500" w:lineRule="exact"/>
        <w:ind w:firstLine="480" w:firstLineChars="200"/>
        <w:jc w:val="left"/>
        <w:rPr>
          <w:rFonts w:hint="default" w:ascii="Times New Roman" w:hAnsi="Times New Roman" w:eastAsia="华文中宋" w:cs="Times New Roman"/>
          <w:snapToGrid w:val="0"/>
          <w:color w:val="auto"/>
          <w:kern w:val="0"/>
          <w:sz w:val="24"/>
          <w:szCs w:val="20"/>
          <w:highlight w:val="none"/>
          <w:lang w:val="en-US" w:eastAsia="zh-CN" w:bidi="ar-SA"/>
        </w:rPr>
      </w:pPr>
      <w:r>
        <w:rPr>
          <w:rFonts w:hint="eastAsia" w:ascii="Times New Roman" w:hAnsi="Times New Roman" w:eastAsia="华文中宋" w:cs="Times New Roman"/>
          <w:snapToGrid w:val="0"/>
          <w:color w:val="auto"/>
          <w:kern w:val="0"/>
          <w:sz w:val="24"/>
          <w:szCs w:val="20"/>
          <w:highlight w:val="none"/>
          <w:lang w:val="en-US" w:eastAsia="zh-CN" w:bidi="ar-SA"/>
        </w:rPr>
        <w:t>南露天采场开采期间1.97年内产生废石54.43万立方米，直接拉运回填至已闭坑的北露天采场内，可全部拉运回填，北露天采场回填至5112米标高。</w:t>
      </w:r>
    </w:p>
    <w:p w14:paraId="4B2A0B73">
      <w:pPr>
        <w:adjustRightInd w:val="0"/>
        <w:snapToGrid w:val="0"/>
        <w:spacing w:line="500" w:lineRule="exact"/>
        <w:ind w:firstLine="480" w:firstLineChars="200"/>
        <w:jc w:val="left"/>
        <w:rPr>
          <w:rFonts w:hint="eastAsia" w:ascii="Times New Roman" w:hAnsi="Times New Roman" w:eastAsia="华文中宋" w:cs="Times New Roman"/>
          <w:snapToGrid w:val="0"/>
          <w:color w:val="auto"/>
          <w:kern w:val="0"/>
          <w:sz w:val="24"/>
          <w:szCs w:val="20"/>
          <w:highlight w:val="none"/>
          <w:lang w:val="en-US" w:eastAsia="zh-CN" w:bidi="ar-SA"/>
        </w:rPr>
      </w:pPr>
      <w:r>
        <w:rPr>
          <w:rFonts w:hint="eastAsia" w:ascii="Times New Roman" w:hAnsi="Times New Roman" w:eastAsia="华文中宋" w:cs="Times New Roman"/>
          <w:snapToGrid w:val="0"/>
          <w:color w:val="auto"/>
          <w:kern w:val="0"/>
          <w:sz w:val="24"/>
          <w:szCs w:val="20"/>
          <w:highlight w:val="none"/>
          <w:lang w:val="en-US" w:eastAsia="zh-CN" w:bidi="ar-SA"/>
        </w:rPr>
        <w:t>矿山闭坑后利用废石堆放场内废石回填南、北露天采场。其中北露天采场回填量98.4万立方米，最终回填至5120米标高；南露天采场回填量33.36万立方米，最终回填至5112米标高。最终废石堆放场内剩余废石量28.92万立方米，最大堆放高度5米，顶部标高5125米，边坡坡度30°</w:t>
      </w:r>
      <w:r>
        <w:rPr>
          <w:rFonts w:hint="default" w:ascii="Times New Roman" w:hAnsi="Times New Roman" w:eastAsia="华文中宋" w:cs="Times New Roman"/>
          <w:snapToGrid w:val="0"/>
          <w:color w:val="auto"/>
          <w:kern w:val="0"/>
          <w:sz w:val="24"/>
          <w:szCs w:val="20"/>
          <w:highlight w:val="none"/>
          <w:lang w:val="en-US" w:eastAsia="zh-CN" w:bidi="ar-SA"/>
        </w:rPr>
        <w:t>。</w:t>
      </w:r>
    </w:p>
    <w:p w14:paraId="0E0E5194">
      <w:pPr>
        <w:adjustRightInd w:val="0"/>
        <w:snapToGrid w:val="0"/>
        <w:spacing w:before="250" w:beforeLines="50"/>
        <w:ind w:firstLine="422" w:firstLineChars="200"/>
        <w:jc w:val="center"/>
        <w:rPr>
          <w:rFonts w:hint="eastAsia" w:ascii="宋体" w:hAnsi="宋体" w:eastAsia="宋体"/>
          <w:b/>
          <w:bCs/>
          <w:color w:val="000000"/>
          <w:sz w:val="21"/>
          <w:szCs w:val="21"/>
          <w:lang w:val="en-US" w:eastAsia="zh-CN"/>
        </w:rPr>
      </w:pPr>
      <w:r>
        <w:rPr>
          <w:rFonts w:hint="eastAsia" w:ascii="Times New Roman" w:hAnsi="Times New Roman" w:eastAsia="华文中宋" w:cs="Times New Roman"/>
          <w:b/>
          <w:szCs w:val="21"/>
          <w:lang w:val="en-US" w:eastAsia="zh-CN"/>
        </w:rPr>
        <w:t>表3.2-10  废石处置工程量表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9"/>
        <w:gridCol w:w="1931"/>
        <w:gridCol w:w="2036"/>
        <w:gridCol w:w="1934"/>
      </w:tblGrid>
      <w:tr w14:paraId="64F7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19" w:type="dxa"/>
            <w:noWrap w:val="0"/>
            <w:vAlign w:val="center"/>
          </w:tcPr>
          <w:p w14:paraId="7A2C4BAF">
            <w:pPr>
              <w:keepNext w:val="0"/>
              <w:keepLines w:val="0"/>
              <w:pageBreakBefore w:val="0"/>
              <w:widowControl w:val="0"/>
              <w:kinsoku/>
              <w:wordWrap/>
              <w:overflowPunct/>
              <w:topLinePunct w:val="0"/>
              <w:autoSpaceDE/>
              <w:autoSpaceDN/>
              <w:bidi w:val="0"/>
              <w:adjustRightInd/>
              <w:snapToGrid/>
              <w:spacing w:beforeLines="0" w:afterLines="0" w:line="240" w:lineRule="atLeast"/>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废石产生及处置场地</w:t>
            </w:r>
          </w:p>
        </w:tc>
        <w:tc>
          <w:tcPr>
            <w:tcW w:w="1931" w:type="dxa"/>
            <w:noWrap w:val="0"/>
            <w:vAlign w:val="center"/>
          </w:tcPr>
          <w:p w14:paraId="11312579">
            <w:pPr>
              <w:keepNext w:val="0"/>
              <w:keepLines w:val="0"/>
              <w:pageBreakBefore w:val="0"/>
              <w:widowControl w:val="0"/>
              <w:kinsoku/>
              <w:wordWrap/>
              <w:overflowPunct/>
              <w:topLinePunct w:val="0"/>
              <w:autoSpaceDE/>
              <w:autoSpaceDN/>
              <w:bidi w:val="0"/>
              <w:adjustRightInd/>
              <w:snapToGrid/>
              <w:spacing w:beforeLines="0" w:afterLines="0" w:line="240" w:lineRule="atLeast"/>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废石</w:t>
            </w:r>
            <w:r>
              <w:rPr>
                <w:rFonts w:hint="eastAsia" w:ascii="宋体" w:hAnsi="宋体" w:eastAsia="宋体" w:cs="宋体"/>
                <w:color w:val="000000"/>
                <w:sz w:val="21"/>
                <w:szCs w:val="21"/>
                <w:lang w:val="en-US" w:eastAsia="zh-CN"/>
              </w:rPr>
              <w:t>产生量</w:t>
            </w:r>
            <w:r>
              <w:rPr>
                <w:rFonts w:hint="eastAsia" w:ascii="宋体" w:hAnsi="宋体" w:cs="宋体"/>
                <w:color w:val="000000"/>
                <w:sz w:val="21"/>
                <w:szCs w:val="21"/>
                <w:lang w:val="en-US" w:eastAsia="zh-CN"/>
              </w:rPr>
              <w:t>（万</w:t>
            </w:r>
            <w:r>
              <w:rPr>
                <w:rFonts w:hint="eastAsia" w:ascii="宋体" w:hAnsi="宋体" w:eastAsia="宋体" w:cs="宋体"/>
                <w:color w:val="000000"/>
                <w:sz w:val="21"/>
                <w:szCs w:val="21"/>
                <w:lang w:val="en-US" w:eastAsia="zh-CN"/>
              </w:rPr>
              <w:t>m³</w:t>
            </w:r>
            <w:r>
              <w:rPr>
                <w:rFonts w:hint="eastAsia" w:ascii="宋体" w:hAnsi="宋体" w:cs="宋体"/>
                <w:color w:val="000000"/>
                <w:sz w:val="21"/>
                <w:szCs w:val="21"/>
                <w:lang w:val="en-US" w:eastAsia="zh-CN"/>
              </w:rPr>
              <w:t>）</w:t>
            </w:r>
          </w:p>
        </w:tc>
        <w:tc>
          <w:tcPr>
            <w:tcW w:w="2036" w:type="dxa"/>
            <w:noWrap w:val="0"/>
            <w:vAlign w:val="center"/>
          </w:tcPr>
          <w:p w14:paraId="524EB1B1">
            <w:pPr>
              <w:keepNext w:val="0"/>
              <w:keepLines w:val="0"/>
              <w:pageBreakBefore w:val="0"/>
              <w:widowControl w:val="0"/>
              <w:kinsoku/>
              <w:wordWrap/>
              <w:overflowPunct/>
              <w:topLinePunct w:val="0"/>
              <w:autoSpaceDE/>
              <w:autoSpaceDN/>
              <w:bidi w:val="0"/>
              <w:adjustRightInd/>
              <w:snapToGrid/>
              <w:spacing w:beforeLines="0" w:afterLines="0" w:line="240" w:lineRule="atLeast"/>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复垦回填量</w:t>
            </w:r>
            <w:r>
              <w:rPr>
                <w:rFonts w:hint="eastAsia" w:ascii="宋体" w:hAnsi="宋体" w:cs="宋体"/>
                <w:color w:val="000000"/>
                <w:sz w:val="21"/>
                <w:szCs w:val="21"/>
                <w:lang w:val="en-US" w:eastAsia="zh-CN"/>
              </w:rPr>
              <w:t>（万</w:t>
            </w:r>
            <w:r>
              <w:rPr>
                <w:rFonts w:hint="eastAsia" w:ascii="宋体" w:hAnsi="宋体" w:eastAsia="宋体" w:cs="宋体"/>
                <w:color w:val="000000"/>
                <w:sz w:val="21"/>
                <w:szCs w:val="21"/>
                <w:lang w:val="en-US" w:eastAsia="zh-CN"/>
              </w:rPr>
              <w:t>m³</w:t>
            </w:r>
            <w:r>
              <w:rPr>
                <w:rFonts w:hint="eastAsia" w:ascii="宋体" w:hAnsi="宋体" w:cs="宋体"/>
                <w:color w:val="000000"/>
                <w:sz w:val="21"/>
                <w:szCs w:val="21"/>
                <w:lang w:val="en-US" w:eastAsia="zh-CN"/>
              </w:rPr>
              <w:t>）</w:t>
            </w:r>
          </w:p>
        </w:tc>
        <w:tc>
          <w:tcPr>
            <w:tcW w:w="1934" w:type="dxa"/>
            <w:noWrap w:val="0"/>
            <w:vAlign w:val="center"/>
          </w:tcPr>
          <w:p w14:paraId="0C6049D5">
            <w:pPr>
              <w:keepNext w:val="0"/>
              <w:keepLines w:val="0"/>
              <w:pageBreakBefore w:val="0"/>
              <w:widowControl w:val="0"/>
              <w:kinsoku/>
              <w:wordWrap/>
              <w:overflowPunct/>
              <w:topLinePunct w:val="0"/>
              <w:autoSpaceDE/>
              <w:autoSpaceDN/>
              <w:bidi w:val="0"/>
              <w:adjustRightInd/>
              <w:snapToGrid/>
              <w:spacing w:beforeLines="0" w:afterLines="0" w:line="240" w:lineRule="atLeast"/>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最终剩余量</w:t>
            </w:r>
            <w:r>
              <w:rPr>
                <w:rFonts w:hint="eastAsia" w:ascii="宋体" w:hAnsi="宋体" w:cs="宋体"/>
                <w:color w:val="000000"/>
                <w:sz w:val="21"/>
                <w:szCs w:val="21"/>
                <w:lang w:val="en-US" w:eastAsia="zh-CN"/>
              </w:rPr>
              <w:t>（万</w:t>
            </w:r>
            <w:r>
              <w:rPr>
                <w:rFonts w:hint="eastAsia" w:ascii="宋体" w:hAnsi="宋体" w:eastAsia="宋体" w:cs="宋体"/>
                <w:color w:val="000000"/>
                <w:sz w:val="21"/>
                <w:szCs w:val="21"/>
                <w:lang w:val="en-US" w:eastAsia="zh-CN"/>
              </w:rPr>
              <w:t>m³</w:t>
            </w:r>
            <w:r>
              <w:rPr>
                <w:rFonts w:hint="eastAsia" w:ascii="宋体" w:hAnsi="宋体" w:cs="宋体"/>
                <w:color w:val="000000"/>
                <w:sz w:val="21"/>
                <w:szCs w:val="21"/>
                <w:lang w:val="en-US" w:eastAsia="zh-CN"/>
              </w:rPr>
              <w:t>）</w:t>
            </w:r>
          </w:p>
        </w:tc>
      </w:tr>
      <w:tr w14:paraId="367E9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19" w:type="dxa"/>
            <w:noWrap w:val="0"/>
            <w:vAlign w:val="center"/>
          </w:tcPr>
          <w:p w14:paraId="73DFD903">
            <w:pPr>
              <w:keepNext w:val="0"/>
              <w:keepLines w:val="0"/>
              <w:pageBreakBefore w:val="0"/>
              <w:widowControl w:val="0"/>
              <w:kinsoku/>
              <w:wordWrap/>
              <w:overflowPunct/>
              <w:topLinePunct w:val="0"/>
              <w:autoSpaceDE/>
              <w:autoSpaceDN/>
              <w:bidi w:val="0"/>
              <w:adjustRightInd/>
              <w:snapToGrid/>
              <w:spacing w:beforeLines="0" w:afterLines="0" w:line="240" w:lineRule="atLeast"/>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废石堆放场</w:t>
            </w:r>
          </w:p>
        </w:tc>
        <w:tc>
          <w:tcPr>
            <w:tcW w:w="1931" w:type="dxa"/>
            <w:noWrap w:val="0"/>
            <w:vAlign w:val="center"/>
          </w:tcPr>
          <w:p w14:paraId="67CBCF56">
            <w:pPr>
              <w:keepNext w:val="0"/>
              <w:keepLines w:val="0"/>
              <w:pageBreakBefore w:val="0"/>
              <w:widowControl w:val="0"/>
              <w:kinsoku/>
              <w:wordWrap/>
              <w:overflowPunct/>
              <w:topLinePunct w:val="0"/>
              <w:autoSpaceDE/>
              <w:autoSpaceDN/>
              <w:bidi w:val="0"/>
              <w:adjustRightInd/>
              <w:snapToGrid/>
              <w:spacing w:beforeLines="0" w:afterLines="0" w:line="240" w:lineRule="atLeast"/>
              <w:ind w:left="0" w:leftChars="0"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p>
        </w:tc>
        <w:tc>
          <w:tcPr>
            <w:tcW w:w="2036" w:type="dxa"/>
            <w:noWrap w:val="0"/>
            <w:vAlign w:val="center"/>
          </w:tcPr>
          <w:p w14:paraId="6C77A303">
            <w:pPr>
              <w:keepNext w:val="0"/>
              <w:keepLines w:val="0"/>
              <w:pageBreakBefore w:val="0"/>
              <w:widowControl w:val="0"/>
              <w:kinsoku/>
              <w:wordWrap/>
              <w:overflowPunct/>
              <w:topLinePunct w:val="0"/>
              <w:autoSpaceDE/>
              <w:autoSpaceDN/>
              <w:bidi w:val="0"/>
              <w:adjustRightInd/>
              <w:snapToGrid/>
              <w:spacing w:beforeLines="0" w:afterLines="0" w:line="240" w:lineRule="atLeast"/>
              <w:ind w:left="0" w:leftChars="0"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p>
        </w:tc>
        <w:tc>
          <w:tcPr>
            <w:tcW w:w="1934" w:type="dxa"/>
            <w:noWrap w:val="0"/>
            <w:vAlign w:val="center"/>
          </w:tcPr>
          <w:p w14:paraId="170453DA">
            <w:pPr>
              <w:keepNext w:val="0"/>
              <w:keepLines w:val="0"/>
              <w:pageBreakBefore w:val="0"/>
              <w:widowControl w:val="0"/>
              <w:kinsoku/>
              <w:wordWrap/>
              <w:overflowPunct/>
              <w:topLinePunct w:val="0"/>
              <w:autoSpaceDE/>
              <w:autoSpaceDN/>
              <w:bidi w:val="0"/>
              <w:adjustRightInd/>
              <w:snapToGrid/>
              <w:spacing w:beforeLines="0" w:afterLines="0" w:line="240" w:lineRule="atLeast"/>
              <w:ind w:left="0" w:leftChars="0"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28.92</w:t>
            </w:r>
          </w:p>
        </w:tc>
      </w:tr>
      <w:tr w14:paraId="21B74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19" w:type="dxa"/>
            <w:noWrap w:val="0"/>
            <w:vAlign w:val="center"/>
          </w:tcPr>
          <w:p w14:paraId="41364307">
            <w:pPr>
              <w:keepNext w:val="0"/>
              <w:keepLines w:val="0"/>
              <w:pageBreakBefore w:val="0"/>
              <w:widowControl w:val="0"/>
              <w:kinsoku/>
              <w:wordWrap/>
              <w:overflowPunct/>
              <w:topLinePunct w:val="0"/>
              <w:autoSpaceDE/>
              <w:autoSpaceDN/>
              <w:bidi w:val="0"/>
              <w:adjustRightInd/>
              <w:snapToGrid/>
              <w:spacing w:beforeLines="0" w:afterLines="0" w:line="240" w:lineRule="atLeast"/>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北</w:t>
            </w:r>
            <w:r>
              <w:rPr>
                <w:rFonts w:hint="eastAsia" w:ascii="宋体" w:hAnsi="宋体" w:eastAsia="宋体" w:cs="宋体"/>
                <w:color w:val="000000"/>
                <w:sz w:val="21"/>
                <w:szCs w:val="21"/>
                <w:lang w:val="en-US" w:eastAsia="zh-CN"/>
              </w:rPr>
              <w:t>露天采场</w:t>
            </w:r>
          </w:p>
        </w:tc>
        <w:tc>
          <w:tcPr>
            <w:tcW w:w="1931" w:type="dxa"/>
            <w:noWrap w:val="0"/>
            <w:vAlign w:val="center"/>
          </w:tcPr>
          <w:p w14:paraId="2EEA0D79">
            <w:pPr>
              <w:keepNext w:val="0"/>
              <w:keepLines w:val="0"/>
              <w:pageBreakBefore w:val="0"/>
              <w:widowControl w:val="0"/>
              <w:kinsoku/>
              <w:wordWrap/>
              <w:overflowPunct/>
              <w:topLinePunct w:val="0"/>
              <w:autoSpaceDE/>
              <w:autoSpaceDN/>
              <w:bidi w:val="0"/>
              <w:adjustRightInd/>
              <w:snapToGrid/>
              <w:spacing w:beforeLines="0" w:afterLines="0" w:line="240" w:lineRule="atLeast"/>
              <w:ind w:left="0" w:leftChars="0"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106.25</w:t>
            </w:r>
          </w:p>
        </w:tc>
        <w:tc>
          <w:tcPr>
            <w:tcW w:w="2036" w:type="dxa"/>
            <w:noWrap w:val="0"/>
            <w:vAlign w:val="center"/>
          </w:tcPr>
          <w:p w14:paraId="7F5FD7F9">
            <w:pPr>
              <w:keepNext w:val="0"/>
              <w:keepLines w:val="0"/>
              <w:pageBreakBefore w:val="0"/>
              <w:widowControl w:val="0"/>
              <w:kinsoku/>
              <w:wordWrap/>
              <w:overflowPunct/>
              <w:topLinePunct w:val="0"/>
              <w:autoSpaceDE/>
              <w:autoSpaceDN/>
              <w:bidi w:val="0"/>
              <w:adjustRightInd/>
              <w:snapToGrid/>
              <w:spacing w:beforeLines="0" w:afterLines="0" w:line="240" w:lineRule="atLeast"/>
              <w:ind w:left="0" w:leftChars="0"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98.40</w:t>
            </w:r>
          </w:p>
        </w:tc>
        <w:tc>
          <w:tcPr>
            <w:tcW w:w="1934" w:type="dxa"/>
            <w:noWrap w:val="0"/>
            <w:vAlign w:val="center"/>
          </w:tcPr>
          <w:p w14:paraId="7C7BCF09">
            <w:pPr>
              <w:keepNext w:val="0"/>
              <w:keepLines w:val="0"/>
              <w:pageBreakBefore w:val="0"/>
              <w:widowControl w:val="0"/>
              <w:kinsoku/>
              <w:wordWrap/>
              <w:overflowPunct/>
              <w:topLinePunct w:val="0"/>
              <w:autoSpaceDE/>
              <w:autoSpaceDN/>
              <w:bidi w:val="0"/>
              <w:adjustRightInd/>
              <w:snapToGrid/>
              <w:spacing w:beforeLines="0" w:afterLines="0" w:line="240" w:lineRule="atLeast"/>
              <w:ind w:left="0" w:leftChars="0"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p>
        </w:tc>
      </w:tr>
      <w:tr w14:paraId="21B95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19" w:type="dxa"/>
            <w:noWrap w:val="0"/>
            <w:vAlign w:val="center"/>
          </w:tcPr>
          <w:p w14:paraId="713A7057">
            <w:pPr>
              <w:keepNext w:val="0"/>
              <w:keepLines w:val="0"/>
              <w:pageBreakBefore w:val="0"/>
              <w:widowControl w:val="0"/>
              <w:kinsoku/>
              <w:wordWrap/>
              <w:overflowPunct/>
              <w:topLinePunct w:val="0"/>
              <w:autoSpaceDE/>
              <w:autoSpaceDN/>
              <w:bidi w:val="0"/>
              <w:adjustRightInd/>
              <w:snapToGrid/>
              <w:spacing w:beforeLines="0" w:afterLines="0" w:line="240" w:lineRule="atLeast"/>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南</w:t>
            </w:r>
            <w:r>
              <w:rPr>
                <w:rFonts w:hint="eastAsia" w:ascii="宋体" w:hAnsi="宋体" w:eastAsia="宋体" w:cs="宋体"/>
                <w:color w:val="000000"/>
                <w:sz w:val="21"/>
                <w:szCs w:val="21"/>
                <w:lang w:val="en-US" w:eastAsia="zh-CN"/>
              </w:rPr>
              <w:t>露天采场</w:t>
            </w:r>
          </w:p>
        </w:tc>
        <w:tc>
          <w:tcPr>
            <w:tcW w:w="1931" w:type="dxa"/>
            <w:noWrap w:val="0"/>
            <w:vAlign w:val="center"/>
          </w:tcPr>
          <w:p w14:paraId="51ADAC8B">
            <w:pPr>
              <w:keepNext w:val="0"/>
              <w:keepLines w:val="0"/>
              <w:pageBreakBefore w:val="0"/>
              <w:widowControl w:val="0"/>
              <w:kinsoku/>
              <w:wordWrap/>
              <w:overflowPunct/>
              <w:topLinePunct w:val="0"/>
              <w:autoSpaceDE/>
              <w:autoSpaceDN/>
              <w:bidi w:val="0"/>
              <w:adjustRightInd/>
              <w:snapToGrid/>
              <w:spacing w:beforeLines="0" w:afterLines="0" w:line="240" w:lineRule="atLeast"/>
              <w:ind w:left="0" w:leftChars="0"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54.43</w:t>
            </w:r>
          </w:p>
        </w:tc>
        <w:tc>
          <w:tcPr>
            <w:tcW w:w="2036" w:type="dxa"/>
            <w:noWrap w:val="0"/>
            <w:vAlign w:val="center"/>
          </w:tcPr>
          <w:p w14:paraId="27731A3B">
            <w:pPr>
              <w:keepNext w:val="0"/>
              <w:keepLines w:val="0"/>
              <w:pageBreakBefore w:val="0"/>
              <w:widowControl w:val="0"/>
              <w:kinsoku/>
              <w:wordWrap/>
              <w:overflowPunct/>
              <w:topLinePunct w:val="0"/>
              <w:autoSpaceDE/>
              <w:autoSpaceDN/>
              <w:bidi w:val="0"/>
              <w:adjustRightInd/>
              <w:snapToGrid/>
              <w:spacing w:beforeLines="0" w:afterLines="0" w:line="240" w:lineRule="atLeast"/>
              <w:ind w:left="0" w:leftChars="0" w:firstLine="0" w:firstLineChars="0"/>
              <w:jc w:val="center"/>
              <w:textAlignment w:val="auto"/>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33.36</w:t>
            </w:r>
          </w:p>
        </w:tc>
        <w:tc>
          <w:tcPr>
            <w:tcW w:w="1934" w:type="dxa"/>
            <w:noWrap w:val="0"/>
            <w:vAlign w:val="center"/>
          </w:tcPr>
          <w:p w14:paraId="73E80534">
            <w:pPr>
              <w:keepNext w:val="0"/>
              <w:keepLines w:val="0"/>
              <w:pageBreakBefore w:val="0"/>
              <w:widowControl w:val="0"/>
              <w:kinsoku/>
              <w:wordWrap/>
              <w:overflowPunct/>
              <w:topLinePunct w:val="0"/>
              <w:autoSpaceDE/>
              <w:autoSpaceDN/>
              <w:bidi w:val="0"/>
              <w:adjustRightInd/>
              <w:snapToGrid/>
              <w:spacing w:beforeLines="0" w:afterLines="0" w:line="240" w:lineRule="atLeast"/>
              <w:ind w:left="0" w:leftChars="0"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w:t>
            </w:r>
          </w:p>
        </w:tc>
      </w:tr>
      <w:tr w14:paraId="13EFB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19" w:type="dxa"/>
            <w:noWrap w:val="0"/>
            <w:vAlign w:val="center"/>
          </w:tcPr>
          <w:p w14:paraId="5A302A24">
            <w:pPr>
              <w:keepNext w:val="0"/>
              <w:keepLines w:val="0"/>
              <w:pageBreakBefore w:val="0"/>
              <w:widowControl w:val="0"/>
              <w:kinsoku/>
              <w:wordWrap/>
              <w:overflowPunct/>
              <w:topLinePunct w:val="0"/>
              <w:autoSpaceDE/>
              <w:autoSpaceDN/>
              <w:bidi w:val="0"/>
              <w:adjustRightInd/>
              <w:snapToGrid/>
              <w:spacing w:beforeLines="0" w:afterLines="0" w:line="240" w:lineRule="atLeast"/>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合计</w:t>
            </w:r>
          </w:p>
        </w:tc>
        <w:tc>
          <w:tcPr>
            <w:tcW w:w="1931" w:type="dxa"/>
            <w:noWrap w:val="0"/>
            <w:vAlign w:val="center"/>
          </w:tcPr>
          <w:p w14:paraId="571B4A5F">
            <w:pPr>
              <w:keepNext w:val="0"/>
              <w:keepLines w:val="0"/>
              <w:pageBreakBefore w:val="0"/>
              <w:widowControl w:val="0"/>
              <w:kinsoku/>
              <w:wordWrap/>
              <w:overflowPunct/>
              <w:topLinePunct w:val="0"/>
              <w:autoSpaceDE/>
              <w:autoSpaceDN/>
              <w:bidi w:val="0"/>
              <w:adjustRightInd/>
              <w:snapToGrid/>
              <w:spacing w:beforeLines="0" w:afterLines="0" w:line="240" w:lineRule="atLeast"/>
              <w:ind w:left="0" w:leftChars="0"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160.68</w:t>
            </w:r>
          </w:p>
        </w:tc>
        <w:tc>
          <w:tcPr>
            <w:tcW w:w="2036" w:type="dxa"/>
            <w:noWrap w:val="0"/>
            <w:vAlign w:val="center"/>
          </w:tcPr>
          <w:p w14:paraId="78D740DA">
            <w:pPr>
              <w:keepNext w:val="0"/>
              <w:keepLines w:val="0"/>
              <w:pageBreakBefore w:val="0"/>
              <w:widowControl w:val="0"/>
              <w:kinsoku/>
              <w:wordWrap/>
              <w:overflowPunct/>
              <w:topLinePunct w:val="0"/>
              <w:autoSpaceDE/>
              <w:autoSpaceDN/>
              <w:bidi w:val="0"/>
              <w:adjustRightInd/>
              <w:snapToGrid/>
              <w:spacing w:beforeLines="0" w:afterLines="0" w:line="240" w:lineRule="atLeast"/>
              <w:ind w:left="0" w:leftChars="0"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131.76</w:t>
            </w:r>
          </w:p>
        </w:tc>
        <w:tc>
          <w:tcPr>
            <w:tcW w:w="1934" w:type="dxa"/>
            <w:noWrap w:val="0"/>
            <w:vAlign w:val="center"/>
          </w:tcPr>
          <w:p w14:paraId="548980CA">
            <w:pPr>
              <w:keepNext w:val="0"/>
              <w:keepLines w:val="0"/>
              <w:pageBreakBefore w:val="0"/>
              <w:widowControl w:val="0"/>
              <w:kinsoku/>
              <w:wordWrap/>
              <w:overflowPunct/>
              <w:topLinePunct w:val="0"/>
              <w:autoSpaceDE/>
              <w:autoSpaceDN/>
              <w:bidi w:val="0"/>
              <w:adjustRightInd/>
              <w:snapToGrid/>
              <w:spacing w:beforeLines="0" w:afterLines="0" w:line="240" w:lineRule="atLeast"/>
              <w:ind w:left="0" w:leftChars="0"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28.92</w:t>
            </w:r>
          </w:p>
        </w:tc>
      </w:tr>
    </w:tbl>
    <w:p w14:paraId="04D0767E">
      <w:pPr>
        <w:adjustRightInd w:val="0"/>
        <w:snapToGrid w:val="0"/>
        <w:spacing w:line="500" w:lineRule="exact"/>
        <w:ind w:firstLine="480" w:firstLineChars="200"/>
        <w:jc w:val="left"/>
        <w:rPr>
          <w:rFonts w:hint="default" w:ascii="Times New Roman" w:hAnsi="Times New Roman" w:eastAsia="华文中宋" w:cs="Times New Roman"/>
          <w:sz w:val="24"/>
          <w:lang w:eastAsia="zh-CN"/>
        </w:rPr>
      </w:pPr>
      <w:r>
        <w:rPr>
          <w:rFonts w:hint="eastAsia" w:ascii="Calibri" w:hAnsi="Calibri" w:eastAsia="华文中宋" w:cs="Calibri"/>
          <w:sz w:val="24"/>
          <w:lang w:eastAsia="zh-CN"/>
        </w:rPr>
        <w:t>（</w:t>
      </w:r>
      <w:r>
        <w:rPr>
          <w:rFonts w:hint="eastAsia" w:ascii="Calibri" w:hAnsi="Calibri" w:eastAsia="华文中宋" w:cs="Calibri"/>
          <w:sz w:val="24"/>
          <w:lang w:val="en-US" w:eastAsia="zh-CN"/>
        </w:rPr>
        <w:t>2</w:t>
      </w:r>
      <w:r>
        <w:rPr>
          <w:rFonts w:hint="eastAsia" w:ascii="Calibri" w:hAnsi="Calibri" w:eastAsia="华文中宋" w:cs="Calibri"/>
          <w:sz w:val="24"/>
          <w:lang w:eastAsia="zh-CN"/>
        </w:rPr>
        <w:t>）</w:t>
      </w:r>
      <w:r>
        <w:rPr>
          <w:rFonts w:hint="default" w:ascii="Times New Roman" w:hAnsi="Times New Roman" w:eastAsia="华文中宋" w:cs="Times New Roman"/>
          <w:sz w:val="24"/>
          <w:lang w:eastAsia="zh-CN"/>
        </w:rPr>
        <w:t>废机油和废润滑油</w:t>
      </w:r>
    </w:p>
    <w:p w14:paraId="1325E948">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eastAsia="zh-CN"/>
        </w:rPr>
        <w:t>矿山在运营过程中机械设备及汽车维修保养会产生少量的废机油</w:t>
      </w:r>
      <w:r>
        <w:rPr>
          <w:rFonts w:hint="eastAsia" w:ascii="Times New Roman" w:hAnsi="Times New Roman" w:eastAsia="华文中宋" w:cs="Times New Roman"/>
          <w:sz w:val="24"/>
          <w:lang w:eastAsia="zh-CN"/>
        </w:rPr>
        <w:t>，</w:t>
      </w:r>
      <w:r>
        <w:rPr>
          <w:rFonts w:hint="default" w:ascii="Times New Roman" w:hAnsi="Times New Roman" w:eastAsia="华文中宋" w:cs="Times New Roman"/>
          <w:sz w:val="24"/>
          <w:lang w:val="en-US" w:eastAsia="zh-CN"/>
        </w:rPr>
        <w:t>根据建设单位提供资料，本项目产生的废润滑油量约</w:t>
      </w:r>
      <w:r>
        <w:rPr>
          <w:rFonts w:hint="eastAsia" w:ascii="Times New Roman" w:hAnsi="Times New Roman" w:eastAsia="华文中宋" w:cs="Times New Roman"/>
          <w:sz w:val="24"/>
          <w:lang w:val="en-US" w:eastAsia="zh-CN"/>
        </w:rPr>
        <w:t>1</w:t>
      </w:r>
      <w:r>
        <w:rPr>
          <w:rFonts w:hint="default" w:ascii="Times New Roman" w:hAnsi="Times New Roman" w:eastAsia="华文中宋" w:cs="Times New Roman"/>
          <w:sz w:val="24"/>
          <w:lang w:val="en-US" w:eastAsia="zh-CN"/>
        </w:rPr>
        <w:t>t/a。根据《国家危险废物分类名录（2025年版）》，废润滑油属于“HW08废矿物油与含矿物油废物”，危废代码为900-214-08（车辆、轮船</w:t>
      </w:r>
      <w:r>
        <w:rPr>
          <w:rFonts w:hint="eastAsia" w:ascii="Times New Roman" w:hAnsi="Times New Roman" w:eastAsia="华文中宋" w:cs="Times New Roman"/>
          <w:sz w:val="24"/>
          <w:lang w:val="en-US" w:eastAsia="zh-CN"/>
        </w:rPr>
        <w:t>及其他</w:t>
      </w:r>
      <w:r>
        <w:rPr>
          <w:rFonts w:hint="default" w:ascii="Times New Roman" w:hAnsi="Times New Roman" w:eastAsia="华文中宋" w:cs="Times New Roman"/>
          <w:sz w:val="24"/>
          <w:lang w:val="en-US" w:eastAsia="zh-CN"/>
        </w:rPr>
        <w:t>机械维修过程中产生的废发动机油、制动器油、自动变速器油、齿轮油等废润滑油），900-217-08（使用工业齿轮油进行机械设备润滑过程中产生的废润滑油）</w:t>
      </w:r>
      <w:r>
        <w:rPr>
          <w:rFonts w:hint="eastAsia" w:ascii="Times New Roman" w:hAnsi="Times New Roman" w:eastAsia="华文中宋" w:cs="Times New Roman"/>
          <w:sz w:val="24"/>
          <w:lang w:val="en-US" w:eastAsia="zh-CN"/>
        </w:rPr>
        <w:t>。项目废机油和废润滑油经</w:t>
      </w:r>
      <w:r>
        <w:rPr>
          <w:rFonts w:hint="default" w:ascii="Times New Roman" w:hAnsi="Times New Roman" w:eastAsia="华文中宋" w:cs="Times New Roman"/>
          <w:sz w:val="24"/>
          <w:lang w:val="en-US" w:eastAsia="zh-CN"/>
        </w:rPr>
        <w:t>密闭容器收集，暂存于危险废物暂存间，定期交具有相应处理资质的单位处置。</w:t>
      </w:r>
    </w:p>
    <w:p w14:paraId="1CB93912">
      <w:pPr>
        <w:adjustRightInd w:val="0"/>
        <w:snapToGrid w:val="0"/>
        <w:spacing w:line="500" w:lineRule="exact"/>
        <w:ind w:firstLine="480" w:firstLineChars="200"/>
        <w:jc w:val="left"/>
        <w:rPr>
          <w:rFonts w:hint="default" w:ascii="Times New Roman" w:hAnsi="Times New Roman" w:eastAsia="华文中宋" w:cs="Times New Roman"/>
          <w:sz w:val="24"/>
        </w:rPr>
      </w:pPr>
      <w:r>
        <w:rPr>
          <w:rFonts w:hint="eastAsia" w:ascii="Calibri" w:hAnsi="Calibri" w:eastAsia="华文中宋" w:cs="Calibri"/>
          <w:sz w:val="24"/>
          <w:lang w:eastAsia="zh-CN"/>
        </w:rPr>
        <w:t>（</w:t>
      </w:r>
      <w:r>
        <w:rPr>
          <w:rFonts w:hint="eastAsia" w:ascii="Calibri" w:hAnsi="Calibri" w:eastAsia="华文中宋" w:cs="Calibri"/>
          <w:sz w:val="24"/>
          <w:lang w:val="en-US" w:eastAsia="zh-CN"/>
        </w:rPr>
        <w:t>3</w:t>
      </w:r>
      <w:r>
        <w:rPr>
          <w:rFonts w:hint="eastAsia" w:ascii="Calibri" w:hAnsi="Calibri" w:eastAsia="华文中宋" w:cs="Calibri"/>
          <w:sz w:val="24"/>
          <w:lang w:eastAsia="zh-CN"/>
        </w:rPr>
        <w:t>）</w:t>
      </w:r>
      <w:r>
        <w:rPr>
          <w:rFonts w:hint="default" w:ascii="Times New Roman" w:hAnsi="Times New Roman" w:eastAsia="华文中宋" w:cs="Times New Roman"/>
          <w:sz w:val="24"/>
        </w:rPr>
        <w:t>生活垃圾</w:t>
      </w:r>
    </w:p>
    <w:p w14:paraId="5807FDDE">
      <w:pPr>
        <w:adjustRightInd w:val="0"/>
        <w:snapToGrid w:val="0"/>
        <w:spacing w:line="500" w:lineRule="exact"/>
        <w:ind w:firstLine="480" w:firstLineChars="200"/>
        <w:jc w:val="left"/>
        <w:rPr>
          <w:rFonts w:hint="default" w:ascii="Times New Roman" w:hAnsi="Times New Roman" w:eastAsia="华文中宋" w:cs="Times New Roman"/>
          <w:sz w:val="24"/>
        </w:rPr>
      </w:pPr>
      <w:r>
        <w:rPr>
          <w:rFonts w:hint="default" w:ascii="Times New Roman" w:hAnsi="Times New Roman" w:eastAsia="华文中宋" w:cs="Times New Roman"/>
          <w:sz w:val="24"/>
        </w:rPr>
        <w:t>矿区劳动定员</w:t>
      </w:r>
      <w:r>
        <w:rPr>
          <w:rFonts w:hint="default" w:ascii="Times New Roman" w:hAnsi="Times New Roman" w:eastAsia="华文中宋" w:cs="Times New Roman"/>
          <w:sz w:val="24"/>
          <w:lang w:val="en-US" w:eastAsia="zh-CN"/>
        </w:rPr>
        <w:t>50</w:t>
      </w:r>
      <w:r>
        <w:rPr>
          <w:rFonts w:hint="default" w:ascii="Times New Roman" w:hAnsi="Times New Roman" w:eastAsia="华文中宋" w:cs="Times New Roman"/>
          <w:sz w:val="24"/>
        </w:rPr>
        <w:t>人，按每人每天产生生活垃圾0.5kg计算，生活垃圾产生量约</w:t>
      </w:r>
      <w:r>
        <w:rPr>
          <w:rFonts w:hint="default" w:ascii="Times New Roman" w:hAnsi="Times New Roman" w:eastAsia="华文中宋" w:cs="Times New Roman"/>
          <w:sz w:val="24"/>
          <w:lang w:val="en-US" w:eastAsia="zh-CN"/>
        </w:rPr>
        <w:t>5t/a</w:t>
      </w:r>
      <w:r>
        <w:rPr>
          <w:rFonts w:hint="default" w:ascii="Times New Roman" w:hAnsi="Times New Roman" w:eastAsia="华文中宋" w:cs="Times New Roman"/>
          <w:sz w:val="24"/>
          <w:lang w:eastAsia="zh-CN"/>
        </w:rPr>
        <w:t>，在各场区内备有垃圾箱和垃圾桶，</w:t>
      </w:r>
      <w:r>
        <w:rPr>
          <w:rFonts w:hint="default" w:ascii="Times New Roman" w:hAnsi="Times New Roman" w:eastAsia="华文中宋" w:cs="Times New Roman"/>
          <w:sz w:val="24"/>
        </w:rPr>
        <w:t>生活垃圾集中收集、定期运至附近乡镇的垃圾收集点由环卫部门统一清运填埋处置。</w:t>
      </w:r>
    </w:p>
    <w:p w14:paraId="3C55ED84">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eastAsia="zh-CN"/>
        </w:rPr>
        <w:t>（</w:t>
      </w:r>
      <w:r>
        <w:rPr>
          <w:rFonts w:hint="eastAsia" w:ascii="Times New Roman" w:hAnsi="Times New Roman" w:eastAsia="华文中宋" w:cs="Times New Roman"/>
          <w:sz w:val="24"/>
          <w:lang w:val="en-US" w:eastAsia="zh-CN"/>
        </w:rPr>
        <w:t>4</w:t>
      </w:r>
      <w:r>
        <w:rPr>
          <w:rFonts w:hint="eastAsia" w:ascii="Times New Roman" w:hAnsi="Times New Roman" w:eastAsia="华文中宋" w:cs="Times New Roman"/>
          <w:sz w:val="24"/>
          <w:lang w:eastAsia="zh-CN"/>
        </w:rPr>
        <w:t>）</w:t>
      </w:r>
      <w:r>
        <w:rPr>
          <w:rFonts w:hint="eastAsia" w:ascii="Times New Roman" w:hAnsi="Times New Roman" w:eastAsia="华文中宋" w:cs="Times New Roman"/>
          <w:sz w:val="24"/>
          <w:lang w:val="en-US" w:eastAsia="zh-CN"/>
        </w:rPr>
        <w:t>生活污水污泥</w:t>
      </w:r>
    </w:p>
    <w:p w14:paraId="25A2D895">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项目生活污水经一体化污水处理设施处理过程中会产生少量污泥，产生量约为0.052t/a，此部分污泥随项目生活垃圾一同定期清运至附近垃圾填埋场。</w:t>
      </w:r>
    </w:p>
    <w:p w14:paraId="5A767F9D">
      <w:pPr>
        <w:adjustRightInd w:val="0"/>
        <w:snapToGrid w:val="0"/>
        <w:spacing w:line="500" w:lineRule="exact"/>
        <w:jc w:val="left"/>
        <w:rPr>
          <w:rFonts w:hint="default" w:ascii="Times New Roman" w:hAnsi="Times New Roman" w:eastAsia="华文中宋" w:cs="Times New Roman"/>
          <w:b/>
          <w:bCs/>
          <w:sz w:val="24"/>
          <w:lang w:val="en-US" w:eastAsia="zh-CN"/>
        </w:rPr>
      </w:pPr>
      <w:r>
        <w:rPr>
          <w:rFonts w:hint="default" w:ascii="Times New Roman" w:hAnsi="Times New Roman" w:eastAsia="华文中宋" w:cs="Times New Roman"/>
          <w:b/>
          <w:bCs/>
          <w:sz w:val="24"/>
          <w:lang w:val="en-US" w:eastAsia="zh-CN"/>
        </w:rPr>
        <w:t>3.2.2.</w:t>
      </w:r>
      <w:r>
        <w:rPr>
          <w:rFonts w:hint="eastAsia" w:ascii="Times New Roman" w:hAnsi="Times New Roman" w:eastAsia="华文中宋" w:cs="Times New Roman"/>
          <w:b/>
          <w:bCs/>
          <w:sz w:val="24"/>
          <w:lang w:val="en-US" w:eastAsia="zh-CN"/>
        </w:rPr>
        <w:t>5</w:t>
      </w:r>
      <w:r>
        <w:rPr>
          <w:rFonts w:hint="default" w:ascii="Times New Roman" w:hAnsi="Times New Roman" w:eastAsia="华文中宋" w:cs="Times New Roman"/>
          <w:b/>
          <w:bCs/>
          <w:sz w:val="24"/>
          <w:lang w:val="en-US" w:eastAsia="zh-CN"/>
        </w:rPr>
        <w:t>生态影响分析</w:t>
      </w:r>
    </w:p>
    <w:p w14:paraId="0FAC8B4B">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采掘场表土、岩石的爆破、剥离、采装、运输过程扬尘，也将对生态环境造成一定的影响。为减少自然植被受到的破坏，在生产中必须注意采掘场和废石堆放场生态环境治理与恢复工作，必须以恢复和改善被干扰土地的生态平衡为主要目的。</w:t>
      </w:r>
    </w:p>
    <w:p w14:paraId="6EC4158D">
      <w:pPr>
        <w:adjustRightInd w:val="0"/>
        <w:snapToGrid w:val="0"/>
        <w:spacing w:line="500" w:lineRule="exact"/>
        <w:jc w:val="left"/>
        <w:rPr>
          <w:rFonts w:hint="default" w:ascii="Times New Roman" w:hAnsi="Times New Roman" w:eastAsia="华文中宋" w:cs="Times New Roman"/>
          <w:b/>
          <w:bCs/>
          <w:sz w:val="24"/>
          <w:lang w:val="en-US" w:eastAsia="zh-CN"/>
        </w:rPr>
      </w:pPr>
      <w:r>
        <w:rPr>
          <w:rFonts w:hint="default" w:ascii="Times New Roman" w:hAnsi="Times New Roman" w:eastAsia="华文中宋" w:cs="Times New Roman"/>
          <w:b/>
          <w:bCs/>
          <w:sz w:val="24"/>
          <w:lang w:val="en-US" w:eastAsia="zh-CN"/>
        </w:rPr>
        <w:t>3.2.2.</w:t>
      </w:r>
      <w:r>
        <w:rPr>
          <w:rFonts w:hint="eastAsia" w:ascii="Times New Roman" w:hAnsi="Times New Roman" w:eastAsia="华文中宋" w:cs="Times New Roman"/>
          <w:b/>
          <w:bCs/>
          <w:sz w:val="24"/>
          <w:lang w:val="en-US" w:eastAsia="zh-CN"/>
        </w:rPr>
        <w:t>6</w:t>
      </w:r>
      <w:r>
        <w:rPr>
          <w:rFonts w:hint="default" w:ascii="Times New Roman" w:hAnsi="Times New Roman" w:eastAsia="华文中宋" w:cs="Times New Roman"/>
          <w:b/>
          <w:bCs/>
          <w:sz w:val="24"/>
          <w:lang w:val="en-US" w:eastAsia="zh-CN"/>
        </w:rPr>
        <w:t>非正常工况排污情况</w:t>
      </w:r>
    </w:p>
    <w:p w14:paraId="72F85B44">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非正常工况排污主要包括生产设备的正常开、停车和设备检修时，以及环保设施达不到设计要求时排放的污染物。本项目所采用的生产设备均为用电设备，设备正常开、停车和检修时不会有污染物排放，因此本项目的非正常工况排污主要指各类无组织排放的粉尘污染物。</w:t>
      </w:r>
    </w:p>
    <w:p w14:paraId="2242E543">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（1）</w:t>
      </w:r>
      <w:r>
        <w:rPr>
          <w:rFonts w:hint="default" w:ascii="Times New Roman" w:hAnsi="Times New Roman" w:eastAsia="华文中宋" w:cs="Times New Roman"/>
          <w:sz w:val="24"/>
          <w:lang w:val="en-US" w:eastAsia="zh-CN"/>
        </w:rPr>
        <w:t>粉尘非正常排放</w:t>
      </w:r>
    </w:p>
    <w:p w14:paraId="675896BC">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本项目主要污染物为各类无组织排放的粉尘，本次非正常</w:t>
      </w:r>
      <w:r>
        <w:rPr>
          <w:rFonts w:hint="eastAsia" w:ascii="Times New Roman" w:hAnsi="Times New Roman" w:eastAsia="华文中宋" w:cs="Times New Roman"/>
          <w:sz w:val="24"/>
          <w:lang w:val="en-US" w:eastAsia="zh-CN"/>
        </w:rPr>
        <w:t>工况</w:t>
      </w:r>
      <w:r>
        <w:rPr>
          <w:rFonts w:hint="default" w:ascii="Times New Roman" w:hAnsi="Times New Roman" w:eastAsia="华文中宋" w:cs="Times New Roman"/>
          <w:sz w:val="24"/>
          <w:lang w:val="en-US" w:eastAsia="zh-CN"/>
        </w:rPr>
        <w:t>选取采场和废石堆放场不进行洒水的情形作为非正常排放；露天开采遇大风等特殊天气停止生产作业。</w:t>
      </w:r>
    </w:p>
    <w:p w14:paraId="605B027A">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表3.2-1</w:t>
      </w:r>
      <w:r>
        <w:rPr>
          <w:rFonts w:hint="eastAsia" w:ascii="Times New Roman" w:hAnsi="Times New Roman" w:eastAsia="华文中宋" w:cs="Times New Roman"/>
          <w:b/>
          <w:szCs w:val="21"/>
          <w:lang w:val="en-US" w:eastAsia="zh-CN"/>
        </w:rPr>
        <w:t>1</w:t>
      </w:r>
      <w:r>
        <w:rPr>
          <w:rFonts w:hint="default" w:ascii="Times New Roman" w:hAnsi="Times New Roman" w:eastAsia="华文中宋" w:cs="Times New Roman"/>
          <w:b/>
          <w:szCs w:val="21"/>
          <w:lang w:val="en-US" w:eastAsia="zh-CN"/>
        </w:rPr>
        <w:t xml:space="preserve">  非正常工况下废气污染物参数</w:t>
      </w:r>
    </w:p>
    <w:tbl>
      <w:tblPr>
        <w:tblStyle w:val="20"/>
        <w:tblW w:w="85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9"/>
        <w:gridCol w:w="1710"/>
        <w:gridCol w:w="1058"/>
        <w:gridCol w:w="1370"/>
        <w:gridCol w:w="1231"/>
        <w:gridCol w:w="1094"/>
        <w:gridCol w:w="769"/>
      </w:tblGrid>
      <w:tr w14:paraId="6C081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9" w:type="dxa"/>
            <w:tcBorders>
              <w:tl2br w:val="nil"/>
              <w:tr2bl w:val="nil"/>
            </w:tcBorders>
            <w:vAlign w:val="center"/>
          </w:tcPr>
          <w:p w14:paraId="658DD95C">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非正常污染源</w:t>
            </w:r>
          </w:p>
        </w:tc>
        <w:tc>
          <w:tcPr>
            <w:tcW w:w="1710" w:type="dxa"/>
            <w:tcBorders>
              <w:tl2br w:val="nil"/>
              <w:tr2bl w:val="nil"/>
            </w:tcBorders>
            <w:vAlign w:val="center"/>
          </w:tcPr>
          <w:p w14:paraId="2BED27B1">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非正常排放原因</w:t>
            </w:r>
          </w:p>
        </w:tc>
        <w:tc>
          <w:tcPr>
            <w:tcW w:w="1058" w:type="dxa"/>
            <w:tcBorders>
              <w:tl2br w:val="nil"/>
              <w:tr2bl w:val="nil"/>
            </w:tcBorders>
            <w:vAlign w:val="center"/>
          </w:tcPr>
          <w:p w14:paraId="67B63516">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污染物</w:t>
            </w:r>
          </w:p>
        </w:tc>
        <w:tc>
          <w:tcPr>
            <w:tcW w:w="1370" w:type="dxa"/>
            <w:tcBorders>
              <w:tl2br w:val="nil"/>
              <w:tr2bl w:val="nil"/>
            </w:tcBorders>
            <w:vAlign w:val="center"/>
          </w:tcPr>
          <w:p w14:paraId="1B13B9F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eastAsia="zh-CN"/>
              </w:rPr>
              <w:t>非正常排放速率（</w:t>
            </w:r>
            <w:r>
              <w:rPr>
                <w:rFonts w:hint="default" w:ascii="Times New Roman" w:hAnsi="Times New Roman" w:eastAsia="华文中宋" w:cs="Times New Roman"/>
                <w:szCs w:val="21"/>
                <w:lang w:val="en-US" w:eastAsia="zh-CN"/>
              </w:rPr>
              <w:t>kg/h</w:t>
            </w:r>
            <w:r>
              <w:rPr>
                <w:rFonts w:hint="default" w:ascii="Times New Roman" w:hAnsi="Times New Roman" w:eastAsia="华文中宋" w:cs="Times New Roman"/>
                <w:szCs w:val="21"/>
                <w:lang w:eastAsia="zh-CN"/>
              </w:rPr>
              <w:t>）</w:t>
            </w:r>
          </w:p>
        </w:tc>
        <w:tc>
          <w:tcPr>
            <w:tcW w:w="1231" w:type="dxa"/>
            <w:tcBorders>
              <w:tl2br w:val="nil"/>
              <w:tr2bl w:val="nil"/>
            </w:tcBorders>
            <w:vAlign w:val="center"/>
          </w:tcPr>
          <w:p w14:paraId="29933C7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单次持续时间（h）</w:t>
            </w:r>
          </w:p>
        </w:tc>
        <w:tc>
          <w:tcPr>
            <w:tcW w:w="1094" w:type="dxa"/>
            <w:tcBorders>
              <w:tl2br w:val="nil"/>
              <w:tr2bl w:val="nil"/>
            </w:tcBorders>
            <w:vAlign w:val="center"/>
          </w:tcPr>
          <w:p w14:paraId="1D568EF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年发生频次（次）</w:t>
            </w:r>
          </w:p>
        </w:tc>
        <w:tc>
          <w:tcPr>
            <w:tcW w:w="769" w:type="dxa"/>
            <w:tcBorders>
              <w:tl2br w:val="nil"/>
              <w:tr2bl w:val="nil"/>
            </w:tcBorders>
            <w:vAlign w:val="center"/>
          </w:tcPr>
          <w:p w14:paraId="23F9E85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应对措施</w:t>
            </w:r>
          </w:p>
        </w:tc>
      </w:tr>
      <w:tr w14:paraId="1A0DC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09" w:type="dxa"/>
            <w:vMerge w:val="restart"/>
            <w:tcBorders>
              <w:tl2br w:val="nil"/>
              <w:tr2bl w:val="nil"/>
            </w:tcBorders>
            <w:vAlign w:val="center"/>
          </w:tcPr>
          <w:p w14:paraId="29893A8B">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露天采场</w:t>
            </w:r>
          </w:p>
        </w:tc>
        <w:tc>
          <w:tcPr>
            <w:tcW w:w="1710" w:type="dxa"/>
            <w:vMerge w:val="restart"/>
            <w:tcBorders>
              <w:tl2br w:val="nil"/>
              <w:tr2bl w:val="nil"/>
            </w:tcBorders>
            <w:vAlign w:val="center"/>
          </w:tcPr>
          <w:p w14:paraId="1E103430">
            <w:pPr>
              <w:spacing w:line="300" w:lineRule="exact"/>
              <w:jc w:val="center"/>
              <w:rPr>
                <w:rFonts w:hint="default" w:ascii="Times New Roman" w:hAnsi="Times New Roman" w:eastAsia="华文中宋" w:cs="Times New Roman"/>
                <w:szCs w:val="21"/>
                <w:highlight w:val="none"/>
                <w:lang w:eastAsia="zh-CN"/>
              </w:rPr>
            </w:pPr>
            <w:r>
              <w:rPr>
                <w:rFonts w:hint="default" w:ascii="Times New Roman" w:hAnsi="Times New Roman" w:eastAsia="华文中宋" w:cs="Times New Roman"/>
                <w:szCs w:val="21"/>
                <w:highlight w:val="none"/>
                <w:lang w:eastAsia="zh-CN"/>
              </w:rPr>
              <w:t>不</w:t>
            </w:r>
            <w:r>
              <w:rPr>
                <w:rFonts w:hint="default" w:ascii="Times New Roman" w:hAnsi="Times New Roman" w:eastAsia="华文中宋" w:cs="Times New Roman"/>
                <w:szCs w:val="21"/>
                <w:highlight w:val="none"/>
                <w:lang w:val="en-US" w:eastAsia="zh-CN"/>
              </w:rPr>
              <w:t>采取湿式</w:t>
            </w:r>
            <w:r>
              <w:rPr>
                <w:rFonts w:hint="default" w:ascii="Times New Roman" w:hAnsi="Times New Roman" w:eastAsia="华文中宋" w:cs="Times New Roman"/>
                <w:szCs w:val="21"/>
                <w:highlight w:val="none"/>
                <w:lang w:eastAsia="zh-CN"/>
              </w:rPr>
              <w:t>作业和遮盖</w:t>
            </w:r>
          </w:p>
          <w:p w14:paraId="71B64C08">
            <w:pPr>
              <w:spacing w:line="300" w:lineRule="exact"/>
              <w:jc w:val="center"/>
              <w:rPr>
                <w:rFonts w:hint="default" w:ascii="Times New Roman" w:hAnsi="Times New Roman" w:eastAsia="华文中宋" w:cs="Times New Roman"/>
                <w:szCs w:val="21"/>
                <w:highlight w:val="none"/>
                <w:lang w:eastAsia="zh-CN"/>
              </w:rPr>
            </w:pPr>
            <w:r>
              <w:rPr>
                <w:rFonts w:hint="default" w:ascii="Times New Roman" w:hAnsi="Times New Roman" w:eastAsia="华文中宋" w:cs="Times New Roman"/>
                <w:szCs w:val="21"/>
                <w:highlight w:val="none"/>
                <w:lang w:eastAsia="zh-CN"/>
              </w:rPr>
              <w:t>2.61×10</w:t>
            </w:r>
            <w:r>
              <w:rPr>
                <w:rFonts w:hint="default" w:ascii="Times New Roman" w:hAnsi="Times New Roman" w:eastAsia="华文中宋" w:cs="Times New Roman"/>
                <w:szCs w:val="21"/>
                <w:highlight w:val="none"/>
                <w:vertAlign w:val="superscript"/>
                <w:lang w:eastAsia="zh-CN"/>
              </w:rPr>
              <w:t>-6</w:t>
            </w:r>
          </w:p>
        </w:tc>
        <w:tc>
          <w:tcPr>
            <w:tcW w:w="1058" w:type="dxa"/>
            <w:tcBorders>
              <w:tl2br w:val="nil"/>
              <w:tr2bl w:val="nil"/>
            </w:tcBorders>
            <w:vAlign w:val="center"/>
          </w:tcPr>
          <w:p w14:paraId="5AE4797B">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TSP</w:t>
            </w:r>
          </w:p>
        </w:tc>
        <w:tc>
          <w:tcPr>
            <w:tcW w:w="1370" w:type="dxa"/>
            <w:tcBorders>
              <w:tl2br w:val="nil"/>
              <w:tr2bl w:val="nil"/>
            </w:tcBorders>
            <w:vAlign w:val="center"/>
          </w:tcPr>
          <w:p w14:paraId="53EA6A1E">
            <w:pPr>
              <w:spacing w:line="300" w:lineRule="exact"/>
              <w:jc w:val="center"/>
              <w:rPr>
                <w:rFonts w:hint="default" w:ascii="Times New Roman" w:hAnsi="Times New Roman" w:eastAsia="华文中宋" w:cs="Times New Roman"/>
                <w:szCs w:val="21"/>
                <w:highlight w:val="none"/>
                <w:lang w:eastAsia="zh-CN"/>
              </w:rPr>
            </w:pPr>
            <w:r>
              <w:rPr>
                <w:rFonts w:hint="default" w:ascii="Times New Roman" w:hAnsi="Times New Roman" w:eastAsia="华文中宋" w:cs="Times New Roman"/>
                <w:szCs w:val="21"/>
                <w:highlight w:val="none"/>
                <w:lang w:eastAsia="zh-CN"/>
              </w:rPr>
              <w:t>2.623</w:t>
            </w:r>
          </w:p>
        </w:tc>
        <w:tc>
          <w:tcPr>
            <w:tcW w:w="1231" w:type="dxa"/>
            <w:vMerge w:val="restart"/>
            <w:tcBorders>
              <w:tl2br w:val="nil"/>
              <w:tr2bl w:val="nil"/>
            </w:tcBorders>
            <w:vAlign w:val="center"/>
          </w:tcPr>
          <w:p w14:paraId="1CDE7CF1">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1</w:t>
            </w:r>
          </w:p>
        </w:tc>
        <w:tc>
          <w:tcPr>
            <w:tcW w:w="1094" w:type="dxa"/>
            <w:vMerge w:val="restart"/>
            <w:tcBorders>
              <w:tl2br w:val="nil"/>
              <w:tr2bl w:val="nil"/>
            </w:tcBorders>
            <w:vAlign w:val="center"/>
          </w:tcPr>
          <w:p w14:paraId="67E7E95A">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1</w:t>
            </w:r>
          </w:p>
        </w:tc>
        <w:tc>
          <w:tcPr>
            <w:tcW w:w="769" w:type="dxa"/>
            <w:vMerge w:val="restart"/>
            <w:tcBorders>
              <w:tl2br w:val="nil"/>
              <w:tr2bl w:val="nil"/>
            </w:tcBorders>
            <w:vAlign w:val="center"/>
          </w:tcPr>
          <w:p w14:paraId="5C008506">
            <w:pPr>
              <w:spacing w:line="300" w:lineRule="exact"/>
              <w:jc w:val="center"/>
              <w:rPr>
                <w:rFonts w:hint="default" w:ascii="Times New Roman" w:hAnsi="Times New Roman" w:eastAsia="华文中宋" w:cs="Times New Roman"/>
                <w:szCs w:val="21"/>
                <w:highlight w:val="none"/>
                <w:lang w:eastAsia="zh-CN"/>
              </w:rPr>
            </w:pPr>
            <w:r>
              <w:rPr>
                <w:rFonts w:hint="default" w:ascii="Times New Roman" w:hAnsi="Times New Roman" w:eastAsia="华文中宋" w:cs="Times New Roman"/>
                <w:szCs w:val="21"/>
                <w:highlight w:val="none"/>
                <w:lang w:val="en-US" w:eastAsia="zh-CN"/>
              </w:rPr>
              <w:t>及时洒水</w:t>
            </w:r>
            <w:r>
              <w:rPr>
                <w:rFonts w:hint="default" w:ascii="Times New Roman" w:hAnsi="Times New Roman" w:eastAsia="华文中宋" w:cs="Times New Roman"/>
                <w:szCs w:val="21"/>
                <w:highlight w:val="none"/>
                <w:lang w:eastAsia="zh-CN"/>
              </w:rPr>
              <w:t>及遮盖</w:t>
            </w:r>
          </w:p>
        </w:tc>
      </w:tr>
      <w:tr w14:paraId="1E279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09" w:type="dxa"/>
            <w:vMerge w:val="continue"/>
            <w:tcBorders>
              <w:tl2br w:val="nil"/>
              <w:tr2bl w:val="nil"/>
            </w:tcBorders>
            <w:vAlign w:val="center"/>
          </w:tcPr>
          <w:p w14:paraId="6E581EB7">
            <w:pPr>
              <w:spacing w:line="300" w:lineRule="exact"/>
              <w:jc w:val="center"/>
              <w:rPr>
                <w:rFonts w:hint="default" w:ascii="Times New Roman" w:hAnsi="Times New Roman" w:eastAsia="华文中宋" w:cs="Times New Roman"/>
                <w:szCs w:val="21"/>
                <w:highlight w:val="none"/>
                <w:lang w:val="en-US" w:eastAsia="zh-CN"/>
              </w:rPr>
            </w:pPr>
          </w:p>
        </w:tc>
        <w:tc>
          <w:tcPr>
            <w:tcW w:w="1710" w:type="dxa"/>
            <w:vMerge w:val="continue"/>
            <w:tcBorders>
              <w:tl2br w:val="nil"/>
              <w:tr2bl w:val="nil"/>
            </w:tcBorders>
            <w:vAlign w:val="center"/>
          </w:tcPr>
          <w:p w14:paraId="165F2AA2">
            <w:pPr>
              <w:spacing w:line="300" w:lineRule="exact"/>
              <w:jc w:val="center"/>
              <w:rPr>
                <w:rFonts w:hint="default" w:ascii="Times New Roman" w:hAnsi="Times New Roman" w:eastAsia="华文中宋" w:cs="Times New Roman"/>
                <w:szCs w:val="21"/>
                <w:highlight w:val="none"/>
                <w:lang w:eastAsia="zh-CN"/>
              </w:rPr>
            </w:pPr>
          </w:p>
        </w:tc>
        <w:tc>
          <w:tcPr>
            <w:tcW w:w="1058" w:type="dxa"/>
            <w:tcBorders>
              <w:tl2br w:val="nil"/>
              <w:tr2bl w:val="nil"/>
            </w:tcBorders>
            <w:vAlign w:val="center"/>
          </w:tcPr>
          <w:p w14:paraId="78B500FA">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铅</w:t>
            </w:r>
            <w:r>
              <w:rPr>
                <w:rFonts w:hint="default" w:ascii="Times New Roman" w:hAnsi="Times New Roman" w:eastAsia="华文中宋" w:cs="Times New Roman"/>
                <w:szCs w:val="21"/>
                <w:highlight w:val="none"/>
                <w:lang w:eastAsia="zh-CN"/>
              </w:rPr>
              <w:t>（pb）</w:t>
            </w:r>
          </w:p>
        </w:tc>
        <w:tc>
          <w:tcPr>
            <w:tcW w:w="1370" w:type="dxa"/>
            <w:tcBorders>
              <w:tl2br w:val="nil"/>
              <w:tr2bl w:val="nil"/>
            </w:tcBorders>
            <w:vAlign w:val="center"/>
          </w:tcPr>
          <w:p w14:paraId="2DC820B8">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0.0173</w:t>
            </w:r>
          </w:p>
        </w:tc>
        <w:tc>
          <w:tcPr>
            <w:tcW w:w="1231" w:type="dxa"/>
            <w:vMerge w:val="continue"/>
            <w:tcBorders>
              <w:tl2br w:val="nil"/>
              <w:tr2bl w:val="nil"/>
            </w:tcBorders>
            <w:vAlign w:val="center"/>
          </w:tcPr>
          <w:p w14:paraId="3870F762">
            <w:pPr>
              <w:spacing w:line="300" w:lineRule="exact"/>
              <w:jc w:val="center"/>
              <w:rPr>
                <w:rFonts w:hint="default" w:ascii="Times New Roman" w:hAnsi="Times New Roman" w:eastAsia="华文中宋" w:cs="Times New Roman"/>
                <w:szCs w:val="21"/>
                <w:highlight w:val="none"/>
                <w:lang w:val="en-US" w:eastAsia="zh-CN"/>
              </w:rPr>
            </w:pPr>
          </w:p>
        </w:tc>
        <w:tc>
          <w:tcPr>
            <w:tcW w:w="1094" w:type="dxa"/>
            <w:vMerge w:val="continue"/>
            <w:tcBorders>
              <w:tl2br w:val="nil"/>
              <w:tr2bl w:val="nil"/>
            </w:tcBorders>
            <w:vAlign w:val="center"/>
          </w:tcPr>
          <w:p w14:paraId="0E20584F">
            <w:pPr>
              <w:spacing w:line="300" w:lineRule="exact"/>
              <w:jc w:val="center"/>
              <w:rPr>
                <w:rFonts w:hint="default" w:ascii="Times New Roman" w:hAnsi="Times New Roman" w:eastAsia="华文中宋" w:cs="Times New Roman"/>
                <w:szCs w:val="21"/>
                <w:highlight w:val="none"/>
                <w:lang w:val="en-US" w:eastAsia="zh-CN"/>
              </w:rPr>
            </w:pPr>
          </w:p>
        </w:tc>
        <w:tc>
          <w:tcPr>
            <w:tcW w:w="769" w:type="dxa"/>
            <w:vMerge w:val="continue"/>
            <w:tcBorders>
              <w:tl2br w:val="nil"/>
              <w:tr2bl w:val="nil"/>
            </w:tcBorders>
            <w:vAlign w:val="center"/>
          </w:tcPr>
          <w:p w14:paraId="44F6F137">
            <w:pPr>
              <w:spacing w:line="300" w:lineRule="exact"/>
              <w:jc w:val="center"/>
              <w:rPr>
                <w:rFonts w:hint="default" w:ascii="Times New Roman" w:hAnsi="Times New Roman" w:eastAsia="华文中宋" w:cs="Times New Roman"/>
                <w:szCs w:val="21"/>
                <w:highlight w:val="none"/>
                <w:lang w:val="en-US" w:eastAsia="zh-CN"/>
              </w:rPr>
            </w:pPr>
          </w:p>
        </w:tc>
      </w:tr>
      <w:tr w14:paraId="03E36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09" w:type="dxa"/>
            <w:vMerge w:val="restart"/>
            <w:tcBorders>
              <w:tl2br w:val="nil"/>
              <w:tr2bl w:val="nil"/>
            </w:tcBorders>
            <w:vAlign w:val="center"/>
          </w:tcPr>
          <w:p w14:paraId="411C54E4">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表土堆放场</w:t>
            </w:r>
          </w:p>
        </w:tc>
        <w:tc>
          <w:tcPr>
            <w:tcW w:w="1710" w:type="dxa"/>
            <w:vMerge w:val="continue"/>
            <w:tcBorders>
              <w:tl2br w:val="nil"/>
              <w:tr2bl w:val="nil"/>
            </w:tcBorders>
            <w:vAlign w:val="center"/>
          </w:tcPr>
          <w:p w14:paraId="222F3105">
            <w:pPr>
              <w:spacing w:line="300" w:lineRule="exact"/>
              <w:jc w:val="center"/>
              <w:rPr>
                <w:rFonts w:hint="default" w:ascii="Times New Roman" w:hAnsi="Times New Roman" w:eastAsia="华文中宋" w:cs="Times New Roman"/>
                <w:szCs w:val="21"/>
                <w:highlight w:val="none"/>
                <w:lang w:eastAsia="zh-CN"/>
              </w:rPr>
            </w:pPr>
          </w:p>
        </w:tc>
        <w:tc>
          <w:tcPr>
            <w:tcW w:w="1058" w:type="dxa"/>
            <w:tcBorders>
              <w:tl2br w:val="nil"/>
              <w:tr2bl w:val="nil"/>
            </w:tcBorders>
            <w:vAlign w:val="center"/>
          </w:tcPr>
          <w:p w14:paraId="2FF70228">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TSP</w:t>
            </w:r>
          </w:p>
        </w:tc>
        <w:tc>
          <w:tcPr>
            <w:tcW w:w="1370" w:type="dxa"/>
            <w:tcBorders>
              <w:tl2br w:val="nil"/>
              <w:tr2bl w:val="nil"/>
            </w:tcBorders>
            <w:vAlign w:val="center"/>
          </w:tcPr>
          <w:p w14:paraId="69A465E2">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0.155</w:t>
            </w:r>
          </w:p>
        </w:tc>
        <w:tc>
          <w:tcPr>
            <w:tcW w:w="1231" w:type="dxa"/>
            <w:vMerge w:val="restart"/>
            <w:tcBorders>
              <w:tl2br w:val="nil"/>
              <w:tr2bl w:val="nil"/>
            </w:tcBorders>
            <w:vAlign w:val="center"/>
          </w:tcPr>
          <w:p w14:paraId="78003917">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1</w:t>
            </w:r>
          </w:p>
        </w:tc>
        <w:tc>
          <w:tcPr>
            <w:tcW w:w="1094" w:type="dxa"/>
            <w:vMerge w:val="restart"/>
            <w:tcBorders>
              <w:tl2br w:val="nil"/>
              <w:tr2bl w:val="nil"/>
            </w:tcBorders>
            <w:vAlign w:val="center"/>
          </w:tcPr>
          <w:p w14:paraId="0BD18002">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1</w:t>
            </w:r>
          </w:p>
        </w:tc>
        <w:tc>
          <w:tcPr>
            <w:tcW w:w="769" w:type="dxa"/>
            <w:vMerge w:val="continue"/>
            <w:tcBorders>
              <w:tl2br w:val="nil"/>
              <w:tr2bl w:val="nil"/>
            </w:tcBorders>
            <w:vAlign w:val="center"/>
          </w:tcPr>
          <w:p w14:paraId="29AA292D">
            <w:pPr>
              <w:snapToGrid w:val="0"/>
              <w:spacing w:line="220" w:lineRule="exact"/>
              <w:jc w:val="center"/>
              <w:rPr>
                <w:rFonts w:hint="default" w:ascii="Times New Roman" w:hAnsi="Times New Roman" w:eastAsia="华文中宋" w:cs="Times New Roman"/>
                <w:snapToGrid w:val="0"/>
                <w:spacing w:val="-2"/>
                <w:szCs w:val="21"/>
                <w:highlight w:val="none"/>
                <w:lang w:val="en-US" w:eastAsia="zh-CN"/>
              </w:rPr>
            </w:pPr>
          </w:p>
        </w:tc>
      </w:tr>
      <w:tr w14:paraId="64DFC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09" w:type="dxa"/>
            <w:vMerge w:val="continue"/>
            <w:tcBorders>
              <w:tl2br w:val="nil"/>
              <w:tr2bl w:val="nil"/>
            </w:tcBorders>
            <w:vAlign w:val="center"/>
          </w:tcPr>
          <w:p w14:paraId="5F0C8F0C">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铅（pb）</w:t>
            </w:r>
          </w:p>
        </w:tc>
        <w:tc>
          <w:tcPr>
            <w:tcW w:w="1710" w:type="dxa"/>
            <w:vMerge w:val="continue"/>
            <w:tcBorders>
              <w:tl2br w:val="nil"/>
              <w:tr2bl w:val="nil"/>
            </w:tcBorders>
            <w:vAlign w:val="center"/>
          </w:tcPr>
          <w:p w14:paraId="7C7EA701">
            <w:pPr>
              <w:spacing w:line="300" w:lineRule="exact"/>
              <w:jc w:val="center"/>
              <w:rPr>
                <w:rFonts w:hint="default" w:ascii="Times New Roman" w:hAnsi="Times New Roman" w:eastAsia="华文中宋" w:cs="Times New Roman"/>
                <w:szCs w:val="21"/>
                <w:highlight w:val="none"/>
                <w:lang w:eastAsia="zh-CN"/>
              </w:rPr>
            </w:pPr>
          </w:p>
        </w:tc>
        <w:tc>
          <w:tcPr>
            <w:tcW w:w="1058" w:type="dxa"/>
            <w:tcBorders>
              <w:tl2br w:val="nil"/>
              <w:tr2bl w:val="nil"/>
            </w:tcBorders>
            <w:vAlign w:val="center"/>
          </w:tcPr>
          <w:p w14:paraId="307AD1B8">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铅</w:t>
            </w:r>
            <w:r>
              <w:rPr>
                <w:rFonts w:hint="default" w:ascii="Times New Roman" w:hAnsi="Times New Roman" w:eastAsia="华文中宋" w:cs="Times New Roman"/>
                <w:szCs w:val="21"/>
                <w:highlight w:val="none"/>
                <w:lang w:eastAsia="zh-CN"/>
              </w:rPr>
              <w:t>（pb）</w:t>
            </w:r>
          </w:p>
        </w:tc>
        <w:tc>
          <w:tcPr>
            <w:tcW w:w="1370" w:type="dxa"/>
            <w:tcBorders>
              <w:tl2br w:val="nil"/>
              <w:tr2bl w:val="nil"/>
            </w:tcBorders>
            <w:vAlign w:val="center"/>
          </w:tcPr>
          <w:p w14:paraId="2E8C6907">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2.61×10</w:t>
            </w:r>
            <w:r>
              <w:rPr>
                <w:rFonts w:hint="eastAsia" w:ascii="Times New Roman" w:hAnsi="Times New Roman" w:eastAsia="华文中宋" w:cs="Times New Roman"/>
                <w:szCs w:val="21"/>
                <w:highlight w:val="none"/>
                <w:vertAlign w:val="superscript"/>
                <w:lang w:val="en-US" w:eastAsia="zh-CN"/>
              </w:rPr>
              <w:t>-6</w:t>
            </w:r>
          </w:p>
        </w:tc>
        <w:tc>
          <w:tcPr>
            <w:tcW w:w="1231" w:type="dxa"/>
            <w:vMerge w:val="continue"/>
            <w:tcBorders>
              <w:tl2br w:val="nil"/>
              <w:tr2bl w:val="nil"/>
            </w:tcBorders>
            <w:vAlign w:val="center"/>
          </w:tcPr>
          <w:p w14:paraId="4A260EC5">
            <w:pPr>
              <w:spacing w:line="300" w:lineRule="exact"/>
              <w:jc w:val="center"/>
              <w:rPr>
                <w:rFonts w:hint="default" w:ascii="Times New Roman" w:hAnsi="Times New Roman" w:eastAsia="华文中宋" w:cs="Times New Roman"/>
                <w:szCs w:val="21"/>
                <w:highlight w:val="none"/>
                <w:lang w:val="en-US" w:eastAsia="zh-CN"/>
              </w:rPr>
            </w:pPr>
          </w:p>
        </w:tc>
        <w:tc>
          <w:tcPr>
            <w:tcW w:w="1094" w:type="dxa"/>
            <w:vMerge w:val="continue"/>
            <w:tcBorders>
              <w:tl2br w:val="nil"/>
              <w:tr2bl w:val="nil"/>
            </w:tcBorders>
            <w:vAlign w:val="center"/>
          </w:tcPr>
          <w:p w14:paraId="66E65D20">
            <w:pPr>
              <w:spacing w:line="300" w:lineRule="exact"/>
              <w:jc w:val="center"/>
              <w:rPr>
                <w:rFonts w:hint="default" w:ascii="Times New Roman" w:hAnsi="Times New Roman" w:eastAsia="华文中宋" w:cs="Times New Roman"/>
                <w:szCs w:val="21"/>
                <w:highlight w:val="none"/>
                <w:lang w:val="en-US" w:eastAsia="zh-CN"/>
              </w:rPr>
            </w:pPr>
          </w:p>
        </w:tc>
        <w:tc>
          <w:tcPr>
            <w:tcW w:w="769" w:type="dxa"/>
            <w:vMerge w:val="continue"/>
            <w:tcBorders>
              <w:tl2br w:val="nil"/>
              <w:tr2bl w:val="nil"/>
            </w:tcBorders>
            <w:vAlign w:val="center"/>
          </w:tcPr>
          <w:p w14:paraId="01D5082D">
            <w:pPr>
              <w:snapToGrid w:val="0"/>
              <w:spacing w:line="220" w:lineRule="exact"/>
              <w:jc w:val="center"/>
              <w:rPr>
                <w:rFonts w:hint="default" w:ascii="Times New Roman" w:hAnsi="Times New Roman" w:eastAsia="华文中宋" w:cs="Times New Roman"/>
                <w:snapToGrid w:val="0"/>
                <w:spacing w:val="-2"/>
                <w:szCs w:val="21"/>
                <w:highlight w:val="none"/>
                <w:lang w:val="en-US" w:eastAsia="zh-CN"/>
              </w:rPr>
            </w:pPr>
          </w:p>
        </w:tc>
      </w:tr>
      <w:tr w14:paraId="6D2C7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09" w:type="dxa"/>
            <w:vMerge w:val="restart"/>
            <w:tcBorders>
              <w:tl2br w:val="nil"/>
              <w:tr2bl w:val="nil"/>
            </w:tcBorders>
            <w:vAlign w:val="center"/>
          </w:tcPr>
          <w:p w14:paraId="3257AE05">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废石堆放</w:t>
            </w:r>
          </w:p>
        </w:tc>
        <w:tc>
          <w:tcPr>
            <w:tcW w:w="1710" w:type="dxa"/>
            <w:vMerge w:val="continue"/>
            <w:tcBorders>
              <w:tl2br w:val="nil"/>
              <w:tr2bl w:val="nil"/>
            </w:tcBorders>
            <w:vAlign w:val="center"/>
          </w:tcPr>
          <w:p w14:paraId="57535EB4">
            <w:pPr>
              <w:spacing w:line="300" w:lineRule="exact"/>
              <w:jc w:val="center"/>
              <w:rPr>
                <w:rFonts w:hint="default" w:ascii="Times New Roman" w:hAnsi="Times New Roman" w:eastAsia="华文中宋" w:cs="Times New Roman"/>
                <w:szCs w:val="21"/>
                <w:highlight w:val="none"/>
                <w:lang w:eastAsia="zh-CN"/>
              </w:rPr>
            </w:pPr>
          </w:p>
        </w:tc>
        <w:tc>
          <w:tcPr>
            <w:tcW w:w="1058" w:type="dxa"/>
            <w:tcBorders>
              <w:tl2br w:val="nil"/>
              <w:tr2bl w:val="nil"/>
            </w:tcBorders>
            <w:vAlign w:val="center"/>
          </w:tcPr>
          <w:p w14:paraId="73245BCE">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TSP</w:t>
            </w:r>
          </w:p>
        </w:tc>
        <w:tc>
          <w:tcPr>
            <w:tcW w:w="1370" w:type="dxa"/>
            <w:tcBorders>
              <w:tl2br w:val="nil"/>
              <w:tr2bl w:val="nil"/>
            </w:tcBorders>
            <w:vAlign w:val="center"/>
          </w:tcPr>
          <w:p w14:paraId="5AFDE8F7">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0.338</w:t>
            </w:r>
          </w:p>
        </w:tc>
        <w:tc>
          <w:tcPr>
            <w:tcW w:w="1231" w:type="dxa"/>
            <w:vMerge w:val="restart"/>
            <w:tcBorders>
              <w:tl2br w:val="nil"/>
              <w:tr2bl w:val="nil"/>
            </w:tcBorders>
            <w:vAlign w:val="center"/>
          </w:tcPr>
          <w:p w14:paraId="4ECB1527">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1</w:t>
            </w:r>
          </w:p>
        </w:tc>
        <w:tc>
          <w:tcPr>
            <w:tcW w:w="1094" w:type="dxa"/>
            <w:vMerge w:val="restart"/>
            <w:tcBorders>
              <w:tl2br w:val="nil"/>
              <w:tr2bl w:val="nil"/>
            </w:tcBorders>
            <w:vAlign w:val="center"/>
          </w:tcPr>
          <w:p w14:paraId="510DE922">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1</w:t>
            </w:r>
          </w:p>
        </w:tc>
        <w:tc>
          <w:tcPr>
            <w:tcW w:w="769" w:type="dxa"/>
            <w:vMerge w:val="continue"/>
            <w:tcBorders>
              <w:tl2br w:val="nil"/>
              <w:tr2bl w:val="nil"/>
            </w:tcBorders>
            <w:vAlign w:val="center"/>
          </w:tcPr>
          <w:p w14:paraId="42BB1416">
            <w:pPr>
              <w:snapToGrid w:val="0"/>
              <w:spacing w:line="220" w:lineRule="exact"/>
              <w:jc w:val="center"/>
              <w:rPr>
                <w:rFonts w:hint="default" w:ascii="Times New Roman" w:hAnsi="Times New Roman" w:eastAsia="华文中宋" w:cs="Times New Roman"/>
                <w:snapToGrid w:val="0"/>
                <w:spacing w:val="-2"/>
                <w:szCs w:val="21"/>
                <w:highlight w:val="none"/>
                <w:lang w:val="en-US" w:eastAsia="zh-CN"/>
              </w:rPr>
            </w:pPr>
          </w:p>
        </w:tc>
      </w:tr>
      <w:tr w14:paraId="45D7F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309" w:type="dxa"/>
            <w:vMerge w:val="continue"/>
            <w:tcBorders>
              <w:tl2br w:val="nil"/>
              <w:tr2bl w:val="nil"/>
            </w:tcBorders>
            <w:vAlign w:val="center"/>
          </w:tcPr>
          <w:p w14:paraId="29D70075">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铅</w:t>
            </w:r>
            <w:r>
              <w:rPr>
                <w:rFonts w:hint="default" w:ascii="Times New Roman" w:hAnsi="Times New Roman" w:eastAsia="华文中宋" w:cs="Times New Roman"/>
                <w:szCs w:val="21"/>
                <w:highlight w:val="none"/>
                <w:lang w:eastAsia="zh-CN"/>
              </w:rPr>
              <w:t>0</w:t>
            </w:r>
            <w:r>
              <w:rPr>
                <w:rFonts w:hint="eastAsia" w:ascii="Times New Roman" w:hAnsi="Times New Roman" w:eastAsia="华文中宋" w:cs="Times New Roman"/>
                <w:szCs w:val="21"/>
                <w:highlight w:val="none"/>
                <w:lang w:val="en-US" w:eastAsia="zh-CN"/>
              </w:rPr>
              <w:t>（pb）</w:t>
            </w:r>
          </w:p>
        </w:tc>
        <w:tc>
          <w:tcPr>
            <w:tcW w:w="1710" w:type="dxa"/>
            <w:vMerge w:val="continue"/>
            <w:tcBorders>
              <w:tl2br w:val="nil"/>
              <w:tr2bl w:val="nil"/>
            </w:tcBorders>
            <w:vAlign w:val="center"/>
          </w:tcPr>
          <w:p w14:paraId="2956C4B3">
            <w:pPr>
              <w:spacing w:line="300" w:lineRule="exact"/>
              <w:jc w:val="center"/>
              <w:rPr>
                <w:rFonts w:hint="default" w:ascii="Times New Roman" w:hAnsi="Times New Roman" w:eastAsia="华文中宋" w:cs="Times New Roman"/>
                <w:szCs w:val="21"/>
                <w:highlight w:val="none"/>
                <w:lang w:eastAsia="zh-CN"/>
              </w:rPr>
            </w:pPr>
          </w:p>
        </w:tc>
        <w:tc>
          <w:tcPr>
            <w:tcW w:w="1058" w:type="dxa"/>
            <w:tcBorders>
              <w:tl2br w:val="nil"/>
              <w:tr2bl w:val="nil"/>
            </w:tcBorders>
            <w:vAlign w:val="center"/>
          </w:tcPr>
          <w:p w14:paraId="054B1E55">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铅</w:t>
            </w:r>
            <w:r>
              <w:rPr>
                <w:rFonts w:hint="default" w:ascii="Times New Roman" w:hAnsi="Times New Roman" w:eastAsia="华文中宋" w:cs="Times New Roman"/>
                <w:szCs w:val="21"/>
                <w:highlight w:val="none"/>
                <w:lang w:eastAsia="zh-CN"/>
              </w:rPr>
              <w:t>（pb）</w:t>
            </w:r>
          </w:p>
        </w:tc>
        <w:tc>
          <w:tcPr>
            <w:tcW w:w="1370" w:type="dxa"/>
            <w:tcBorders>
              <w:tl2br w:val="nil"/>
              <w:tr2bl w:val="nil"/>
            </w:tcBorders>
            <w:vAlign w:val="center"/>
          </w:tcPr>
          <w:p w14:paraId="7DB747F6">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0.00</w:t>
            </w:r>
          </w:p>
        </w:tc>
        <w:tc>
          <w:tcPr>
            <w:tcW w:w="1231" w:type="dxa"/>
            <w:vMerge w:val="continue"/>
            <w:tcBorders>
              <w:tl2br w:val="nil"/>
              <w:tr2bl w:val="nil"/>
            </w:tcBorders>
            <w:vAlign w:val="center"/>
          </w:tcPr>
          <w:p w14:paraId="0DEAC046">
            <w:pPr>
              <w:spacing w:line="300" w:lineRule="exact"/>
              <w:jc w:val="center"/>
              <w:rPr>
                <w:rFonts w:hint="default" w:ascii="Times New Roman" w:hAnsi="Times New Roman" w:eastAsia="华文中宋" w:cs="Times New Roman"/>
                <w:szCs w:val="21"/>
                <w:highlight w:val="none"/>
                <w:lang w:val="en-US" w:eastAsia="zh-CN"/>
              </w:rPr>
            </w:pPr>
          </w:p>
        </w:tc>
        <w:tc>
          <w:tcPr>
            <w:tcW w:w="1094" w:type="dxa"/>
            <w:vMerge w:val="continue"/>
            <w:tcBorders>
              <w:tl2br w:val="nil"/>
              <w:tr2bl w:val="nil"/>
            </w:tcBorders>
            <w:vAlign w:val="center"/>
          </w:tcPr>
          <w:p w14:paraId="725967B6">
            <w:pPr>
              <w:spacing w:line="300" w:lineRule="exact"/>
              <w:jc w:val="center"/>
              <w:rPr>
                <w:rFonts w:hint="default" w:ascii="Times New Roman" w:hAnsi="Times New Roman" w:eastAsia="华文中宋" w:cs="Times New Roman"/>
                <w:szCs w:val="21"/>
                <w:highlight w:val="none"/>
                <w:lang w:val="en-US" w:eastAsia="zh-CN"/>
              </w:rPr>
            </w:pPr>
          </w:p>
        </w:tc>
        <w:tc>
          <w:tcPr>
            <w:tcW w:w="769" w:type="dxa"/>
            <w:vMerge w:val="continue"/>
            <w:tcBorders>
              <w:tl2br w:val="nil"/>
              <w:tr2bl w:val="nil"/>
            </w:tcBorders>
            <w:vAlign w:val="center"/>
          </w:tcPr>
          <w:p w14:paraId="667060E5">
            <w:pPr>
              <w:snapToGrid w:val="0"/>
              <w:spacing w:line="220" w:lineRule="exact"/>
              <w:jc w:val="center"/>
              <w:rPr>
                <w:rFonts w:hint="default" w:ascii="Times New Roman" w:hAnsi="Times New Roman" w:eastAsia="华文中宋" w:cs="Times New Roman"/>
                <w:snapToGrid w:val="0"/>
                <w:spacing w:val="-2"/>
                <w:szCs w:val="21"/>
                <w:highlight w:val="none"/>
                <w:lang w:val="en-US" w:eastAsia="zh-CN"/>
              </w:rPr>
            </w:pPr>
          </w:p>
        </w:tc>
      </w:tr>
      <w:tr w14:paraId="17B2F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09" w:type="dxa"/>
            <w:vMerge w:val="restart"/>
            <w:tcBorders>
              <w:tl2br w:val="nil"/>
              <w:tr2bl w:val="nil"/>
            </w:tcBorders>
            <w:vAlign w:val="center"/>
          </w:tcPr>
          <w:p w14:paraId="133C1499">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矿石转运场</w:t>
            </w:r>
          </w:p>
        </w:tc>
        <w:tc>
          <w:tcPr>
            <w:tcW w:w="1710" w:type="dxa"/>
            <w:vMerge w:val="continue"/>
            <w:tcBorders>
              <w:tl2br w:val="nil"/>
              <w:tr2bl w:val="nil"/>
            </w:tcBorders>
            <w:vAlign w:val="center"/>
          </w:tcPr>
          <w:p w14:paraId="32B2EABF">
            <w:pPr>
              <w:spacing w:line="300" w:lineRule="exact"/>
              <w:jc w:val="center"/>
              <w:rPr>
                <w:rFonts w:hint="default" w:ascii="Times New Roman" w:hAnsi="Times New Roman" w:eastAsia="华文中宋" w:cs="Times New Roman"/>
                <w:szCs w:val="21"/>
                <w:highlight w:val="none"/>
                <w:lang w:eastAsia="zh-CN"/>
              </w:rPr>
            </w:pPr>
          </w:p>
        </w:tc>
        <w:tc>
          <w:tcPr>
            <w:tcW w:w="1058" w:type="dxa"/>
            <w:tcBorders>
              <w:tl2br w:val="nil"/>
              <w:tr2bl w:val="nil"/>
            </w:tcBorders>
            <w:vAlign w:val="center"/>
          </w:tcPr>
          <w:p w14:paraId="34DCE085">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TSP</w:t>
            </w:r>
          </w:p>
        </w:tc>
        <w:tc>
          <w:tcPr>
            <w:tcW w:w="1370" w:type="dxa"/>
            <w:tcBorders>
              <w:tl2br w:val="nil"/>
              <w:tr2bl w:val="nil"/>
            </w:tcBorders>
            <w:vAlign w:val="center"/>
          </w:tcPr>
          <w:p w14:paraId="6CA5C6C8">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0.13</w:t>
            </w:r>
          </w:p>
        </w:tc>
        <w:tc>
          <w:tcPr>
            <w:tcW w:w="1231" w:type="dxa"/>
            <w:vMerge w:val="restart"/>
            <w:tcBorders>
              <w:tl2br w:val="nil"/>
              <w:tr2bl w:val="nil"/>
            </w:tcBorders>
            <w:vAlign w:val="center"/>
          </w:tcPr>
          <w:p w14:paraId="0118D0CB">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w:t>
            </w:r>
          </w:p>
        </w:tc>
        <w:tc>
          <w:tcPr>
            <w:tcW w:w="1094" w:type="dxa"/>
            <w:vMerge w:val="restart"/>
            <w:tcBorders>
              <w:tl2br w:val="nil"/>
              <w:tr2bl w:val="nil"/>
            </w:tcBorders>
            <w:vAlign w:val="center"/>
          </w:tcPr>
          <w:p w14:paraId="13DCC03D">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w:t>
            </w:r>
          </w:p>
        </w:tc>
        <w:tc>
          <w:tcPr>
            <w:tcW w:w="769" w:type="dxa"/>
            <w:vMerge w:val="continue"/>
            <w:tcBorders>
              <w:tl2br w:val="nil"/>
              <w:tr2bl w:val="nil"/>
            </w:tcBorders>
            <w:vAlign w:val="center"/>
          </w:tcPr>
          <w:p w14:paraId="6996F113">
            <w:pPr>
              <w:snapToGrid w:val="0"/>
              <w:spacing w:line="220" w:lineRule="exact"/>
              <w:jc w:val="center"/>
              <w:rPr>
                <w:rFonts w:hint="default" w:ascii="Times New Roman" w:hAnsi="Times New Roman" w:eastAsia="华文中宋" w:cs="Times New Roman"/>
                <w:snapToGrid w:val="0"/>
                <w:spacing w:val="-2"/>
                <w:szCs w:val="21"/>
                <w:highlight w:val="none"/>
                <w:lang w:val="en-US" w:eastAsia="zh-CN"/>
              </w:rPr>
            </w:pPr>
          </w:p>
        </w:tc>
      </w:tr>
      <w:tr w14:paraId="5366D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09" w:type="dxa"/>
            <w:vMerge w:val="continue"/>
            <w:tcBorders>
              <w:tl2br w:val="nil"/>
              <w:tr2bl w:val="nil"/>
            </w:tcBorders>
            <w:vAlign w:val="center"/>
          </w:tcPr>
          <w:p w14:paraId="46857EE4">
            <w:pPr>
              <w:spacing w:line="300" w:lineRule="exact"/>
              <w:jc w:val="center"/>
              <w:rPr>
                <w:rFonts w:hint="eastAsia" w:ascii="Times New Roman" w:hAnsi="Times New Roman" w:eastAsia="华文中宋" w:cs="Times New Roman"/>
                <w:szCs w:val="21"/>
                <w:highlight w:val="red"/>
                <w:lang w:val="en-US" w:eastAsia="zh-CN"/>
              </w:rPr>
            </w:pPr>
            <w:r>
              <w:rPr>
                <w:rFonts w:hint="eastAsia" w:ascii="Times New Roman" w:hAnsi="Times New Roman" w:eastAsia="华文中宋" w:cs="Times New Roman"/>
                <w:szCs w:val="21"/>
                <w:highlight w:val="none"/>
                <w:lang w:val="en-US" w:eastAsia="zh-CN"/>
              </w:rPr>
              <w:t>铅</w:t>
            </w:r>
            <w:r>
              <w:rPr>
                <w:rFonts w:hint="default" w:ascii="Times New Roman" w:hAnsi="Times New Roman" w:eastAsia="华文中宋" w:cs="Times New Roman"/>
                <w:szCs w:val="21"/>
                <w:highlight w:val="none"/>
                <w:lang w:eastAsia="zh-CN"/>
              </w:rPr>
              <w:t>0.0079</w:t>
            </w:r>
            <w:r>
              <w:rPr>
                <w:rFonts w:hint="eastAsia" w:ascii="Times New Roman" w:hAnsi="Times New Roman" w:eastAsia="华文中宋" w:cs="Times New Roman"/>
                <w:szCs w:val="21"/>
                <w:highlight w:val="red"/>
                <w:lang w:val="en-US" w:eastAsia="zh-CN"/>
              </w:rPr>
              <w:t>（pb）</w:t>
            </w:r>
          </w:p>
        </w:tc>
        <w:tc>
          <w:tcPr>
            <w:tcW w:w="1710" w:type="dxa"/>
            <w:vMerge w:val="continue"/>
            <w:tcBorders>
              <w:tl2br w:val="nil"/>
              <w:tr2bl w:val="nil"/>
            </w:tcBorders>
            <w:vAlign w:val="center"/>
          </w:tcPr>
          <w:p w14:paraId="031B2BB7">
            <w:pPr>
              <w:spacing w:line="300" w:lineRule="exact"/>
              <w:jc w:val="center"/>
              <w:rPr>
                <w:rFonts w:hint="default" w:ascii="Times New Roman" w:hAnsi="Times New Roman" w:eastAsia="华文中宋" w:cs="Times New Roman"/>
                <w:szCs w:val="21"/>
                <w:highlight w:val="red"/>
                <w:lang w:eastAsia="zh-CN"/>
              </w:rPr>
            </w:pPr>
          </w:p>
        </w:tc>
        <w:tc>
          <w:tcPr>
            <w:tcW w:w="1058" w:type="dxa"/>
            <w:tcBorders>
              <w:tl2br w:val="nil"/>
              <w:tr2bl w:val="nil"/>
            </w:tcBorders>
            <w:vAlign w:val="center"/>
          </w:tcPr>
          <w:p w14:paraId="3103C6FA">
            <w:pPr>
              <w:spacing w:line="300" w:lineRule="exact"/>
              <w:jc w:val="center"/>
              <w:rPr>
                <w:rFonts w:hint="eastAsia"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铅</w:t>
            </w:r>
            <w:r>
              <w:rPr>
                <w:rFonts w:hint="default" w:ascii="Times New Roman" w:hAnsi="Times New Roman" w:eastAsia="华文中宋" w:cs="Times New Roman"/>
                <w:szCs w:val="21"/>
                <w:highlight w:val="none"/>
                <w:lang w:eastAsia="zh-CN"/>
              </w:rPr>
              <w:t>（pb）</w:t>
            </w:r>
          </w:p>
        </w:tc>
        <w:tc>
          <w:tcPr>
            <w:tcW w:w="1370" w:type="dxa"/>
            <w:tcBorders>
              <w:tl2br w:val="nil"/>
              <w:tr2bl w:val="nil"/>
            </w:tcBorders>
            <w:vAlign w:val="center"/>
          </w:tcPr>
          <w:p w14:paraId="5CE11C67">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0.0079</w:t>
            </w:r>
          </w:p>
        </w:tc>
        <w:tc>
          <w:tcPr>
            <w:tcW w:w="1231" w:type="dxa"/>
            <w:vMerge w:val="continue"/>
            <w:tcBorders>
              <w:tl2br w:val="nil"/>
              <w:tr2bl w:val="nil"/>
            </w:tcBorders>
            <w:vAlign w:val="center"/>
          </w:tcPr>
          <w:p w14:paraId="5D359BD5">
            <w:pPr>
              <w:spacing w:line="300" w:lineRule="exact"/>
              <w:jc w:val="center"/>
              <w:rPr>
                <w:rFonts w:hint="eastAsia" w:ascii="Times New Roman" w:hAnsi="Times New Roman" w:eastAsia="华文中宋" w:cs="Times New Roman"/>
                <w:szCs w:val="21"/>
                <w:highlight w:val="none"/>
                <w:lang w:val="en-US" w:eastAsia="zh-CN"/>
              </w:rPr>
            </w:pPr>
          </w:p>
        </w:tc>
        <w:tc>
          <w:tcPr>
            <w:tcW w:w="1094" w:type="dxa"/>
            <w:vMerge w:val="continue"/>
            <w:tcBorders>
              <w:tl2br w:val="nil"/>
              <w:tr2bl w:val="nil"/>
            </w:tcBorders>
            <w:vAlign w:val="center"/>
          </w:tcPr>
          <w:p w14:paraId="46258F04">
            <w:pPr>
              <w:spacing w:line="300" w:lineRule="exact"/>
              <w:jc w:val="center"/>
              <w:rPr>
                <w:rFonts w:hint="eastAsia" w:ascii="Times New Roman" w:hAnsi="Times New Roman" w:eastAsia="华文中宋" w:cs="Times New Roman"/>
                <w:szCs w:val="21"/>
                <w:highlight w:val="red"/>
                <w:lang w:val="en-US" w:eastAsia="zh-CN"/>
              </w:rPr>
            </w:pPr>
          </w:p>
        </w:tc>
        <w:tc>
          <w:tcPr>
            <w:tcW w:w="769" w:type="dxa"/>
            <w:vMerge w:val="continue"/>
            <w:tcBorders>
              <w:tl2br w:val="nil"/>
              <w:tr2bl w:val="nil"/>
            </w:tcBorders>
            <w:vAlign w:val="center"/>
          </w:tcPr>
          <w:p w14:paraId="5E71C824">
            <w:pPr>
              <w:snapToGrid w:val="0"/>
              <w:spacing w:line="220" w:lineRule="exact"/>
              <w:jc w:val="center"/>
              <w:rPr>
                <w:rFonts w:hint="default" w:ascii="Times New Roman" w:hAnsi="Times New Roman" w:eastAsia="华文中宋" w:cs="Times New Roman"/>
                <w:snapToGrid w:val="0"/>
                <w:spacing w:val="-2"/>
                <w:szCs w:val="21"/>
                <w:lang w:val="en-US" w:eastAsia="zh-CN"/>
              </w:rPr>
            </w:pPr>
          </w:p>
        </w:tc>
      </w:tr>
    </w:tbl>
    <w:p w14:paraId="669CCE39">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（2）</w:t>
      </w:r>
      <w:r>
        <w:rPr>
          <w:rFonts w:hint="default" w:ascii="Times New Roman" w:hAnsi="Times New Roman" w:eastAsia="华文中宋" w:cs="Times New Roman"/>
          <w:sz w:val="24"/>
          <w:lang w:val="en-US" w:eastAsia="zh-CN"/>
        </w:rPr>
        <w:t>污水非正常排放分析</w:t>
      </w:r>
    </w:p>
    <w:p w14:paraId="500B36B4">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本项目运营期非正常工况污水排污主要为污水处理设备出现故障或正常检修时导致环保设施未达到设计规定指标运行时的工况。如果出现设备故障，将影响整体处理效率，使污水水质浓度较预测值增高，最不利情况为矿区生活区内产生的污水未经处理外排。</w:t>
      </w:r>
    </w:p>
    <w:p w14:paraId="742B7A45">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为防止废水事故情况下直接外排造成影响，应设置废水事故池。根据矿区生活区进入污水处理设施的废水量</w:t>
      </w:r>
      <w:r>
        <w:rPr>
          <w:rFonts w:hint="eastAsia" w:ascii="Times New Roman" w:hAnsi="Times New Roman" w:eastAsia="华文中宋" w:cs="Times New Roman"/>
          <w:sz w:val="24"/>
          <w:lang w:val="en-US" w:eastAsia="zh-CN"/>
        </w:rPr>
        <w:t>4</w:t>
      </w:r>
      <w:r>
        <w:rPr>
          <w:rFonts w:hint="default" w:ascii="Times New Roman" w:hAnsi="Times New Roman" w:eastAsia="华文中宋" w:cs="Times New Roman"/>
          <w:sz w:val="24"/>
          <w:lang w:val="en-US" w:eastAsia="zh-CN"/>
        </w:rPr>
        <w:t>m</w:t>
      </w:r>
      <w:r>
        <w:rPr>
          <w:rFonts w:hint="default" w:ascii="Times New Roman" w:hAnsi="Times New Roman" w:eastAsia="华文中宋" w:cs="Times New Roman"/>
          <w:sz w:val="24"/>
          <w:vertAlign w:val="superscript"/>
          <w:lang w:val="en-US" w:eastAsia="zh-CN"/>
        </w:rPr>
        <w:t>3</w:t>
      </w:r>
      <w:r>
        <w:rPr>
          <w:rFonts w:hint="default" w:ascii="Times New Roman" w:hAnsi="Times New Roman" w:eastAsia="华文中宋" w:cs="Times New Roman"/>
          <w:sz w:val="24"/>
          <w:lang w:val="en-US" w:eastAsia="zh-CN"/>
        </w:rPr>
        <w:t>/d，并考虑建设单位事故应急能力能够在1天内排除故障，评价建议本项目事故水池设置为10m</w:t>
      </w:r>
      <w:r>
        <w:rPr>
          <w:rFonts w:hint="default" w:ascii="Times New Roman" w:hAnsi="Times New Roman" w:eastAsia="华文中宋" w:cs="Times New Roman"/>
          <w:sz w:val="24"/>
          <w:vertAlign w:val="superscript"/>
          <w:lang w:val="en-US" w:eastAsia="zh-CN"/>
        </w:rPr>
        <w:t>3</w:t>
      </w:r>
      <w:r>
        <w:rPr>
          <w:rFonts w:hint="default" w:ascii="Times New Roman" w:hAnsi="Times New Roman" w:eastAsia="华文中宋" w:cs="Times New Roman"/>
          <w:sz w:val="24"/>
          <w:lang w:val="en-US" w:eastAsia="zh-CN"/>
        </w:rPr>
        <w:t>。事故池位置应紧靠污水处理设施设置，污水处理设施一旦出现故障则立即将废水导入事故应急池，待设备状况运营正常后，进行再处理达标后方可用于矿区洒水抑尘。</w:t>
      </w:r>
    </w:p>
    <w:p w14:paraId="7DBAFE92">
      <w:pPr>
        <w:pStyle w:val="4"/>
        <w:spacing w:before="120" w:after="120" w:line="500" w:lineRule="exact"/>
        <w:rPr>
          <w:rFonts w:hint="default" w:ascii="Times New Roman" w:hAnsi="Times New Roman" w:eastAsia="华文中宋" w:cs="Times New Roman"/>
          <w:kern w:val="0"/>
          <w:sz w:val="24"/>
          <w:szCs w:val="24"/>
          <w:lang w:val="en-US" w:eastAsia="zh-CN"/>
        </w:rPr>
      </w:pPr>
      <w:bookmarkStart w:id="94" w:name="_Toc13839"/>
      <w:r>
        <w:rPr>
          <w:rFonts w:hint="default" w:ascii="Times New Roman" w:hAnsi="Times New Roman" w:eastAsia="华文中宋" w:cs="Times New Roman"/>
          <w:kern w:val="0"/>
          <w:sz w:val="24"/>
          <w:szCs w:val="24"/>
          <w:lang w:val="en-US" w:eastAsia="zh-CN"/>
        </w:rPr>
        <w:t>3.2.3闭矿期污染源分析</w:t>
      </w:r>
      <w:bookmarkEnd w:id="94"/>
    </w:p>
    <w:p w14:paraId="6B98778D">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随着项目采矿服务期结束，若无进一步开发利用计划，整个生产系统将进入闭矿期，结合本工程特点可知，按影响主体划分其影响情况主要来自五方面，具体如下：</w:t>
      </w:r>
    </w:p>
    <w:p w14:paraId="5D86D04F">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（1）大气污染源及污染物</w:t>
      </w:r>
    </w:p>
    <w:p w14:paraId="6CDEEDE2">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矿山资源开采完毕后，废石堆放场内废石全部用于回填采坑，采场、废石堆放场以及运输道路扬尘污染源消失，并对矿区进行复垦，恢复原貌，在恢复过程中会产生一定量的无组织扬尘。</w:t>
      </w:r>
    </w:p>
    <w:p w14:paraId="056A43E6">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（2）废水污染源及污染物</w:t>
      </w:r>
    </w:p>
    <w:p w14:paraId="230FC216">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闭矿后，主要为迹地恢复工作，在此过程中无地下涌水和生活污水产生。</w:t>
      </w:r>
    </w:p>
    <w:p w14:paraId="14B9A63B">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（3）噪声污染源及污染物</w:t>
      </w:r>
    </w:p>
    <w:p w14:paraId="593ADB8E">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闭矿期采掘场及废石堆场无采掘设备及废石运输设备，环境噪声将有所降低，并逐渐恢复到本底值。</w:t>
      </w:r>
    </w:p>
    <w:p w14:paraId="49EECBC0">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（4）固体废物污染源及污染物</w:t>
      </w:r>
    </w:p>
    <w:p w14:paraId="5E2DB1DD">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采矿结束时，废石堆放场内废石用于回填采坑。固体废物主要为</w:t>
      </w:r>
      <w:r>
        <w:rPr>
          <w:rFonts w:hint="eastAsia" w:ascii="Times New Roman" w:hAnsi="Times New Roman" w:cs="Times New Roman"/>
          <w:color w:val="auto"/>
          <w:lang w:val="en-US" w:eastAsia="zh-CN"/>
        </w:rPr>
        <w:t>磅房、</w:t>
      </w:r>
      <w:r>
        <w:rPr>
          <w:rFonts w:hint="default" w:ascii="Times New Roman" w:hAnsi="Times New Roman" w:eastAsia="华文中宋" w:cs="Times New Roman"/>
          <w:color w:val="auto"/>
          <w:lang w:val="en-US" w:eastAsia="zh-CN"/>
        </w:rPr>
        <w:t>办公生活区</w:t>
      </w:r>
      <w:r>
        <w:rPr>
          <w:rFonts w:hint="eastAsia" w:ascii="Times New Roman" w:hAnsi="Times New Roman" w:cs="Times New Roman"/>
          <w:color w:val="auto"/>
          <w:lang w:val="en-US" w:eastAsia="zh-CN"/>
        </w:rPr>
        <w:t>等</w:t>
      </w:r>
      <w:r>
        <w:rPr>
          <w:rFonts w:hint="default" w:ascii="Times New Roman" w:hAnsi="Times New Roman" w:eastAsia="华文中宋" w:cs="Times New Roman"/>
          <w:color w:val="auto"/>
          <w:lang w:val="en-US" w:eastAsia="zh-CN"/>
        </w:rPr>
        <w:t>拆除的建筑垃圾，送至最近的当地生态环境部门指定的地点处理。通过上述措施后，闭矿期基本无固体废物污染源及污染物。</w:t>
      </w:r>
    </w:p>
    <w:p w14:paraId="3E51AA65">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（5）生态影响</w:t>
      </w:r>
    </w:p>
    <w:p w14:paraId="325F8371">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闭矿期项目建设和运营所占用的采掘场、废石堆放场、公用设施等土地除了最后形成的采坑占用的面积外，其余占地面积可恢复成原地貌，鸟类和其他动物的多样性没有变化。</w:t>
      </w:r>
    </w:p>
    <w:p w14:paraId="5330B928">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矿区在建设期和运营期将清除地表植被，直接减少生物量，降低植被覆盖率，破坏动植物原有的生存环境。但矿区采取以植被恢复为核心的生态恢复措施后，对矿山施工和开采过程中造成的植被损失可以得到恢复和补偿。</w:t>
      </w:r>
    </w:p>
    <w:p w14:paraId="43EFDBA4">
      <w:pPr>
        <w:pStyle w:val="3"/>
        <w:spacing w:before="120" w:after="120" w:line="500" w:lineRule="exact"/>
        <w:ind w:left="375" w:hanging="375" w:firstLineChars="0"/>
        <w:contextualSpacing/>
        <w:rPr>
          <w:rFonts w:hint="default" w:ascii="Times New Roman" w:hAnsi="Times New Roman" w:eastAsia="华文中宋" w:cs="Times New Roman"/>
          <w:snapToGrid w:val="0"/>
          <w:kern w:val="0"/>
          <w:sz w:val="28"/>
          <w:szCs w:val="28"/>
          <w:lang w:val="en-US" w:eastAsia="zh-CN"/>
        </w:rPr>
      </w:pPr>
      <w:bookmarkStart w:id="95" w:name="_Toc5387"/>
      <w:bookmarkStart w:id="96" w:name="_Toc31165"/>
      <w:r>
        <w:rPr>
          <w:rFonts w:hint="default" w:ascii="Times New Roman" w:hAnsi="Times New Roman" w:eastAsia="华文中宋" w:cs="Times New Roman"/>
          <w:snapToGrid w:val="0"/>
          <w:kern w:val="0"/>
          <w:sz w:val="28"/>
          <w:szCs w:val="28"/>
          <w:lang w:val="en-US" w:eastAsia="zh-CN"/>
        </w:rPr>
        <w:t>3.3总量控制</w:t>
      </w:r>
      <w:bookmarkEnd w:id="95"/>
      <w:bookmarkEnd w:id="96"/>
    </w:p>
    <w:p w14:paraId="6A381B04">
      <w:pPr>
        <w:pStyle w:val="4"/>
        <w:spacing w:before="120" w:after="120" w:line="500" w:lineRule="exact"/>
        <w:rPr>
          <w:rFonts w:hint="eastAsia" w:ascii="Times New Roman" w:hAnsi="Times New Roman" w:eastAsia="华文中宋" w:cs="Times New Roman"/>
          <w:kern w:val="0"/>
          <w:sz w:val="24"/>
          <w:szCs w:val="24"/>
          <w:lang w:val="en-US" w:eastAsia="zh-CN"/>
        </w:rPr>
      </w:pPr>
      <w:bookmarkStart w:id="97" w:name="_Toc5487"/>
      <w:r>
        <w:rPr>
          <w:rFonts w:hint="eastAsia" w:ascii="Times New Roman" w:hAnsi="Times New Roman" w:eastAsia="华文中宋" w:cs="Times New Roman"/>
          <w:kern w:val="0"/>
          <w:sz w:val="24"/>
          <w:szCs w:val="24"/>
          <w:lang w:val="en-US" w:eastAsia="zh-CN"/>
        </w:rPr>
        <w:t>3.3.1总量控制原则</w:t>
      </w:r>
      <w:bookmarkEnd w:id="97"/>
    </w:p>
    <w:p w14:paraId="6200E3A1">
      <w:pPr>
        <w:pStyle w:val="24"/>
        <w:snapToGrid w:val="0"/>
        <w:jc w:val="left"/>
        <w:rPr>
          <w:rFonts w:hint="default" w:ascii="Times New Roman" w:hAnsi="Times New Roman" w:eastAsia="华文中宋" w:cs="Times New Roman"/>
          <w:snapToGrid w:val="0"/>
          <w:color w:val="auto"/>
          <w:kern w:val="0"/>
          <w:sz w:val="24"/>
          <w:szCs w:val="20"/>
          <w:lang w:val="en-US" w:eastAsia="zh-CN" w:bidi="ar-SA"/>
        </w:rPr>
      </w:pPr>
      <w:r>
        <w:rPr>
          <w:rFonts w:hint="default" w:ascii="Times New Roman" w:hAnsi="Times New Roman" w:eastAsia="华文中宋" w:cs="Times New Roman"/>
          <w:color w:val="auto"/>
          <w:lang w:val="en-US" w:eastAsia="zh-CN"/>
        </w:rPr>
        <w:t>对污染物排放总量进行控制的原则是</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将给定区域内污染源的污染物排放负荷控制在一定数量之内，使环境质量可以达到规定的环境目标。污染物总量控制方案的确定，在考虑污染物种类、污染源影响范围、区域环境质量、环境功能以及环境管理要求等因素的基础上，结合项目实际条件和控制措施</w:t>
      </w:r>
      <w:r>
        <w:rPr>
          <w:rFonts w:hint="default" w:ascii="Times New Roman" w:hAnsi="Times New Roman" w:eastAsia="华文中宋" w:cs="Times New Roman"/>
          <w:snapToGrid w:val="0"/>
          <w:color w:val="auto"/>
          <w:kern w:val="0"/>
          <w:sz w:val="24"/>
          <w:szCs w:val="20"/>
          <w:lang w:val="en-US" w:eastAsia="zh-CN" w:bidi="ar-SA"/>
        </w:rPr>
        <w:t>的经济技术可行性进行。</w:t>
      </w:r>
    </w:p>
    <w:p w14:paraId="296D1456">
      <w:pPr>
        <w:pStyle w:val="4"/>
        <w:spacing w:before="120" w:after="120" w:line="500" w:lineRule="exact"/>
        <w:rPr>
          <w:rFonts w:hint="eastAsia" w:ascii="Times New Roman" w:hAnsi="Times New Roman" w:eastAsia="华文中宋" w:cs="Times New Roman"/>
          <w:kern w:val="0"/>
          <w:sz w:val="24"/>
          <w:szCs w:val="24"/>
          <w:lang w:val="en-US" w:eastAsia="zh-CN"/>
        </w:rPr>
      </w:pPr>
      <w:bookmarkStart w:id="98" w:name="_Toc6870"/>
      <w:r>
        <w:rPr>
          <w:rFonts w:hint="eastAsia" w:ascii="Times New Roman" w:hAnsi="Times New Roman" w:eastAsia="华文中宋" w:cs="Times New Roman"/>
          <w:kern w:val="0"/>
          <w:sz w:val="24"/>
          <w:szCs w:val="24"/>
          <w:lang w:val="en-US" w:eastAsia="zh-CN"/>
        </w:rPr>
        <w:t>3.3.2总量控制因子</w:t>
      </w:r>
      <w:bookmarkEnd w:id="98"/>
    </w:p>
    <w:p w14:paraId="2B6F9B01">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 xml:space="preserve">根据国家“十四五”污染物排放总量控制要求，污染物排放总量控制因子如下： </w:t>
      </w:r>
    </w:p>
    <w:p w14:paraId="31A238A6">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 xml:space="preserve">废气污染物：NOX、VOCs。 </w:t>
      </w:r>
    </w:p>
    <w:p w14:paraId="7B3D9715">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废水污染物：COD、NH</w:t>
      </w:r>
      <w:r>
        <w:rPr>
          <w:rFonts w:hint="default" w:ascii="Times New Roman" w:hAnsi="Times New Roman" w:eastAsia="华文中宋" w:cs="Times New Roman"/>
          <w:color w:val="auto"/>
          <w:vertAlign w:val="subscript"/>
          <w:lang w:val="en-US" w:eastAsia="zh-CN"/>
        </w:rPr>
        <w:t>3</w:t>
      </w:r>
      <w:r>
        <w:rPr>
          <w:rFonts w:hint="default" w:ascii="Times New Roman" w:hAnsi="Times New Roman" w:eastAsia="华文中宋" w:cs="Times New Roman"/>
          <w:color w:val="auto"/>
          <w:lang w:val="en-US" w:eastAsia="zh-CN"/>
        </w:rPr>
        <w:t>-N。</w:t>
      </w:r>
    </w:p>
    <w:p w14:paraId="2FD90456">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根据</w:t>
      </w:r>
      <w:r>
        <w:rPr>
          <w:rFonts w:hint="default" w:ascii="Times New Roman" w:hAnsi="Times New Roman" w:eastAsia="华文中宋" w:cs="Times New Roman"/>
          <w:color w:val="auto"/>
          <w:lang w:val="en-US" w:eastAsia="zh-CN"/>
        </w:rPr>
        <w:t>《新疆维吾尔自治区重金属污染防控工作方案》</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新环固体发</w:t>
      </w:r>
      <w:r>
        <w:rPr>
          <w:rFonts w:hint="eastAsia" w:ascii="Times New Roman" w:hAnsi="Times New Roman" w:cs="Times New Roman"/>
          <w:color w:val="auto"/>
          <w:lang w:val="en-US" w:eastAsia="zh-CN"/>
        </w:rPr>
        <w:t>〔2022〕88号）</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对铅、汞、镉、铬和</w:t>
      </w:r>
      <w:r>
        <w:rPr>
          <w:rFonts w:hint="eastAsia" w:ascii="Times New Roman" w:hAnsi="Times New Roman" w:eastAsia="华文中宋" w:cs="Times New Roman"/>
          <w:color w:val="auto"/>
          <w:lang w:val="en-US" w:eastAsia="zh-CN"/>
        </w:rPr>
        <w:t>砷</w:t>
      </w:r>
      <w:r>
        <w:rPr>
          <w:rFonts w:hint="default" w:ascii="Times New Roman" w:hAnsi="Times New Roman" w:eastAsia="华文中宋" w:cs="Times New Roman"/>
          <w:color w:val="auto"/>
          <w:lang w:val="en-US" w:eastAsia="zh-CN"/>
        </w:rPr>
        <w:t>五种重点重金属污染物排放量实施总量控制。</w:t>
      </w:r>
    </w:p>
    <w:p w14:paraId="6CD8ED80">
      <w:pPr>
        <w:pStyle w:val="24"/>
        <w:snapToGrid w:val="0"/>
        <w:jc w:val="left"/>
        <w:rPr>
          <w:rFonts w:hint="eastAsia"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w:t>
      </w:r>
      <w:r>
        <w:rPr>
          <w:rFonts w:hint="eastAsia" w:ascii="Times New Roman" w:hAnsi="Times New Roman" w:eastAsia="华文中宋" w:cs="Times New Roman"/>
          <w:color w:val="auto"/>
          <w:lang w:val="en-US" w:eastAsia="zh-CN"/>
        </w:rPr>
        <w:t>1</w:t>
      </w:r>
      <w:r>
        <w:rPr>
          <w:rFonts w:hint="eastAsia" w:ascii="Times New Roman" w:hAnsi="Times New Roman" w:cs="Times New Roman"/>
          <w:color w:val="auto"/>
          <w:lang w:val="en-US" w:eastAsia="zh-CN"/>
        </w:rPr>
        <w:t>)</w:t>
      </w:r>
      <w:r>
        <w:rPr>
          <w:rFonts w:hint="eastAsia" w:ascii="Times New Roman" w:hAnsi="Times New Roman" w:eastAsia="华文中宋" w:cs="Times New Roman"/>
          <w:color w:val="auto"/>
          <w:lang w:val="en-US" w:eastAsia="zh-CN"/>
        </w:rPr>
        <w:t>NOx</w:t>
      </w:r>
    </w:p>
    <w:p w14:paraId="38A19E75">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本项目在开采过程中产生的爆破废气及燃油机械废气中含有NOx，根据项目大气污染物源强核算，NOx无组织排放量为7.273t/a。</w:t>
      </w:r>
    </w:p>
    <w:p w14:paraId="41601161">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（2）铅及其化合物</w:t>
      </w:r>
    </w:p>
    <w:p w14:paraId="576F17CB">
      <w:pPr>
        <w:pStyle w:val="24"/>
        <w:snapToGrid w:val="0"/>
        <w:jc w:val="left"/>
        <w:rPr>
          <w:rFonts w:hint="eastAsia"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项目在运营过程中，矿石开采、运输、堆存的过程中会产生无组织颗粒物及无组织铅及其化合物，根据项目大气污染物源强核算，铅及其化合物的无组织排放量为0.0</w:t>
      </w:r>
      <w:r>
        <w:rPr>
          <w:rFonts w:hint="eastAsia" w:ascii="Times New Roman" w:hAnsi="Times New Roman" w:cs="Times New Roman"/>
          <w:color w:val="auto"/>
          <w:lang w:val="en-US" w:eastAsia="zh-CN"/>
        </w:rPr>
        <w:t>24</w:t>
      </w:r>
      <w:r>
        <w:rPr>
          <w:rFonts w:hint="eastAsia" w:ascii="Times New Roman" w:hAnsi="Times New Roman" w:eastAsia="华文中宋" w:cs="Times New Roman"/>
          <w:color w:val="auto"/>
          <w:lang w:val="en-US" w:eastAsia="zh-CN"/>
        </w:rPr>
        <w:t>t/a</w:t>
      </w:r>
      <w:r>
        <w:rPr>
          <w:rFonts w:hint="eastAsia"/>
          <w:lang w:eastAsia="zh-CN"/>
        </w:rPr>
        <w:t>。</w:t>
      </w:r>
    </w:p>
    <w:p w14:paraId="5ADF4333">
      <w:pPr>
        <w:pStyle w:val="24"/>
        <w:snapToGrid w:val="0"/>
        <w:jc w:val="left"/>
        <w:rPr>
          <w:rFonts w:hint="default" w:ascii="Times New Roman" w:hAnsi="Times New Roman" w:eastAsia="华文中宋" w:cs="Times New Roman"/>
          <w:snapToGrid w:val="0"/>
          <w:color w:val="auto"/>
          <w:kern w:val="0"/>
          <w:sz w:val="24"/>
          <w:szCs w:val="20"/>
          <w:lang w:val="en-US" w:eastAsia="zh-CN" w:bidi="ar-SA"/>
        </w:rPr>
      </w:pPr>
      <w:r>
        <w:rPr>
          <w:rFonts w:hint="eastAsia" w:ascii="Times New Roman" w:hAnsi="Times New Roman" w:eastAsia="华文中宋" w:cs="Times New Roman"/>
          <w:color w:val="auto"/>
          <w:lang w:val="en-US" w:eastAsia="zh-CN"/>
        </w:rPr>
        <w:t>本次评价提出的总量控制指标均为建议值，供生态环境主管部门对本工程实施环境</w:t>
      </w:r>
      <w:r>
        <w:rPr>
          <w:rFonts w:hint="default" w:ascii="Times New Roman" w:hAnsi="Times New Roman" w:eastAsia="华文中宋" w:cs="Times New Roman"/>
          <w:color w:val="auto"/>
          <w:lang w:val="en-US" w:eastAsia="zh-CN"/>
        </w:rPr>
        <w:t>管理以及下达污染物排</w:t>
      </w:r>
      <w:r>
        <w:rPr>
          <w:rFonts w:hint="default" w:ascii="Times New Roman" w:hAnsi="Times New Roman" w:eastAsia="华文中宋" w:cs="Times New Roman"/>
          <w:snapToGrid w:val="0"/>
          <w:color w:val="auto"/>
          <w:kern w:val="0"/>
          <w:sz w:val="24"/>
          <w:szCs w:val="20"/>
          <w:lang w:val="en-US" w:eastAsia="zh-CN" w:bidi="ar-SA"/>
        </w:rPr>
        <w:t>放总量控制指标时参考。</w:t>
      </w:r>
    </w:p>
    <w:p w14:paraId="31F5DB0A">
      <w:pPr>
        <w:pStyle w:val="3"/>
        <w:spacing w:before="120" w:after="120" w:line="500" w:lineRule="exact"/>
        <w:ind w:left="375" w:hanging="375" w:firstLineChars="0"/>
        <w:contextualSpacing/>
        <w:rPr>
          <w:rFonts w:hint="eastAsia" w:ascii="Times New Roman" w:hAnsi="Times New Roman" w:eastAsia="华文中宋" w:cs="Times New Roman"/>
          <w:snapToGrid w:val="0"/>
          <w:kern w:val="0"/>
          <w:sz w:val="28"/>
          <w:szCs w:val="28"/>
          <w:lang w:val="en-US" w:eastAsia="zh-CN"/>
        </w:rPr>
      </w:pPr>
      <w:bookmarkStart w:id="99" w:name="_Toc6936"/>
      <w:r>
        <w:rPr>
          <w:rFonts w:hint="eastAsia" w:ascii="Times New Roman" w:hAnsi="Times New Roman" w:eastAsia="华文中宋" w:cs="Times New Roman"/>
          <w:snapToGrid w:val="0"/>
          <w:kern w:val="0"/>
          <w:sz w:val="28"/>
          <w:szCs w:val="28"/>
          <w:lang w:val="en-US" w:eastAsia="zh-CN"/>
        </w:rPr>
        <w:t>3.4清洁生产</w:t>
      </w:r>
      <w:bookmarkEnd w:id="99"/>
    </w:p>
    <w:p w14:paraId="1ABE8805">
      <w:pPr>
        <w:pStyle w:val="24"/>
        <w:snapToGrid w:val="0"/>
        <w:jc w:val="left"/>
        <w:rPr>
          <w:rFonts w:hint="eastAsia"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清洁生产是指将综合预防的环境保护策略持续应用于生产过程和产品中，以期减少对人类和环境的风险。</w:t>
      </w:r>
    </w:p>
    <w:p w14:paraId="430E153A">
      <w:pPr>
        <w:pStyle w:val="24"/>
        <w:snapToGrid w:val="0"/>
        <w:jc w:val="left"/>
        <w:rPr>
          <w:rFonts w:hint="eastAsia"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清洁生产的定义包含了两个全过程控制：生产全过程和产品整个生命周期全过程。清洁生产是实现经济和环境协调持续发展的一项重要措施，其概念是将预防和控制污染贯穿于整个工艺生产过程和产品的消费使用过程中，尽量使之不产生或少生产废物，以期对人体和环境不产生或少产生危害。简而言之，就是通过清洁的生产过程生产出清洁环保的产品。清洁生产（预防污染）已被世界工业界所接受。</w:t>
      </w:r>
    </w:p>
    <w:p w14:paraId="456AAB4D">
      <w:pPr>
        <w:pStyle w:val="24"/>
        <w:snapToGrid w:val="0"/>
        <w:jc w:val="left"/>
        <w:rPr>
          <w:rFonts w:hint="eastAsia"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 xml:space="preserve">清洁生产不仅是我国工业可持续发展的一项重要战略，也是实现我国污染控制重点由末端控制向生产全过程控制转变的重大措施。近年来，国内开展清洁生产的企业数呈逐年上升趋势。 </w:t>
      </w:r>
    </w:p>
    <w:p w14:paraId="37CEDEAD">
      <w:pPr>
        <w:pStyle w:val="24"/>
        <w:snapToGrid w:val="0"/>
        <w:jc w:val="left"/>
        <w:rPr>
          <w:rFonts w:hint="eastAsia"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企业是实施清洁生产的主体，清洁生产的目标是</w:t>
      </w:r>
      <w:r>
        <w:rPr>
          <w:rFonts w:hint="default" w:ascii="Times New Roman" w:hAnsi="Times New Roman" w:eastAsia="华文中宋" w:cs="Times New Roman"/>
          <w:color w:val="auto"/>
          <w:lang w:val="en-US" w:eastAsia="zh-CN"/>
        </w:rPr>
        <w:t>“</w:t>
      </w:r>
      <w:r>
        <w:rPr>
          <w:rFonts w:hint="eastAsia" w:ascii="Times New Roman" w:hAnsi="Times New Roman" w:eastAsia="华文中宋" w:cs="Times New Roman"/>
          <w:color w:val="auto"/>
          <w:lang w:val="en-US" w:eastAsia="zh-CN"/>
        </w:rPr>
        <w:t>增效、降耗、节能、减污</w:t>
      </w:r>
      <w:r>
        <w:rPr>
          <w:rFonts w:hint="default" w:ascii="Times New Roman" w:hAnsi="Times New Roman" w:eastAsia="华文中宋" w:cs="Times New Roman"/>
          <w:color w:val="auto"/>
          <w:lang w:val="en-US" w:eastAsia="zh-CN"/>
        </w:rPr>
        <w:t>”</w:t>
      </w:r>
      <w:r>
        <w:rPr>
          <w:rFonts w:hint="eastAsia" w:ascii="Times New Roman" w:hAnsi="Times New Roman" w:eastAsia="华文中宋" w:cs="Times New Roman"/>
          <w:color w:val="auto"/>
          <w:lang w:val="en-US" w:eastAsia="zh-CN"/>
        </w:rPr>
        <w:t>，所以清洁生产的实施不但有利于环境，也有利于企业自身，降低成本的同时还将为企业树立良好的社会形象，促使公众对其产品的支持，提高企业的市场竞争力。</w:t>
      </w:r>
    </w:p>
    <w:p w14:paraId="7C3A80F5">
      <w:pPr>
        <w:pStyle w:val="4"/>
        <w:spacing w:before="120" w:after="120" w:line="500" w:lineRule="exact"/>
        <w:rPr>
          <w:rFonts w:hint="eastAsia" w:ascii="Times New Roman" w:hAnsi="Times New Roman" w:eastAsia="华文中宋" w:cs="Times New Roman"/>
          <w:kern w:val="0"/>
          <w:sz w:val="24"/>
          <w:szCs w:val="24"/>
          <w:lang w:val="en-US" w:eastAsia="zh-CN"/>
        </w:rPr>
      </w:pPr>
      <w:bookmarkStart w:id="100" w:name="_Toc23328"/>
      <w:r>
        <w:rPr>
          <w:rFonts w:hint="eastAsia" w:ascii="Times New Roman" w:hAnsi="Times New Roman" w:eastAsia="华文中宋" w:cs="Times New Roman"/>
          <w:kern w:val="0"/>
          <w:sz w:val="24"/>
          <w:szCs w:val="24"/>
          <w:lang w:val="en-US" w:eastAsia="zh-CN"/>
        </w:rPr>
        <w:t>3.4.1清洁生产评价指标</w:t>
      </w:r>
      <w:bookmarkEnd w:id="100"/>
    </w:p>
    <w:p w14:paraId="465050DF">
      <w:pPr>
        <w:pStyle w:val="24"/>
        <w:snapToGrid w:val="0"/>
        <w:jc w:val="left"/>
        <w:rPr>
          <w:rFonts w:hint="default" w:ascii="Times New Roman" w:hAnsi="Times New Roman" w:eastAsia="华文中宋" w:cs="Times New Roman"/>
          <w:color w:val="000000" w:themeColor="text1"/>
          <w:highlight w:val="none"/>
          <w:lang w:val="en-US" w:eastAsia="zh-CN"/>
          <w14:textFill>
            <w14:solidFill>
              <w14:schemeClr w14:val="tx1"/>
            </w14:solidFill>
          </w14:textFill>
        </w:rPr>
      </w:pPr>
      <w:r>
        <w:rPr>
          <w:rFonts w:hint="default" w:ascii="Times New Roman" w:hAnsi="Times New Roman" w:eastAsia="华文中宋" w:cs="Times New Roman"/>
          <w:color w:val="auto"/>
          <w:lang w:val="en-US" w:eastAsia="zh-CN"/>
        </w:rPr>
        <w:t>本评价指</w:t>
      </w:r>
      <w:r>
        <w:rPr>
          <w:rFonts w:hint="default" w:ascii="Times New Roman" w:hAnsi="Times New Roman" w:eastAsia="华文中宋" w:cs="Times New Roman"/>
          <w:color w:val="000000" w:themeColor="text1"/>
          <w:highlight w:val="none"/>
          <w:lang w:val="en-US" w:eastAsia="zh-CN"/>
          <w14:textFill>
            <w14:solidFill>
              <w14:schemeClr w14:val="tx1"/>
            </w14:solidFill>
          </w14:textFill>
        </w:rPr>
        <w:t>标体系将清洁生产评价指标分为六类，即生产工艺装备指标、资源能源消耗指标、资源综合利用指标、污染物产生指标、生态环境保护指标、清洁生产管理指标。</w:t>
      </w:r>
    </w:p>
    <w:p w14:paraId="26573F54">
      <w:pPr>
        <w:pStyle w:val="24"/>
        <w:snapToGrid w:val="0"/>
        <w:jc w:val="left"/>
        <w:rPr>
          <w:rFonts w:hint="default" w:ascii="Times New Roman" w:hAnsi="Times New Roman" w:eastAsia="华文中宋" w:cs="Times New Roman"/>
          <w:color w:val="000000" w:themeColor="text1"/>
          <w:highlight w:val="none"/>
          <w:lang w:val="en-US" w:eastAsia="zh-CN"/>
          <w14:textFill>
            <w14:solidFill>
              <w14:schemeClr w14:val="tx1"/>
            </w14:solidFill>
          </w14:textFill>
        </w:rPr>
      </w:pPr>
      <w:r>
        <w:rPr>
          <w:rFonts w:hint="eastAsia" w:ascii="Times New Roman" w:hAnsi="Times New Roman" w:eastAsia="华文中宋" w:cs="Times New Roman"/>
          <w:color w:val="000000" w:themeColor="text1"/>
          <w:highlight w:val="none"/>
          <w:lang w:val="en-US" w:eastAsia="zh-CN"/>
          <w14:textFill>
            <w14:solidFill>
              <w14:schemeClr w14:val="tx1"/>
            </w14:solidFill>
          </w14:textFill>
        </w:rPr>
        <w:t>（1）</w:t>
      </w:r>
      <w:r>
        <w:rPr>
          <w:rFonts w:hint="default" w:ascii="Times New Roman" w:hAnsi="Times New Roman" w:eastAsia="华文中宋" w:cs="Times New Roman"/>
          <w:color w:val="000000" w:themeColor="text1"/>
          <w:highlight w:val="none"/>
          <w:lang w:val="en-US" w:eastAsia="zh-CN"/>
          <w14:textFill>
            <w14:solidFill>
              <w14:schemeClr w14:val="tx1"/>
            </w14:solidFill>
          </w14:textFill>
        </w:rPr>
        <w:t>生产工艺装备指标</w:t>
      </w:r>
    </w:p>
    <w:p w14:paraId="12BEF16C">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通过对工艺技术来源和技术特点进行分析，说明其在同类技术中所占地位以及选用设备的先进性。生产工艺与装备选取直接影响到该项目投入生产后，资源能源利用效率和废弃物产生。</w:t>
      </w:r>
    </w:p>
    <w:p w14:paraId="4A4777CF">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（2）资源能源消耗指标</w:t>
      </w:r>
    </w:p>
    <w:p w14:paraId="58907DE9">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资源能源消耗指标包括物耗指标、能耗指标和新水用量指标三类，此外原辅材料的选取也是重要内容之一。原材料指标包括原材料的毒性、生态影响、可再生性、能源强度、回收利用性五个方面。</w:t>
      </w:r>
    </w:p>
    <w:p w14:paraId="62B01183">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（3）</w:t>
      </w:r>
      <w:r>
        <w:rPr>
          <w:rFonts w:hint="default" w:ascii="Times New Roman" w:hAnsi="Times New Roman" w:eastAsia="华文中宋" w:cs="Times New Roman"/>
          <w:color w:val="auto"/>
          <w:lang w:val="en-US" w:eastAsia="zh-CN"/>
        </w:rPr>
        <w:t>资源综合利用指标</w:t>
      </w:r>
    </w:p>
    <w:p w14:paraId="0CE7DC0F">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指在矿产资源开采过程中对共生、伴生矿进行综合开发与合理利用；对生产过程中产生的废渣、废水（液）、废气、余热余压等进行回收和合理利用；对社会生产和消费过程中产生的各种废物进行回收和再生利用。</w:t>
      </w:r>
    </w:p>
    <w:p w14:paraId="069AEF26">
      <w:pPr>
        <w:pStyle w:val="24"/>
        <w:snapToGrid w:val="0"/>
        <w:jc w:val="left"/>
        <w:rPr>
          <w:rFonts w:hint="eastAsia"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4</w:t>
      </w:r>
      <w:r>
        <w:rPr>
          <w:rFonts w:hint="eastAsia" w:ascii="Times New Roman" w:hAnsi="Times New Roman" w:eastAsia="华文中宋" w:cs="Times New Roman"/>
          <w:color w:val="auto"/>
          <w:lang w:val="en-US" w:eastAsia="zh-CN"/>
        </w:rPr>
        <w:t>）污染物产生指标（末端治理前）</w:t>
      </w:r>
    </w:p>
    <w:p w14:paraId="1A4518F1">
      <w:pPr>
        <w:pStyle w:val="24"/>
        <w:snapToGrid w:val="0"/>
        <w:jc w:val="left"/>
        <w:rPr>
          <w:rFonts w:hint="eastAsia"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污染物产生指标包括单位产品废气、废水、固体废物等产生指标。</w:t>
      </w:r>
    </w:p>
    <w:p w14:paraId="0ECD417B">
      <w:pPr>
        <w:pStyle w:val="24"/>
        <w:snapToGrid w:val="0"/>
        <w:jc w:val="left"/>
        <w:rPr>
          <w:rFonts w:hint="eastAsia"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5</w:t>
      </w:r>
      <w:r>
        <w:rPr>
          <w:rFonts w:hint="eastAsia" w:ascii="Times New Roman" w:hAnsi="Times New Roman" w:eastAsia="华文中宋" w:cs="Times New Roman"/>
          <w:color w:val="auto"/>
          <w:lang w:val="en-US" w:eastAsia="zh-CN"/>
        </w:rPr>
        <w:t>）生态环境保护指标</w:t>
      </w:r>
    </w:p>
    <w:p w14:paraId="6BA7BBA1">
      <w:pPr>
        <w:pStyle w:val="24"/>
        <w:snapToGrid w:val="0"/>
        <w:jc w:val="left"/>
        <w:rPr>
          <w:rFonts w:hint="eastAsia"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矿山生产过程中采取的生态环境保护措施、制定的生态环境保护方案、管理制度及监测实施方案。</w:t>
      </w:r>
    </w:p>
    <w:p w14:paraId="5651F41A">
      <w:pPr>
        <w:pStyle w:val="24"/>
        <w:snapToGrid w:val="0"/>
        <w:jc w:val="left"/>
        <w:rPr>
          <w:rFonts w:hint="eastAsia"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6</w:t>
      </w:r>
      <w:r>
        <w:rPr>
          <w:rFonts w:hint="eastAsia" w:ascii="Times New Roman" w:hAnsi="Times New Roman" w:eastAsia="华文中宋" w:cs="Times New Roman"/>
          <w:color w:val="auto"/>
          <w:lang w:val="en-US" w:eastAsia="zh-CN"/>
        </w:rPr>
        <w:t>）清洁生产管理指标</w:t>
      </w:r>
    </w:p>
    <w:p w14:paraId="40B2709C">
      <w:pPr>
        <w:pStyle w:val="24"/>
        <w:snapToGrid w:val="0"/>
        <w:jc w:val="left"/>
        <w:rPr>
          <w:rFonts w:hint="eastAsia"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是否满足环境法律法规标准、环境审核、废物处理处置、生产过程环境管理、相关方环境管理要求。</w:t>
      </w:r>
    </w:p>
    <w:p w14:paraId="3DA927C8">
      <w:pPr>
        <w:pStyle w:val="4"/>
        <w:spacing w:before="120" w:after="120" w:line="500" w:lineRule="exact"/>
        <w:rPr>
          <w:rFonts w:hint="default" w:ascii="Times New Roman" w:hAnsi="Times New Roman" w:eastAsia="华文中宋" w:cs="Times New Roman"/>
          <w:kern w:val="0"/>
          <w:sz w:val="24"/>
          <w:szCs w:val="24"/>
          <w:lang w:val="en-US" w:eastAsia="zh-CN"/>
        </w:rPr>
      </w:pPr>
      <w:bookmarkStart w:id="101" w:name="_Toc16916"/>
      <w:r>
        <w:rPr>
          <w:rFonts w:hint="eastAsia" w:ascii="Times New Roman" w:hAnsi="Times New Roman" w:eastAsia="华文中宋" w:cs="Times New Roman"/>
          <w:kern w:val="0"/>
          <w:sz w:val="24"/>
          <w:szCs w:val="24"/>
          <w:lang w:val="en-US" w:eastAsia="zh-CN"/>
        </w:rPr>
        <w:t>3.4.2指标选取</w:t>
      </w:r>
      <w:bookmarkEnd w:id="101"/>
    </w:p>
    <w:p w14:paraId="2B8353DC">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本指标体系根据清洁生产的原则要求和指标的可度量性，进行指标选取。根据评价指标的性质，可分为定量指标和定性指标两种。</w:t>
      </w:r>
    </w:p>
    <w:p w14:paraId="7AB3F336">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定量指标选取了有代表性的、能反映</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节能</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降耗</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减污</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和</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增效</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等有关清洁生产最终目标的指标，综合考评企业实施清洁生产的状况和企业清洁生产程度。定性指标根据国家有关推行清洁生产的产业发展和技术进步政策、资源环境保护政策规定以及行业发展规划选取，用于考核企业对有关政策法规的符合性及其清洁生产工作实施情况。</w:t>
      </w:r>
    </w:p>
    <w:p w14:paraId="31B17B97">
      <w:pPr>
        <w:pStyle w:val="24"/>
        <w:snapToGrid w:val="0"/>
        <w:jc w:val="left"/>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本项目清洁生产指标分析参考《铅锌采选业清洁生产评价指标体系》《锑行业清洁生产评价指标体系》。</w:t>
      </w:r>
    </w:p>
    <w:p w14:paraId="42FC7617">
      <w:pPr>
        <w:sectPr>
          <w:pgSz w:w="11906" w:h="16838"/>
          <w:pgMar w:top="1440" w:right="1800" w:bottom="1440" w:left="1800" w:header="851" w:footer="992" w:gutter="0"/>
          <w:pgNumType w:fmt="decimal"/>
          <w:cols w:space="425" w:num="1"/>
          <w:docGrid w:type="lines" w:linePitch="312" w:charSpace="0"/>
        </w:sectPr>
      </w:pPr>
    </w:p>
    <w:p w14:paraId="54886A9C">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eastAsia" w:ascii="Times New Roman" w:hAnsi="Times New Roman" w:eastAsia="华文中宋" w:cs="Times New Roman"/>
          <w:b/>
          <w:szCs w:val="21"/>
          <w:lang w:val="en-US" w:eastAsia="zh-CN"/>
        </w:rPr>
        <w:t>表3.4-1  铅锌采矿企业评价指标项目、权重及基准值（露天开采）</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
        <w:gridCol w:w="921"/>
        <w:gridCol w:w="912"/>
        <w:gridCol w:w="1229"/>
        <w:gridCol w:w="1088"/>
        <w:gridCol w:w="1123"/>
        <w:gridCol w:w="912"/>
        <w:gridCol w:w="2039"/>
        <w:gridCol w:w="1688"/>
        <w:gridCol w:w="1893"/>
        <w:gridCol w:w="1893"/>
      </w:tblGrid>
      <w:tr w14:paraId="0A903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17578EE">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序号</w:t>
            </w:r>
          </w:p>
        </w:tc>
        <w:tc>
          <w:tcPr>
            <w:tcW w:w="0" w:type="auto"/>
            <w:vAlign w:val="center"/>
          </w:tcPr>
          <w:p w14:paraId="1383269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一级指标</w:t>
            </w:r>
          </w:p>
        </w:tc>
        <w:tc>
          <w:tcPr>
            <w:tcW w:w="0" w:type="auto"/>
            <w:vAlign w:val="center"/>
          </w:tcPr>
          <w:p w14:paraId="1490ED0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一级指标权重值</w:t>
            </w:r>
          </w:p>
        </w:tc>
        <w:tc>
          <w:tcPr>
            <w:tcW w:w="0" w:type="auto"/>
            <w:gridSpan w:val="2"/>
            <w:vAlign w:val="center"/>
          </w:tcPr>
          <w:p w14:paraId="13A223F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二级指标</w:t>
            </w:r>
          </w:p>
        </w:tc>
        <w:tc>
          <w:tcPr>
            <w:tcW w:w="0" w:type="auto"/>
            <w:vAlign w:val="center"/>
          </w:tcPr>
          <w:p w14:paraId="617BB9C5">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单位</w:t>
            </w:r>
          </w:p>
        </w:tc>
        <w:tc>
          <w:tcPr>
            <w:tcW w:w="0" w:type="auto"/>
            <w:vAlign w:val="center"/>
          </w:tcPr>
          <w:p w14:paraId="0524984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二级指标权重值</w:t>
            </w:r>
          </w:p>
        </w:tc>
        <w:tc>
          <w:tcPr>
            <w:tcW w:w="0" w:type="auto"/>
            <w:vAlign w:val="center"/>
          </w:tcPr>
          <w:p w14:paraId="68DFDD0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eastAsia="zh-CN"/>
              </w:rPr>
              <w:t>Ⅰ</w:t>
            </w:r>
            <w:r>
              <w:rPr>
                <w:rFonts w:hint="default" w:ascii="Times New Roman" w:hAnsi="Times New Roman" w:eastAsia="华文中宋" w:cs="Times New Roman"/>
                <w:szCs w:val="21"/>
                <w:lang w:eastAsia="zh-CN"/>
              </w:rPr>
              <w:t>级</w:t>
            </w:r>
            <w:r>
              <w:rPr>
                <w:rFonts w:hint="eastAsia" w:ascii="Times New Roman" w:hAnsi="Times New Roman" w:eastAsia="华文中宋" w:cs="Times New Roman"/>
                <w:szCs w:val="21"/>
                <w:lang w:val="en-US" w:eastAsia="zh-CN"/>
              </w:rPr>
              <w:t>基准值</w:t>
            </w:r>
          </w:p>
        </w:tc>
        <w:tc>
          <w:tcPr>
            <w:tcW w:w="0" w:type="auto"/>
            <w:vAlign w:val="center"/>
          </w:tcPr>
          <w:p w14:paraId="2D4D9451">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eastAsia="zh-CN"/>
              </w:rPr>
              <w:t>Ⅱ级</w:t>
            </w:r>
            <w:r>
              <w:rPr>
                <w:rFonts w:hint="eastAsia" w:ascii="Times New Roman" w:hAnsi="Times New Roman" w:eastAsia="华文中宋" w:cs="Times New Roman"/>
                <w:szCs w:val="21"/>
                <w:lang w:val="en-US" w:eastAsia="zh-CN"/>
              </w:rPr>
              <w:t>基准值</w:t>
            </w:r>
          </w:p>
        </w:tc>
        <w:tc>
          <w:tcPr>
            <w:tcW w:w="0" w:type="auto"/>
            <w:vAlign w:val="center"/>
          </w:tcPr>
          <w:p w14:paraId="63387507">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Ⅲ级基准值</w:t>
            </w:r>
          </w:p>
        </w:tc>
        <w:tc>
          <w:tcPr>
            <w:tcW w:w="0" w:type="auto"/>
            <w:shd w:val="clear" w:color="auto" w:fill="auto"/>
            <w:vAlign w:val="center"/>
          </w:tcPr>
          <w:p w14:paraId="74D3CD9A">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本项目情况</w:t>
            </w:r>
          </w:p>
        </w:tc>
      </w:tr>
      <w:tr w14:paraId="739A3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14:paraId="43A8EFD3">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w:t>
            </w:r>
          </w:p>
        </w:tc>
        <w:tc>
          <w:tcPr>
            <w:tcW w:w="0" w:type="auto"/>
            <w:vMerge w:val="restart"/>
            <w:vAlign w:val="center"/>
          </w:tcPr>
          <w:p w14:paraId="06A8177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生产工艺及设备要求</w:t>
            </w:r>
          </w:p>
        </w:tc>
        <w:tc>
          <w:tcPr>
            <w:tcW w:w="0" w:type="auto"/>
            <w:vMerge w:val="restart"/>
            <w:vAlign w:val="center"/>
          </w:tcPr>
          <w:p w14:paraId="59CE394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0.30</w:t>
            </w:r>
          </w:p>
        </w:tc>
        <w:tc>
          <w:tcPr>
            <w:tcW w:w="0" w:type="auto"/>
            <w:gridSpan w:val="2"/>
            <w:vAlign w:val="center"/>
          </w:tcPr>
          <w:p w14:paraId="46135609">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穿孔</w:t>
            </w:r>
          </w:p>
        </w:tc>
        <w:tc>
          <w:tcPr>
            <w:tcW w:w="0" w:type="auto"/>
            <w:vAlign w:val="center"/>
          </w:tcPr>
          <w:p w14:paraId="0045628D">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c>
          <w:tcPr>
            <w:tcW w:w="0" w:type="auto"/>
            <w:vAlign w:val="center"/>
          </w:tcPr>
          <w:p w14:paraId="2AAA174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0.30</w:t>
            </w:r>
          </w:p>
        </w:tc>
        <w:tc>
          <w:tcPr>
            <w:tcW w:w="0" w:type="auto"/>
            <w:vAlign w:val="center"/>
          </w:tcPr>
          <w:p w14:paraId="0147BD6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eastAsia="zh-CN"/>
              </w:rPr>
              <w:t>采用国际先进的高效、配有除尘净化装置及自动化程度高的凿岩设备</w:t>
            </w:r>
          </w:p>
        </w:tc>
        <w:tc>
          <w:tcPr>
            <w:tcW w:w="0" w:type="auto"/>
            <w:vAlign w:val="center"/>
          </w:tcPr>
          <w:p w14:paraId="663FCAD7">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采用国内的先进高效、配有除尘净化装置的凿岩设备</w:t>
            </w:r>
          </w:p>
        </w:tc>
        <w:tc>
          <w:tcPr>
            <w:tcW w:w="0" w:type="auto"/>
            <w:vAlign w:val="center"/>
          </w:tcPr>
          <w:p w14:paraId="46C7ED54">
            <w:pPr>
              <w:spacing w:line="300" w:lineRule="exact"/>
              <w:jc w:val="center"/>
              <w:rPr>
                <w:rFonts w:hint="eastAsia"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采用国内较先进、凿岩效率高的湿式凿岩设备</w:t>
            </w:r>
          </w:p>
        </w:tc>
        <w:tc>
          <w:tcPr>
            <w:tcW w:w="0" w:type="auto"/>
            <w:shd w:val="clear" w:color="auto" w:fill="auto"/>
            <w:vAlign w:val="center"/>
          </w:tcPr>
          <w:p w14:paraId="3ED41902">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Ⅱ</w:t>
            </w:r>
            <w:r>
              <w:rPr>
                <w:rFonts w:hint="default" w:ascii="Times New Roman" w:hAnsi="Times New Roman" w:eastAsia="华文中宋" w:cs="Times New Roman"/>
                <w:szCs w:val="21"/>
                <w:lang w:eastAsia="zh-CN"/>
              </w:rPr>
              <w:t>级</w:t>
            </w:r>
          </w:p>
        </w:tc>
      </w:tr>
      <w:tr w14:paraId="0C102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E748B94">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w:t>
            </w:r>
          </w:p>
        </w:tc>
        <w:tc>
          <w:tcPr>
            <w:tcW w:w="0" w:type="auto"/>
            <w:vMerge w:val="continue"/>
            <w:vAlign w:val="center"/>
          </w:tcPr>
          <w:p w14:paraId="2736DA89">
            <w:pPr>
              <w:spacing w:line="300" w:lineRule="exact"/>
              <w:jc w:val="center"/>
              <w:rPr>
                <w:rFonts w:hint="default" w:ascii="Times New Roman" w:hAnsi="Times New Roman" w:eastAsia="华文中宋" w:cs="Times New Roman"/>
                <w:szCs w:val="21"/>
                <w:lang w:eastAsia="zh-CN"/>
              </w:rPr>
            </w:pPr>
          </w:p>
        </w:tc>
        <w:tc>
          <w:tcPr>
            <w:tcW w:w="0" w:type="auto"/>
            <w:vMerge w:val="continue"/>
            <w:vAlign w:val="center"/>
          </w:tcPr>
          <w:p w14:paraId="03DA9D60">
            <w:pPr>
              <w:spacing w:line="300" w:lineRule="exact"/>
              <w:jc w:val="center"/>
              <w:rPr>
                <w:rFonts w:hint="default" w:ascii="Times New Roman" w:hAnsi="Times New Roman" w:eastAsia="华文中宋" w:cs="Times New Roman"/>
                <w:szCs w:val="21"/>
                <w:lang w:eastAsia="zh-CN"/>
              </w:rPr>
            </w:pPr>
          </w:p>
        </w:tc>
        <w:tc>
          <w:tcPr>
            <w:tcW w:w="0" w:type="auto"/>
            <w:gridSpan w:val="2"/>
            <w:vAlign w:val="center"/>
          </w:tcPr>
          <w:p w14:paraId="409B621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采矿工艺</w:t>
            </w:r>
          </w:p>
        </w:tc>
        <w:tc>
          <w:tcPr>
            <w:tcW w:w="0" w:type="auto"/>
            <w:vAlign w:val="center"/>
          </w:tcPr>
          <w:p w14:paraId="35913518">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c>
          <w:tcPr>
            <w:tcW w:w="0" w:type="auto"/>
            <w:vAlign w:val="center"/>
          </w:tcPr>
          <w:p w14:paraId="441B704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0.30</w:t>
            </w:r>
          </w:p>
        </w:tc>
        <w:tc>
          <w:tcPr>
            <w:tcW w:w="0" w:type="auto"/>
            <w:gridSpan w:val="2"/>
            <w:vAlign w:val="center"/>
          </w:tcPr>
          <w:p w14:paraId="57985D15">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采用先进的采矿工艺和爆破技术</w:t>
            </w:r>
          </w:p>
        </w:tc>
        <w:tc>
          <w:tcPr>
            <w:tcW w:w="0" w:type="auto"/>
            <w:vAlign w:val="center"/>
          </w:tcPr>
          <w:p w14:paraId="212F59CD">
            <w:pPr>
              <w:spacing w:line="300" w:lineRule="exact"/>
              <w:jc w:val="center"/>
              <w:rPr>
                <w:rFonts w:hint="eastAsia"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采用合理的采矿工艺和适宜的爆破技术</w:t>
            </w:r>
          </w:p>
        </w:tc>
        <w:tc>
          <w:tcPr>
            <w:tcW w:w="0" w:type="auto"/>
            <w:shd w:val="clear" w:color="auto" w:fill="auto"/>
            <w:vAlign w:val="center"/>
          </w:tcPr>
          <w:p w14:paraId="0DBBDBDA">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eastAsia="zh-CN"/>
              </w:rPr>
              <w:t>Ⅰ</w:t>
            </w:r>
            <w:r>
              <w:rPr>
                <w:rFonts w:hint="default" w:ascii="Times New Roman" w:hAnsi="Times New Roman" w:eastAsia="华文中宋" w:cs="Times New Roman"/>
                <w:szCs w:val="21"/>
                <w:lang w:eastAsia="zh-CN"/>
              </w:rPr>
              <w:t>级</w:t>
            </w:r>
          </w:p>
        </w:tc>
      </w:tr>
      <w:tr w14:paraId="5E34D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D129B77">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w:t>
            </w:r>
          </w:p>
        </w:tc>
        <w:tc>
          <w:tcPr>
            <w:tcW w:w="0" w:type="auto"/>
            <w:vMerge w:val="continue"/>
            <w:vAlign w:val="center"/>
          </w:tcPr>
          <w:p w14:paraId="005912A6">
            <w:pPr>
              <w:spacing w:line="300" w:lineRule="exact"/>
              <w:jc w:val="center"/>
              <w:rPr>
                <w:rFonts w:hint="default" w:ascii="Times New Roman" w:hAnsi="Times New Roman" w:eastAsia="华文中宋" w:cs="Times New Roman"/>
                <w:szCs w:val="21"/>
                <w:lang w:eastAsia="zh-CN"/>
              </w:rPr>
            </w:pPr>
          </w:p>
        </w:tc>
        <w:tc>
          <w:tcPr>
            <w:tcW w:w="0" w:type="auto"/>
            <w:vMerge w:val="continue"/>
            <w:vAlign w:val="center"/>
          </w:tcPr>
          <w:p w14:paraId="12D99D48">
            <w:pPr>
              <w:spacing w:line="300" w:lineRule="exact"/>
              <w:jc w:val="center"/>
              <w:rPr>
                <w:rFonts w:hint="default" w:ascii="Times New Roman" w:hAnsi="Times New Roman" w:eastAsia="华文中宋" w:cs="Times New Roman"/>
                <w:szCs w:val="21"/>
                <w:lang w:eastAsia="zh-CN"/>
              </w:rPr>
            </w:pPr>
          </w:p>
        </w:tc>
        <w:tc>
          <w:tcPr>
            <w:tcW w:w="0" w:type="auto"/>
            <w:gridSpan w:val="2"/>
            <w:vAlign w:val="center"/>
          </w:tcPr>
          <w:p w14:paraId="2630BE3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铲装</w:t>
            </w:r>
          </w:p>
        </w:tc>
        <w:tc>
          <w:tcPr>
            <w:tcW w:w="0" w:type="auto"/>
            <w:vAlign w:val="center"/>
          </w:tcPr>
          <w:p w14:paraId="25AB3EB7">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c>
          <w:tcPr>
            <w:tcW w:w="0" w:type="auto"/>
            <w:vAlign w:val="center"/>
          </w:tcPr>
          <w:p w14:paraId="2DD7E22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0.15</w:t>
            </w:r>
          </w:p>
        </w:tc>
        <w:tc>
          <w:tcPr>
            <w:tcW w:w="0" w:type="auto"/>
            <w:gridSpan w:val="2"/>
            <w:vAlign w:val="center"/>
          </w:tcPr>
          <w:p w14:paraId="49C88D88">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采用先进的效率高、能耗低、大型化装岩设备</w:t>
            </w:r>
          </w:p>
        </w:tc>
        <w:tc>
          <w:tcPr>
            <w:tcW w:w="0" w:type="auto"/>
            <w:vAlign w:val="center"/>
          </w:tcPr>
          <w:p w14:paraId="456E39D4">
            <w:pPr>
              <w:spacing w:line="300" w:lineRule="exact"/>
              <w:jc w:val="center"/>
              <w:rPr>
                <w:rFonts w:hint="eastAsia"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采用较先进的机械化铲装设备</w:t>
            </w:r>
          </w:p>
        </w:tc>
        <w:tc>
          <w:tcPr>
            <w:tcW w:w="0" w:type="auto"/>
            <w:shd w:val="clear" w:color="auto" w:fill="auto"/>
            <w:vAlign w:val="center"/>
          </w:tcPr>
          <w:p w14:paraId="44C984F7">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eastAsia="zh-CN"/>
              </w:rPr>
              <w:t>Ⅰ</w:t>
            </w:r>
            <w:r>
              <w:rPr>
                <w:rFonts w:hint="default" w:ascii="Times New Roman" w:hAnsi="Times New Roman" w:eastAsia="华文中宋" w:cs="Times New Roman"/>
                <w:szCs w:val="21"/>
                <w:lang w:eastAsia="zh-CN"/>
              </w:rPr>
              <w:t>级</w:t>
            </w:r>
          </w:p>
        </w:tc>
      </w:tr>
      <w:tr w14:paraId="5E24F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744B8E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4</w:t>
            </w:r>
          </w:p>
        </w:tc>
        <w:tc>
          <w:tcPr>
            <w:tcW w:w="0" w:type="auto"/>
            <w:vMerge w:val="continue"/>
            <w:vAlign w:val="center"/>
          </w:tcPr>
          <w:p w14:paraId="3B77B988">
            <w:pPr>
              <w:spacing w:line="300" w:lineRule="exact"/>
              <w:jc w:val="center"/>
              <w:rPr>
                <w:rFonts w:hint="default" w:ascii="Times New Roman" w:hAnsi="Times New Roman" w:eastAsia="华文中宋" w:cs="Times New Roman"/>
                <w:szCs w:val="21"/>
                <w:lang w:eastAsia="zh-CN"/>
              </w:rPr>
            </w:pPr>
          </w:p>
        </w:tc>
        <w:tc>
          <w:tcPr>
            <w:tcW w:w="0" w:type="auto"/>
            <w:vMerge w:val="continue"/>
            <w:vAlign w:val="center"/>
          </w:tcPr>
          <w:p w14:paraId="0A9E5DAE">
            <w:pPr>
              <w:spacing w:line="300" w:lineRule="exact"/>
              <w:jc w:val="center"/>
              <w:rPr>
                <w:rFonts w:hint="default" w:ascii="Times New Roman" w:hAnsi="Times New Roman" w:eastAsia="华文中宋" w:cs="Times New Roman"/>
                <w:szCs w:val="21"/>
                <w:lang w:eastAsia="zh-CN"/>
              </w:rPr>
            </w:pPr>
          </w:p>
        </w:tc>
        <w:tc>
          <w:tcPr>
            <w:tcW w:w="0" w:type="auto"/>
            <w:gridSpan w:val="2"/>
            <w:vAlign w:val="center"/>
          </w:tcPr>
          <w:p w14:paraId="258CA239">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运输</w:t>
            </w:r>
          </w:p>
        </w:tc>
        <w:tc>
          <w:tcPr>
            <w:tcW w:w="0" w:type="auto"/>
            <w:vAlign w:val="center"/>
          </w:tcPr>
          <w:p w14:paraId="1BA2CE21">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c>
          <w:tcPr>
            <w:tcW w:w="0" w:type="auto"/>
            <w:vAlign w:val="center"/>
          </w:tcPr>
          <w:p w14:paraId="097AEDA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0.15</w:t>
            </w:r>
          </w:p>
        </w:tc>
        <w:tc>
          <w:tcPr>
            <w:tcW w:w="0" w:type="auto"/>
            <w:gridSpan w:val="2"/>
            <w:vAlign w:val="center"/>
          </w:tcPr>
          <w:p w14:paraId="057D8792">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采用先进的高效的运输系统</w:t>
            </w:r>
          </w:p>
        </w:tc>
        <w:tc>
          <w:tcPr>
            <w:tcW w:w="0" w:type="auto"/>
            <w:vAlign w:val="center"/>
          </w:tcPr>
          <w:p w14:paraId="2D9819F2">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采用较先进的机械化运输设备</w:t>
            </w:r>
          </w:p>
        </w:tc>
        <w:tc>
          <w:tcPr>
            <w:tcW w:w="0" w:type="auto"/>
            <w:vAlign w:val="center"/>
          </w:tcPr>
          <w:p w14:paraId="42398CE9">
            <w:pPr>
              <w:spacing w:line="300" w:lineRule="exact"/>
              <w:jc w:val="center"/>
              <w:rPr>
                <w:rFonts w:hint="default" w:ascii="Times New Roman" w:hAnsi="Times New Roman" w:eastAsia="华文中宋" w:cs="Times New Roman"/>
                <w:szCs w:val="21"/>
                <w:lang w:eastAsia="zh-CN"/>
              </w:rPr>
            </w:pPr>
            <w:r>
              <w:rPr>
                <w:rFonts w:hint="eastAsia" w:ascii="Times New Roman" w:hAnsi="Times New Roman" w:eastAsia="华文中宋" w:cs="Times New Roman"/>
                <w:szCs w:val="21"/>
                <w:lang w:eastAsia="zh-CN"/>
              </w:rPr>
              <w:t>Ⅰ</w:t>
            </w:r>
            <w:r>
              <w:rPr>
                <w:rFonts w:hint="default" w:ascii="Times New Roman" w:hAnsi="Times New Roman" w:eastAsia="华文中宋" w:cs="Times New Roman"/>
                <w:szCs w:val="21"/>
                <w:lang w:eastAsia="zh-CN"/>
              </w:rPr>
              <w:t>级</w:t>
            </w:r>
          </w:p>
        </w:tc>
      </w:tr>
      <w:tr w14:paraId="3F8AB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5AC41E0">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w:t>
            </w:r>
          </w:p>
        </w:tc>
        <w:tc>
          <w:tcPr>
            <w:tcW w:w="0" w:type="auto"/>
            <w:vMerge w:val="continue"/>
            <w:vAlign w:val="center"/>
          </w:tcPr>
          <w:p w14:paraId="46A6FC52">
            <w:pPr>
              <w:spacing w:line="300" w:lineRule="exact"/>
              <w:jc w:val="center"/>
              <w:rPr>
                <w:rFonts w:hint="default" w:ascii="Times New Roman" w:hAnsi="Times New Roman" w:eastAsia="华文中宋" w:cs="Times New Roman"/>
                <w:szCs w:val="21"/>
                <w:lang w:eastAsia="zh-CN"/>
              </w:rPr>
            </w:pPr>
          </w:p>
        </w:tc>
        <w:tc>
          <w:tcPr>
            <w:tcW w:w="0" w:type="auto"/>
            <w:vMerge w:val="continue"/>
            <w:vAlign w:val="center"/>
          </w:tcPr>
          <w:p w14:paraId="56C83C2C">
            <w:pPr>
              <w:spacing w:line="300" w:lineRule="exact"/>
              <w:jc w:val="center"/>
              <w:rPr>
                <w:rFonts w:hint="default" w:ascii="Times New Roman" w:hAnsi="Times New Roman" w:eastAsia="华文中宋" w:cs="Times New Roman"/>
                <w:szCs w:val="21"/>
                <w:lang w:eastAsia="zh-CN"/>
              </w:rPr>
            </w:pPr>
          </w:p>
        </w:tc>
        <w:tc>
          <w:tcPr>
            <w:tcW w:w="0" w:type="auto"/>
            <w:gridSpan w:val="2"/>
            <w:vAlign w:val="center"/>
          </w:tcPr>
          <w:p w14:paraId="5542792F">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排水</w:t>
            </w:r>
          </w:p>
        </w:tc>
        <w:tc>
          <w:tcPr>
            <w:tcW w:w="0" w:type="auto"/>
            <w:vAlign w:val="center"/>
          </w:tcPr>
          <w:p w14:paraId="4312818F">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c>
          <w:tcPr>
            <w:tcW w:w="0" w:type="auto"/>
            <w:vAlign w:val="center"/>
          </w:tcPr>
          <w:p w14:paraId="6847EC57">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0.10</w:t>
            </w:r>
          </w:p>
        </w:tc>
        <w:tc>
          <w:tcPr>
            <w:tcW w:w="0" w:type="auto"/>
            <w:vAlign w:val="center"/>
          </w:tcPr>
          <w:p w14:paraId="3FFFBD97">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满足30年一遇的矿坑涌水量排水要求</w:t>
            </w:r>
          </w:p>
        </w:tc>
        <w:tc>
          <w:tcPr>
            <w:tcW w:w="0" w:type="auto"/>
            <w:vAlign w:val="center"/>
          </w:tcPr>
          <w:p w14:paraId="355217C8">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满足20年一遇的矿坑涌水量排水要求</w:t>
            </w:r>
          </w:p>
        </w:tc>
        <w:tc>
          <w:tcPr>
            <w:tcW w:w="0" w:type="auto"/>
            <w:vAlign w:val="center"/>
          </w:tcPr>
          <w:p w14:paraId="50BC50CB">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满足最大矿坑涌水量排水要求</w:t>
            </w:r>
          </w:p>
        </w:tc>
        <w:tc>
          <w:tcPr>
            <w:tcW w:w="0" w:type="auto"/>
            <w:vAlign w:val="center"/>
          </w:tcPr>
          <w:p w14:paraId="3621C79D">
            <w:pPr>
              <w:spacing w:line="300" w:lineRule="exact"/>
              <w:jc w:val="center"/>
              <w:rPr>
                <w:rFonts w:hint="default" w:ascii="Times New Roman" w:hAnsi="Times New Roman" w:eastAsia="华文中宋" w:cs="Times New Roman"/>
                <w:szCs w:val="21"/>
                <w:lang w:eastAsia="zh-CN"/>
              </w:rPr>
            </w:pPr>
            <w:r>
              <w:rPr>
                <w:rFonts w:hint="eastAsia" w:ascii="Times New Roman" w:hAnsi="Times New Roman" w:eastAsia="华文中宋" w:cs="Times New Roman"/>
                <w:szCs w:val="21"/>
                <w:lang w:val="en-US" w:eastAsia="zh-CN"/>
              </w:rPr>
              <w:t>Ⅱ</w:t>
            </w:r>
            <w:r>
              <w:rPr>
                <w:rFonts w:hint="default" w:ascii="Times New Roman" w:hAnsi="Times New Roman" w:eastAsia="华文中宋" w:cs="Times New Roman"/>
                <w:szCs w:val="21"/>
                <w:lang w:eastAsia="zh-CN"/>
              </w:rPr>
              <w:t>级</w:t>
            </w:r>
          </w:p>
        </w:tc>
      </w:tr>
      <w:tr w14:paraId="0243C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F9BB181">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6</w:t>
            </w:r>
          </w:p>
        </w:tc>
        <w:tc>
          <w:tcPr>
            <w:tcW w:w="0" w:type="auto"/>
            <w:vMerge w:val="restart"/>
            <w:vAlign w:val="center"/>
          </w:tcPr>
          <w:p w14:paraId="66A2A5F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资源能源消耗指标</w:t>
            </w:r>
          </w:p>
        </w:tc>
        <w:tc>
          <w:tcPr>
            <w:tcW w:w="0" w:type="auto"/>
            <w:vMerge w:val="restart"/>
            <w:vAlign w:val="center"/>
          </w:tcPr>
          <w:p w14:paraId="49A1C22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0.15</w:t>
            </w:r>
          </w:p>
        </w:tc>
        <w:tc>
          <w:tcPr>
            <w:tcW w:w="0" w:type="auto"/>
            <w:gridSpan w:val="2"/>
            <w:vAlign w:val="center"/>
          </w:tcPr>
          <w:p w14:paraId="78934D6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电耗</w:t>
            </w:r>
          </w:p>
        </w:tc>
        <w:tc>
          <w:tcPr>
            <w:tcW w:w="0" w:type="auto"/>
            <w:vAlign w:val="center"/>
          </w:tcPr>
          <w:p w14:paraId="0815AF8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K·Wh/t原矿</w:t>
            </w:r>
          </w:p>
        </w:tc>
        <w:tc>
          <w:tcPr>
            <w:tcW w:w="0" w:type="auto"/>
            <w:vAlign w:val="center"/>
          </w:tcPr>
          <w:p w14:paraId="0174185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0.50</w:t>
            </w:r>
          </w:p>
        </w:tc>
        <w:tc>
          <w:tcPr>
            <w:tcW w:w="0" w:type="auto"/>
            <w:vAlign w:val="center"/>
          </w:tcPr>
          <w:p w14:paraId="35CFB84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≤1.5</w:t>
            </w:r>
          </w:p>
        </w:tc>
        <w:tc>
          <w:tcPr>
            <w:tcW w:w="0" w:type="auto"/>
            <w:vAlign w:val="center"/>
          </w:tcPr>
          <w:p w14:paraId="57ABFAA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≤2.0</w:t>
            </w:r>
          </w:p>
        </w:tc>
        <w:tc>
          <w:tcPr>
            <w:tcW w:w="0" w:type="auto"/>
            <w:vAlign w:val="center"/>
          </w:tcPr>
          <w:p w14:paraId="6E85BF8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≤3.5</w:t>
            </w:r>
          </w:p>
        </w:tc>
        <w:tc>
          <w:tcPr>
            <w:tcW w:w="0" w:type="auto"/>
            <w:vAlign w:val="center"/>
          </w:tcPr>
          <w:p w14:paraId="53EA30E3">
            <w:pPr>
              <w:spacing w:line="300" w:lineRule="exact"/>
              <w:jc w:val="center"/>
              <w:rPr>
                <w:rFonts w:hint="default" w:ascii="Times New Roman" w:hAnsi="Times New Roman" w:eastAsia="华文中宋" w:cs="Times New Roman"/>
                <w:szCs w:val="21"/>
                <w:lang w:eastAsia="zh-CN"/>
              </w:rPr>
            </w:pPr>
            <w:r>
              <w:rPr>
                <w:rFonts w:hint="eastAsia" w:ascii="Times New Roman" w:hAnsi="Times New Roman" w:eastAsia="华文中宋" w:cs="Times New Roman"/>
                <w:szCs w:val="21"/>
                <w:lang w:eastAsia="zh-CN"/>
              </w:rPr>
              <w:t>Ⅰ</w:t>
            </w:r>
            <w:r>
              <w:rPr>
                <w:rFonts w:hint="default" w:ascii="Times New Roman" w:hAnsi="Times New Roman" w:eastAsia="华文中宋" w:cs="Times New Roman"/>
                <w:szCs w:val="21"/>
                <w:lang w:eastAsia="zh-CN"/>
              </w:rPr>
              <w:t>级</w:t>
            </w:r>
          </w:p>
        </w:tc>
      </w:tr>
      <w:tr w14:paraId="62152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7B9818F">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7</w:t>
            </w:r>
          </w:p>
        </w:tc>
        <w:tc>
          <w:tcPr>
            <w:tcW w:w="0" w:type="auto"/>
            <w:vMerge w:val="continue"/>
            <w:vAlign w:val="center"/>
          </w:tcPr>
          <w:p w14:paraId="00518DF7">
            <w:pPr>
              <w:spacing w:line="300" w:lineRule="exact"/>
              <w:jc w:val="center"/>
              <w:rPr>
                <w:rFonts w:hint="default" w:ascii="Times New Roman" w:hAnsi="Times New Roman" w:eastAsia="华文中宋" w:cs="Times New Roman"/>
                <w:szCs w:val="21"/>
                <w:lang w:eastAsia="zh-CN"/>
              </w:rPr>
            </w:pPr>
          </w:p>
        </w:tc>
        <w:tc>
          <w:tcPr>
            <w:tcW w:w="0" w:type="auto"/>
            <w:vMerge w:val="continue"/>
            <w:vAlign w:val="center"/>
          </w:tcPr>
          <w:p w14:paraId="0FCBEC11">
            <w:pPr>
              <w:spacing w:line="300" w:lineRule="exact"/>
              <w:jc w:val="center"/>
              <w:rPr>
                <w:rFonts w:hint="default" w:ascii="Times New Roman" w:hAnsi="Times New Roman" w:eastAsia="华文中宋" w:cs="Times New Roman"/>
                <w:szCs w:val="21"/>
                <w:lang w:eastAsia="zh-CN"/>
              </w:rPr>
            </w:pPr>
          </w:p>
        </w:tc>
        <w:tc>
          <w:tcPr>
            <w:tcW w:w="0" w:type="auto"/>
            <w:gridSpan w:val="2"/>
            <w:vAlign w:val="center"/>
          </w:tcPr>
          <w:p w14:paraId="7CD12C8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采矿综合能耗</w:t>
            </w:r>
          </w:p>
        </w:tc>
        <w:tc>
          <w:tcPr>
            <w:tcW w:w="0" w:type="auto"/>
            <w:vAlign w:val="center"/>
          </w:tcPr>
          <w:p w14:paraId="590212B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Kgce/t原矿</w:t>
            </w:r>
          </w:p>
        </w:tc>
        <w:tc>
          <w:tcPr>
            <w:tcW w:w="0" w:type="auto"/>
            <w:vAlign w:val="center"/>
          </w:tcPr>
          <w:p w14:paraId="3EF0765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0.50</w:t>
            </w:r>
          </w:p>
        </w:tc>
        <w:tc>
          <w:tcPr>
            <w:tcW w:w="0" w:type="auto"/>
            <w:vAlign w:val="center"/>
          </w:tcPr>
          <w:p w14:paraId="03F9AE8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≤0.50</w:t>
            </w:r>
          </w:p>
        </w:tc>
        <w:tc>
          <w:tcPr>
            <w:tcW w:w="0" w:type="auto"/>
            <w:vAlign w:val="center"/>
          </w:tcPr>
          <w:p w14:paraId="4205F5D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≤0.80</w:t>
            </w:r>
          </w:p>
        </w:tc>
        <w:tc>
          <w:tcPr>
            <w:tcW w:w="0" w:type="auto"/>
            <w:vAlign w:val="center"/>
          </w:tcPr>
          <w:p w14:paraId="48FC760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≤1.3</w:t>
            </w:r>
          </w:p>
        </w:tc>
        <w:tc>
          <w:tcPr>
            <w:tcW w:w="0" w:type="auto"/>
            <w:vAlign w:val="center"/>
          </w:tcPr>
          <w:p w14:paraId="152B0D84">
            <w:pPr>
              <w:spacing w:line="300" w:lineRule="exact"/>
              <w:jc w:val="center"/>
              <w:rPr>
                <w:rFonts w:hint="default" w:ascii="Times New Roman" w:hAnsi="Times New Roman" w:eastAsia="华文中宋" w:cs="Times New Roman"/>
                <w:szCs w:val="21"/>
                <w:lang w:eastAsia="zh-CN"/>
              </w:rPr>
            </w:pPr>
            <w:r>
              <w:rPr>
                <w:rFonts w:hint="eastAsia" w:ascii="Times New Roman" w:hAnsi="Times New Roman" w:eastAsia="华文中宋" w:cs="Times New Roman"/>
                <w:szCs w:val="21"/>
                <w:lang w:val="en-US" w:eastAsia="zh-CN"/>
              </w:rPr>
              <w:t>Ⅱ</w:t>
            </w:r>
            <w:r>
              <w:rPr>
                <w:rFonts w:hint="default" w:ascii="Times New Roman" w:hAnsi="Times New Roman" w:eastAsia="华文中宋" w:cs="Times New Roman"/>
                <w:szCs w:val="21"/>
                <w:lang w:eastAsia="zh-CN"/>
              </w:rPr>
              <w:t>级</w:t>
            </w:r>
          </w:p>
        </w:tc>
      </w:tr>
      <w:tr w14:paraId="4F8AB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14:paraId="2768A8A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8</w:t>
            </w:r>
          </w:p>
        </w:tc>
        <w:tc>
          <w:tcPr>
            <w:tcW w:w="0" w:type="auto"/>
            <w:vMerge w:val="restart"/>
            <w:vAlign w:val="center"/>
          </w:tcPr>
          <w:p w14:paraId="702AE85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资源利用指标</w:t>
            </w:r>
          </w:p>
        </w:tc>
        <w:tc>
          <w:tcPr>
            <w:tcW w:w="0" w:type="auto"/>
            <w:vMerge w:val="restart"/>
            <w:vAlign w:val="center"/>
          </w:tcPr>
          <w:p w14:paraId="686CB6A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0.25</w:t>
            </w:r>
          </w:p>
        </w:tc>
        <w:tc>
          <w:tcPr>
            <w:tcW w:w="0" w:type="auto"/>
            <w:gridSpan w:val="2"/>
            <w:vAlign w:val="center"/>
          </w:tcPr>
          <w:p w14:paraId="0A17A27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矿石贫化率</w:t>
            </w:r>
          </w:p>
        </w:tc>
        <w:tc>
          <w:tcPr>
            <w:tcW w:w="0" w:type="auto"/>
            <w:vAlign w:val="center"/>
          </w:tcPr>
          <w:p w14:paraId="2959165C">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c>
          <w:tcPr>
            <w:tcW w:w="0" w:type="auto"/>
            <w:vAlign w:val="center"/>
          </w:tcPr>
          <w:p w14:paraId="2C654C9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0.20</w:t>
            </w:r>
          </w:p>
        </w:tc>
        <w:tc>
          <w:tcPr>
            <w:tcW w:w="0" w:type="auto"/>
            <w:vAlign w:val="center"/>
          </w:tcPr>
          <w:p w14:paraId="0DEAE33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≤4.0</w:t>
            </w:r>
          </w:p>
        </w:tc>
        <w:tc>
          <w:tcPr>
            <w:tcW w:w="0" w:type="auto"/>
            <w:vAlign w:val="center"/>
          </w:tcPr>
          <w:p w14:paraId="24D9CDE1">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≤4.5</w:t>
            </w:r>
          </w:p>
        </w:tc>
        <w:tc>
          <w:tcPr>
            <w:tcW w:w="0" w:type="auto"/>
            <w:vAlign w:val="center"/>
          </w:tcPr>
          <w:p w14:paraId="1D87510B">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≤5</w:t>
            </w:r>
          </w:p>
        </w:tc>
        <w:tc>
          <w:tcPr>
            <w:tcW w:w="0" w:type="auto"/>
            <w:vAlign w:val="center"/>
          </w:tcPr>
          <w:p w14:paraId="56F57FFF">
            <w:pPr>
              <w:spacing w:line="300" w:lineRule="exact"/>
              <w:jc w:val="center"/>
              <w:rPr>
                <w:rFonts w:hint="default" w:ascii="Times New Roman" w:hAnsi="Times New Roman" w:eastAsia="华文中宋" w:cs="Times New Roman"/>
                <w:szCs w:val="21"/>
                <w:highlight w:val="none"/>
                <w:lang w:eastAsia="zh-CN"/>
              </w:rPr>
            </w:pPr>
            <w:r>
              <w:rPr>
                <w:rFonts w:hint="eastAsia" w:ascii="Times New Roman" w:hAnsi="Times New Roman" w:eastAsia="华文中宋" w:cs="Times New Roman"/>
                <w:szCs w:val="21"/>
                <w:highlight w:val="none"/>
                <w:lang w:val="en-US" w:eastAsia="zh-CN"/>
              </w:rPr>
              <w:t>Ⅲ</w:t>
            </w:r>
            <w:r>
              <w:rPr>
                <w:rFonts w:hint="default" w:ascii="Times New Roman" w:hAnsi="Times New Roman" w:eastAsia="华文中宋" w:cs="Times New Roman"/>
                <w:szCs w:val="21"/>
                <w:highlight w:val="none"/>
                <w:lang w:eastAsia="zh-CN"/>
              </w:rPr>
              <w:t>级</w:t>
            </w:r>
          </w:p>
        </w:tc>
      </w:tr>
      <w:tr w14:paraId="3759C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E4D8CC0">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9</w:t>
            </w:r>
          </w:p>
        </w:tc>
        <w:tc>
          <w:tcPr>
            <w:tcW w:w="0" w:type="auto"/>
            <w:vMerge w:val="continue"/>
            <w:vAlign w:val="center"/>
          </w:tcPr>
          <w:p w14:paraId="00695241">
            <w:pPr>
              <w:spacing w:line="300" w:lineRule="exact"/>
              <w:jc w:val="center"/>
              <w:rPr>
                <w:rFonts w:hint="default" w:ascii="Times New Roman" w:hAnsi="Times New Roman" w:eastAsia="华文中宋" w:cs="Times New Roman"/>
                <w:szCs w:val="21"/>
                <w:lang w:eastAsia="zh-CN"/>
              </w:rPr>
            </w:pPr>
          </w:p>
        </w:tc>
        <w:tc>
          <w:tcPr>
            <w:tcW w:w="0" w:type="auto"/>
            <w:vMerge w:val="continue"/>
            <w:vAlign w:val="center"/>
          </w:tcPr>
          <w:p w14:paraId="470D40FE">
            <w:pPr>
              <w:spacing w:line="300" w:lineRule="exact"/>
              <w:jc w:val="center"/>
              <w:rPr>
                <w:rFonts w:hint="default" w:ascii="Times New Roman" w:hAnsi="Times New Roman" w:eastAsia="华文中宋" w:cs="Times New Roman"/>
                <w:szCs w:val="21"/>
                <w:lang w:eastAsia="zh-CN"/>
              </w:rPr>
            </w:pPr>
          </w:p>
        </w:tc>
        <w:tc>
          <w:tcPr>
            <w:tcW w:w="0" w:type="auto"/>
            <w:gridSpan w:val="2"/>
            <w:vAlign w:val="center"/>
          </w:tcPr>
          <w:p w14:paraId="444D0B8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※矿石损失率</w:t>
            </w:r>
          </w:p>
        </w:tc>
        <w:tc>
          <w:tcPr>
            <w:tcW w:w="0" w:type="auto"/>
            <w:vAlign w:val="center"/>
          </w:tcPr>
          <w:p w14:paraId="19EC48C1">
            <w:pPr>
              <w:spacing w:line="300" w:lineRule="exact"/>
              <w:jc w:val="center"/>
              <w:rPr>
                <w:rFonts w:hint="default" w:ascii="Times New Roman" w:hAnsi="Times New Roman" w:eastAsia="华文中宋" w:cs="Times New Roman"/>
                <w:szCs w:val="21"/>
                <w:lang w:eastAsia="zh-CN"/>
              </w:rPr>
            </w:pPr>
            <w:r>
              <w:rPr>
                <w:rFonts w:hint="eastAsia" w:ascii="Times New Roman" w:hAnsi="Times New Roman" w:eastAsia="华文中宋" w:cs="Times New Roman"/>
                <w:szCs w:val="21"/>
                <w:lang w:val="en-US" w:eastAsia="zh-CN"/>
              </w:rPr>
              <w:t>%</w:t>
            </w:r>
          </w:p>
        </w:tc>
        <w:tc>
          <w:tcPr>
            <w:tcW w:w="0" w:type="auto"/>
            <w:vAlign w:val="center"/>
          </w:tcPr>
          <w:p w14:paraId="7AC21DC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0.50</w:t>
            </w:r>
          </w:p>
        </w:tc>
        <w:tc>
          <w:tcPr>
            <w:tcW w:w="0" w:type="auto"/>
            <w:vAlign w:val="center"/>
          </w:tcPr>
          <w:p w14:paraId="49B6B36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≤3.5</w:t>
            </w:r>
          </w:p>
        </w:tc>
        <w:tc>
          <w:tcPr>
            <w:tcW w:w="0" w:type="auto"/>
            <w:vAlign w:val="center"/>
          </w:tcPr>
          <w:p w14:paraId="1637E0C8">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4.0</w:t>
            </w:r>
          </w:p>
        </w:tc>
        <w:tc>
          <w:tcPr>
            <w:tcW w:w="0" w:type="auto"/>
            <w:vAlign w:val="center"/>
          </w:tcPr>
          <w:p w14:paraId="605D9159">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5.0</w:t>
            </w:r>
          </w:p>
        </w:tc>
        <w:tc>
          <w:tcPr>
            <w:tcW w:w="0" w:type="auto"/>
            <w:vAlign w:val="center"/>
          </w:tcPr>
          <w:p w14:paraId="0983C150">
            <w:pPr>
              <w:spacing w:line="300" w:lineRule="exact"/>
              <w:jc w:val="center"/>
              <w:rPr>
                <w:rFonts w:hint="default" w:ascii="Times New Roman" w:hAnsi="Times New Roman" w:eastAsia="华文中宋" w:cs="Times New Roman"/>
                <w:szCs w:val="21"/>
                <w:highlight w:val="none"/>
                <w:lang w:eastAsia="zh-CN"/>
              </w:rPr>
            </w:pPr>
            <w:r>
              <w:rPr>
                <w:rFonts w:hint="eastAsia" w:ascii="Times New Roman" w:hAnsi="Times New Roman" w:eastAsia="华文中宋" w:cs="Times New Roman"/>
                <w:szCs w:val="21"/>
                <w:highlight w:val="none"/>
                <w:lang w:val="en-US" w:eastAsia="zh-CN"/>
              </w:rPr>
              <w:t>Ⅱ</w:t>
            </w:r>
            <w:r>
              <w:rPr>
                <w:rFonts w:hint="default" w:ascii="Times New Roman" w:hAnsi="Times New Roman" w:eastAsia="华文中宋" w:cs="Times New Roman"/>
                <w:szCs w:val="21"/>
                <w:highlight w:val="none"/>
                <w:lang w:eastAsia="zh-CN"/>
              </w:rPr>
              <w:t>级</w:t>
            </w:r>
          </w:p>
        </w:tc>
      </w:tr>
      <w:tr w14:paraId="53902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195AF4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c>
          <w:tcPr>
            <w:tcW w:w="0" w:type="auto"/>
            <w:vMerge w:val="continue"/>
            <w:vAlign w:val="center"/>
          </w:tcPr>
          <w:p w14:paraId="40096029">
            <w:pPr>
              <w:spacing w:line="300" w:lineRule="exact"/>
              <w:jc w:val="center"/>
              <w:rPr>
                <w:rFonts w:hint="default" w:ascii="Times New Roman" w:hAnsi="Times New Roman" w:eastAsia="华文中宋" w:cs="Times New Roman"/>
                <w:szCs w:val="21"/>
                <w:lang w:eastAsia="zh-CN"/>
              </w:rPr>
            </w:pPr>
          </w:p>
        </w:tc>
        <w:tc>
          <w:tcPr>
            <w:tcW w:w="0" w:type="auto"/>
            <w:vMerge w:val="continue"/>
            <w:vAlign w:val="center"/>
          </w:tcPr>
          <w:p w14:paraId="29E1DE40">
            <w:pPr>
              <w:spacing w:line="300" w:lineRule="exact"/>
              <w:jc w:val="center"/>
              <w:rPr>
                <w:rFonts w:hint="default" w:ascii="Times New Roman" w:hAnsi="Times New Roman" w:eastAsia="华文中宋" w:cs="Times New Roman"/>
                <w:szCs w:val="21"/>
                <w:lang w:eastAsia="zh-CN"/>
              </w:rPr>
            </w:pPr>
          </w:p>
        </w:tc>
        <w:tc>
          <w:tcPr>
            <w:tcW w:w="0" w:type="auto"/>
            <w:gridSpan w:val="2"/>
            <w:vAlign w:val="center"/>
          </w:tcPr>
          <w:p w14:paraId="0C5B8B20">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矿坑涌水利用率</w:t>
            </w:r>
          </w:p>
        </w:tc>
        <w:tc>
          <w:tcPr>
            <w:tcW w:w="0" w:type="auto"/>
            <w:vAlign w:val="center"/>
          </w:tcPr>
          <w:p w14:paraId="308B24A0">
            <w:pPr>
              <w:spacing w:line="300" w:lineRule="exact"/>
              <w:jc w:val="center"/>
              <w:rPr>
                <w:rFonts w:hint="default" w:ascii="Times New Roman" w:hAnsi="Times New Roman" w:eastAsia="华文中宋" w:cs="Times New Roman"/>
                <w:szCs w:val="21"/>
                <w:lang w:eastAsia="zh-CN"/>
              </w:rPr>
            </w:pPr>
            <w:r>
              <w:rPr>
                <w:rFonts w:hint="eastAsia" w:ascii="Times New Roman" w:hAnsi="Times New Roman" w:eastAsia="华文中宋" w:cs="Times New Roman"/>
                <w:szCs w:val="21"/>
                <w:lang w:val="en-US" w:eastAsia="zh-CN"/>
              </w:rPr>
              <w:t>%</w:t>
            </w:r>
          </w:p>
        </w:tc>
        <w:tc>
          <w:tcPr>
            <w:tcW w:w="0" w:type="auto"/>
            <w:vAlign w:val="center"/>
          </w:tcPr>
          <w:p w14:paraId="27E2844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0.30</w:t>
            </w:r>
          </w:p>
        </w:tc>
        <w:tc>
          <w:tcPr>
            <w:tcW w:w="0" w:type="auto"/>
            <w:vAlign w:val="center"/>
          </w:tcPr>
          <w:p w14:paraId="2BB73DE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≥80</w:t>
            </w:r>
          </w:p>
        </w:tc>
        <w:tc>
          <w:tcPr>
            <w:tcW w:w="0" w:type="auto"/>
            <w:vAlign w:val="center"/>
          </w:tcPr>
          <w:p w14:paraId="6AB3323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≥75</w:t>
            </w:r>
          </w:p>
        </w:tc>
        <w:tc>
          <w:tcPr>
            <w:tcW w:w="0" w:type="auto"/>
            <w:vAlign w:val="center"/>
          </w:tcPr>
          <w:p w14:paraId="73F2848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≥70</w:t>
            </w:r>
          </w:p>
        </w:tc>
        <w:tc>
          <w:tcPr>
            <w:tcW w:w="0" w:type="auto"/>
            <w:vAlign w:val="center"/>
          </w:tcPr>
          <w:p w14:paraId="659B864F">
            <w:pPr>
              <w:spacing w:line="300" w:lineRule="exact"/>
              <w:jc w:val="center"/>
              <w:rPr>
                <w:rFonts w:hint="default" w:ascii="Times New Roman" w:hAnsi="Times New Roman" w:eastAsia="华文中宋" w:cs="Times New Roman"/>
                <w:szCs w:val="21"/>
                <w:lang w:eastAsia="zh-CN"/>
              </w:rPr>
            </w:pPr>
            <w:r>
              <w:rPr>
                <w:rFonts w:hint="eastAsia" w:ascii="Times New Roman" w:hAnsi="Times New Roman" w:eastAsia="华文中宋" w:cs="Times New Roman"/>
                <w:szCs w:val="21"/>
                <w:lang w:eastAsia="zh-CN"/>
              </w:rPr>
              <w:t>Ⅰ</w:t>
            </w:r>
            <w:r>
              <w:rPr>
                <w:rFonts w:hint="default" w:ascii="Times New Roman" w:hAnsi="Times New Roman" w:eastAsia="华文中宋" w:cs="Times New Roman"/>
                <w:szCs w:val="21"/>
                <w:lang w:eastAsia="zh-CN"/>
              </w:rPr>
              <w:t>级</w:t>
            </w:r>
          </w:p>
        </w:tc>
      </w:tr>
      <w:tr w14:paraId="61C8B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C5DC29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11</w:t>
            </w:r>
          </w:p>
        </w:tc>
        <w:tc>
          <w:tcPr>
            <w:tcW w:w="0" w:type="auto"/>
            <w:vAlign w:val="center"/>
          </w:tcPr>
          <w:p w14:paraId="7AAB6F8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污染物产生指标</w:t>
            </w:r>
          </w:p>
        </w:tc>
        <w:tc>
          <w:tcPr>
            <w:tcW w:w="0" w:type="auto"/>
            <w:vAlign w:val="center"/>
          </w:tcPr>
          <w:p w14:paraId="37CDBF7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0.05</w:t>
            </w:r>
          </w:p>
        </w:tc>
        <w:tc>
          <w:tcPr>
            <w:tcW w:w="0" w:type="auto"/>
            <w:gridSpan w:val="2"/>
            <w:vAlign w:val="center"/>
          </w:tcPr>
          <w:p w14:paraId="1E23435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采矿作业场所粉尘浓度</w:t>
            </w:r>
          </w:p>
        </w:tc>
        <w:tc>
          <w:tcPr>
            <w:tcW w:w="0" w:type="auto"/>
            <w:vAlign w:val="center"/>
          </w:tcPr>
          <w:p w14:paraId="2B53AE4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g/m</w:t>
            </w:r>
            <w:r>
              <w:rPr>
                <w:rFonts w:hint="eastAsia" w:ascii="Times New Roman" w:hAnsi="Times New Roman" w:eastAsia="华文中宋" w:cs="Times New Roman"/>
                <w:szCs w:val="21"/>
                <w:vertAlign w:val="superscript"/>
                <w:lang w:val="en-US" w:eastAsia="zh-CN"/>
              </w:rPr>
              <w:t>3</w:t>
            </w:r>
          </w:p>
        </w:tc>
        <w:tc>
          <w:tcPr>
            <w:tcW w:w="0" w:type="auto"/>
            <w:vAlign w:val="center"/>
          </w:tcPr>
          <w:p w14:paraId="5B913D8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c>
          <w:tcPr>
            <w:tcW w:w="0" w:type="auto"/>
            <w:vAlign w:val="center"/>
          </w:tcPr>
          <w:p w14:paraId="07F7943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≤6.0</w:t>
            </w:r>
          </w:p>
        </w:tc>
        <w:tc>
          <w:tcPr>
            <w:tcW w:w="0" w:type="auto"/>
            <w:vAlign w:val="center"/>
          </w:tcPr>
          <w:p w14:paraId="67B28DD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≤8.0</w:t>
            </w:r>
          </w:p>
        </w:tc>
        <w:tc>
          <w:tcPr>
            <w:tcW w:w="0" w:type="auto"/>
            <w:vAlign w:val="center"/>
          </w:tcPr>
          <w:p w14:paraId="7A777EE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c>
          <w:tcPr>
            <w:tcW w:w="0" w:type="auto"/>
            <w:vAlign w:val="center"/>
          </w:tcPr>
          <w:p w14:paraId="71536B77">
            <w:pPr>
              <w:spacing w:line="300" w:lineRule="exact"/>
              <w:jc w:val="center"/>
              <w:rPr>
                <w:rFonts w:hint="default" w:ascii="Times New Roman" w:hAnsi="Times New Roman" w:eastAsia="华文中宋" w:cs="Times New Roman"/>
                <w:szCs w:val="21"/>
                <w:lang w:eastAsia="zh-CN"/>
              </w:rPr>
            </w:pPr>
            <w:r>
              <w:rPr>
                <w:rFonts w:hint="eastAsia" w:ascii="Times New Roman" w:hAnsi="Times New Roman" w:eastAsia="华文中宋" w:cs="Times New Roman"/>
                <w:szCs w:val="21"/>
                <w:lang w:eastAsia="zh-CN"/>
              </w:rPr>
              <w:t>Ⅰ</w:t>
            </w:r>
            <w:r>
              <w:rPr>
                <w:rFonts w:hint="default" w:ascii="Times New Roman" w:hAnsi="Times New Roman" w:eastAsia="华文中宋" w:cs="Times New Roman"/>
                <w:szCs w:val="21"/>
                <w:lang w:eastAsia="zh-CN"/>
              </w:rPr>
              <w:t>级</w:t>
            </w:r>
          </w:p>
        </w:tc>
      </w:tr>
      <w:tr w14:paraId="02866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D0F56B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12</w:t>
            </w:r>
          </w:p>
        </w:tc>
        <w:tc>
          <w:tcPr>
            <w:tcW w:w="0" w:type="auto"/>
            <w:vMerge w:val="restart"/>
            <w:vAlign w:val="center"/>
          </w:tcPr>
          <w:p w14:paraId="49FDB81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矿山生态保护指标</w:t>
            </w:r>
          </w:p>
        </w:tc>
        <w:tc>
          <w:tcPr>
            <w:tcW w:w="0" w:type="auto"/>
            <w:vMerge w:val="restart"/>
            <w:vAlign w:val="center"/>
          </w:tcPr>
          <w:p w14:paraId="0B4F6F1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0.10</w:t>
            </w:r>
          </w:p>
        </w:tc>
        <w:tc>
          <w:tcPr>
            <w:tcW w:w="1229" w:type="dxa"/>
            <w:vMerge w:val="restart"/>
            <w:vAlign w:val="center"/>
          </w:tcPr>
          <w:p w14:paraId="584387C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排土场复垦率</w:t>
            </w:r>
          </w:p>
        </w:tc>
        <w:tc>
          <w:tcPr>
            <w:tcW w:w="1088" w:type="dxa"/>
            <w:shd w:val="clear" w:color="auto" w:fill="auto"/>
            <w:vAlign w:val="center"/>
          </w:tcPr>
          <w:p w14:paraId="2F0C0B7B">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历史遗留</w:t>
            </w:r>
          </w:p>
        </w:tc>
        <w:tc>
          <w:tcPr>
            <w:tcW w:w="1123" w:type="dxa"/>
            <w:vAlign w:val="center"/>
          </w:tcPr>
          <w:p w14:paraId="052117E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c>
          <w:tcPr>
            <w:tcW w:w="912" w:type="dxa"/>
            <w:vMerge w:val="restart"/>
            <w:vAlign w:val="center"/>
          </w:tcPr>
          <w:p w14:paraId="1A8BC820">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c>
          <w:tcPr>
            <w:tcW w:w="0" w:type="auto"/>
            <w:vAlign w:val="center"/>
          </w:tcPr>
          <w:p w14:paraId="7E26DCF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≥85</w:t>
            </w:r>
          </w:p>
        </w:tc>
        <w:tc>
          <w:tcPr>
            <w:tcW w:w="0" w:type="auto"/>
            <w:vAlign w:val="center"/>
          </w:tcPr>
          <w:p w14:paraId="5A2648A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≥45</w:t>
            </w:r>
          </w:p>
        </w:tc>
        <w:tc>
          <w:tcPr>
            <w:tcW w:w="0" w:type="auto"/>
            <w:vAlign w:val="center"/>
          </w:tcPr>
          <w:p w14:paraId="21E104A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≥20</w:t>
            </w:r>
          </w:p>
        </w:tc>
        <w:tc>
          <w:tcPr>
            <w:tcW w:w="0" w:type="auto"/>
            <w:vAlign w:val="center"/>
          </w:tcPr>
          <w:p w14:paraId="6022BD30">
            <w:pPr>
              <w:spacing w:line="300" w:lineRule="exact"/>
              <w:jc w:val="center"/>
              <w:rPr>
                <w:rFonts w:hint="default" w:ascii="Times New Roman" w:hAnsi="Times New Roman" w:eastAsia="华文中宋" w:cs="Times New Roman"/>
                <w:szCs w:val="21"/>
                <w:lang w:eastAsia="zh-CN"/>
              </w:rPr>
            </w:pPr>
            <w:r>
              <w:rPr>
                <w:rFonts w:hint="eastAsia" w:ascii="Times New Roman" w:hAnsi="Times New Roman" w:eastAsia="华文中宋" w:cs="Times New Roman"/>
                <w:szCs w:val="21"/>
                <w:lang w:eastAsia="zh-CN"/>
              </w:rPr>
              <w:t>Ⅰ</w:t>
            </w:r>
            <w:r>
              <w:rPr>
                <w:rFonts w:hint="default" w:ascii="Times New Roman" w:hAnsi="Times New Roman" w:eastAsia="华文中宋" w:cs="Times New Roman"/>
                <w:szCs w:val="21"/>
                <w:lang w:eastAsia="zh-CN"/>
              </w:rPr>
              <w:t>级</w:t>
            </w:r>
          </w:p>
        </w:tc>
      </w:tr>
      <w:tr w14:paraId="24B50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0" w:type="auto"/>
            <w:vAlign w:val="center"/>
          </w:tcPr>
          <w:p w14:paraId="66A8034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13</w:t>
            </w:r>
          </w:p>
        </w:tc>
        <w:tc>
          <w:tcPr>
            <w:tcW w:w="0" w:type="auto"/>
            <w:vMerge w:val="continue"/>
            <w:vAlign w:val="center"/>
          </w:tcPr>
          <w:p w14:paraId="2E691BEE">
            <w:pPr>
              <w:spacing w:line="300" w:lineRule="exact"/>
              <w:jc w:val="center"/>
              <w:rPr>
                <w:rFonts w:hint="default" w:ascii="Times New Roman" w:hAnsi="Times New Roman" w:eastAsia="华文中宋" w:cs="Times New Roman"/>
                <w:szCs w:val="21"/>
                <w:lang w:eastAsia="zh-CN"/>
              </w:rPr>
            </w:pPr>
          </w:p>
        </w:tc>
        <w:tc>
          <w:tcPr>
            <w:tcW w:w="0" w:type="auto"/>
            <w:vMerge w:val="continue"/>
            <w:vAlign w:val="center"/>
          </w:tcPr>
          <w:p w14:paraId="5C29F46B">
            <w:pPr>
              <w:spacing w:line="300" w:lineRule="exact"/>
              <w:jc w:val="center"/>
              <w:rPr>
                <w:rFonts w:hint="default" w:ascii="Times New Roman" w:hAnsi="Times New Roman" w:eastAsia="华文中宋" w:cs="Times New Roman"/>
                <w:szCs w:val="21"/>
                <w:lang w:eastAsia="zh-CN"/>
              </w:rPr>
            </w:pPr>
          </w:p>
        </w:tc>
        <w:tc>
          <w:tcPr>
            <w:tcW w:w="1229" w:type="dxa"/>
            <w:vMerge w:val="continue"/>
            <w:vAlign w:val="center"/>
          </w:tcPr>
          <w:p w14:paraId="29AAE88E">
            <w:pPr>
              <w:spacing w:line="300" w:lineRule="exact"/>
              <w:jc w:val="center"/>
              <w:rPr>
                <w:rFonts w:hint="default" w:ascii="Times New Roman" w:hAnsi="Times New Roman" w:eastAsia="华文中宋" w:cs="Times New Roman"/>
                <w:szCs w:val="21"/>
                <w:lang w:eastAsia="zh-CN"/>
              </w:rPr>
            </w:pPr>
          </w:p>
        </w:tc>
        <w:tc>
          <w:tcPr>
            <w:tcW w:w="1088" w:type="dxa"/>
            <w:shd w:val="clear" w:color="auto" w:fill="auto"/>
            <w:vAlign w:val="center"/>
          </w:tcPr>
          <w:p w14:paraId="7DC18DE3">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新建</w:t>
            </w:r>
          </w:p>
        </w:tc>
        <w:tc>
          <w:tcPr>
            <w:tcW w:w="1123" w:type="dxa"/>
            <w:vAlign w:val="center"/>
          </w:tcPr>
          <w:p w14:paraId="47D0FB54">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c>
          <w:tcPr>
            <w:tcW w:w="912" w:type="dxa"/>
            <w:vMerge w:val="continue"/>
            <w:vAlign w:val="center"/>
          </w:tcPr>
          <w:p w14:paraId="5C8C802F">
            <w:pPr>
              <w:spacing w:line="300" w:lineRule="exact"/>
              <w:jc w:val="center"/>
              <w:rPr>
                <w:rFonts w:hint="default" w:ascii="Times New Roman" w:hAnsi="Times New Roman" w:eastAsia="华文中宋" w:cs="Times New Roman"/>
                <w:szCs w:val="21"/>
                <w:lang w:val="en-US" w:eastAsia="zh-CN"/>
              </w:rPr>
            </w:pPr>
          </w:p>
        </w:tc>
        <w:tc>
          <w:tcPr>
            <w:tcW w:w="0" w:type="auto"/>
            <w:vAlign w:val="center"/>
          </w:tcPr>
          <w:p w14:paraId="512A594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≥90</w:t>
            </w:r>
          </w:p>
        </w:tc>
        <w:tc>
          <w:tcPr>
            <w:tcW w:w="0" w:type="auto"/>
            <w:vAlign w:val="center"/>
          </w:tcPr>
          <w:p w14:paraId="71474EA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≥85</w:t>
            </w:r>
          </w:p>
        </w:tc>
        <w:tc>
          <w:tcPr>
            <w:tcW w:w="0" w:type="auto"/>
            <w:vAlign w:val="center"/>
          </w:tcPr>
          <w:p w14:paraId="4F12E2E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≥75</w:t>
            </w:r>
          </w:p>
        </w:tc>
        <w:tc>
          <w:tcPr>
            <w:tcW w:w="0" w:type="auto"/>
            <w:vAlign w:val="center"/>
          </w:tcPr>
          <w:p w14:paraId="7BDB3FC8">
            <w:pPr>
              <w:spacing w:line="300" w:lineRule="exact"/>
              <w:jc w:val="center"/>
              <w:rPr>
                <w:rFonts w:hint="default" w:ascii="Times New Roman" w:hAnsi="Times New Roman" w:eastAsia="华文中宋" w:cs="Times New Roman"/>
                <w:szCs w:val="21"/>
                <w:lang w:eastAsia="zh-CN"/>
              </w:rPr>
            </w:pPr>
            <w:r>
              <w:rPr>
                <w:rFonts w:hint="eastAsia" w:ascii="Times New Roman" w:hAnsi="Times New Roman" w:eastAsia="华文中宋" w:cs="Times New Roman"/>
                <w:szCs w:val="21"/>
                <w:lang w:eastAsia="zh-CN"/>
              </w:rPr>
              <w:t>Ⅰ</w:t>
            </w:r>
            <w:r>
              <w:rPr>
                <w:rFonts w:hint="default" w:ascii="Times New Roman" w:hAnsi="Times New Roman" w:eastAsia="华文中宋" w:cs="Times New Roman"/>
                <w:szCs w:val="21"/>
                <w:lang w:eastAsia="zh-CN"/>
              </w:rPr>
              <w:t>级</w:t>
            </w:r>
          </w:p>
        </w:tc>
      </w:tr>
      <w:tr w14:paraId="10016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A750EC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14</w:t>
            </w:r>
          </w:p>
        </w:tc>
        <w:tc>
          <w:tcPr>
            <w:tcW w:w="921" w:type="dxa"/>
            <w:vMerge w:val="restart"/>
            <w:vAlign w:val="center"/>
          </w:tcPr>
          <w:p w14:paraId="6470808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清洁生产管理指标</w:t>
            </w:r>
          </w:p>
        </w:tc>
        <w:tc>
          <w:tcPr>
            <w:tcW w:w="912" w:type="dxa"/>
            <w:vMerge w:val="restart"/>
            <w:vAlign w:val="center"/>
          </w:tcPr>
          <w:p w14:paraId="7F5A53B0">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0.15</w:t>
            </w:r>
          </w:p>
        </w:tc>
        <w:tc>
          <w:tcPr>
            <w:tcW w:w="3440" w:type="dxa"/>
            <w:gridSpan w:val="3"/>
            <w:vAlign w:val="center"/>
          </w:tcPr>
          <w:p w14:paraId="40C63C3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※环境法律法规标准执行情况</w:t>
            </w:r>
          </w:p>
        </w:tc>
        <w:tc>
          <w:tcPr>
            <w:tcW w:w="0" w:type="auto"/>
            <w:vAlign w:val="center"/>
          </w:tcPr>
          <w:p w14:paraId="07B2CBB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0.10</w:t>
            </w:r>
          </w:p>
        </w:tc>
        <w:tc>
          <w:tcPr>
            <w:tcW w:w="5567" w:type="dxa"/>
            <w:gridSpan w:val="3"/>
            <w:vAlign w:val="center"/>
          </w:tcPr>
          <w:p w14:paraId="62D02532">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符合国家和地方有关环境</w:t>
            </w:r>
            <w:r>
              <w:rPr>
                <w:rFonts w:hint="eastAsia" w:ascii="Times New Roman" w:hAnsi="Times New Roman" w:eastAsia="华文中宋" w:cs="Times New Roman"/>
                <w:szCs w:val="21"/>
                <w:lang w:eastAsia="zh-CN"/>
              </w:rPr>
              <w:t>法律法规</w:t>
            </w:r>
            <w:r>
              <w:rPr>
                <w:rFonts w:hint="default" w:ascii="Times New Roman" w:hAnsi="Times New Roman" w:eastAsia="华文中宋" w:cs="Times New Roman"/>
                <w:szCs w:val="21"/>
                <w:lang w:eastAsia="zh-CN"/>
              </w:rPr>
              <w:t>，污染物排放达到国家排放标准、总量控制和排污许可证管理要求</w:t>
            </w:r>
          </w:p>
        </w:tc>
        <w:tc>
          <w:tcPr>
            <w:tcW w:w="0" w:type="auto"/>
            <w:vAlign w:val="center"/>
          </w:tcPr>
          <w:p w14:paraId="7FD4B3EB">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符合</w:t>
            </w:r>
          </w:p>
        </w:tc>
      </w:tr>
      <w:tr w14:paraId="7E3FF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8B74E9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15</w:t>
            </w:r>
          </w:p>
        </w:tc>
        <w:tc>
          <w:tcPr>
            <w:tcW w:w="921" w:type="dxa"/>
            <w:vMerge w:val="continue"/>
            <w:vAlign w:val="center"/>
          </w:tcPr>
          <w:p w14:paraId="2221B0D3">
            <w:pPr>
              <w:spacing w:line="300" w:lineRule="exact"/>
              <w:jc w:val="center"/>
              <w:rPr>
                <w:rFonts w:hint="default" w:ascii="Times New Roman" w:hAnsi="Times New Roman" w:eastAsia="华文中宋" w:cs="Times New Roman"/>
                <w:szCs w:val="21"/>
                <w:lang w:eastAsia="zh-CN"/>
              </w:rPr>
            </w:pPr>
          </w:p>
        </w:tc>
        <w:tc>
          <w:tcPr>
            <w:tcW w:w="912" w:type="dxa"/>
            <w:vMerge w:val="continue"/>
            <w:vAlign w:val="center"/>
          </w:tcPr>
          <w:p w14:paraId="6DB4F5F4">
            <w:pPr>
              <w:spacing w:line="300" w:lineRule="exact"/>
              <w:jc w:val="center"/>
              <w:rPr>
                <w:rFonts w:hint="default" w:ascii="Times New Roman" w:hAnsi="Times New Roman" w:eastAsia="华文中宋" w:cs="Times New Roman"/>
                <w:szCs w:val="21"/>
                <w:lang w:eastAsia="zh-CN"/>
              </w:rPr>
            </w:pPr>
          </w:p>
        </w:tc>
        <w:tc>
          <w:tcPr>
            <w:tcW w:w="3440" w:type="dxa"/>
            <w:gridSpan w:val="3"/>
            <w:vAlign w:val="center"/>
          </w:tcPr>
          <w:p w14:paraId="5C71661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※产业政策执行情况</w:t>
            </w:r>
          </w:p>
        </w:tc>
        <w:tc>
          <w:tcPr>
            <w:tcW w:w="0" w:type="auto"/>
            <w:vAlign w:val="center"/>
          </w:tcPr>
          <w:p w14:paraId="58A86EE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0.10</w:t>
            </w:r>
          </w:p>
        </w:tc>
        <w:tc>
          <w:tcPr>
            <w:tcW w:w="5567" w:type="dxa"/>
            <w:gridSpan w:val="3"/>
            <w:vAlign w:val="center"/>
          </w:tcPr>
          <w:p w14:paraId="7CE23895">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生产规模符合国家和地方产业政策要求，不使用国家和地方明令淘汰的落后工艺和装备</w:t>
            </w:r>
          </w:p>
        </w:tc>
        <w:tc>
          <w:tcPr>
            <w:tcW w:w="0" w:type="auto"/>
            <w:vAlign w:val="center"/>
          </w:tcPr>
          <w:p w14:paraId="433FDDCF">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符合</w:t>
            </w:r>
          </w:p>
        </w:tc>
      </w:tr>
      <w:tr w14:paraId="074FC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B5B19C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16</w:t>
            </w:r>
          </w:p>
        </w:tc>
        <w:tc>
          <w:tcPr>
            <w:tcW w:w="921" w:type="dxa"/>
            <w:vMerge w:val="continue"/>
            <w:vAlign w:val="center"/>
          </w:tcPr>
          <w:p w14:paraId="43FC76D2">
            <w:pPr>
              <w:spacing w:line="300" w:lineRule="exact"/>
              <w:jc w:val="center"/>
              <w:rPr>
                <w:rFonts w:hint="default" w:ascii="Times New Roman" w:hAnsi="Times New Roman" w:eastAsia="华文中宋" w:cs="Times New Roman"/>
                <w:szCs w:val="21"/>
                <w:lang w:eastAsia="zh-CN"/>
              </w:rPr>
            </w:pPr>
          </w:p>
        </w:tc>
        <w:tc>
          <w:tcPr>
            <w:tcW w:w="912" w:type="dxa"/>
            <w:vMerge w:val="continue"/>
            <w:vAlign w:val="center"/>
          </w:tcPr>
          <w:p w14:paraId="3AF27CEE">
            <w:pPr>
              <w:spacing w:line="300" w:lineRule="exact"/>
              <w:jc w:val="center"/>
              <w:rPr>
                <w:rFonts w:hint="default" w:ascii="Times New Roman" w:hAnsi="Times New Roman" w:eastAsia="华文中宋" w:cs="Times New Roman"/>
                <w:szCs w:val="21"/>
                <w:lang w:eastAsia="zh-CN"/>
              </w:rPr>
            </w:pPr>
          </w:p>
        </w:tc>
        <w:tc>
          <w:tcPr>
            <w:tcW w:w="3440" w:type="dxa"/>
            <w:gridSpan w:val="3"/>
            <w:vAlign w:val="center"/>
          </w:tcPr>
          <w:p w14:paraId="203D787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开展清洁生产审核</w:t>
            </w:r>
          </w:p>
        </w:tc>
        <w:tc>
          <w:tcPr>
            <w:tcW w:w="0" w:type="auto"/>
            <w:vAlign w:val="center"/>
          </w:tcPr>
          <w:p w14:paraId="202F0C0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0.10</w:t>
            </w:r>
          </w:p>
        </w:tc>
        <w:tc>
          <w:tcPr>
            <w:tcW w:w="5567" w:type="dxa"/>
            <w:gridSpan w:val="3"/>
            <w:vAlign w:val="center"/>
          </w:tcPr>
          <w:p w14:paraId="4CD7D76A">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按照国家和地方要求，开展清洁生产审核</w:t>
            </w:r>
          </w:p>
        </w:tc>
        <w:tc>
          <w:tcPr>
            <w:tcW w:w="0" w:type="auto"/>
            <w:vAlign w:val="center"/>
          </w:tcPr>
          <w:p w14:paraId="3D4032C0">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符合</w:t>
            </w:r>
          </w:p>
        </w:tc>
      </w:tr>
      <w:tr w14:paraId="2F1A9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1DFE1B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17</w:t>
            </w:r>
          </w:p>
        </w:tc>
        <w:tc>
          <w:tcPr>
            <w:tcW w:w="921" w:type="dxa"/>
            <w:vMerge w:val="continue"/>
            <w:vAlign w:val="center"/>
          </w:tcPr>
          <w:p w14:paraId="065F6F2D">
            <w:pPr>
              <w:spacing w:line="300" w:lineRule="exact"/>
              <w:jc w:val="center"/>
              <w:rPr>
                <w:rFonts w:hint="default" w:ascii="Times New Roman" w:hAnsi="Times New Roman" w:eastAsia="华文中宋" w:cs="Times New Roman"/>
                <w:szCs w:val="21"/>
                <w:lang w:eastAsia="zh-CN"/>
              </w:rPr>
            </w:pPr>
          </w:p>
        </w:tc>
        <w:tc>
          <w:tcPr>
            <w:tcW w:w="912" w:type="dxa"/>
            <w:vMerge w:val="continue"/>
            <w:vAlign w:val="center"/>
          </w:tcPr>
          <w:p w14:paraId="3D4D614B">
            <w:pPr>
              <w:spacing w:line="300" w:lineRule="exact"/>
              <w:jc w:val="center"/>
              <w:rPr>
                <w:rFonts w:hint="default" w:ascii="Times New Roman" w:hAnsi="Times New Roman" w:eastAsia="华文中宋" w:cs="Times New Roman"/>
                <w:szCs w:val="21"/>
                <w:lang w:eastAsia="zh-CN"/>
              </w:rPr>
            </w:pPr>
          </w:p>
        </w:tc>
        <w:tc>
          <w:tcPr>
            <w:tcW w:w="3440" w:type="dxa"/>
            <w:gridSpan w:val="3"/>
            <w:vAlign w:val="center"/>
          </w:tcPr>
          <w:p w14:paraId="374BFCD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环境管理体系制度</w:t>
            </w:r>
          </w:p>
        </w:tc>
        <w:tc>
          <w:tcPr>
            <w:tcW w:w="0" w:type="auto"/>
            <w:vAlign w:val="center"/>
          </w:tcPr>
          <w:p w14:paraId="7EFF04E0">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0.10</w:t>
            </w:r>
          </w:p>
        </w:tc>
        <w:tc>
          <w:tcPr>
            <w:tcW w:w="3619" w:type="dxa"/>
            <w:gridSpan w:val="2"/>
            <w:vAlign w:val="center"/>
          </w:tcPr>
          <w:p w14:paraId="2D55EAE9">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按照GB/T24001建立并运行环境管理体系，环境管理程序文件及作业文件齐备</w:t>
            </w:r>
          </w:p>
        </w:tc>
        <w:tc>
          <w:tcPr>
            <w:tcW w:w="0" w:type="auto"/>
            <w:vAlign w:val="center"/>
          </w:tcPr>
          <w:p w14:paraId="6AC2E0F8">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拥有健全的环境管理体系和完备的管理文件</w:t>
            </w:r>
          </w:p>
        </w:tc>
        <w:tc>
          <w:tcPr>
            <w:tcW w:w="0" w:type="auto"/>
            <w:vAlign w:val="center"/>
          </w:tcPr>
          <w:p w14:paraId="1EBC2885">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拥有健全的环境管理体系和完备的管理文件</w:t>
            </w:r>
          </w:p>
        </w:tc>
      </w:tr>
      <w:tr w14:paraId="1D3F6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10E5E4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18</w:t>
            </w:r>
          </w:p>
        </w:tc>
        <w:tc>
          <w:tcPr>
            <w:tcW w:w="921" w:type="dxa"/>
            <w:vMerge w:val="continue"/>
            <w:vAlign w:val="center"/>
          </w:tcPr>
          <w:p w14:paraId="1843B461">
            <w:pPr>
              <w:spacing w:line="300" w:lineRule="exact"/>
              <w:jc w:val="center"/>
              <w:rPr>
                <w:rFonts w:hint="default" w:ascii="Times New Roman" w:hAnsi="Times New Roman" w:eastAsia="华文中宋" w:cs="Times New Roman"/>
                <w:szCs w:val="21"/>
                <w:lang w:eastAsia="zh-CN"/>
              </w:rPr>
            </w:pPr>
          </w:p>
        </w:tc>
        <w:tc>
          <w:tcPr>
            <w:tcW w:w="912" w:type="dxa"/>
            <w:vMerge w:val="continue"/>
            <w:vAlign w:val="center"/>
          </w:tcPr>
          <w:p w14:paraId="33AA7D8F">
            <w:pPr>
              <w:spacing w:line="300" w:lineRule="exact"/>
              <w:jc w:val="center"/>
              <w:rPr>
                <w:rFonts w:hint="default" w:ascii="Times New Roman" w:hAnsi="Times New Roman" w:eastAsia="华文中宋" w:cs="Times New Roman"/>
                <w:szCs w:val="21"/>
                <w:lang w:eastAsia="zh-CN"/>
              </w:rPr>
            </w:pPr>
          </w:p>
        </w:tc>
        <w:tc>
          <w:tcPr>
            <w:tcW w:w="3440" w:type="dxa"/>
            <w:gridSpan w:val="3"/>
            <w:vAlign w:val="center"/>
          </w:tcPr>
          <w:p w14:paraId="2492389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※建设项目环保“三同时”执行情况</w:t>
            </w:r>
          </w:p>
        </w:tc>
        <w:tc>
          <w:tcPr>
            <w:tcW w:w="0" w:type="auto"/>
            <w:vAlign w:val="center"/>
          </w:tcPr>
          <w:p w14:paraId="29A74B7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0.10</w:t>
            </w:r>
          </w:p>
        </w:tc>
        <w:tc>
          <w:tcPr>
            <w:tcW w:w="5567" w:type="dxa"/>
            <w:gridSpan w:val="3"/>
            <w:vAlign w:val="center"/>
          </w:tcPr>
          <w:p w14:paraId="2B83E10C">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严格执行建设项目环境影响评价制度和建设项目环保“三同时”制度</w:t>
            </w:r>
          </w:p>
        </w:tc>
        <w:tc>
          <w:tcPr>
            <w:tcW w:w="0" w:type="auto"/>
            <w:vAlign w:val="center"/>
          </w:tcPr>
          <w:p w14:paraId="6EA00A53">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符合</w:t>
            </w:r>
          </w:p>
        </w:tc>
      </w:tr>
      <w:tr w14:paraId="20729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FF356C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19</w:t>
            </w:r>
          </w:p>
        </w:tc>
        <w:tc>
          <w:tcPr>
            <w:tcW w:w="921" w:type="dxa"/>
            <w:vMerge w:val="continue"/>
            <w:vAlign w:val="center"/>
          </w:tcPr>
          <w:p w14:paraId="6535216D">
            <w:pPr>
              <w:spacing w:line="300" w:lineRule="exact"/>
              <w:jc w:val="center"/>
              <w:rPr>
                <w:rFonts w:hint="default" w:ascii="Times New Roman" w:hAnsi="Times New Roman" w:eastAsia="华文中宋" w:cs="Times New Roman"/>
                <w:szCs w:val="21"/>
                <w:lang w:eastAsia="zh-CN"/>
              </w:rPr>
            </w:pPr>
          </w:p>
        </w:tc>
        <w:tc>
          <w:tcPr>
            <w:tcW w:w="912" w:type="dxa"/>
            <w:vMerge w:val="continue"/>
            <w:vAlign w:val="center"/>
          </w:tcPr>
          <w:p w14:paraId="6DE3FBC1">
            <w:pPr>
              <w:spacing w:line="300" w:lineRule="exact"/>
              <w:jc w:val="center"/>
              <w:rPr>
                <w:rFonts w:hint="default" w:ascii="Times New Roman" w:hAnsi="Times New Roman" w:eastAsia="华文中宋" w:cs="Times New Roman"/>
                <w:szCs w:val="21"/>
                <w:lang w:eastAsia="zh-CN"/>
              </w:rPr>
            </w:pPr>
          </w:p>
        </w:tc>
        <w:tc>
          <w:tcPr>
            <w:tcW w:w="3440" w:type="dxa"/>
            <w:gridSpan w:val="3"/>
            <w:vAlign w:val="center"/>
          </w:tcPr>
          <w:p w14:paraId="2EAD86C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废水处理设施运行管理</w:t>
            </w:r>
          </w:p>
        </w:tc>
        <w:tc>
          <w:tcPr>
            <w:tcW w:w="0" w:type="auto"/>
            <w:vAlign w:val="center"/>
          </w:tcPr>
          <w:p w14:paraId="27802CB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0.10</w:t>
            </w:r>
          </w:p>
        </w:tc>
        <w:tc>
          <w:tcPr>
            <w:tcW w:w="3619" w:type="dxa"/>
            <w:gridSpan w:val="2"/>
            <w:vAlign w:val="center"/>
          </w:tcPr>
          <w:p w14:paraId="06337FF7">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建有废水处理设施运行中控系统并建立废水处理设施运行</w:t>
            </w:r>
            <w:r>
              <w:rPr>
                <w:rFonts w:hint="eastAsia" w:ascii="Times New Roman" w:hAnsi="Times New Roman" w:eastAsia="华文中宋" w:cs="Times New Roman"/>
                <w:szCs w:val="21"/>
                <w:lang w:eastAsia="zh-CN"/>
              </w:rPr>
              <w:t>台账</w:t>
            </w:r>
          </w:p>
        </w:tc>
        <w:tc>
          <w:tcPr>
            <w:tcW w:w="0" w:type="auto"/>
            <w:vAlign w:val="center"/>
          </w:tcPr>
          <w:p w14:paraId="27DDE378">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建立废水处理设施运行</w:t>
            </w:r>
            <w:r>
              <w:rPr>
                <w:rFonts w:hint="eastAsia" w:ascii="Times New Roman" w:hAnsi="Times New Roman" w:eastAsia="华文中宋" w:cs="Times New Roman"/>
                <w:szCs w:val="21"/>
                <w:lang w:eastAsia="zh-CN"/>
              </w:rPr>
              <w:t>台账</w:t>
            </w:r>
          </w:p>
        </w:tc>
        <w:tc>
          <w:tcPr>
            <w:tcW w:w="0" w:type="auto"/>
            <w:shd w:val="clear" w:color="auto" w:fill="auto"/>
            <w:vAlign w:val="center"/>
          </w:tcPr>
          <w:p w14:paraId="0163C42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eastAsia="zh-CN"/>
              </w:rPr>
              <w:t>建立废水处理设施运行</w:t>
            </w:r>
            <w:r>
              <w:rPr>
                <w:rFonts w:hint="eastAsia" w:ascii="Times New Roman" w:hAnsi="Times New Roman" w:eastAsia="华文中宋" w:cs="Times New Roman"/>
                <w:szCs w:val="21"/>
                <w:lang w:eastAsia="zh-CN"/>
              </w:rPr>
              <w:t>台账</w:t>
            </w:r>
          </w:p>
        </w:tc>
      </w:tr>
      <w:tr w14:paraId="6CE50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B896D4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20</w:t>
            </w:r>
          </w:p>
        </w:tc>
        <w:tc>
          <w:tcPr>
            <w:tcW w:w="921" w:type="dxa"/>
            <w:vMerge w:val="continue"/>
            <w:vAlign w:val="center"/>
          </w:tcPr>
          <w:p w14:paraId="1272EB76">
            <w:pPr>
              <w:spacing w:line="300" w:lineRule="exact"/>
              <w:jc w:val="center"/>
              <w:rPr>
                <w:rFonts w:hint="default" w:ascii="Times New Roman" w:hAnsi="Times New Roman" w:eastAsia="华文中宋" w:cs="Times New Roman"/>
                <w:szCs w:val="21"/>
                <w:lang w:eastAsia="zh-CN"/>
              </w:rPr>
            </w:pPr>
          </w:p>
        </w:tc>
        <w:tc>
          <w:tcPr>
            <w:tcW w:w="912" w:type="dxa"/>
            <w:vMerge w:val="continue"/>
            <w:vAlign w:val="center"/>
          </w:tcPr>
          <w:p w14:paraId="671D4F4A">
            <w:pPr>
              <w:spacing w:line="300" w:lineRule="exact"/>
              <w:jc w:val="center"/>
              <w:rPr>
                <w:rFonts w:hint="default" w:ascii="Times New Roman" w:hAnsi="Times New Roman" w:eastAsia="华文中宋" w:cs="Times New Roman"/>
                <w:szCs w:val="21"/>
                <w:lang w:eastAsia="zh-CN"/>
              </w:rPr>
            </w:pPr>
          </w:p>
        </w:tc>
        <w:tc>
          <w:tcPr>
            <w:tcW w:w="3440" w:type="dxa"/>
            <w:gridSpan w:val="3"/>
            <w:vAlign w:val="center"/>
          </w:tcPr>
          <w:p w14:paraId="1189D4C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※污染物排放监测</w:t>
            </w:r>
          </w:p>
        </w:tc>
        <w:tc>
          <w:tcPr>
            <w:tcW w:w="0" w:type="auto"/>
            <w:vAlign w:val="center"/>
          </w:tcPr>
          <w:p w14:paraId="410DCAD7">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0.10</w:t>
            </w:r>
          </w:p>
        </w:tc>
        <w:tc>
          <w:tcPr>
            <w:tcW w:w="5567" w:type="dxa"/>
            <w:gridSpan w:val="3"/>
            <w:vAlign w:val="center"/>
          </w:tcPr>
          <w:p w14:paraId="1EEE691A">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对污染物排放实施定期监测</w:t>
            </w:r>
          </w:p>
        </w:tc>
        <w:tc>
          <w:tcPr>
            <w:tcW w:w="0" w:type="auto"/>
            <w:vAlign w:val="center"/>
          </w:tcPr>
          <w:p w14:paraId="224291B6">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符合</w:t>
            </w:r>
          </w:p>
        </w:tc>
      </w:tr>
      <w:tr w14:paraId="34C3F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400E36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21</w:t>
            </w:r>
          </w:p>
        </w:tc>
        <w:tc>
          <w:tcPr>
            <w:tcW w:w="921" w:type="dxa"/>
            <w:vMerge w:val="continue"/>
            <w:vAlign w:val="center"/>
          </w:tcPr>
          <w:p w14:paraId="17C0DDA5">
            <w:pPr>
              <w:spacing w:line="300" w:lineRule="exact"/>
              <w:jc w:val="center"/>
              <w:rPr>
                <w:rFonts w:hint="default" w:ascii="Times New Roman" w:hAnsi="Times New Roman" w:eastAsia="华文中宋" w:cs="Times New Roman"/>
                <w:szCs w:val="21"/>
                <w:lang w:eastAsia="zh-CN"/>
              </w:rPr>
            </w:pPr>
          </w:p>
        </w:tc>
        <w:tc>
          <w:tcPr>
            <w:tcW w:w="912" w:type="dxa"/>
            <w:vMerge w:val="continue"/>
            <w:vAlign w:val="center"/>
          </w:tcPr>
          <w:p w14:paraId="2BD479EA">
            <w:pPr>
              <w:spacing w:line="300" w:lineRule="exact"/>
              <w:jc w:val="center"/>
              <w:rPr>
                <w:rFonts w:hint="default" w:ascii="Times New Roman" w:hAnsi="Times New Roman" w:eastAsia="华文中宋" w:cs="Times New Roman"/>
                <w:szCs w:val="21"/>
                <w:lang w:eastAsia="zh-CN"/>
              </w:rPr>
            </w:pPr>
          </w:p>
        </w:tc>
        <w:tc>
          <w:tcPr>
            <w:tcW w:w="3440" w:type="dxa"/>
            <w:gridSpan w:val="3"/>
            <w:vAlign w:val="center"/>
          </w:tcPr>
          <w:p w14:paraId="12EFF32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废物的处理处置</w:t>
            </w:r>
          </w:p>
        </w:tc>
        <w:tc>
          <w:tcPr>
            <w:tcW w:w="0" w:type="auto"/>
            <w:vAlign w:val="center"/>
          </w:tcPr>
          <w:p w14:paraId="4EA7C25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0.10</w:t>
            </w:r>
          </w:p>
        </w:tc>
        <w:tc>
          <w:tcPr>
            <w:tcW w:w="5567" w:type="dxa"/>
            <w:gridSpan w:val="3"/>
            <w:vAlign w:val="center"/>
          </w:tcPr>
          <w:p w14:paraId="5FEAF6AC">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露天矿山应设置有专用的防洪、排洪设施；排土场渗漏液按有关要求设置处理设施并达到相应的排放要求；设有矿坑水处理设施和排输管道，并达到回用或排放要求；采取湿式作业和洒水降尘措施；对不能综合利用的废石设专门的处置场所，一般固体废物按GB18599，危险废物按GB18598等相关规定执行</w:t>
            </w:r>
          </w:p>
        </w:tc>
        <w:tc>
          <w:tcPr>
            <w:tcW w:w="0" w:type="auto"/>
            <w:vAlign w:val="center"/>
          </w:tcPr>
          <w:p w14:paraId="1B276365">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符合</w:t>
            </w:r>
          </w:p>
        </w:tc>
      </w:tr>
      <w:tr w14:paraId="74427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DEB471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22</w:t>
            </w:r>
          </w:p>
        </w:tc>
        <w:tc>
          <w:tcPr>
            <w:tcW w:w="921" w:type="dxa"/>
            <w:vMerge w:val="continue"/>
            <w:vAlign w:val="center"/>
          </w:tcPr>
          <w:p w14:paraId="12536022">
            <w:pPr>
              <w:spacing w:line="300" w:lineRule="exact"/>
              <w:jc w:val="center"/>
              <w:rPr>
                <w:rFonts w:hint="default" w:ascii="Times New Roman" w:hAnsi="Times New Roman" w:eastAsia="华文中宋" w:cs="Times New Roman"/>
                <w:szCs w:val="21"/>
                <w:lang w:eastAsia="zh-CN"/>
              </w:rPr>
            </w:pPr>
          </w:p>
        </w:tc>
        <w:tc>
          <w:tcPr>
            <w:tcW w:w="912" w:type="dxa"/>
            <w:vMerge w:val="continue"/>
            <w:vAlign w:val="center"/>
          </w:tcPr>
          <w:p w14:paraId="39C7AE93">
            <w:pPr>
              <w:spacing w:line="300" w:lineRule="exact"/>
              <w:jc w:val="center"/>
              <w:rPr>
                <w:rFonts w:hint="default" w:ascii="Times New Roman" w:hAnsi="Times New Roman" w:eastAsia="华文中宋" w:cs="Times New Roman"/>
                <w:szCs w:val="21"/>
                <w:lang w:eastAsia="zh-CN"/>
              </w:rPr>
            </w:pPr>
          </w:p>
        </w:tc>
        <w:tc>
          <w:tcPr>
            <w:tcW w:w="3440" w:type="dxa"/>
            <w:gridSpan w:val="3"/>
            <w:vAlign w:val="center"/>
          </w:tcPr>
          <w:p w14:paraId="7C85C76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环境信息</w:t>
            </w:r>
          </w:p>
        </w:tc>
        <w:tc>
          <w:tcPr>
            <w:tcW w:w="0" w:type="auto"/>
            <w:vAlign w:val="center"/>
          </w:tcPr>
          <w:p w14:paraId="25BAC39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0.10</w:t>
            </w:r>
          </w:p>
        </w:tc>
        <w:tc>
          <w:tcPr>
            <w:tcW w:w="3619" w:type="dxa"/>
            <w:gridSpan w:val="2"/>
            <w:vAlign w:val="center"/>
          </w:tcPr>
          <w:p w14:paraId="1BF68D2F">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按照《环境信息公开（试行）》第十九条要求公开环境信息</w:t>
            </w:r>
          </w:p>
        </w:tc>
        <w:tc>
          <w:tcPr>
            <w:tcW w:w="0" w:type="auto"/>
            <w:vAlign w:val="center"/>
          </w:tcPr>
          <w:p w14:paraId="3034E2B7">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按照《环境信息公开（试行）》第二十条要求公开环境信息</w:t>
            </w:r>
          </w:p>
        </w:tc>
        <w:tc>
          <w:tcPr>
            <w:tcW w:w="0" w:type="auto"/>
            <w:vAlign w:val="center"/>
          </w:tcPr>
          <w:p w14:paraId="6A6E1F55">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按照《环境信息公开（试行）》第二十条要求公开环境信息</w:t>
            </w:r>
          </w:p>
        </w:tc>
      </w:tr>
      <w:tr w14:paraId="4E1F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1B2F15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23</w:t>
            </w:r>
          </w:p>
        </w:tc>
        <w:tc>
          <w:tcPr>
            <w:tcW w:w="921" w:type="dxa"/>
            <w:vMerge w:val="continue"/>
            <w:vAlign w:val="center"/>
          </w:tcPr>
          <w:p w14:paraId="793B9F89">
            <w:pPr>
              <w:spacing w:line="300" w:lineRule="exact"/>
              <w:jc w:val="center"/>
              <w:rPr>
                <w:rFonts w:hint="default" w:ascii="Times New Roman" w:hAnsi="Times New Roman" w:eastAsia="华文中宋" w:cs="Times New Roman"/>
                <w:szCs w:val="21"/>
                <w:lang w:eastAsia="zh-CN"/>
              </w:rPr>
            </w:pPr>
          </w:p>
        </w:tc>
        <w:tc>
          <w:tcPr>
            <w:tcW w:w="912" w:type="dxa"/>
            <w:vMerge w:val="continue"/>
            <w:vAlign w:val="center"/>
          </w:tcPr>
          <w:p w14:paraId="2A39C520">
            <w:pPr>
              <w:spacing w:line="300" w:lineRule="exact"/>
              <w:jc w:val="center"/>
              <w:rPr>
                <w:rFonts w:hint="default" w:ascii="Times New Roman" w:hAnsi="Times New Roman" w:eastAsia="华文中宋" w:cs="Times New Roman"/>
                <w:szCs w:val="21"/>
                <w:lang w:eastAsia="zh-CN"/>
              </w:rPr>
            </w:pPr>
          </w:p>
        </w:tc>
        <w:tc>
          <w:tcPr>
            <w:tcW w:w="3440" w:type="dxa"/>
            <w:gridSpan w:val="3"/>
            <w:vAlign w:val="center"/>
          </w:tcPr>
          <w:p w14:paraId="19F2FB1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环境应急预案</w:t>
            </w:r>
          </w:p>
        </w:tc>
        <w:tc>
          <w:tcPr>
            <w:tcW w:w="0" w:type="auto"/>
            <w:vAlign w:val="center"/>
          </w:tcPr>
          <w:p w14:paraId="4310C40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0.10</w:t>
            </w:r>
          </w:p>
        </w:tc>
        <w:tc>
          <w:tcPr>
            <w:tcW w:w="5567" w:type="dxa"/>
            <w:gridSpan w:val="3"/>
            <w:vAlign w:val="center"/>
          </w:tcPr>
          <w:p w14:paraId="2A377B3F">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根据《突发环境事件应急预案管理办法》（环发</w:t>
            </w:r>
            <w:r>
              <w:rPr>
                <w:rFonts w:hint="eastAsia" w:ascii="Times New Roman" w:hAnsi="Times New Roman" w:eastAsia="华文中宋" w:cs="Times New Roman"/>
                <w:szCs w:val="21"/>
                <w:lang w:eastAsia="zh-CN"/>
              </w:rPr>
              <w:t>〔2010〕113号</w:t>
            </w:r>
            <w:r>
              <w:rPr>
                <w:rFonts w:hint="default" w:ascii="Times New Roman" w:hAnsi="Times New Roman" w:eastAsia="华文中宋" w:cs="Times New Roman"/>
                <w:szCs w:val="21"/>
                <w:lang w:eastAsia="zh-CN"/>
              </w:rPr>
              <w:t>）及环境保护法要求，制定企业突发环境事件应急预案</w:t>
            </w:r>
          </w:p>
        </w:tc>
        <w:tc>
          <w:tcPr>
            <w:tcW w:w="0" w:type="auto"/>
            <w:vAlign w:val="center"/>
          </w:tcPr>
          <w:p w14:paraId="2582A21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制定突发环境事件应急预案</w:t>
            </w:r>
          </w:p>
        </w:tc>
      </w:tr>
      <w:tr w14:paraId="4762C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gridSpan w:val="11"/>
            <w:vAlign w:val="center"/>
          </w:tcPr>
          <w:p w14:paraId="58CD9FF0">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注：带※的指标为限定性指标</w:t>
            </w:r>
          </w:p>
        </w:tc>
      </w:tr>
    </w:tbl>
    <w:p w14:paraId="7B377319">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eastAsia" w:ascii="Times New Roman" w:hAnsi="Times New Roman" w:eastAsia="华文中宋" w:cs="Times New Roman"/>
          <w:b/>
          <w:szCs w:val="21"/>
          <w:lang w:val="en-US" w:eastAsia="zh-CN"/>
        </w:rPr>
        <w:t>表3.4-2  锑矿采矿企业评价指标项目、权重及基准值</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7"/>
        <w:gridCol w:w="1358"/>
        <w:gridCol w:w="1367"/>
        <w:gridCol w:w="612"/>
        <w:gridCol w:w="278"/>
        <w:gridCol w:w="1030"/>
        <w:gridCol w:w="1192"/>
        <w:gridCol w:w="1220"/>
        <w:gridCol w:w="1678"/>
        <w:gridCol w:w="1361"/>
        <w:gridCol w:w="1361"/>
        <w:gridCol w:w="1360"/>
      </w:tblGrid>
      <w:tr w14:paraId="43A8F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4" w:type="dxa"/>
            <w:vAlign w:val="center"/>
          </w:tcPr>
          <w:p w14:paraId="2C7C4690">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序号</w:t>
            </w:r>
          </w:p>
        </w:tc>
        <w:tc>
          <w:tcPr>
            <w:tcW w:w="1374" w:type="dxa"/>
            <w:vAlign w:val="center"/>
          </w:tcPr>
          <w:p w14:paraId="7F39463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一级指标</w:t>
            </w:r>
          </w:p>
        </w:tc>
        <w:tc>
          <w:tcPr>
            <w:tcW w:w="1381" w:type="dxa"/>
            <w:vAlign w:val="center"/>
          </w:tcPr>
          <w:p w14:paraId="4391B9C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一级指标权重值</w:t>
            </w:r>
          </w:p>
        </w:tc>
        <w:tc>
          <w:tcPr>
            <w:tcW w:w="1791" w:type="dxa"/>
            <w:gridSpan w:val="3"/>
            <w:vAlign w:val="center"/>
          </w:tcPr>
          <w:p w14:paraId="7F03F42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二级指标</w:t>
            </w:r>
          </w:p>
        </w:tc>
        <w:tc>
          <w:tcPr>
            <w:tcW w:w="1198" w:type="dxa"/>
            <w:vAlign w:val="center"/>
          </w:tcPr>
          <w:p w14:paraId="0B58C87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单位</w:t>
            </w:r>
          </w:p>
        </w:tc>
        <w:tc>
          <w:tcPr>
            <w:tcW w:w="1233" w:type="dxa"/>
            <w:shd w:val="clear" w:color="auto" w:fill="auto"/>
            <w:vAlign w:val="center"/>
          </w:tcPr>
          <w:p w14:paraId="16313CE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二级指标权重值</w:t>
            </w:r>
          </w:p>
        </w:tc>
        <w:tc>
          <w:tcPr>
            <w:tcW w:w="1697" w:type="dxa"/>
            <w:shd w:val="clear" w:color="auto" w:fill="auto"/>
            <w:vAlign w:val="center"/>
          </w:tcPr>
          <w:p w14:paraId="2D3D42F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Ⅰ</w:t>
            </w:r>
            <w:r>
              <w:rPr>
                <w:rFonts w:hint="default" w:ascii="Times New Roman" w:hAnsi="Times New Roman" w:eastAsia="华文中宋" w:cs="Times New Roman"/>
                <w:szCs w:val="21"/>
                <w:lang w:val="en-US" w:eastAsia="zh-CN"/>
              </w:rPr>
              <w:t>级</w:t>
            </w:r>
            <w:r>
              <w:rPr>
                <w:rFonts w:hint="eastAsia" w:ascii="Times New Roman" w:hAnsi="Times New Roman" w:eastAsia="华文中宋" w:cs="Times New Roman"/>
                <w:szCs w:val="21"/>
                <w:lang w:val="en-US" w:eastAsia="zh-CN"/>
              </w:rPr>
              <w:t>基准值</w:t>
            </w:r>
          </w:p>
        </w:tc>
        <w:tc>
          <w:tcPr>
            <w:tcW w:w="1375" w:type="dxa"/>
            <w:shd w:val="clear" w:color="auto" w:fill="auto"/>
            <w:vAlign w:val="center"/>
          </w:tcPr>
          <w:p w14:paraId="7A39F8B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Ⅱ级基准值</w:t>
            </w:r>
          </w:p>
        </w:tc>
        <w:tc>
          <w:tcPr>
            <w:tcW w:w="1375" w:type="dxa"/>
            <w:shd w:val="clear" w:color="auto" w:fill="auto"/>
            <w:vAlign w:val="center"/>
          </w:tcPr>
          <w:p w14:paraId="66E1D367">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Ⅲ级基准值</w:t>
            </w:r>
          </w:p>
        </w:tc>
        <w:tc>
          <w:tcPr>
            <w:tcW w:w="1376" w:type="dxa"/>
            <w:vAlign w:val="center"/>
          </w:tcPr>
          <w:p w14:paraId="164DFA0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本项目情况</w:t>
            </w:r>
          </w:p>
        </w:tc>
      </w:tr>
      <w:tr w14:paraId="25117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4" w:type="dxa"/>
            <w:vAlign w:val="center"/>
          </w:tcPr>
          <w:p w14:paraId="29F40CA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w:t>
            </w:r>
          </w:p>
        </w:tc>
        <w:tc>
          <w:tcPr>
            <w:tcW w:w="1374" w:type="dxa"/>
            <w:vMerge w:val="restart"/>
            <w:vAlign w:val="center"/>
          </w:tcPr>
          <w:p w14:paraId="3268B1C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生产工艺与设备指标</w:t>
            </w:r>
          </w:p>
        </w:tc>
        <w:tc>
          <w:tcPr>
            <w:tcW w:w="1381" w:type="dxa"/>
            <w:vMerge w:val="restart"/>
            <w:vAlign w:val="center"/>
          </w:tcPr>
          <w:p w14:paraId="18E01F2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0.30</w:t>
            </w:r>
          </w:p>
        </w:tc>
        <w:tc>
          <w:tcPr>
            <w:tcW w:w="1791" w:type="dxa"/>
            <w:gridSpan w:val="3"/>
            <w:vAlign w:val="center"/>
          </w:tcPr>
          <w:p w14:paraId="0F484CF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生产工艺</w:t>
            </w:r>
          </w:p>
        </w:tc>
        <w:tc>
          <w:tcPr>
            <w:tcW w:w="1198" w:type="dxa"/>
            <w:vAlign w:val="center"/>
          </w:tcPr>
          <w:p w14:paraId="0677B29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c>
          <w:tcPr>
            <w:tcW w:w="1233" w:type="dxa"/>
            <w:vAlign w:val="center"/>
          </w:tcPr>
          <w:p w14:paraId="277C3A9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0.3</w:t>
            </w:r>
          </w:p>
        </w:tc>
        <w:tc>
          <w:tcPr>
            <w:tcW w:w="4447" w:type="dxa"/>
            <w:gridSpan w:val="3"/>
            <w:vAlign w:val="center"/>
          </w:tcPr>
          <w:p w14:paraId="18A7B98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根据矿石赋存条件、地质条件和经济合理性选择最适合的采矿工艺</w:t>
            </w:r>
          </w:p>
        </w:tc>
        <w:tc>
          <w:tcPr>
            <w:tcW w:w="1376" w:type="dxa"/>
            <w:vAlign w:val="center"/>
          </w:tcPr>
          <w:p w14:paraId="6474F68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符合</w:t>
            </w:r>
          </w:p>
        </w:tc>
      </w:tr>
      <w:tr w14:paraId="5A923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4" w:type="dxa"/>
            <w:vAlign w:val="center"/>
          </w:tcPr>
          <w:p w14:paraId="434A3B5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w:t>
            </w:r>
          </w:p>
        </w:tc>
        <w:tc>
          <w:tcPr>
            <w:tcW w:w="1374" w:type="dxa"/>
            <w:vMerge w:val="continue"/>
            <w:vAlign w:val="center"/>
          </w:tcPr>
          <w:p w14:paraId="02669EEE">
            <w:pPr>
              <w:spacing w:line="300" w:lineRule="exact"/>
              <w:jc w:val="center"/>
              <w:rPr>
                <w:rFonts w:hint="default" w:ascii="Times New Roman" w:hAnsi="Times New Roman" w:eastAsia="华文中宋" w:cs="Times New Roman"/>
                <w:szCs w:val="21"/>
                <w:lang w:val="en-US" w:eastAsia="zh-CN"/>
              </w:rPr>
            </w:pPr>
          </w:p>
        </w:tc>
        <w:tc>
          <w:tcPr>
            <w:tcW w:w="1381" w:type="dxa"/>
            <w:vMerge w:val="continue"/>
            <w:vAlign w:val="center"/>
          </w:tcPr>
          <w:p w14:paraId="4E289773">
            <w:pPr>
              <w:spacing w:line="300" w:lineRule="exact"/>
              <w:jc w:val="center"/>
              <w:rPr>
                <w:rFonts w:hint="default" w:ascii="Times New Roman" w:hAnsi="Times New Roman" w:eastAsia="华文中宋" w:cs="Times New Roman"/>
                <w:szCs w:val="21"/>
                <w:lang w:val="en-US" w:eastAsia="zh-CN"/>
              </w:rPr>
            </w:pPr>
          </w:p>
        </w:tc>
        <w:tc>
          <w:tcPr>
            <w:tcW w:w="1791" w:type="dxa"/>
            <w:gridSpan w:val="3"/>
            <w:vAlign w:val="center"/>
          </w:tcPr>
          <w:p w14:paraId="1D76820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生产装备</w:t>
            </w:r>
          </w:p>
        </w:tc>
        <w:tc>
          <w:tcPr>
            <w:tcW w:w="1198" w:type="dxa"/>
            <w:vAlign w:val="center"/>
          </w:tcPr>
          <w:p w14:paraId="17C04E1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c>
          <w:tcPr>
            <w:tcW w:w="1233" w:type="dxa"/>
            <w:vAlign w:val="center"/>
          </w:tcPr>
          <w:p w14:paraId="14E56AE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0.3</w:t>
            </w:r>
          </w:p>
        </w:tc>
        <w:tc>
          <w:tcPr>
            <w:tcW w:w="4447" w:type="dxa"/>
            <w:gridSpan w:val="3"/>
            <w:vAlign w:val="center"/>
          </w:tcPr>
          <w:p w14:paraId="7CD6647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采用大型化，效率高、能耗低的采矿装备</w:t>
            </w:r>
          </w:p>
        </w:tc>
        <w:tc>
          <w:tcPr>
            <w:tcW w:w="1376" w:type="dxa"/>
            <w:vAlign w:val="center"/>
          </w:tcPr>
          <w:p w14:paraId="1BE081F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符合</w:t>
            </w:r>
          </w:p>
        </w:tc>
      </w:tr>
      <w:tr w14:paraId="15104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4" w:type="dxa"/>
            <w:vAlign w:val="center"/>
          </w:tcPr>
          <w:p w14:paraId="5D61872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w:t>
            </w:r>
          </w:p>
        </w:tc>
        <w:tc>
          <w:tcPr>
            <w:tcW w:w="1374" w:type="dxa"/>
            <w:vMerge w:val="continue"/>
            <w:vAlign w:val="center"/>
          </w:tcPr>
          <w:p w14:paraId="56E58646">
            <w:pPr>
              <w:spacing w:line="300" w:lineRule="exact"/>
              <w:jc w:val="center"/>
              <w:rPr>
                <w:rFonts w:hint="default" w:ascii="Times New Roman" w:hAnsi="Times New Roman" w:eastAsia="华文中宋" w:cs="Times New Roman"/>
                <w:szCs w:val="21"/>
                <w:lang w:val="en-US" w:eastAsia="zh-CN"/>
              </w:rPr>
            </w:pPr>
          </w:p>
        </w:tc>
        <w:tc>
          <w:tcPr>
            <w:tcW w:w="1381" w:type="dxa"/>
            <w:vMerge w:val="continue"/>
            <w:vAlign w:val="center"/>
          </w:tcPr>
          <w:p w14:paraId="13154C80">
            <w:pPr>
              <w:spacing w:line="300" w:lineRule="exact"/>
              <w:jc w:val="center"/>
              <w:rPr>
                <w:rFonts w:hint="default" w:ascii="Times New Roman" w:hAnsi="Times New Roman" w:eastAsia="华文中宋" w:cs="Times New Roman"/>
                <w:szCs w:val="21"/>
                <w:lang w:val="en-US" w:eastAsia="zh-CN"/>
              </w:rPr>
            </w:pPr>
          </w:p>
        </w:tc>
        <w:tc>
          <w:tcPr>
            <w:tcW w:w="1791" w:type="dxa"/>
            <w:gridSpan w:val="3"/>
            <w:vAlign w:val="center"/>
          </w:tcPr>
          <w:p w14:paraId="2637FC5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通风</w:t>
            </w:r>
          </w:p>
        </w:tc>
        <w:tc>
          <w:tcPr>
            <w:tcW w:w="1198" w:type="dxa"/>
            <w:vAlign w:val="center"/>
          </w:tcPr>
          <w:p w14:paraId="0BC233B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c>
          <w:tcPr>
            <w:tcW w:w="1233" w:type="dxa"/>
            <w:vAlign w:val="center"/>
          </w:tcPr>
          <w:p w14:paraId="1FD9DF37">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0.2</w:t>
            </w:r>
          </w:p>
        </w:tc>
        <w:tc>
          <w:tcPr>
            <w:tcW w:w="4447" w:type="dxa"/>
            <w:gridSpan w:val="3"/>
            <w:vAlign w:val="center"/>
          </w:tcPr>
          <w:p w14:paraId="426E03A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矿井建立机械通风系统；进入矿井的空气无有毒、有害物质的污染；矿井通风系统的有效风量率不低于60%</w:t>
            </w:r>
          </w:p>
        </w:tc>
        <w:tc>
          <w:tcPr>
            <w:tcW w:w="1376" w:type="dxa"/>
            <w:vAlign w:val="center"/>
          </w:tcPr>
          <w:p w14:paraId="24F6857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r>
      <w:tr w14:paraId="48419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4" w:type="dxa"/>
            <w:vAlign w:val="center"/>
          </w:tcPr>
          <w:p w14:paraId="5251E4F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4</w:t>
            </w:r>
          </w:p>
        </w:tc>
        <w:tc>
          <w:tcPr>
            <w:tcW w:w="1374" w:type="dxa"/>
            <w:vMerge w:val="continue"/>
            <w:vAlign w:val="center"/>
          </w:tcPr>
          <w:p w14:paraId="68B077C0">
            <w:pPr>
              <w:spacing w:line="300" w:lineRule="exact"/>
              <w:jc w:val="center"/>
              <w:rPr>
                <w:rFonts w:hint="default" w:ascii="Times New Roman" w:hAnsi="Times New Roman" w:eastAsia="华文中宋" w:cs="Times New Roman"/>
                <w:szCs w:val="21"/>
                <w:lang w:val="en-US" w:eastAsia="zh-CN"/>
              </w:rPr>
            </w:pPr>
          </w:p>
        </w:tc>
        <w:tc>
          <w:tcPr>
            <w:tcW w:w="1381" w:type="dxa"/>
            <w:vMerge w:val="continue"/>
            <w:vAlign w:val="center"/>
          </w:tcPr>
          <w:p w14:paraId="7A7CDC35">
            <w:pPr>
              <w:spacing w:line="300" w:lineRule="exact"/>
              <w:jc w:val="center"/>
              <w:rPr>
                <w:rFonts w:hint="default" w:ascii="Times New Roman" w:hAnsi="Times New Roman" w:eastAsia="华文中宋" w:cs="Times New Roman"/>
                <w:szCs w:val="21"/>
                <w:lang w:val="en-US" w:eastAsia="zh-CN"/>
              </w:rPr>
            </w:pPr>
          </w:p>
        </w:tc>
        <w:tc>
          <w:tcPr>
            <w:tcW w:w="1791" w:type="dxa"/>
            <w:gridSpan w:val="3"/>
            <w:vAlign w:val="center"/>
          </w:tcPr>
          <w:p w14:paraId="76E1430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排水</w:t>
            </w:r>
          </w:p>
        </w:tc>
        <w:tc>
          <w:tcPr>
            <w:tcW w:w="1198" w:type="dxa"/>
            <w:vAlign w:val="center"/>
          </w:tcPr>
          <w:p w14:paraId="774D3C37">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c>
          <w:tcPr>
            <w:tcW w:w="1233" w:type="dxa"/>
            <w:vAlign w:val="center"/>
          </w:tcPr>
          <w:p w14:paraId="6FB32E1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0.2</w:t>
            </w:r>
          </w:p>
        </w:tc>
        <w:tc>
          <w:tcPr>
            <w:tcW w:w="1697" w:type="dxa"/>
            <w:vAlign w:val="center"/>
          </w:tcPr>
          <w:p w14:paraId="2CF3BB4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满足最大矿坑涌水量排水要求</w:t>
            </w:r>
          </w:p>
        </w:tc>
        <w:tc>
          <w:tcPr>
            <w:tcW w:w="2750" w:type="dxa"/>
            <w:gridSpan w:val="2"/>
            <w:vAlign w:val="center"/>
          </w:tcPr>
          <w:p w14:paraId="2478F800">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符合有色金属矿山地下开采生产技术规程</w:t>
            </w:r>
          </w:p>
        </w:tc>
        <w:tc>
          <w:tcPr>
            <w:tcW w:w="1376" w:type="dxa"/>
            <w:vAlign w:val="center"/>
          </w:tcPr>
          <w:p w14:paraId="058944B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eastAsia="zh-CN"/>
              </w:rPr>
              <w:t>Ⅰ</w:t>
            </w:r>
            <w:r>
              <w:rPr>
                <w:rFonts w:hint="default" w:ascii="Times New Roman" w:hAnsi="Times New Roman" w:eastAsia="华文中宋" w:cs="Times New Roman"/>
                <w:szCs w:val="21"/>
                <w:lang w:eastAsia="zh-CN"/>
              </w:rPr>
              <w:t>级</w:t>
            </w:r>
          </w:p>
        </w:tc>
      </w:tr>
      <w:tr w14:paraId="0BE3B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74" w:type="dxa"/>
            <w:vMerge w:val="restart"/>
            <w:vAlign w:val="center"/>
          </w:tcPr>
          <w:p w14:paraId="512F289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w:t>
            </w:r>
          </w:p>
        </w:tc>
        <w:tc>
          <w:tcPr>
            <w:tcW w:w="1374" w:type="dxa"/>
            <w:vMerge w:val="restart"/>
            <w:vAlign w:val="center"/>
          </w:tcPr>
          <w:p w14:paraId="1EA8D20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资源与能源消耗指标</w:t>
            </w:r>
          </w:p>
        </w:tc>
        <w:tc>
          <w:tcPr>
            <w:tcW w:w="1381" w:type="dxa"/>
            <w:vMerge w:val="restart"/>
            <w:vAlign w:val="center"/>
          </w:tcPr>
          <w:p w14:paraId="040ED0B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0.24</w:t>
            </w:r>
          </w:p>
        </w:tc>
        <w:tc>
          <w:tcPr>
            <w:tcW w:w="615" w:type="dxa"/>
            <w:vMerge w:val="restart"/>
            <w:vAlign w:val="center"/>
          </w:tcPr>
          <w:p w14:paraId="29407B3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单位产品综合能耗※</w:t>
            </w:r>
          </w:p>
        </w:tc>
        <w:tc>
          <w:tcPr>
            <w:tcW w:w="1176" w:type="dxa"/>
            <w:gridSpan w:val="2"/>
            <w:vAlign w:val="center"/>
          </w:tcPr>
          <w:p w14:paraId="351147C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硫化锑、硫氧化混合矿</w:t>
            </w:r>
          </w:p>
        </w:tc>
        <w:tc>
          <w:tcPr>
            <w:tcW w:w="1198" w:type="dxa"/>
            <w:vMerge w:val="restart"/>
            <w:vAlign w:val="center"/>
          </w:tcPr>
          <w:p w14:paraId="11E5DA7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kgce/t采（掘）量</w:t>
            </w:r>
          </w:p>
        </w:tc>
        <w:tc>
          <w:tcPr>
            <w:tcW w:w="1233" w:type="dxa"/>
            <w:vMerge w:val="restart"/>
            <w:vAlign w:val="center"/>
          </w:tcPr>
          <w:p w14:paraId="6797EBE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0.5</w:t>
            </w:r>
          </w:p>
        </w:tc>
        <w:tc>
          <w:tcPr>
            <w:tcW w:w="1697" w:type="dxa"/>
            <w:vAlign w:val="center"/>
          </w:tcPr>
          <w:p w14:paraId="383DAB2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≤2.88</w:t>
            </w:r>
          </w:p>
        </w:tc>
        <w:tc>
          <w:tcPr>
            <w:tcW w:w="1375" w:type="dxa"/>
            <w:vAlign w:val="center"/>
          </w:tcPr>
          <w:p w14:paraId="4052D30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≤3.2</w:t>
            </w:r>
          </w:p>
        </w:tc>
        <w:tc>
          <w:tcPr>
            <w:tcW w:w="1375" w:type="dxa"/>
            <w:vAlign w:val="center"/>
          </w:tcPr>
          <w:p w14:paraId="64C68F1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≤3.52</w:t>
            </w:r>
          </w:p>
        </w:tc>
        <w:tc>
          <w:tcPr>
            <w:tcW w:w="1376" w:type="dxa"/>
            <w:vAlign w:val="center"/>
          </w:tcPr>
          <w:p w14:paraId="71BDB00C">
            <w:pPr>
              <w:spacing w:line="300" w:lineRule="exact"/>
              <w:jc w:val="center"/>
              <w:rPr>
                <w:rFonts w:hint="default" w:ascii="Times New Roman" w:hAnsi="Times New Roman" w:eastAsia="华文中宋" w:cs="Times New Roman"/>
                <w:szCs w:val="21"/>
                <w:lang w:val="en-US" w:eastAsia="zh-CN"/>
              </w:rPr>
            </w:pPr>
          </w:p>
        </w:tc>
      </w:tr>
      <w:tr w14:paraId="22893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4" w:type="dxa"/>
            <w:vMerge w:val="continue"/>
            <w:vAlign w:val="center"/>
          </w:tcPr>
          <w:p w14:paraId="78EA9D07">
            <w:pPr>
              <w:spacing w:line="300" w:lineRule="exact"/>
              <w:jc w:val="center"/>
              <w:rPr>
                <w:rFonts w:hint="eastAsia" w:ascii="Times New Roman" w:hAnsi="Times New Roman" w:eastAsia="华文中宋" w:cs="Times New Roman"/>
                <w:szCs w:val="21"/>
                <w:lang w:val="en-US" w:eastAsia="zh-CN"/>
              </w:rPr>
            </w:pPr>
          </w:p>
        </w:tc>
        <w:tc>
          <w:tcPr>
            <w:tcW w:w="1374" w:type="dxa"/>
            <w:vMerge w:val="continue"/>
            <w:vAlign w:val="center"/>
          </w:tcPr>
          <w:p w14:paraId="231D8E64">
            <w:pPr>
              <w:spacing w:line="300" w:lineRule="exact"/>
              <w:jc w:val="center"/>
              <w:rPr>
                <w:rFonts w:hint="default" w:ascii="Times New Roman" w:hAnsi="Times New Roman" w:eastAsia="华文中宋" w:cs="Times New Roman"/>
                <w:szCs w:val="21"/>
                <w:lang w:val="en-US" w:eastAsia="zh-CN"/>
              </w:rPr>
            </w:pPr>
          </w:p>
        </w:tc>
        <w:tc>
          <w:tcPr>
            <w:tcW w:w="1381" w:type="dxa"/>
            <w:vMerge w:val="continue"/>
            <w:vAlign w:val="center"/>
          </w:tcPr>
          <w:p w14:paraId="68FA964E">
            <w:pPr>
              <w:spacing w:line="300" w:lineRule="exact"/>
              <w:jc w:val="center"/>
              <w:rPr>
                <w:rFonts w:hint="default" w:ascii="Times New Roman" w:hAnsi="Times New Roman" w:eastAsia="华文中宋" w:cs="Times New Roman"/>
                <w:szCs w:val="21"/>
                <w:lang w:val="en-US" w:eastAsia="zh-CN"/>
              </w:rPr>
            </w:pPr>
          </w:p>
        </w:tc>
        <w:tc>
          <w:tcPr>
            <w:tcW w:w="615" w:type="dxa"/>
            <w:vMerge w:val="continue"/>
            <w:vAlign w:val="center"/>
          </w:tcPr>
          <w:p w14:paraId="10DEB794">
            <w:pPr>
              <w:spacing w:line="300" w:lineRule="exact"/>
              <w:jc w:val="center"/>
              <w:rPr>
                <w:rFonts w:hint="default" w:ascii="Times New Roman" w:hAnsi="Times New Roman" w:eastAsia="华文中宋" w:cs="Times New Roman"/>
                <w:szCs w:val="21"/>
                <w:lang w:val="en-US" w:eastAsia="zh-CN"/>
              </w:rPr>
            </w:pPr>
          </w:p>
        </w:tc>
        <w:tc>
          <w:tcPr>
            <w:tcW w:w="1176" w:type="dxa"/>
            <w:gridSpan w:val="2"/>
            <w:vAlign w:val="center"/>
          </w:tcPr>
          <w:p w14:paraId="4418E4A7">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脆硫铅锑矿、锡锑多金属矿（开采深度≤250m）</w:t>
            </w:r>
          </w:p>
        </w:tc>
        <w:tc>
          <w:tcPr>
            <w:tcW w:w="1198" w:type="dxa"/>
            <w:vMerge w:val="continue"/>
            <w:vAlign w:val="center"/>
          </w:tcPr>
          <w:p w14:paraId="3F4CF001">
            <w:pPr>
              <w:spacing w:line="300" w:lineRule="exact"/>
              <w:jc w:val="center"/>
              <w:rPr>
                <w:rFonts w:hint="default" w:ascii="Times New Roman" w:hAnsi="Times New Roman" w:eastAsia="华文中宋" w:cs="Times New Roman"/>
                <w:szCs w:val="21"/>
                <w:lang w:val="en-US" w:eastAsia="zh-CN"/>
              </w:rPr>
            </w:pPr>
          </w:p>
        </w:tc>
        <w:tc>
          <w:tcPr>
            <w:tcW w:w="1233" w:type="dxa"/>
            <w:vMerge w:val="continue"/>
            <w:vAlign w:val="center"/>
          </w:tcPr>
          <w:p w14:paraId="61BF30C4">
            <w:pPr>
              <w:spacing w:line="300" w:lineRule="exact"/>
              <w:jc w:val="center"/>
              <w:rPr>
                <w:rFonts w:hint="default" w:ascii="Times New Roman" w:hAnsi="Times New Roman" w:eastAsia="华文中宋" w:cs="Times New Roman"/>
                <w:szCs w:val="21"/>
                <w:lang w:val="en-US" w:eastAsia="zh-CN"/>
              </w:rPr>
            </w:pPr>
          </w:p>
        </w:tc>
        <w:tc>
          <w:tcPr>
            <w:tcW w:w="1697" w:type="dxa"/>
            <w:vAlign w:val="center"/>
          </w:tcPr>
          <w:p w14:paraId="44303C2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≤3.5</w:t>
            </w:r>
          </w:p>
        </w:tc>
        <w:tc>
          <w:tcPr>
            <w:tcW w:w="1375" w:type="dxa"/>
            <w:vAlign w:val="center"/>
          </w:tcPr>
          <w:p w14:paraId="051ABE8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w:t>
            </w:r>
          </w:p>
        </w:tc>
        <w:tc>
          <w:tcPr>
            <w:tcW w:w="1375" w:type="dxa"/>
            <w:vAlign w:val="center"/>
          </w:tcPr>
          <w:p w14:paraId="3591EEAF">
            <w:pPr>
              <w:spacing w:line="300" w:lineRule="exact"/>
              <w:jc w:val="center"/>
              <w:rPr>
                <w:rFonts w:hint="default" w:ascii="Times New Roman" w:hAnsi="Times New Roman" w:eastAsia="华文中宋" w:cs="Times New Roman"/>
                <w:szCs w:val="21"/>
                <w:highlight w:val="lightGray"/>
                <w:lang w:val="en-US" w:eastAsia="zh-CN"/>
              </w:rPr>
            </w:pPr>
            <w:r>
              <w:rPr>
                <w:rFonts w:hint="eastAsia" w:ascii="Times New Roman" w:hAnsi="Times New Roman" w:eastAsia="华文中宋" w:cs="Times New Roman"/>
                <w:szCs w:val="21"/>
                <w:highlight w:val="none"/>
                <w:lang w:val="en-US" w:eastAsia="zh-CN"/>
              </w:rPr>
              <w:t>≤6</w:t>
            </w:r>
          </w:p>
        </w:tc>
        <w:tc>
          <w:tcPr>
            <w:tcW w:w="1376" w:type="dxa"/>
            <w:vAlign w:val="center"/>
          </w:tcPr>
          <w:p w14:paraId="7ABE051E">
            <w:pPr>
              <w:spacing w:line="300" w:lineRule="exact"/>
              <w:jc w:val="center"/>
              <w:rPr>
                <w:rFonts w:hint="default" w:ascii="Times New Roman" w:hAnsi="Times New Roman" w:eastAsia="华文中宋" w:cs="Times New Roman"/>
                <w:szCs w:val="21"/>
                <w:highlight w:val="lightGray"/>
                <w:lang w:val="en-US" w:eastAsia="zh-CN"/>
              </w:rPr>
            </w:pPr>
            <w:r>
              <w:rPr>
                <w:rFonts w:hint="eastAsia" w:ascii="Times New Roman" w:hAnsi="Times New Roman" w:eastAsia="华文中宋" w:cs="Times New Roman"/>
                <w:szCs w:val="21"/>
                <w:lang w:eastAsia="zh-CN"/>
              </w:rPr>
              <w:t>Ⅰ</w:t>
            </w:r>
            <w:r>
              <w:rPr>
                <w:rFonts w:hint="default" w:ascii="Times New Roman" w:hAnsi="Times New Roman" w:eastAsia="华文中宋" w:cs="Times New Roman"/>
                <w:szCs w:val="21"/>
                <w:lang w:eastAsia="zh-CN"/>
              </w:rPr>
              <w:t>级</w:t>
            </w:r>
          </w:p>
        </w:tc>
      </w:tr>
      <w:tr w14:paraId="1B5A8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4" w:type="dxa"/>
            <w:vMerge w:val="continue"/>
            <w:vAlign w:val="center"/>
          </w:tcPr>
          <w:p w14:paraId="60BF5019">
            <w:pPr>
              <w:spacing w:line="300" w:lineRule="exact"/>
              <w:jc w:val="center"/>
              <w:rPr>
                <w:rFonts w:hint="eastAsia" w:ascii="Times New Roman" w:hAnsi="Times New Roman" w:eastAsia="华文中宋" w:cs="Times New Roman"/>
                <w:szCs w:val="21"/>
                <w:lang w:val="en-US" w:eastAsia="zh-CN"/>
              </w:rPr>
            </w:pPr>
          </w:p>
        </w:tc>
        <w:tc>
          <w:tcPr>
            <w:tcW w:w="1374" w:type="dxa"/>
            <w:vMerge w:val="continue"/>
            <w:vAlign w:val="center"/>
          </w:tcPr>
          <w:p w14:paraId="0422B15A">
            <w:pPr>
              <w:spacing w:line="300" w:lineRule="exact"/>
              <w:jc w:val="center"/>
              <w:rPr>
                <w:rFonts w:hint="default" w:ascii="Times New Roman" w:hAnsi="Times New Roman" w:eastAsia="华文中宋" w:cs="Times New Roman"/>
                <w:szCs w:val="21"/>
                <w:lang w:val="en-US" w:eastAsia="zh-CN"/>
              </w:rPr>
            </w:pPr>
          </w:p>
        </w:tc>
        <w:tc>
          <w:tcPr>
            <w:tcW w:w="1381" w:type="dxa"/>
            <w:vMerge w:val="continue"/>
            <w:vAlign w:val="center"/>
          </w:tcPr>
          <w:p w14:paraId="3298FDCB">
            <w:pPr>
              <w:spacing w:line="300" w:lineRule="exact"/>
              <w:jc w:val="center"/>
              <w:rPr>
                <w:rFonts w:hint="default" w:ascii="Times New Roman" w:hAnsi="Times New Roman" w:eastAsia="华文中宋" w:cs="Times New Roman"/>
                <w:szCs w:val="21"/>
                <w:lang w:val="en-US" w:eastAsia="zh-CN"/>
              </w:rPr>
            </w:pPr>
          </w:p>
        </w:tc>
        <w:tc>
          <w:tcPr>
            <w:tcW w:w="615" w:type="dxa"/>
            <w:vMerge w:val="continue"/>
            <w:vAlign w:val="center"/>
          </w:tcPr>
          <w:p w14:paraId="5EDF096A">
            <w:pPr>
              <w:spacing w:line="300" w:lineRule="exact"/>
              <w:jc w:val="center"/>
              <w:rPr>
                <w:rFonts w:hint="default" w:ascii="Times New Roman" w:hAnsi="Times New Roman" w:eastAsia="华文中宋" w:cs="Times New Roman"/>
                <w:szCs w:val="21"/>
                <w:lang w:val="en-US" w:eastAsia="zh-CN"/>
              </w:rPr>
            </w:pPr>
          </w:p>
        </w:tc>
        <w:tc>
          <w:tcPr>
            <w:tcW w:w="1176" w:type="dxa"/>
            <w:gridSpan w:val="2"/>
            <w:vAlign w:val="center"/>
          </w:tcPr>
          <w:p w14:paraId="244823A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脆硫铅锑矿、锡锑多金属矿（500m≥开采深度&gt;250m）</w:t>
            </w:r>
          </w:p>
        </w:tc>
        <w:tc>
          <w:tcPr>
            <w:tcW w:w="1198" w:type="dxa"/>
            <w:vMerge w:val="continue"/>
            <w:vAlign w:val="center"/>
          </w:tcPr>
          <w:p w14:paraId="0090268C">
            <w:pPr>
              <w:spacing w:line="300" w:lineRule="exact"/>
              <w:jc w:val="center"/>
              <w:rPr>
                <w:rFonts w:hint="default" w:ascii="Times New Roman" w:hAnsi="Times New Roman" w:eastAsia="华文中宋" w:cs="Times New Roman"/>
                <w:szCs w:val="21"/>
                <w:lang w:val="en-US" w:eastAsia="zh-CN"/>
              </w:rPr>
            </w:pPr>
          </w:p>
        </w:tc>
        <w:tc>
          <w:tcPr>
            <w:tcW w:w="1233" w:type="dxa"/>
            <w:vMerge w:val="continue"/>
            <w:vAlign w:val="center"/>
          </w:tcPr>
          <w:p w14:paraId="51B4292D">
            <w:pPr>
              <w:spacing w:line="300" w:lineRule="exact"/>
              <w:jc w:val="center"/>
              <w:rPr>
                <w:rFonts w:hint="default" w:ascii="Times New Roman" w:hAnsi="Times New Roman" w:eastAsia="华文中宋" w:cs="Times New Roman"/>
                <w:szCs w:val="21"/>
                <w:lang w:val="en-US" w:eastAsia="zh-CN"/>
              </w:rPr>
            </w:pPr>
          </w:p>
        </w:tc>
        <w:tc>
          <w:tcPr>
            <w:tcW w:w="1697" w:type="dxa"/>
            <w:vAlign w:val="center"/>
          </w:tcPr>
          <w:p w14:paraId="592BAD4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≤6</w:t>
            </w:r>
          </w:p>
        </w:tc>
        <w:tc>
          <w:tcPr>
            <w:tcW w:w="1375" w:type="dxa"/>
            <w:vAlign w:val="center"/>
          </w:tcPr>
          <w:p w14:paraId="7BF5207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≤7.5</w:t>
            </w:r>
          </w:p>
        </w:tc>
        <w:tc>
          <w:tcPr>
            <w:tcW w:w="1375" w:type="dxa"/>
            <w:vAlign w:val="center"/>
          </w:tcPr>
          <w:p w14:paraId="79E2E5F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≤8.5</w:t>
            </w:r>
          </w:p>
        </w:tc>
        <w:tc>
          <w:tcPr>
            <w:tcW w:w="1376" w:type="dxa"/>
            <w:vAlign w:val="center"/>
          </w:tcPr>
          <w:p w14:paraId="28F53B15">
            <w:pPr>
              <w:spacing w:line="300" w:lineRule="exact"/>
              <w:jc w:val="center"/>
              <w:rPr>
                <w:rFonts w:hint="default" w:ascii="Times New Roman" w:hAnsi="Times New Roman" w:eastAsia="华文中宋" w:cs="Times New Roman"/>
                <w:szCs w:val="21"/>
                <w:lang w:val="en-US" w:eastAsia="zh-CN"/>
              </w:rPr>
            </w:pPr>
          </w:p>
        </w:tc>
      </w:tr>
      <w:tr w14:paraId="1D1DB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4" w:type="dxa"/>
            <w:vMerge w:val="continue"/>
            <w:vAlign w:val="center"/>
          </w:tcPr>
          <w:p w14:paraId="3B264456">
            <w:pPr>
              <w:spacing w:line="300" w:lineRule="exact"/>
              <w:jc w:val="center"/>
              <w:rPr>
                <w:rFonts w:hint="eastAsia" w:ascii="Times New Roman" w:hAnsi="Times New Roman" w:eastAsia="华文中宋" w:cs="Times New Roman"/>
                <w:szCs w:val="21"/>
                <w:lang w:val="en-US" w:eastAsia="zh-CN"/>
              </w:rPr>
            </w:pPr>
          </w:p>
        </w:tc>
        <w:tc>
          <w:tcPr>
            <w:tcW w:w="1374" w:type="dxa"/>
            <w:vMerge w:val="continue"/>
            <w:vAlign w:val="center"/>
          </w:tcPr>
          <w:p w14:paraId="3164FC50">
            <w:pPr>
              <w:spacing w:line="300" w:lineRule="exact"/>
              <w:jc w:val="center"/>
              <w:rPr>
                <w:rFonts w:hint="default" w:ascii="Times New Roman" w:hAnsi="Times New Roman" w:eastAsia="华文中宋" w:cs="Times New Roman"/>
                <w:szCs w:val="21"/>
                <w:lang w:val="en-US" w:eastAsia="zh-CN"/>
              </w:rPr>
            </w:pPr>
          </w:p>
        </w:tc>
        <w:tc>
          <w:tcPr>
            <w:tcW w:w="1381" w:type="dxa"/>
            <w:vMerge w:val="continue"/>
            <w:vAlign w:val="center"/>
          </w:tcPr>
          <w:p w14:paraId="539F8743">
            <w:pPr>
              <w:spacing w:line="300" w:lineRule="exact"/>
              <w:jc w:val="center"/>
              <w:rPr>
                <w:rFonts w:hint="default" w:ascii="Times New Roman" w:hAnsi="Times New Roman" w:eastAsia="华文中宋" w:cs="Times New Roman"/>
                <w:szCs w:val="21"/>
                <w:lang w:val="en-US" w:eastAsia="zh-CN"/>
              </w:rPr>
            </w:pPr>
          </w:p>
        </w:tc>
        <w:tc>
          <w:tcPr>
            <w:tcW w:w="615" w:type="dxa"/>
            <w:vMerge w:val="continue"/>
            <w:vAlign w:val="center"/>
          </w:tcPr>
          <w:p w14:paraId="0C2EBEC6">
            <w:pPr>
              <w:spacing w:line="300" w:lineRule="exact"/>
              <w:jc w:val="center"/>
              <w:rPr>
                <w:rFonts w:hint="default" w:ascii="Times New Roman" w:hAnsi="Times New Roman" w:eastAsia="华文中宋" w:cs="Times New Roman"/>
                <w:szCs w:val="21"/>
                <w:lang w:val="en-US" w:eastAsia="zh-CN"/>
              </w:rPr>
            </w:pPr>
          </w:p>
        </w:tc>
        <w:tc>
          <w:tcPr>
            <w:tcW w:w="1176" w:type="dxa"/>
            <w:gridSpan w:val="2"/>
            <w:vAlign w:val="center"/>
          </w:tcPr>
          <w:p w14:paraId="3CBD926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脆硫铅锑矿、锡锑多金属矿（750m≥开采深度&gt;500m）</w:t>
            </w:r>
          </w:p>
        </w:tc>
        <w:tc>
          <w:tcPr>
            <w:tcW w:w="1198" w:type="dxa"/>
            <w:vMerge w:val="continue"/>
            <w:vAlign w:val="center"/>
          </w:tcPr>
          <w:p w14:paraId="0A6CF50D">
            <w:pPr>
              <w:spacing w:line="300" w:lineRule="exact"/>
              <w:jc w:val="center"/>
              <w:rPr>
                <w:rFonts w:hint="default" w:ascii="Times New Roman" w:hAnsi="Times New Roman" w:eastAsia="华文中宋" w:cs="Times New Roman"/>
                <w:szCs w:val="21"/>
                <w:lang w:val="en-US" w:eastAsia="zh-CN"/>
              </w:rPr>
            </w:pPr>
          </w:p>
        </w:tc>
        <w:tc>
          <w:tcPr>
            <w:tcW w:w="1233" w:type="dxa"/>
            <w:vMerge w:val="continue"/>
            <w:vAlign w:val="center"/>
          </w:tcPr>
          <w:p w14:paraId="04DAB399">
            <w:pPr>
              <w:spacing w:line="300" w:lineRule="exact"/>
              <w:jc w:val="center"/>
              <w:rPr>
                <w:rFonts w:hint="default" w:ascii="Times New Roman" w:hAnsi="Times New Roman" w:eastAsia="华文中宋" w:cs="Times New Roman"/>
                <w:szCs w:val="21"/>
                <w:lang w:val="en-US" w:eastAsia="zh-CN"/>
              </w:rPr>
            </w:pPr>
          </w:p>
        </w:tc>
        <w:tc>
          <w:tcPr>
            <w:tcW w:w="1697" w:type="dxa"/>
            <w:shd w:val="clear" w:color="auto" w:fill="auto"/>
            <w:vAlign w:val="center"/>
          </w:tcPr>
          <w:p w14:paraId="73A7A13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≤8.5</w:t>
            </w:r>
          </w:p>
        </w:tc>
        <w:tc>
          <w:tcPr>
            <w:tcW w:w="1375" w:type="dxa"/>
            <w:shd w:val="clear" w:color="auto" w:fill="auto"/>
            <w:vAlign w:val="center"/>
          </w:tcPr>
          <w:p w14:paraId="23B1E9B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c>
          <w:tcPr>
            <w:tcW w:w="1375" w:type="dxa"/>
            <w:shd w:val="clear" w:color="auto" w:fill="auto"/>
            <w:vAlign w:val="center"/>
          </w:tcPr>
          <w:p w14:paraId="1B540A87">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≤11</w:t>
            </w:r>
          </w:p>
        </w:tc>
        <w:tc>
          <w:tcPr>
            <w:tcW w:w="1376" w:type="dxa"/>
            <w:vAlign w:val="center"/>
          </w:tcPr>
          <w:p w14:paraId="4AA193C4">
            <w:pPr>
              <w:spacing w:line="300" w:lineRule="exact"/>
              <w:jc w:val="center"/>
              <w:rPr>
                <w:rFonts w:hint="default" w:ascii="Times New Roman" w:hAnsi="Times New Roman" w:eastAsia="华文中宋" w:cs="Times New Roman"/>
                <w:szCs w:val="21"/>
                <w:lang w:val="en-US" w:eastAsia="zh-CN"/>
              </w:rPr>
            </w:pPr>
          </w:p>
        </w:tc>
      </w:tr>
      <w:tr w14:paraId="34E28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4" w:type="dxa"/>
            <w:vMerge w:val="continue"/>
            <w:vAlign w:val="center"/>
          </w:tcPr>
          <w:p w14:paraId="13D4E2F8">
            <w:pPr>
              <w:spacing w:line="300" w:lineRule="exact"/>
              <w:jc w:val="center"/>
              <w:rPr>
                <w:rFonts w:hint="eastAsia" w:ascii="Times New Roman" w:hAnsi="Times New Roman" w:eastAsia="华文中宋" w:cs="Times New Roman"/>
                <w:szCs w:val="21"/>
                <w:lang w:val="en-US" w:eastAsia="zh-CN"/>
              </w:rPr>
            </w:pPr>
          </w:p>
        </w:tc>
        <w:tc>
          <w:tcPr>
            <w:tcW w:w="1374" w:type="dxa"/>
            <w:vMerge w:val="continue"/>
            <w:vAlign w:val="center"/>
          </w:tcPr>
          <w:p w14:paraId="2B0ABF58">
            <w:pPr>
              <w:spacing w:line="300" w:lineRule="exact"/>
              <w:jc w:val="center"/>
              <w:rPr>
                <w:rFonts w:hint="default" w:ascii="Times New Roman" w:hAnsi="Times New Roman" w:eastAsia="华文中宋" w:cs="Times New Roman"/>
                <w:szCs w:val="21"/>
                <w:lang w:val="en-US" w:eastAsia="zh-CN"/>
              </w:rPr>
            </w:pPr>
          </w:p>
        </w:tc>
        <w:tc>
          <w:tcPr>
            <w:tcW w:w="1381" w:type="dxa"/>
            <w:vMerge w:val="continue"/>
            <w:vAlign w:val="center"/>
          </w:tcPr>
          <w:p w14:paraId="3E03E4AD">
            <w:pPr>
              <w:spacing w:line="300" w:lineRule="exact"/>
              <w:jc w:val="center"/>
              <w:rPr>
                <w:rFonts w:hint="default" w:ascii="Times New Roman" w:hAnsi="Times New Roman" w:eastAsia="华文中宋" w:cs="Times New Roman"/>
                <w:szCs w:val="21"/>
                <w:lang w:val="en-US" w:eastAsia="zh-CN"/>
              </w:rPr>
            </w:pPr>
          </w:p>
        </w:tc>
        <w:tc>
          <w:tcPr>
            <w:tcW w:w="615" w:type="dxa"/>
            <w:vMerge w:val="continue"/>
            <w:vAlign w:val="center"/>
          </w:tcPr>
          <w:p w14:paraId="19AD2F44">
            <w:pPr>
              <w:spacing w:line="300" w:lineRule="exact"/>
              <w:jc w:val="center"/>
              <w:rPr>
                <w:rFonts w:hint="default" w:ascii="Times New Roman" w:hAnsi="Times New Roman" w:eastAsia="华文中宋" w:cs="Times New Roman"/>
                <w:szCs w:val="21"/>
                <w:lang w:val="en-US" w:eastAsia="zh-CN"/>
              </w:rPr>
            </w:pPr>
          </w:p>
        </w:tc>
        <w:tc>
          <w:tcPr>
            <w:tcW w:w="1176" w:type="dxa"/>
            <w:gridSpan w:val="2"/>
            <w:vAlign w:val="center"/>
          </w:tcPr>
          <w:p w14:paraId="7799AA2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脆硫铅锑矿、锡锑多金属矿（开采深度&gt;750m）</w:t>
            </w:r>
          </w:p>
        </w:tc>
        <w:tc>
          <w:tcPr>
            <w:tcW w:w="1198" w:type="dxa"/>
            <w:vMerge w:val="continue"/>
            <w:vAlign w:val="center"/>
          </w:tcPr>
          <w:p w14:paraId="1B7A2A24">
            <w:pPr>
              <w:spacing w:line="300" w:lineRule="exact"/>
              <w:jc w:val="center"/>
              <w:rPr>
                <w:rFonts w:hint="default" w:ascii="Times New Roman" w:hAnsi="Times New Roman" w:eastAsia="华文中宋" w:cs="Times New Roman"/>
                <w:szCs w:val="21"/>
                <w:lang w:val="en-US" w:eastAsia="zh-CN"/>
              </w:rPr>
            </w:pPr>
          </w:p>
        </w:tc>
        <w:tc>
          <w:tcPr>
            <w:tcW w:w="1233" w:type="dxa"/>
            <w:vMerge w:val="continue"/>
            <w:vAlign w:val="center"/>
          </w:tcPr>
          <w:p w14:paraId="20DC1E3D">
            <w:pPr>
              <w:spacing w:line="300" w:lineRule="exact"/>
              <w:jc w:val="center"/>
              <w:rPr>
                <w:rFonts w:hint="default" w:ascii="Times New Roman" w:hAnsi="Times New Roman" w:eastAsia="华文中宋" w:cs="Times New Roman"/>
                <w:szCs w:val="21"/>
                <w:lang w:val="en-US" w:eastAsia="zh-CN"/>
              </w:rPr>
            </w:pPr>
          </w:p>
        </w:tc>
        <w:tc>
          <w:tcPr>
            <w:tcW w:w="1697" w:type="dxa"/>
            <w:vAlign w:val="center"/>
          </w:tcPr>
          <w:p w14:paraId="79C97787">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≤11</w:t>
            </w:r>
          </w:p>
        </w:tc>
        <w:tc>
          <w:tcPr>
            <w:tcW w:w="1375" w:type="dxa"/>
            <w:vAlign w:val="center"/>
          </w:tcPr>
          <w:p w14:paraId="0DD4748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≤12.5</w:t>
            </w:r>
          </w:p>
        </w:tc>
        <w:tc>
          <w:tcPr>
            <w:tcW w:w="1375" w:type="dxa"/>
            <w:vAlign w:val="center"/>
          </w:tcPr>
          <w:p w14:paraId="27A72F4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≤13.5</w:t>
            </w:r>
          </w:p>
        </w:tc>
        <w:tc>
          <w:tcPr>
            <w:tcW w:w="1376" w:type="dxa"/>
            <w:vAlign w:val="center"/>
          </w:tcPr>
          <w:p w14:paraId="29497FFD">
            <w:pPr>
              <w:spacing w:line="300" w:lineRule="exact"/>
              <w:jc w:val="center"/>
              <w:rPr>
                <w:rFonts w:hint="default" w:ascii="Times New Roman" w:hAnsi="Times New Roman" w:eastAsia="华文中宋" w:cs="Times New Roman"/>
                <w:szCs w:val="21"/>
                <w:lang w:val="en-US" w:eastAsia="zh-CN"/>
              </w:rPr>
            </w:pPr>
          </w:p>
        </w:tc>
      </w:tr>
      <w:tr w14:paraId="0C012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4" w:type="dxa"/>
            <w:vAlign w:val="center"/>
          </w:tcPr>
          <w:p w14:paraId="4F56768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6</w:t>
            </w:r>
          </w:p>
        </w:tc>
        <w:tc>
          <w:tcPr>
            <w:tcW w:w="1374" w:type="dxa"/>
            <w:vMerge w:val="continue"/>
            <w:vAlign w:val="center"/>
          </w:tcPr>
          <w:p w14:paraId="1AA3E068">
            <w:pPr>
              <w:spacing w:line="300" w:lineRule="exact"/>
              <w:jc w:val="center"/>
              <w:rPr>
                <w:rFonts w:hint="default" w:ascii="Times New Roman" w:hAnsi="Times New Roman" w:eastAsia="华文中宋" w:cs="Times New Roman"/>
                <w:szCs w:val="21"/>
                <w:lang w:val="en-US" w:eastAsia="zh-CN"/>
              </w:rPr>
            </w:pPr>
          </w:p>
        </w:tc>
        <w:tc>
          <w:tcPr>
            <w:tcW w:w="1381" w:type="dxa"/>
            <w:vMerge w:val="continue"/>
            <w:vAlign w:val="center"/>
          </w:tcPr>
          <w:p w14:paraId="1A33FE41">
            <w:pPr>
              <w:spacing w:line="300" w:lineRule="exact"/>
              <w:jc w:val="center"/>
              <w:rPr>
                <w:rFonts w:hint="default" w:ascii="Times New Roman" w:hAnsi="Times New Roman" w:eastAsia="华文中宋" w:cs="Times New Roman"/>
                <w:szCs w:val="21"/>
                <w:lang w:val="en-US" w:eastAsia="zh-CN"/>
              </w:rPr>
            </w:pPr>
          </w:p>
        </w:tc>
        <w:tc>
          <w:tcPr>
            <w:tcW w:w="1791" w:type="dxa"/>
            <w:gridSpan w:val="3"/>
            <w:vAlign w:val="center"/>
          </w:tcPr>
          <w:p w14:paraId="37E3FF7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单位产品新鲜水耗※</w:t>
            </w:r>
          </w:p>
        </w:tc>
        <w:tc>
          <w:tcPr>
            <w:tcW w:w="1198" w:type="dxa"/>
            <w:vAlign w:val="center"/>
          </w:tcPr>
          <w:p w14:paraId="69791BE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m</w:t>
            </w:r>
            <w:r>
              <w:rPr>
                <w:rFonts w:hint="eastAsia" w:ascii="Times New Roman" w:hAnsi="Times New Roman" w:eastAsia="华文中宋" w:cs="Times New Roman"/>
                <w:szCs w:val="21"/>
                <w:vertAlign w:val="superscript"/>
                <w:lang w:val="en-US" w:eastAsia="zh-CN"/>
              </w:rPr>
              <w:t>3</w:t>
            </w:r>
            <w:r>
              <w:rPr>
                <w:rFonts w:hint="eastAsia" w:ascii="Times New Roman" w:hAnsi="Times New Roman" w:eastAsia="华文中宋" w:cs="Times New Roman"/>
                <w:szCs w:val="21"/>
                <w:lang w:val="en-US" w:eastAsia="zh-CN"/>
              </w:rPr>
              <w:t>/t原矿</w:t>
            </w:r>
          </w:p>
        </w:tc>
        <w:tc>
          <w:tcPr>
            <w:tcW w:w="1233" w:type="dxa"/>
            <w:vAlign w:val="center"/>
          </w:tcPr>
          <w:p w14:paraId="1D03F25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0.5</w:t>
            </w:r>
          </w:p>
        </w:tc>
        <w:tc>
          <w:tcPr>
            <w:tcW w:w="1697" w:type="dxa"/>
            <w:vAlign w:val="center"/>
          </w:tcPr>
          <w:p w14:paraId="799F8EA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≤0.3</w:t>
            </w:r>
          </w:p>
        </w:tc>
        <w:tc>
          <w:tcPr>
            <w:tcW w:w="1375" w:type="dxa"/>
            <w:vAlign w:val="center"/>
          </w:tcPr>
          <w:p w14:paraId="56A182B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≤0.4</w:t>
            </w:r>
          </w:p>
        </w:tc>
        <w:tc>
          <w:tcPr>
            <w:tcW w:w="1375" w:type="dxa"/>
            <w:vAlign w:val="center"/>
          </w:tcPr>
          <w:p w14:paraId="47ABBFC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≤0.5</w:t>
            </w:r>
          </w:p>
        </w:tc>
        <w:tc>
          <w:tcPr>
            <w:tcW w:w="1376" w:type="dxa"/>
            <w:vAlign w:val="center"/>
          </w:tcPr>
          <w:p w14:paraId="64E487A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eastAsia="zh-CN"/>
              </w:rPr>
              <w:t>Ⅰ</w:t>
            </w:r>
            <w:r>
              <w:rPr>
                <w:rFonts w:hint="default" w:ascii="Times New Roman" w:hAnsi="Times New Roman" w:eastAsia="华文中宋" w:cs="Times New Roman"/>
                <w:szCs w:val="21"/>
                <w:lang w:eastAsia="zh-CN"/>
              </w:rPr>
              <w:t>级</w:t>
            </w:r>
          </w:p>
        </w:tc>
      </w:tr>
      <w:tr w14:paraId="16AFD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4" w:type="dxa"/>
            <w:vAlign w:val="center"/>
          </w:tcPr>
          <w:p w14:paraId="3861D3F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7</w:t>
            </w:r>
          </w:p>
        </w:tc>
        <w:tc>
          <w:tcPr>
            <w:tcW w:w="1374" w:type="dxa"/>
            <w:vMerge w:val="restart"/>
            <w:vAlign w:val="center"/>
          </w:tcPr>
          <w:p w14:paraId="2CB0A9A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资源综合利用指标</w:t>
            </w:r>
          </w:p>
        </w:tc>
        <w:tc>
          <w:tcPr>
            <w:tcW w:w="1381" w:type="dxa"/>
            <w:vMerge w:val="restart"/>
            <w:vAlign w:val="center"/>
          </w:tcPr>
          <w:p w14:paraId="5072806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0.22</w:t>
            </w:r>
          </w:p>
        </w:tc>
        <w:tc>
          <w:tcPr>
            <w:tcW w:w="1791" w:type="dxa"/>
            <w:gridSpan w:val="3"/>
            <w:vAlign w:val="center"/>
          </w:tcPr>
          <w:p w14:paraId="4FC8A96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开采回采率※</w:t>
            </w:r>
          </w:p>
        </w:tc>
        <w:tc>
          <w:tcPr>
            <w:tcW w:w="1198" w:type="dxa"/>
            <w:vAlign w:val="center"/>
          </w:tcPr>
          <w:p w14:paraId="7596446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c>
          <w:tcPr>
            <w:tcW w:w="1233" w:type="dxa"/>
            <w:shd w:val="clear" w:color="auto" w:fill="auto"/>
            <w:vAlign w:val="center"/>
          </w:tcPr>
          <w:p w14:paraId="327F251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0.6</w:t>
            </w:r>
          </w:p>
        </w:tc>
        <w:tc>
          <w:tcPr>
            <w:tcW w:w="1697" w:type="dxa"/>
            <w:vAlign w:val="center"/>
          </w:tcPr>
          <w:p w14:paraId="4043E18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≥90</w:t>
            </w:r>
          </w:p>
        </w:tc>
        <w:tc>
          <w:tcPr>
            <w:tcW w:w="1375" w:type="dxa"/>
            <w:vAlign w:val="center"/>
          </w:tcPr>
          <w:p w14:paraId="4C0F079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≥88</w:t>
            </w:r>
          </w:p>
        </w:tc>
        <w:tc>
          <w:tcPr>
            <w:tcW w:w="1375" w:type="dxa"/>
            <w:vAlign w:val="center"/>
          </w:tcPr>
          <w:p w14:paraId="26FCEA07">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≥85</w:t>
            </w:r>
          </w:p>
        </w:tc>
        <w:tc>
          <w:tcPr>
            <w:tcW w:w="1376" w:type="dxa"/>
            <w:vAlign w:val="center"/>
          </w:tcPr>
          <w:p w14:paraId="51CF2DC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Ⅰ</w:t>
            </w:r>
            <w:r>
              <w:rPr>
                <w:rFonts w:hint="default" w:ascii="Times New Roman" w:hAnsi="Times New Roman" w:eastAsia="华文中宋" w:cs="Times New Roman"/>
                <w:szCs w:val="21"/>
                <w:lang w:val="en-US" w:eastAsia="zh-CN"/>
              </w:rPr>
              <w:t>级</w:t>
            </w:r>
          </w:p>
        </w:tc>
      </w:tr>
      <w:tr w14:paraId="1537F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4" w:type="dxa"/>
            <w:vAlign w:val="center"/>
          </w:tcPr>
          <w:p w14:paraId="12E0E01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8</w:t>
            </w:r>
          </w:p>
        </w:tc>
        <w:tc>
          <w:tcPr>
            <w:tcW w:w="1374" w:type="dxa"/>
            <w:vMerge w:val="continue"/>
            <w:vAlign w:val="center"/>
          </w:tcPr>
          <w:p w14:paraId="20353BA8">
            <w:pPr>
              <w:spacing w:line="300" w:lineRule="exact"/>
              <w:jc w:val="center"/>
              <w:rPr>
                <w:rFonts w:hint="default" w:ascii="Times New Roman" w:hAnsi="Times New Roman" w:eastAsia="华文中宋" w:cs="Times New Roman"/>
                <w:szCs w:val="21"/>
                <w:lang w:val="en-US" w:eastAsia="zh-CN"/>
              </w:rPr>
            </w:pPr>
          </w:p>
        </w:tc>
        <w:tc>
          <w:tcPr>
            <w:tcW w:w="1381" w:type="dxa"/>
            <w:vMerge w:val="continue"/>
            <w:vAlign w:val="center"/>
          </w:tcPr>
          <w:p w14:paraId="5E5608A7">
            <w:pPr>
              <w:spacing w:line="300" w:lineRule="exact"/>
              <w:jc w:val="center"/>
              <w:rPr>
                <w:rFonts w:hint="default" w:ascii="Times New Roman" w:hAnsi="Times New Roman" w:eastAsia="华文中宋" w:cs="Times New Roman"/>
                <w:szCs w:val="21"/>
                <w:lang w:val="en-US" w:eastAsia="zh-CN"/>
              </w:rPr>
            </w:pPr>
          </w:p>
        </w:tc>
        <w:tc>
          <w:tcPr>
            <w:tcW w:w="1791" w:type="dxa"/>
            <w:gridSpan w:val="3"/>
            <w:vAlign w:val="center"/>
          </w:tcPr>
          <w:p w14:paraId="433A218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废石综合利用率</w:t>
            </w:r>
          </w:p>
        </w:tc>
        <w:tc>
          <w:tcPr>
            <w:tcW w:w="1198" w:type="dxa"/>
            <w:vAlign w:val="center"/>
          </w:tcPr>
          <w:p w14:paraId="644FC3C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c>
          <w:tcPr>
            <w:tcW w:w="1233" w:type="dxa"/>
            <w:shd w:val="clear" w:color="auto" w:fill="auto"/>
            <w:vAlign w:val="center"/>
          </w:tcPr>
          <w:p w14:paraId="3E06EE5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0.4</w:t>
            </w:r>
          </w:p>
        </w:tc>
        <w:tc>
          <w:tcPr>
            <w:tcW w:w="1697" w:type="dxa"/>
            <w:vAlign w:val="center"/>
          </w:tcPr>
          <w:p w14:paraId="79634F3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≥60</w:t>
            </w:r>
          </w:p>
        </w:tc>
        <w:tc>
          <w:tcPr>
            <w:tcW w:w="1375" w:type="dxa"/>
            <w:vAlign w:val="center"/>
          </w:tcPr>
          <w:p w14:paraId="3BFA642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≥40</w:t>
            </w:r>
          </w:p>
        </w:tc>
        <w:tc>
          <w:tcPr>
            <w:tcW w:w="1375" w:type="dxa"/>
            <w:vAlign w:val="center"/>
          </w:tcPr>
          <w:p w14:paraId="0104ED3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≥20</w:t>
            </w:r>
          </w:p>
        </w:tc>
        <w:tc>
          <w:tcPr>
            <w:tcW w:w="1376" w:type="dxa"/>
            <w:vAlign w:val="center"/>
          </w:tcPr>
          <w:p w14:paraId="7B46DD7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Ⅰ</w:t>
            </w:r>
            <w:r>
              <w:rPr>
                <w:rFonts w:hint="default" w:ascii="Times New Roman" w:hAnsi="Times New Roman" w:eastAsia="华文中宋" w:cs="Times New Roman"/>
                <w:szCs w:val="21"/>
                <w:lang w:val="en-US" w:eastAsia="zh-CN"/>
              </w:rPr>
              <w:t>级</w:t>
            </w:r>
          </w:p>
        </w:tc>
      </w:tr>
      <w:tr w14:paraId="20B55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4" w:type="dxa"/>
            <w:vAlign w:val="center"/>
          </w:tcPr>
          <w:p w14:paraId="2F7B866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9</w:t>
            </w:r>
          </w:p>
        </w:tc>
        <w:tc>
          <w:tcPr>
            <w:tcW w:w="1374" w:type="dxa"/>
            <w:vAlign w:val="center"/>
          </w:tcPr>
          <w:p w14:paraId="68EBCD5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污染物产生指标</w:t>
            </w:r>
          </w:p>
        </w:tc>
        <w:tc>
          <w:tcPr>
            <w:tcW w:w="1381" w:type="dxa"/>
            <w:vAlign w:val="center"/>
          </w:tcPr>
          <w:p w14:paraId="4C49FAB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0.04</w:t>
            </w:r>
          </w:p>
        </w:tc>
        <w:tc>
          <w:tcPr>
            <w:tcW w:w="1791" w:type="dxa"/>
            <w:gridSpan w:val="3"/>
            <w:vAlign w:val="center"/>
          </w:tcPr>
          <w:p w14:paraId="4A40AA0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作业场所粉尘浓度</w:t>
            </w:r>
          </w:p>
        </w:tc>
        <w:tc>
          <w:tcPr>
            <w:tcW w:w="1198" w:type="dxa"/>
            <w:vAlign w:val="center"/>
          </w:tcPr>
          <w:p w14:paraId="353ACE70">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mg/m</w:t>
            </w:r>
            <w:r>
              <w:rPr>
                <w:rFonts w:hint="eastAsia" w:ascii="Times New Roman" w:hAnsi="Times New Roman" w:eastAsia="华文中宋" w:cs="Times New Roman"/>
                <w:szCs w:val="21"/>
                <w:vertAlign w:val="superscript"/>
                <w:lang w:val="en-US" w:eastAsia="zh-CN"/>
              </w:rPr>
              <w:t>3</w:t>
            </w:r>
          </w:p>
        </w:tc>
        <w:tc>
          <w:tcPr>
            <w:tcW w:w="1233" w:type="dxa"/>
            <w:vAlign w:val="center"/>
          </w:tcPr>
          <w:p w14:paraId="0D7770F0">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c>
          <w:tcPr>
            <w:tcW w:w="1697" w:type="dxa"/>
            <w:vAlign w:val="center"/>
          </w:tcPr>
          <w:p w14:paraId="3D28753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w:t>
            </w:r>
          </w:p>
        </w:tc>
        <w:tc>
          <w:tcPr>
            <w:tcW w:w="1375" w:type="dxa"/>
            <w:vAlign w:val="center"/>
          </w:tcPr>
          <w:p w14:paraId="6A53315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≤2.5</w:t>
            </w:r>
          </w:p>
        </w:tc>
        <w:tc>
          <w:tcPr>
            <w:tcW w:w="1375" w:type="dxa"/>
            <w:vAlign w:val="center"/>
          </w:tcPr>
          <w:p w14:paraId="207643F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w:t>
            </w:r>
          </w:p>
        </w:tc>
        <w:tc>
          <w:tcPr>
            <w:tcW w:w="1376" w:type="dxa"/>
            <w:vAlign w:val="center"/>
          </w:tcPr>
          <w:p w14:paraId="643FDD3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Ⅰ</w:t>
            </w:r>
            <w:r>
              <w:rPr>
                <w:rFonts w:hint="default" w:ascii="Times New Roman" w:hAnsi="Times New Roman" w:eastAsia="华文中宋" w:cs="Times New Roman"/>
                <w:szCs w:val="21"/>
                <w:lang w:val="en-US" w:eastAsia="zh-CN"/>
              </w:rPr>
              <w:t>级</w:t>
            </w:r>
          </w:p>
        </w:tc>
      </w:tr>
      <w:tr w14:paraId="600BB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4" w:type="dxa"/>
            <w:vAlign w:val="center"/>
          </w:tcPr>
          <w:p w14:paraId="5BDCA32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c>
          <w:tcPr>
            <w:tcW w:w="1374" w:type="dxa"/>
            <w:vAlign w:val="center"/>
          </w:tcPr>
          <w:p w14:paraId="043F726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矿山生态保护指标</w:t>
            </w:r>
          </w:p>
        </w:tc>
        <w:tc>
          <w:tcPr>
            <w:tcW w:w="1381" w:type="dxa"/>
            <w:vAlign w:val="center"/>
          </w:tcPr>
          <w:p w14:paraId="447E904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0.10</w:t>
            </w:r>
          </w:p>
        </w:tc>
        <w:tc>
          <w:tcPr>
            <w:tcW w:w="1791" w:type="dxa"/>
            <w:gridSpan w:val="3"/>
            <w:vAlign w:val="center"/>
          </w:tcPr>
          <w:p w14:paraId="4199EB50">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复垦率</w:t>
            </w:r>
          </w:p>
        </w:tc>
        <w:tc>
          <w:tcPr>
            <w:tcW w:w="1198" w:type="dxa"/>
            <w:vAlign w:val="center"/>
          </w:tcPr>
          <w:p w14:paraId="0DF8CEE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c>
          <w:tcPr>
            <w:tcW w:w="1233" w:type="dxa"/>
            <w:vAlign w:val="center"/>
          </w:tcPr>
          <w:p w14:paraId="5BCA832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c>
          <w:tcPr>
            <w:tcW w:w="1697" w:type="dxa"/>
            <w:shd w:val="clear" w:color="auto" w:fill="auto"/>
            <w:vAlign w:val="center"/>
          </w:tcPr>
          <w:p w14:paraId="79D344B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≥90</w:t>
            </w:r>
          </w:p>
        </w:tc>
        <w:tc>
          <w:tcPr>
            <w:tcW w:w="1375" w:type="dxa"/>
            <w:shd w:val="clear" w:color="auto" w:fill="auto"/>
            <w:vAlign w:val="center"/>
          </w:tcPr>
          <w:p w14:paraId="28281DE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≥85</w:t>
            </w:r>
          </w:p>
        </w:tc>
        <w:tc>
          <w:tcPr>
            <w:tcW w:w="1375" w:type="dxa"/>
            <w:shd w:val="clear" w:color="auto" w:fill="auto"/>
            <w:vAlign w:val="center"/>
          </w:tcPr>
          <w:p w14:paraId="6D9C76C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≥50</w:t>
            </w:r>
          </w:p>
        </w:tc>
        <w:tc>
          <w:tcPr>
            <w:tcW w:w="1376" w:type="dxa"/>
            <w:vAlign w:val="center"/>
          </w:tcPr>
          <w:p w14:paraId="4AF0E8A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Ⅰ</w:t>
            </w:r>
            <w:r>
              <w:rPr>
                <w:rFonts w:hint="default" w:ascii="Times New Roman" w:hAnsi="Times New Roman" w:eastAsia="华文中宋" w:cs="Times New Roman"/>
                <w:szCs w:val="21"/>
                <w:lang w:val="en-US" w:eastAsia="zh-CN"/>
              </w:rPr>
              <w:t>级</w:t>
            </w:r>
          </w:p>
        </w:tc>
      </w:tr>
      <w:tr w14:paraId="1DBE3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4" w:type="dxa"/>
            <w:vAlign w:val="center"/>
          </w:tcPr>
          <w:p w14:paraId="6E448EC7">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11</w:t>
            </w:r>
          </w:p>
        </w:tc>
        <w:tc>
          <w:tcPr>
            <w:tcW w:w="1374" w:type="dxa"/>
            <w:vMerge w:val="restart"/>
            <w:vAlign w:val="center"/>
          </w:tcPr>
          <w:p w14:paraId="75716EE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清洁生产管理指标</w:t>
            </w:r>
          </w:p>
        </w:tc>
        <w:tc>
          <w:tcPr>
            <w:tcW w:w="1381" w:type="dxa"/>
            <w:vMerge w:val="restart"/>
            <w:vAlign w:val="center"/>
          </w:tcPr>
          <w:p w14:paraId="5029CE5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0.10</w:t>
            </w:r>
          </w:p>
        </w:tc>
        <w:tc>
          <w:tcPr>
            <w:tcW w:w="1791" w:type="dxa"/>
            <w:gridSpan w:val="3"/>
            <w:vAlign w:val="center"/>
          </w:tcPr>
          <w:p w14:paraId="1A3D3AFA">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环境法律法规标准※</w:t>
            </w:r>
          </w:p>
        </w:tc>
        <w:tc>
          <w:tcPr>
            <w:tcW w:w="1198" w:type="dxa"/>
            <w:vAlign w:val="center"/>
          </w:tcPr>
          <w:p w14:paraId="3A40832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c>
          <w:tcPr>
            <w:tcW w:w="1233" w:type="dxa"/>
            <w:vAlign w:val="center"/>
          </w:tcPr>
          <w:p w14:paraId="64420D5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0.2</w:t>
            </w:r>
          </w:p>
        </w:tc>
        <w:tc>
          <w:tcPr>
            <w:tcW w:w="4447" w:type="dxa"/>
            <w:gridSpan w:val="3"/>
            <w:vAlign w:val="center"/>
          </w:tcPr>
          <w:p w14:paraId="7CD8776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生产工艺和装备符合产业政策要求，污染物排放达到排放标准、符合总量控制和排污许可证管理要求，严格执行建设项目环境影响评价制度和建设项目环保“三同时”制度</w:t>
            </w:r>
          </w:p>
        </w:tc>
        <w:tc>
          <w:tcPr>
            <w:tcW w:w="1376" w:type="dxa"/>
            <w:vAlign w:val="center"/>
          </w:tcPr>
          <w:p w14:paraId="2137428F">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符合</w:t>
            </w:r>
          </w:p>
        </w:tc>
      </w:tr>
      <w:tr w14:paraId="0A6B7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4" w:type="dxa"/>
            <w:vAlign w:val="center"/>
          </w:tcPr>
          <w:p w14:paraId="203E73B7">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12</w:t>
            </w:r>
          </w:p>
        </w:tc>
        <w:tc>
          <w:tcPr>
            <w:tcW w:w="1374" w:type="dxa"/>
            <w:vMerge w:val="continue"/>
            <w:vAlign w:val="center"/>
          </w:tcPr>
          <w:p w14:paraId="1ECBB074">
            <w:pPr>
              <w:spacing w:line="300" w:lineRule="exact"/>
              <w:jc w:val="center"/>
              <w:rPr>
                <w:rFonts w:hint="default" w:ascii="Times New Roman" w:hAnsi="Times New Roman" w:eastAsia="华文中宋" w:cs="Times New Roman"/>
                <w:szCs w:val="21"/>
                <w:lang w:val="en-US" w:eastAsia="zh-CN"/>
              </w:rPr>
            </w:pPr>
          </w:p>
        </w:tc>
        <w:tc>
          <w:tcPr>
            <w:tcW w:w="1381" w:type="dxa"/>
            <w:vMerge w:val="continue"/>
            <w:vAlign w:val="center"/>
          </w:tcPr>
          <w:p w14:paraId="4552C60F">
            <w:pPr>
              <w:spacing w:line="300" w:lineRule="exact"/>
              <w:jc w:val="center"/>
              <w:rPr>
                <w:rFonts w:hint="default" w:ascii="Times New Roman" w:hAnsi="Times New Roman" w:eastAsia="华文中宋" w:cs="Times New Roman"/>
                <w:szCs w:val="21"/>
                <w:lang w:val="en-US" w:eastAsia="zh-CN"/>
              </w:rPr>
            </w:pPr>
          </w:p>
        </w:tc>
        <w:tc>
          <w:tcPr>
            <w:tcW w:w="1791" w:type="dxa"/>
            <w:gridSpan w:val="3"/>
            <w:vAlign w:val="center"/>
          </w:tcPr>
          <w:p w14:paraId="6E8B5C6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废物处理处置※</w:t>
            </w:r>
          </w:p>
        </w:tc>
        <w:tc>
          <w:tcPr>
            <w:tcW w:w="1198" w:type="dxa"/>
            <w:vAlign w:val="center"/>
          </w:tcPr>
          <w:p w14:paraId="0ECB75B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c>
          <w:tcPr>
            <w:tcW w:w="1233" w:type="dxa"/>
            <w:vAlign w:val="center"/>
          </w:tcPr>
          <w:p w14:paraId="5DA11CC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0.2</w:t>
            </w:r>
          </w:p>
        </w:tc>
        <w:tc>
          <w:tcPr>
            <w:tcW w:w="4447" w:type="dxa"/>
            <w:gridSpan w:val="3"/>
            <w:vAlign w:val="center"/>
          </w:tcPr>
          <w:p w14:paraId="758AE467">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根据固体废物性质鉴别的结果，一般工业固体废物按照GB18599的要求进行处置，危险废物按照GB18597，GB18598等的要求进行处置</w:t>
            </w:r>
          </w:p>
        </w:tc>
        <w:tc>
          <w:tcPr>
            <w:tcW w:w="1376" w:type="dxa"/>
            <w:vAlign w:val="center"/>
          </w:tcPr>
          <w:p w14:paraId="61B3181C">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符合</w:t>
            </w:r>
          </w:p>
        </w:tc>
      </w:tr>
      <w:tr w14:paraId="2DF28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4" w:type="dxa"/>
            <w:vAlign w:val="center"/>
          </w:tcPr>
          <w:p w14:paraId="58ED194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13</w:t>
            </w:r>
          </w:p>
        </w:tc>
        <w:tc>
          <w:tcPr>
            <w:tcW w:w="1374" w:type="dxa"/>
            <w:vMerge w:val="continue"/>
            <w:vAlign w:val="center"/>
          </w:tcPr>
          <w:p w14:paraId="2DEE219C">
            <w:pPr>
              <w:spacing w:line="300" w:lineRule="exact"/>
              <w:jc w:val="center"/>
              <w:rPr>
                <w:rFonts w:hint="default" w:ascii="Times New Roman" w:hAnsi="Times New Roman" w:eastAsia="华文中宋" w:cs="Times New Roman"/>
                <w:szCs w:val="21"/>
                <w:lang w:val="en-US" w:eastAsia="zh-CN"/>
              </w:rPr>
            </w:pPr>
          </w:p>
        </w:tc>
        <w:tc>
          <w:tcPr>
            <w:tcW w:w="1381" w:type="dxa"/>
            <w:vMerge w:val="continue"/>
            <w:vAlign w:val="center"/>
          </w:tcPr>
          <w:p w14:paraId="1EBE1D84">
            <w:pPr>
              <w:spacing w:line="300" w:lineRule="exact"/>
              <w:jc w:val="center"/>
              <w:rPr>
                <w:rFonts w:hint="default" w:ascii="Times New Roman" w:hAnsi="Times New Roman" w:eastAsia="华文中宋" w:cs="Times New Roman"/>
                <w:szCs w:val="21"/>
                <w:lang w:val="en-US" w:eastAsia="zh-CN"/>
              </w:rPr>
            </w:pPr>
          </w:p>
        </w:tc>
        <w:tc>
          <w:tcPr>
            <w:tcW w:w="1791" w:type="dxa"/>
            <w:gridSpan w:val="3"/>
            <w:vAlign w:val="center"/>
          </w:tcPr>
          <w:p w14:paraId="4944621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组织机构</w:t>
            </w:r>
          </w:p>
        </w:tc>
        <w:tc>
          <w:tcPr>
            <w:tcW w:w="1198" w:type="dxa"/>
            <w:vAlign w:val="center"/>
          </w:tcPr>
          <w:p w14:paraId="6688EC3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c>
          <w:tcPr>
            <w:tcW w:w="1233" w:type="dxa"/>
            <w:vAlign w:val="center"/>
          </w:tcPr>
          <w:p w14:paraId="3EED618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0.1</w:t>
            </w:r>
          </w:p>
        </w:tc>
        <w:tc>
          <w:tcPr>
            <w:tcW w:w="4447" w:type="dxa"/>
            <w:gridSpan w:val="3"/>
            <w:vAlign w:val="center"/>
          </w:tcPr>
          <w:p w14:paraId="65303F3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建立健全专门环保管理机构，配备专职管理人员，开展环境保护和清洁生产有关工作</w:t>
            </w:r>
          </w:p>
        </w:tc>
        <w:tc>
          <w:tcPr>
            <w:tcW w:w="1376" w:type="dxa"/>
            <w:vAlign w:val="center"/>
          </w:tcPr>
          <w:p w14:paraId="20C93433">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符合</w:t>
            </w:r>
          </w:p>
        </w:tc>
      </w:tr>
      <w:tr w14:paraId="463C7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4" w:type="dxa"/>
            <w:vAlign w:val="center"/>
          </w:tcPr>
          <w:p w14:paraId="210828F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14</w:t>
            </w:r>
          </w:p>
        </w:tc>
        <w:tc>
          <w:tcPr>
            <w:tcW w:w="1374" w:type="dxa"/>
            <w:vMerge w:val="continue"/>
            <w:vAlign w:val="center"/>
          </w:tcPr>
          <w:p w14:paraId="5AA9CF5C">
            <w:pPr>
              <w:spacing w:line="300" w:lineRule="exact"/>
              <w:jc w:val="center"/>
              <w:rPr>
                <w:rFonts w:hint="default" w:ascii="Times New Roman" w:hAnsi="Times New Roman" w:eastAsia="华文中宋" w:cs="Times New Roman"/>
                <w:szCs w:val="21"/>
                <w:lang w:val="en-US" w:eastAsia="zh-CN"/>
              </w:rPr>
            </w:pPr>
          </w:p>
        </w:tc>
        <w:tc>
          <w:tcPr>
            <w:tcW w:w="1381" w:type="dxa"/>
            <w:vMerge w:val="continue"/>
            <w:vAlign w:val="center"/>
          </w:tcPr>
          <w:p w14:paraId="424BDA56">
            <w:pPr>
              <w:spacing w:line="300" w:lineRule="exact"/>
              <w:jc w:val="center"/>
              <w:rPr>
                <w:rFonts w:hint="default" w:ascii="Times New Roman" w:hAnsi="Times New Roman" w:eastAsia="华文中宋" w:cs="Times New Roman"/>
                <w:szCs w:val="21"/>
                <w:lang w:val="en-US" w:eastAsia="zh-CN"/>
              </w:rPr>
            </w:pPr>
          </w:p>
        </w:tc>
        <w:tc>
          <w:tcPr>
            <w:tcW w:w="894" w:type="dxa"/>
            <w:gridSpan w:val="2"/>
            <w:vAlign w:val="center"/>
          </w:tcPr>
          <w:p w14:paraId="6803CC5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清洁生产审核</w:t>
            </w:r>
          </w:p>
        </w:tc>
        <w:tc>
          <w:tcPr>
            <w:tcW w:w="897" w:type="dxa"/>
            <w:vAlign w:val="center"/>
          </w:tcPr>
          <w:p w14:paraId="20B6E6C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审核管理文件及审核周期、验收</w:t>
            </w:r>
          </w:p>
        </w:tc>
        <w:tc>
          <w:tcPr>
            <w:tcW w:w="1198" w:type="dxa"/>
            <w:vAlign w:val="center"/>
          </w:tcPr>
          <w:p w14:paraId="0FD1679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c>
          <w:tcPr>
            <w:tcW w:w="1233" w:type="dxa"/>
            <w:vAlign w:val="center"/>
          </w:tcPr>
          <w:p w14:paraId="46ACA32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0.2</w:t>
            </w:r>
          </w:p>
        </w:tc>
        <w:tc>
          <w:tcPr>
            <w:tcW w:w="4447" w:type="dxa"/>
            <w:gridSpan w:val="3"/>
            <w:vAlign w:val="center"/>
          </w:tcPr>
          <w:p w14:paraId="6F9E2D2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按照GB/T24001建立并有效运行环境管理体系，环境管理手册、程序文件及作业文件齐备，定期完成新一轮清洁生产审核，审核方案全部实施，并通过验收</w:t>
            </w:r>
          </w:p>
        </w:tc>
        <w:tc>
          <w:tcPr>
            <w:tcW w:w="1376" w:type="dxa"/>
            <w:vAlign w:val="center"/>
          </w:tcPr>
          <w:p w14:paraId="2F772883">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符合</w:t>
            </w:r>
          </w:p>
        </w:tc>
      </w:tr>
      <w:tr w14:paraId="49271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4" w:type="dxa"/>
            <w:vAlign w:val="center"/>
          </w:tcPr>
          <w:p w14:paraId="3A68D76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15</w:t>
            </w:r>
          </w:p>
        </w:tc>
        <w:tc>
          <w:tcPr>
            <w:tcW w:w="1374" w:type="dxa"/>
            <w:vMerge w:val="continue"/>
            <w:vAlign w:val="center"/>
          </w:tcPr>
          <w:p w14:paraId="438AFA96">
            <w:pPr>
              <w:spacing w:line="300" w:lineRule="exact"/>
              <w:jc w:val="center"/>
              <w:rPr>
                <w:rFonts w:hint="default" w:ascii="Times New Roman" w:hAnsi="Times New Roman" w:eastAsia="华文中宋" w:cs="Times New Roman"/>
                <w:szCs w:val="21"/>
                <w:lang w:val="en-US" w:eastAsia="zh-CN"/>
              </w:rPr>
            </w:pPr>
          </w:p>
        </w:tc>
        <w:tc>
          <w:tcPr>
            <w:tcW w:w="1381" w:type="dxa"/>
            <w:vMerge w:val="continue"/>
            <w:vAlign w:val="center"/>
          </w:tcPr>
          <w:p w14:paraId="47EACA02">
            <w:pPr>
              <w:spacing w:line="300" w:lineRule="exact"/>
              <w:jc w:val="center"/>
              <w:rPr>
                <w:rFonts w:hint="default" w:ascii="Times New Roman" w:hAnsi="Times New Roman" w:eastAsia="华文中宋" w:cs="Times New Roman"/>
                <w:szCs w:val="21"/>
                <w:lang w:val="en-US" w:eastAsia="zh-CN"/>
              </w:rPr>
            </w:pPr>
          </w:p>
        </w:tc>
        <w:tc>
          <w:tcPr>
            <w:tcW w:w="1791" w:type="dxa"/>
            <w:gridSpan w:val="3"/>
            <w:vAlign w:val="center"/>
          </w:tcPr>
          <w:p w14:paraId="104A8A7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环保设施运行管理</w:t>
            </w:r>
          </w:p>
        </w:tc>
        <w:tc>
          <w:tcPr>
            <w:tcW w:w="1198" w:type="dxa"/>
            <w:vAlign w:val="center"/>
          </w:tcPr>
          <w:p w14:paraId="68A3091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c>
          <w:tcPr>
            <w:tcW w:w="1233" w:type="dxa"/>
            <w:vAlign w:val="center"/>
          </w:tcPr>
          <w:p w14:paraId="5A79B8A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0.1</w:t>
            </w:r>
          </w:p>
        </w:tc>
        <w:tc>
          <w:tcPr>
            <w:tcW w:w="4447" w:type="dxa"/>
            <w:gridSpan w:val="3"/>
            <w:vAlign w:val="center"/>
          </w:tcPr>
          <w:p w14:paraId="3658880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环保设施正常运行，无跑、冒、滴、漏现象，设立环保标识，环保设施运行台账齐全</w:t>
            </w:r>
          </w:p>
        </w:tc>
        <w:tc>
          <w:tcPr>
            <w:tcW w:w="1376" w:type="dxa"/>
            <w:vAlign w:val="center"/>
          </w:tcPr>
          <w:p w14:paraId="597818A8">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符合</w:t>
            </w:r>
          </w:p>
        </w:tc>
      </w:tr>
      <w:tr w14:paraId="69B6A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4" w:type="dxa"/>
            <w:vAlign w:val="center"/>
          </w:tcPr>
          <w:p w14:paraId="3C06565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16</w:t>
            </w:r>
          </w:p>
        </w:tc>
        <w:tc>
          <w:tcPr>
            <w:tcW w:w="1374" w:type="dxa"/>
            <w:vMerge w:val="continue"/>
            <w:vAlign w:val="center"/>
          </w:tcPr>
          <w:p w14:paraId="2812757C">
            <w:pPr>
              <w:spacing w:line="300" w:lineRule="exact"/>
              <w:jc w:val="center"/>
              <w:rPr>
                <w:rFonts w:hint="default" w:ascii="Times New Roman" w:hAnsi="Times New Roman" w:eastAsia="华文中宋" w:cs="Times New Roman"/>
                <w:szCs w:val="21"/>
                <w:lang w:val="en-US" w:eastAsia="zh-CN"/>
              </w:rPr>
            </w:pPr>
          </w:p>
        </w:tc>
        <w:tc>
          <w:tcPr>
            <w:tcW w:w="1381" w:type="dxa"/>
            <w:vMerge w:val="continue"/>
            <w:vAlign w:val="center"/>
          </w:tcPr>
          <w:p w14:paraId="09CEB78C">
            <w:pPr>
              <w:spacing w:line="300" w:lineRule="exact"/>
              <w:jc w:val="center"/>
              <w:rPr>
                <w:rFonts w:hint="default" w:ascii="Times New Roman" w:hAnsi="Times New Roman" w:eastAsia="华文中宋" w:cs="Times New Roman"/>
                <w:szCs w:val="21"/>
                <w:lang w:val="en-US" w:eastAsia="zh-CN"/>
              </w:rPr>
            </w:pPr>
          </w:p>
        </w:tc>
        <w:tc>
          <w:tcPr>
            <w:tcW w:w="1791" w:type="dxa"/>
            <w:gridSpan w:val="3"/>
            <w:vAlign w:val="center"/>
          </w:tcPr>
          <w:p w14:paraId="23E1086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应急预案※</w:t>
            </w:r>
          </w:p>
        </w:tc>
        <w:tc>
          <w:tcPr>
            <w:tcW w:w="1198" w:type="dxa"/>
            <w:vAlign w:val="center"/>
          </w:tcPr>
          <w:p w14:paraId="7B4A8D2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c>
          <w:tcPr>
            <w:tcW w:w="1233" w:type="dxa"/>
            <w:vAlign w:val="center"/>
          </w:tcPr>
          <w:p w14:paraId="1C16075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0.2</w:t>
            </w:r>
          </w:p>
        </w:tc>
        <w:tc>
          <w:tcPr>
            <w:tcW w:w="4447" w:type="dxa"/>
            <w:gridSpan w:val="3"/>
            <w:vAlign w:val="center"/>
          </w:tcPr>
          <w:p w14:paraId="20D1DE5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编制环境风险应急预案，并进行备案，定期开展环境风险应急演练，可及时应对重大环境污染事故发生</w:t>
            </w:r>
          </w:p>
        </w:tc>
        <w:tc>
          <w:tcPr>
            <w:tcW w:w="1376" w:type="dxa"/>
            <w:vAlign w:val="center"/>
          </w:tcPr>
          <w:p w14:paraId="4ECA6A1A">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符合</w:t>
            </w:r>
          </w:p>
        </w:tc>
      </w:tr>
      <w:tr w14:paraId="3AF35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gridSpan w:val="12"/>
            <w:vAlign w:val="center"/>
          </w:tcPr>
          <w:p w14:paraId="16A1070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注：带※的指标为限定性指标</w:t>
            </w:r>
          </w:p>
        </w:tc>
      </w:tr>
    </w:tbl>
    <w:p w14:paraId="5A0B7265">
      <w:pPr>
        <w:jc w:val="center"/>
        <w:rPr>
          <w:rFonts w:hint="default" w:eastAsiaTheme="minorEastAsia"/>
          <w:lang w:val="en-US" w:eastAsia="zh-CN"/>
        </w:rPr>
        <w:sectPr>
          <w:pgSz w:w="16838" w:h="11906" w:orient="landscape"/>
          <w:pgMar w:top="1800" w:right="1440" w:bottom="1800" w:left="1440" w:header="851" w:footer="992" w:gutter="0"/>
          <w:pgNumType w:fmt="decimal"/>
          <w:cols w:space="425" w:num="1"/>
          <w:docGrid w:type="lines" w:linePitch="312" w:charSpace="0"/>
        </w:sectPr>
      </w:pPr>
    </w:p>
    <w:p w14:paraId="0BBA37E8">
      <w:pPr>
        <w:pStyle w:val="4"/>
        <w:spacing w:before="120" w:after="120" w:line="500" w:lineRule="exact"/>
        <w:rPr>
          <w:rFonts w:hint="eastAsia" w:ascii="Times New Roman" w:hAnsi="Times New Roman" w:eastAsia="华文中宋" w:cs="Times New Roman"/>
          <w:kern w:val="0"/>
          <w:sz w:val="24"/>
          <w:szCs w:val="24"/>
          <w:lang w:val="en-US" w:eastAsia="zh-CN"/>
        </w:rPr>
      </w:pPr>
      <w:bookmarkStart w:id="102" w:name="_Toc7103"/>
      <w:r>
        <w:rPr>
          <w:rFonts w:hint="eastAsia" w:ascii="Times New Roman" w:hAnsi="Times New Roman" w:eastAsia="华文中宋" w:cs="Times New Roman"/>
          <w:kern w:val="0"/>
          <w:sz w:val="24"/>
          <w:szCs w:val="24"/>
          <w:lang w:val="en-US" w:eastAsia="zh-CN"/>
        </w:rPr>
        <w:t>3.4.3清洁生产评价方法</w:t>
      </w:r>
      <w:bookmarkEnd w:id="102"/>
    </w:p>
    <w:p w14:paraId="5E39D822">
      <w:pPr>
        <w:pStyle w:val="24"/>
        <w:snapToGrid w:val="0"/>
        <w:jc w:val="left"/>
        <w:rPr>
          <w:rFonts w:hint="eastAsia"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（1）</w:t>
      </w:r>
      <w:r>
        <w:rPr>
          <w:rFonts w:hint="eastAsia" w:ascii="Times New Roman" w:hAnsi="Times New Roman" w:eastAsia="华文中宋" w:cs="Times New Roman"/>
          <w:color w:val="auto"/>
          <w:lang w:val="en-US" w:eastAsia="zh-CN"/>
        </w:rPr>
        <w:t>指标无量纲化</w:t>
      </w:r>
    </w:p>
    <w:p w14:paraId="54D561A1">
      <w:pPr>
        <w:pStyle w:val="24"/>
        <w:snapToGrid w:val="0"/>
        <w:jc w:val="left"/>
        <w:rPr>
          <w:rFonts w:hint="eastAsia"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不同清洁生产指标由于不同，不能直接比较，需建立原始指标函数。</w:t>
      </w:r>
    </w:p>
    <w:p w14:paraId="076CB39D">
      <w:pPr>
        <w:pStyle w:val="24"/>
        <w:snapToGrid w:val="0"/>
        <w:jc w:val="left"/>
        <w:rPr>
          <w:rFonts w:hint="eastAsia"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drawing>
          <wp:anchor distT="0" distB="0" distL="114300" distR="114300" simplePos="0" relativeHeight="251664384" behindDoc="0" locked="0" layoutInCell="1" allowOverlap="1">
            <wp:simplePos x="0" y="0"/>
            <wp:positionH relativeFrom="column">
              <wp:posOffset>1737360</wp:posOffset>
            </wp:positionH>
            <wp:positionV relativeFrom="paragraph">
              <wp:posOffset>93345</wp:posOffset>
            </wp:positionV>
            <wp:extent cx="1781810" cy="577215"/>
            <wp:effectExtent l="0" t="0" r="8890" b="13335"/>
            <wp:wrapTopAndBottom/>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9"/>
                    <a:stretch>
                      <a:fillRect/>
                    </a:stretch>
                  </pic:blipFill>
                  <pic:spPr>
                    <a:xfrm>
                      <a:off x="0" y="0"/>
                      <a:ext cx="1781810" cy="577215"/>
                    </a:xfrm>
                    <a:prstGeom prst="rect">
                      <a:avLst/>
                    </a:prstGeom>
                    <a:noFill/>
                    <a:ln>
                      <a:noFill/>
                    </a:ln>
                  </pic:spPr>
                </pic:pic>
              </a:graphicData>
            </a:graphic>
          </wp:anchor>
        </w:drawing>
      </w:r>
      <w:r>
        <w:rPr>
          <w:rFonts w:hint="eastAsia" w:ascii="Times New Roman" w:hAnsi="Times New Roman" w:eastAsia="华文中宋" w:cs="Times New Roman"/>
          <w:color w:val="auto"/>
          <w:lang w:val="en-US" w:eastAsia="zh-CN"/>
        </w:rPr>
        <w:t>式中，x</w:t>
      </w:r>
      <w:r>
        <w:rPr>
          <w:rFonts w:hint="eastAsia" w:ascii="Times New Roman" w:hAnsi="Times New Roman" w:eastAsia="华文中宋" w:cs="Times New Roman"/>
          <w:color w:val="auto"/>
          <w:vertAlign w:val="subscript"/>
          <w:lang w:val="en-US" w:eastAsia="zh-CN"/>
        </w:rPr>
        <w:t>ij</w:t>
      </w:r>
      <w:r>
        <w:rPr>
          <w:rFonts w:hint="eastAsia" w:ascii="Times New Roman" w:hAnsi="Times New Roman" w:eastAsia="华文中宋" w:cs="Times New Roman"/>
          <w:color w:val="auto"/>
          <w:lang w:val="en-US" w:eastAsia="zh-CN"/>
        </w:rPr>
        <w:t>表示第i个一级指标下的第j个二级指标；g</w:t>
      </w:r>
      <w:r>
        <w:rPr>
          <w:rFonts w:hint="eastAsia" w:ascii="Times New Roman" w:hAnsi="Times New Roman" w:eastAsia="华文中宋" w:cs="Times New Roman"/>
          <w:color w:val="auto"/>
          <w:vertAlign w:val="subscript"/>
          <w:lang w:val="en-US" w:eastAsia="zh-CN"/>
        </w:rPr>
        <w:t>k</w:t>
      </w:r>
      <w:r>
        <w:rPr>
          <w:rFonts w:hint="eastAsia" w:ascii="Times New Roman" w:hAnsi="Times New Roman" w:eastAsia="华文中宋" w:cs="Times New Roman"/>
          <w:color w:val="auto"/>
          <w:lang w:val="en-US" w:eastAsia="zh-CN"/>
        </w:rPr>
        <w:t>表示二级指标基准值，其中g</w:t>
      </w:r>
      <w:r>
        <w:rPr>
          <w:rFonts w:hint="eastAsia" w:ascii="Times New Roman" w:hAnsi="Times New Roman" w:eastAsia="华文中宋" w:cs="Times New Roman"/>
          <w:color w:val="auto"/>
          <w:vertAlign w:val="subscript"/>
          <w:lang w:val="en-US" w:eastAsia="zh-CN"/>
        </w:rPr>
        <w:t>1</w:t>
      </w:r>
      <w:r>
        <w:rPr>
          <w:rFonts w:hint="eastAsia" w:ascii="Times New Roman" w:hAnsi="Times New Roman" w:eastAsia="华文中宋" w:cs="Times New Roman"/>
          <w:color w:val="auto"/>
          <w:lang w:val="en-US" w:eastAsia="zh-CN"/>
        </w:rPr>
        <w:t>为Ⅰ级水平，g</w:t>
      </w:r>
      <w:r>
        <w:rPr>
          <w:rFonts w:hint="eastAsia" w:ascii="Times New Roman" w:hAnsi="Times New Roman" w:eastAsia="华文中宋" w:cs="Times New Roman"/>
          <w:color w:val="auto"/>
          <w:vertAlign w:val="subscript"/>
          <w:lang w:val="en-US" w:eastAsia="zh-CN"/>
        </w:rPr>
        <w:t>2</w:t>
      </w:r>
      <w:r>
        <w:rPr>
          <w:rFonts w:hint="eastAsia" w:ascii="Times New Roman" w:hAnsi="Times New Roman" w:eastAsia="华文中宋" w:cs="Times New Roman"/>
          <w:color w:val="auto"/>
          <w:lang w:val="en-US" w:eastAsia="zh-CN"/>
        </w:rPr>
        <w:t>为Ⅱ级水平，g</w:t>
      </w:r>
      <w:r>
        <w:rPr>
          <w:rFonts w:hint="eastAsia" w:ascii="Times New Roman" w:hAnsi="Times New Roman" w:eastAsia="华文中宋" w:cs="Times New Roman"/>
          <w:color w:val="auto"/>
          <w:vertAlign w:val="subscript"/>
          <w:lang w:val="en-US" w:eastAsia="zh-CN"/>
        </w:rPr>
        <w:t>3</w:t>
      </w:r>
      <w:r>
        <w:rPr>
          <w:rFonts w:hint="eastAsia" w:ascii="Times New Roman" w:hAnsi="Times New Roman" w:eastAsia="华文中宋" w:cs="Times New Roman"/>
          <w:color w:val="auto"/>
          <w:lang w:val="en-US" w:eastAsia="zh-CN"/>
        </w:rPr>
        <w:t>为Ⅲ级水平；Y</w:t>
      </w:r>
      <w:r>
        <w:rPr>
          <w:rFonts w:hint="eastAsia" w:ascii="Times New Roman" w:hAnsi="Times New Roman" w:eastAsia="华文中宋" w:cs="Times New Roman"/>
          <w:color w:val="auto"/>
          <w:vertAlign w:val="subscript"/>
          <w:lang w:val="en-US" w:eastAsia="zh-CN"/>
        </w:rPr>
        <w:t>gk</w:t>
      </w:r>
      <w:r>
        <w:rPr>
          <w:rFonts w:hint="eastAsia" w:ascii="Times New Roman" w:hAnsi="Times New Roman" w:eastAsia="华文中宋" w:cs="Times New Roman"/>
          <w:color w:val="auto"/>
          <w:lang w:val="en-US" w:eastAsia="zh-CN"/>
        </w:rPr>
        <w:t>（x</w:t>
      </w:r>
      <w:r>
        <w:rPr>
          <w:rFonts w:hint="eastAsia" w:ascii="Times New Roman" w:hAnsi="Times New Roman" w:eastAsia="华文中宋" w:cs="Times New Roman"/>
          <w:color w:val="auto"/>
          <w:vertAlign w:val="subscript"/>
          <w:lang w:val="en-US" w:eastAsia="zh-CN"/>
        </w:rPr>
        <w:t>ij</w:t>
      </w:r>
      <w:r>
        <w:rPr>
          <w:rFonts w:hint="eastAsia" w:ascii="Times New Roman" w:hAnsi="Times New Roman" w:eastAsia="华文中宋" w:cs="Times New Roman"/>
          <w:color w:val="auto"/>
          <w:lang w:val="en-US" w:eastAsia="zh-CN"/>
        </w:rPr>
        <w:t>）为二级指标x</w:t>
      </w:r>
      <w:r>
        <w:rPr>
          <w:rFonts w:hint="eastAsia" w:ascii="Times New Roman" w:hAnsi="Times New Roman" w:eastAsia="华文中宋" w:cs="Times New Roman"/>
          <w:color w:val="auto"/>
          <w:vertAlign w:val="subscript"/>
          <w:lang w:val="en-US" w:eastAsia="zh-CN"/>
        </w:rPr>
        <w:t>ij</w:t>
      </w:r>
      <w:r>
        <w:rPr>
          <w:rFonts w:hint="eastAsia" w:ascii="Times New Roman" w:hAnsi="Times New Roman" w:eastAsia="华文中宋" w:cs="Times New Roman"/>
          <w:color w:val="auto"/>
          <w:lang w:val="en-US" w:eastAsia="zh-CN"/>
        </w:rPr>
        <w:t>对于级别g</w:t>
      </w:r>
      <w:r>
        <w:rPr>
          <w:rFonts w:hint="eastAsia" w:ascii="Times New Roman" w:hAnsi="Times New Roman" w:eastAsia="华文中宋" w:cs="Times New Roman"/>
          <w:color w:val="auto"/>
          <w:vertAlign w:val="subscript"/>
          <w:lang w:val="en-US" w:eastAsia="zh-CN"/>
        </w:rPr>
        <w:t>k</w:t>
      </w:r>
      <w:r>
        <w:rPr>
          <w:rFonts w:hint="eastAsia" w:ascii="Times New Roman" w:hAnsi="Times New Roman" w:eastAsia="华文中宋" w:cs="Times New Roman"/>
          <w:color w:val="auto"/>
          <w:lang w:val="en-US" w:eastAsia="zh-CN"/>
        </w:rPr>
        <w:t>的函数。</w:t>
      </w:r>
    </w:p>
    <w:p w14:paraId="65304EE4">
      <w:pPr>
        <w:pStyle w:val="24"/>
        <w:snapToGrid w:val="0"/>
        <w:jc w:val="left"/>
        <w:rPr>
          <w:rFonts w:hint="eastAsia"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如（公式5-1）所示，若指标x</w:t>
      </w:r>
      <w:r>
        <w:rPr>
          <w:rFonts w:hint="eastAsia" w:ascii="Times New Roman" w:hAnsi="Times New Roman" w:eastAsia="华文中宋" w:cs="Times New Roman"/>
          <w:color w:val="auto"/>
          <w:vertAlign w:val="subscript"/>
          <w:lang w:val="en-US" w:eastAsia="zh-CN"/>
        </w:rPr>
        <w:t>ij</w:t>
      </w:r>
      <w:r>
        <w:rPr>
          <w:rFonts w:hint="eastAsia" w:ascii="Times New Roman" w:hAnsi="Times New Roman" w:eastAsia="华文中宋" w:cs="Times New Roman"/>
          <w:color w:val="auto"/>
          <w:lang w:val="en-US" w:eastAsia="zh-CN"/>
        </w:rPr>
        <w:t>属于级别g</w:t>
      </w:r>
      <w:r>
        <w:rPr>
          <w:rFonts w:hint="eastAsia" w:ascii="Times New Roman" w:hAnsi="Times New Roman" w:eastAsia="华文中宋" w:cs="Times New Roman"/>
          <w:color w:val="auto"/>
          <w:vertAlign w:val="subscript"/>
          <w:lang w:val="en-US" w:eastAsia="zh-CN"/>
        </w:rPr>
        <w:t>k</w:t>
      </w:r>
      <w:r>
        <w:rPr>
          <w:rFonts w:hint="eastAsia" w:ascii="Times New Roman" w:hAnsi="Times New Roman" w:eastAsia="华文中宋" w:cs="Times New Roman"/>
          <w:color w:val="auto"/>
          <w:lang w:val="en-US" w:eastAsia="zh-CN"/>
        </w:rPr>
        <w:t>，则函数的值为100，否则为0。</w:t>
      </w:r>
    </w:p>
    <w:p w14:paraId="54F46842">
      <w:pPr>
        <w:pStyle w:val="24"/>
        <w:snapToGrid w:val="0"/>
        <w:jc w:val="left"/>
        <w:rPr>
          <w:rFonts w:hint="eastAsia"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（2）综合评价指数计算</w:t>
      </w:r>
    </w:p>
    <w:p w14:paraId="4C689855">
      <w:pPr>
        <w:pStyle w:val="24"/>
        <w:snapToGrid w:val="0"/>
        <w:jc w:val="left"/>
        <w:rPr>
          <w:rFonts w:hint="eastAsia"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drawing>
          <wp:anchor distT="0" distB="0" distL="114300" distR="114300" simplePos="0" relativeHeight="251665408" behindDoc="0" locked="0" layoutInCell="1" allowOverlap="1">
            <wp:simplePos x="0" y="0"/>
            <wp:positionH relativeFrom="column">
              <wp:posOffset>1883410</wp:posOffset>
            </wp:positionH>
            <wp:positionV relativeFrom="paragraph">
              <wp:posOffset>676910</wp:posOffset>
            </wp:positionV>
            <wp:extent cx="2084070" cy="506095"/>
            <wp:effectExtent l="0" t="0" r="11430" b="8255"/>
            <wp:wrapTopAndBottom/>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20"/>
                    <a:stretch>
                      <a:fillRect/>
                    </a:stretch>
                  </pic:blipFill>
                  <pic:spPr>
                    <a:xfrm>
                      <a:off x="0" y="0"/>
                      <a:ext cx="2084070" cy="506095"/>
                    </a:xfrm>
                    <a:prstGeom prst="rect">
                      <a:avLst/>
                    </a:prstGeom>
                    <a:noFill/>
                    <a:ln>
                      <a:noFill/>
                    </a:ln>
                  </pic:spPr>
                </pic:pic>
              </a:graphicData>
            </a:graphic>
          </wp:anchor>
        </w:drawing>
      </w:r>
      <w:r>
        <w:rPr>
          <w:rFonts w:hint="eastAsia" w:ascii="Times New Roman" w:hAnsi="Times New Roman" w:eastAsia="华文中宋" w:cs="Times New Roman"/>
          <w:color w:val="auto"/>
          <w:lang w:val="en-US" w:eastAsia="zh-CN"/>
        </w:rPr>
        <w:t>通过加权平均、逐层收敛可得到评价对象在不同级别gk的得分Ygk，公式为；</w:t>
      </w:r>
    </w:p>
    <w:p w14:paraId="21779AB0">
      <w:pPr>
        <w:pStyle w:val="24"/>
        <w:snapToGrid w:val="0"/>
        <w:ind w:left="0" w:leftChars="0" w:firstLine="480" w:firstLineChars="200"/>
        <w:jc w:val="left"/>
        <w:rPr>
          <w:rFonts w:hint="eastAsia"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式中，w</w:t>
      </w:r>
      <w:r>
        <w:rPr>
          <w:rFonts w:hint="eastAsia" w:ascii="Times New Roman" w:hAnsi="Times New Roman" w:eastAsia="华文中宋" w:cs="Times New Roman"/>
          <w:color w:val="auto"/>
          <w:vertAlign w:val="subscript"/>
          <w:lang w:val="en-US" w:eastAsia="zh-CN"/>
        </w:rPr>
        <w:t>i</w:t>
      </w:r>
      <w:r>
        <w:rPr>
          <w:rFonts w:hint="eastAsia" w:ascii="Times New Roman" w:hAnsi="Times New Roman" w:eastAsia="华文中宋" w:cs="Times New Roman"/>
          <w:color w:val="auto"/>
          <w:lang w:val="en-US" w:eastAsia="zh-CN"/>
        </w:rPr>
        <w:t>为第i个一级指标的权重，ω</w:t>
      </w:r>
      <w:r>
        <w:rPr>
          <w:rFonts w:hint="eastAsia" w:ascii="Times New Roman" w:hAnsi="Times New Roman" w:eastAsia="华文中宋" w:cs="Times New Roman"/>
          <w:color w:val="auto"/>
          <w:vertAlign w:val="subscript"/>
          <w:lang w:val="en-US" w:eastAsia="zh-CN"/>
        </w:rPr>
        <w:t>ij</w:t>
      </w:r>
      <w:r>
        <w:rPr>
          <w:rFonts w:hint="eastAsia" w:ascii="Times New Roman" w:hAnsi="Times New Roman" w:eastAsia="华文中宋" w:cs="Times New Roman"/>
          <w:color w:val="auto"/>
          <w:lang w:val="en-US" w:eastAsia="zh-CN"/>
        </w:rPr>
        <w:t>为第i个一级指标下的第j个二级指标的权重，其中，m为一级指标的个数，n</w:t>
      </w:r>
      <w:r>
        <w:rPr>
          <w:rFonts w:hint="eastAsia" w:ascii="Times New Roman" w:hAnsi="Times New Roman" w:eastAsia="华文中宋" w:cs="Times New Roman"/>
          <w:color w:val="auto"/>
          <w:vertAlign w:val="subscript"/>
          <w:lang w:val="en-US" w:eastAsia="zh-CN"/>
        </w:rPr>
        <w:t>i</w:t>
      </w:r>
      <w:r>
        <w:rPr>
          <w:rFonts w:hint="eastAsia" w:ascii="Times New Roman" w:hAnsi="Times New Roman" w:eastAsia="华文中宋" w:cs="Times New Roman"/>
          <w:color w:val="auto"/>
          <w:lang w:val="en-US" w:eastAsia="zh-CN"/>
        </w:rPr>
        <w:t>为第i个一级指标下二级指标的个数。另外，Y</w:t>
      </w:r>
      <w:r>
        <w:rPr>
          <w:rFonts w:hint="eastAsia" w:ascii="Times New Roman" w:hAnsi="Times New Roman" w:eastAsia="华文中宋" w:cs="Times New Roman"/>
          <w:color w:val="auto"/>
          <w:vertAlign w:val="subscript"/>
          <w:lang w:val="en-US" w:eastAsia="zh-CN"/>
        </w:rPr>
        <w:t>g1</w:t>
      </w:r>
      <w:r>
        <w:rPr>
          <w:rFonts w:hint="eastAsia" w:ascii="Times New Roman" w:hAnsi="Times New Roman" w:eastAsia="华文中宋" w:cs="Times New Roman"/>
          <w:color w:val="auto"/>
          <w:lang w:val="en-US" w:eastAsia="zh-CN"/>
        </w:rPr>
        <w:t>等同于Y</w:t>
      </w:r>
      <w:r>
        <w:rPr>
          <w:rFonts w:hint="eastAsia" w:ascii="Times New Roman" w:hAnsi="Times New Roman" w:eastAsia="华文中宋" w:cs="Times New Roman"/>
          <w:color w:val="auto"/>
          <w:vertAlign w:val="subscript"/>
          <w:lang w:val="en-US" w:eastAsia="zh-CN"/>
        </w:rPr>
        <w:t>Ⅰ</w:t>
      </w:r>
      <w:r>
        <w:rPr>
          <w:rFonts w:hint="eastAsia" w:ascii="Times New Roman" w:hAnsi="Times New Roman" w:eastAsia="华文中宋" w:cs="Times New Roman"/>
          <w:color w:val="auto"/>
          <w:lang w:val="en-US" w:eastAsia="zh-CN"/>
        </w:rPr>
        <w:t>，Y</w:t>
      </w:r>
      <w:r>
        <w:rPr>
          <w:rFonts w:hint="eastAsia" w:ascii="Times New Roman" w:hAnsi="Times New Roman" w:eastAsia="华文中宋" w:cs="Times New Roman"/>
          <w:color w:val="auto"/>
          <w:vertAlign w:val="subscript"/>
          <w:lang w:val="en-US" w:eastAsia="zh-CN"/>
        </w:rPr>
        <w:t>g2</w:t>
      </w:r>
      <w:r>
        <w:rPr>
          <w:rFonts w:hint="eastAsia" w:ascii="Times New Roman" w:hAnsi="Times New Roman" w:eastAsia="华文中宋" w:cs="Times New Roman"/>
          <w:color w:val="auto"/>
          <w:lang w:val="en-US" w:eastAsia="zh-CN"/>
        </w:rPr>
        <w:t>等同于Y</w:t>
      </w:r>
      <w:r>
        <w:rPr>
          <w:rFonts w:hint="eastAsia" w:ascii="Times New Roman" w:hAnsi="Times New Roman" w:eastAsia="华文中宋" w:cs="Times New Roman"/>
          <w:color w:val="auto"/>
          <w:vertAlign w:val="subscript"/>
          <w:lang w:val="en-US" w:eastAsia="zh-CN"/>
        </w:rPr>
        <w:t>Ⅱ</w:t>
      </w:r>
      <w:r>
        <w:rPr>
          <w:rFonts w:hint="eastAsia" w:ascii="Times New Roman" w:hAnsi="Times New Roman" w:eastAsia="华文中宋" w:cs="Times New Roman"/>
          <w:color w:val="auto"/>
          <w:lang w:val="en-US" w:eastAsia="zh-CN"/>
        </w:rPr>
        <w:t>，Y</w:t>
      </w:r>
      <w:r>
        <w:rPr>
          <w:rFonts w:hint="eastAsia" w:ascii="Times New Roman" w:hAnsi="Times New Roman" w:eastAsia="华文中宋" w:cs="Times New Roman"/>
          <w:color w:val="auto"/>
          <w:vertAlign w:val="subscript"/>
          <w:lang w:val="en-US" w:eastAsia="zh-CN"/>
        </w:rPr>
        <w:t>g3</w:t>
      </w:r>
      <w:r>
        <w:rPr>
          <w:rFonts w:hint="eastAsia" w:ascii="Times New Roman" w:hAnsi="Times New Roman" w:eastAsia="华文中宋" w:cs="Times New Roman"/>
          <w:color w:val="auto"/>
          <w:lang w:val="en-US" w:eastAsia="zh-CN"/>
        </w:rPr>
        <w:t>等同于Y</w:t>
      </w:r>
      <w:r>
        <w:rPr>
          <w:rFonts w:hint="eastAsia" w:ascii="Times New Roman" w:hAnsi="Times New Roman" w:eastAsia="华文中宋" w:cs="Times New Roman"/>
          <w:color w:val="auto"/>
          <w:vertAlign w:val="subscript"/>
          <w:lang w:val="en-US" w:eastAsia="zh-CN"/>
        </w:rPr>
        <w:t>Ⅲ</w:t>
      </w:r>
      <w:r>
        <w:rPr>
          <w:rFonts w:hint="eastAsia" w:ascii="Times New Roman" w:hAnsi="Times New Roman" w:eastAsia="华文中宋" w:cs="Times New Roman"/>
          <w:color w:val="auto"/>
          <w:lang w:val="en-US" w:eastAsia="zh-CN"/>
        </w:rPr>
        <w:t>。</w:t>
      </w:r>
    </w:p>
    <w:p w14:paraId="6C2205E8">
      <w:pPr>
        <w:pStyle w:val="24"/>
        <w:snapToGrid w:val="0"/>
        <w:jc w:val="left"/>
        <w:rPr>
          <w:rFonts w:hint="eastAsia"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（3）清洁生产企业的评定</w:t>
      </w:r>
    </w:p>
    <w:p w14:paraId="53D8A3D8">
      <w:pPr>
        <w:pStyle w:val="24"/>
        <w:snapToGrid w:val="0"/>
        <w:jc w:val="left"/>
        <w:rPr>
          <w:rFonts w:hint="eastAsia" w:ascii="Times New Roman" w:hAnsi="Times New Roman" w:eastAsia="华文中宋" w:cs="Times New Roman"/>
          <w:color w:val="auto"/>
          <w:highlight w:val="none"/>
          <w:lang w:val="en-US" w:eastAsia="zh-CN"/>
        </w:rPr>
      </w:pPr>
      <w:r>
        <w:rPr>
          <w:rFonts w:hint="default" w:ascii="Times New Roman" w:hAnsi="Times New Roman" w:eastAsia="华文中宋" w:cs="Times New Roman"/>
          <w:color w:val="auto"/>
          <w:highlight w:val="none"/>
          <w:lang w:val="en-US" w:eastAsia="zh-CN"/>
        </w:rPr>
        <w:t>标准采用限定指标和指标分级加权评价相结合的方法。在限定性指标达到</w:t>
      </w:r>
      <w:r>
        <w:rPr>
          <w:rFonts w:hint="eastAsia" w:ascii="Times New Roman" w:hAnsi="Times New Roman" w:eastAsia="华文中宋" w:cs="Times New Roman"/>
          <w:szCs w:val="21"/>
          <w:highlight w:val="none"/>
          <w:lang w:val="en-US" w:eastAsia="zh-CN"/>
        </w:rPr>
        <w:t>Ⅲ</w:t>
      </w:r>
      <w:r>
        <w:rPr>
          <w:rFonts w:hint="default" w:ascii="Times New Roman" w:hAnsi="Times New Roman" w:eastAsia="华文中宋" w:cs="Times New Roman"/>
          <w:color w:val="auto"/>
          <w:highlight w:val="none"/>
          <w:lang w:val="en-US" w:eastAsia="zh-CN"/>
        </w:rPr>
        <w:t>级水平的基础</w:t>
      </w:r>
      <w:r>
        <w:rPr>
          <w:rFonts w:hint="eastAsia" w:ascii="Times New Roman" w:hAnsi="Times New Roman" w:eastAsia="华文中宋" w:cs="Times New Roman"/>
          <w:color w:val="auto"/>
          <w:highlight w:val="none"/>
          <w:lang w:val="en-US" w:eastAsia="zh-CN"/>
        </w:rPr>
        <w:t>上</w:t>
      </w:r>
      <w:r>
        <w:rPr>
          <w:rFonts w:hint="default" w:ascii="Times New Roman" w:hAnsi="Times New Roman" w:eastAsia="华文中宋" w:cs="Times New Roman"/>
          <w:color w:val="auto"/>
          <w:highlight w:val="none"/>
          <w:lang w:val="en-US" w:eastAsia="zh-CN"/>
        </w:rPr>
        <w:t>，采用指标分级加权评价方法，计算行业清洁生产综合评价指数。根据综合评价指数，确定清洁生产水平等级。</w:t>
      </w:r>
      <w:r>
        <w:rPr>
          <w:rFonts w:hint="eastAsia" w:ascii="Times New Roman" w:hAnsi="Times New Roman" w:eastAsia="华文中宋" w:cs="Times New Roman"/>
          <w:color w:val="auto"/>
          <w:highlight w:val="none"/>
          <w:lang w:val="en-US" w:eastAsia="zh-CN"/>
        </w:rPr>
        <w:t>参考《铅锌采选业清洁生产评价指标体系》《锑行业清洁生产评价指标体系》，根据</w:t>
      </w:r>
      <w:r>
        <w:rPr>
          <w:rFonts w:hint="eastAsia" w:ascii="Times New Roman" w:hAnsi="Times New Roman" w:cs="Times New Roman"/>
          <w:color w:val="auto"/>
          <w:highlight w:val="none"/>
          <w:lang w:val="en-US" w:eastAsia="zh-CN"/>
        </w:rPr>
        <w:t>以上公式</w:t>
      </w:r>
      <w:r>
        <w:rPr>
          <w:rFonts w:hint="eastAsia" w:ascii="Times New Roman" w:hAnsi="Times New Roman" w:eastAsia="华文中宋" w:cs="Times New Roman"/>
          <w:color w:val="auto"/>
          <w:highlight w:val="none"/>
          <w:lang w:val="en-US" w:eastAsia="zh-CN"/>
        </w:rPr>
        <w:t>，</w:t>
      </w:r>
      <w:r>
        <w:rPr>
          <w:rFonts w:hint="eastAsia" w:ascii="Times New Roman" w:hAnsi="Times New Roman" w:cs="Times New Roman"/>
          <w:color w:val="auto"/>
          <w:highlight w:val="none"/>
          <w:lang w:val="en-US" w:eastAsia="zh-CN"/>
        </w:rPr>
        <w:t>结合本项目实际情况进行分析，</w:t>
      </w:r>
      <w:r>
        <w:rPr>
          <w:rFonts w:hint="eastAsia" w:ascii="Times New Roman" w:hAnsi="Times New Roman" w:eastAsia="华文中宋" w:cs="Times New Roman"/>
          <w:color w:val="auto"/>
          <w:highlight w:val="none"/>
          <w:lang w:val="en-US" w:eastAsia="zh-CN"/>
        </w:rPr>
        <w:t>本项目清洁生产水平能够达到Ⅱ</w:t>
      </w:r>
      <w:r>
        <w:rPr>
          <w:rFonts w:hint="default" w:ascii="Times New Roman" w:hAnsi="Times New Roman" w:eastAsia="华文中宋" w:cs="Times New Roman"/>
          <w:color w:val="auto"/>
          <w:highlight w:val="none"/>
          <w:lang w:val="en-US" w:eastAsia="zh-CN"/>
        </w:rPr>
        <w:t>级</w:t>
      </w:r>
      <w:r>
        <w:rPr>
          <w:rFonts w:hint="eastAsia" w:ascii="Times New Roman" w:hAnsi="Times New Roman" w:eastAsia="华文中宋" w:cs="Times New Roman"/>
          <w:color w:val="auto"/>
          <w:highlight w:val="none"/>
          <w:lang w:val="en-US" w:eastAsia="zh-CN"/>
        </w:rPr>
        <w:t>（</w:t>
      </w:r>
      <w:r>
        <w:rPr>
          <w:rFonts w:hint="eastAsia" w:ascii="Times New Roman" w:hAnsi="Times New Roman" w:cs="Times New Roman"/>
          <w:color w:val="auto"/>
          <w:highlight w:val="none"/>
          <w:lang w:val="en-US" w:eastAsia="zh-CN"/>
        </w:rPr>
        <w:t>国内清洁生产先进水平</w:t>
      </w:r>
      <w:r>
        <w:rPr>
          <w:rFonts w:hint="eastAsia" w:ascii="Times New Roman" w:hAnsi="Times New Roman" w:eastAsia="华文中宋" w:cs="Times New Roman"/>
          <w:color w:val="auto"/>
          <w:highlight w:val="none"/>
          <w:lang w:val="en-US" w:eastAsia="zh-CN"/>
        </w:rPr>
        <w:t>）。</w:t>
      </w:r>
    </w:p>
    <w:p w14:paraId="7ECFFD5E">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eastAsia" w:ascii="Times New Roman" w:hAnsi="Times New Roman" w:eastAsia="华文中宋" w:cs="Times New Roman"/>
          <w:b/>
          <w:szCs w:val="21"/>
          <w:lang w:val="en-US" w:eastAsia="zh-CN"/>
        </w:rPr>
        <w:t>表3.4-3  不同等级清洁生产企业综合评价指数</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8"/>
        <w:gridCol w:w="5714"/>
      </w:tblGrid>
      <w:tr w14:paraId="7BAE5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tcPr>
          <w:p w14:paraId="6DDBCD1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企业清洁生产水平</w:t>
            </w:r>
          </w:p>
        </w:tc>
        <w:tc>
          <w:tcPr>
            <w:tcW w:w="5714" w:type="dxa"/>
          </w:tcPr>
          <w:p w14:paraId="6CDAC4C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清洁生产综合评价指数</w:t>
            </w:r>
          </w:p>
        </w:tc>
      </w:tr>
      <w:tr w14:paraId="0FCDA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tcPr>
          <w:p w14:paraId="542F87C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Ⅰ级</w:t>
            </w:r>
          </w:p>
        </w:tc>
        <w:tc>
          <w:tcPr>
            <w:tcW w:w="5714" w:type="dxa"/>
          </w:tcPr>
          <w:p w14:paraId="20A69C77">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YⅠ≥85，限定性指标全部满足Ⅰ级基准值要求</w:t>
            </w:r>
          </w:p>
        </w:tc>
      </w:tr>
      <w:tr w14:paraId="554CA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tcPr>
          <w:p w14:paraId="706FFC5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Ⅱ级</w:t>
            </w:r>
          </w:p>
        </w:tc>
        <w:tc>
          <w:tcPr>
            <w:tcW w:w="5714" w:type="dxa"/>
          </w:tcPr>
          <w:p w14:paraId="4FE8A82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YⅡ≥85，限定性指标全部满足Ⅱ级基准值要求</w:t>
            </w:r>
          </w:p>
        </w:tc>
      </w:tr>
      <w:tr w14:paraId="06D0C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tcPr>
          <w:p w14:paraId="37B5101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Ⅲ级</w:t>
            </w:r>
          </w:p>
        </w:tc>
        <w:tc>
          <w:tcPr>
            <w:tcW w:w="5714" w:type="dxa"/>
          </w:tcPr>
          <w:p w14:paraId="60468B2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YⅢ=100</w:t>
            </w:r>
          </w:p>
        </w:tc>
      </w:tr>
    </w:tbl>
    <w:p w14:paraId="0C4DE06A">
      <w:pPr>
        <w:rPr>
          <w:rFonts w:hint="default" w:ascii="Times New Roman" w:hAnsi="Times New Roman" w:cs="Times New Roman"/>
          <w:b/>
          <w:bCs/>
          <w:color w:val="000000"/>
          <w:sz w:val="30"/>
          <w:szCs w:val="30"/>
          <w:highlight w:val="none"/>
          <w:lang w:val="en-US" w:eastAsia="zh-CN"/>
        </w:rPr>
      </w:pPr>
    </w:p>
    <w:p w14:paraId="3F71E4B2">
      <w:pPr>
        <w:pStyle w:val="2"/>
        <w:pageBreakBefore/>
        <w:spacing w:before="250" w:beforeLines="50" w:after="250" w:afterLines="50" w:line="560" w:lineRule="exact"/>
        <w:ind w:left="554" w:hanging="555" w:hangingChars="152"/>
        <w:rPr>
          <w:rFonts w:hint="default" w:ascii="Times New Roman" w:hAnsi="Times New Roman" w:eastAsia="华文中宋" w:cs="Times New Roman"/>
          <w:snapToGrid w:val="0"/>
          <w:spacing w:val="2"/>
          <w:sz w:val="36"/>
          <w:szCs w:val="44"/>
          <w:lang w:val="en-US" w:eastAsia="zh-CN"/>
        </w:rPr>
      </w:pPr>
      <w:bookmarkStart w:id="103" w:name="_Toc17610"/>
      <w:bookmarkStart w:id="104" w:name="_Toc6166"/>
      <w:r>
        <w:rPr>
          <w:rFonts w:hint="default" w:ascii="Times New Roman" w:hAnsi="Times New Roman" w:eastAsia="华文中宋" w:cs="Times New Roman"/>
          <w:snapToGrid w:val="0"/>
          <w:spacing w:val="2"/>
          <w:sz w:val="36"/>
          <w:szCs w:val="44"/>
          <w:lang w:val="en-US" w:eastAsia="zh-CN"/>
        </w:rPr>
        <w:t>4环境现状调查及评价</w:t>
      </w:r>
      <w:bookmarkEnd w:id="103"/>
      <w:bookmarkEnd w:id="104"/>
    </w:p>
    <w:p w14:paraId="5B1BA0FD">
      <w:pPr>
        <w:pStyle w:val="3"/>
        <w:spacing w:before="120" w:after="120" w:line="500" w:lineRule="exact"/>
        <w:ind w:left="375" w:hanging="375" w:firstLineChars="0"/>
        <w:contextualSpacing/>
        <w:rPr>
          <w:rFonts w:hint="default" w:ascii="Times New Roman" w:hAnsi="Times New Roman" w:eastAsia="华文中宋" w:cs="Times New Roman"/>
          <w:snapToGrid w:val="0"/>
          <w:kern w:val="0"/>
          <w:sz w:val="28"/>
          <w:szCs w:val="28"/>
          <w:lang w:val="en-US" w:eastAsia="zh-CN"/>
        </w:rPr>
      </w:pPr>
      <w:bookmarkStart w:id="105" w:name="_Toc10301"/>
      <w:bookmarkStart w:id="106" w:name="_Toc30488"/>
      <w:r>
        <w:rPr>
          <w:rFonts w:hint="default" w:ascii="Times New Roman" w:hAnsi="Times New Roman" w:eastAsia="华文中宋" w:cs="Times New Roman"/>
          <w:snapToGrid w:val="0"/>
          <w:kern w:val="0"/>
          <w:sz w:val="28"/>
          <w:szCs w:val="28"/>
          <w:lang w:val="en-US" w:eastAsia="zh-CN"/>
        </w:rPr>
        <w:t>4.1自然环境概括</w:t>
      </w:r>
      <w:bookmarkEnd w:id="105"/>
      <w:bookmarkEnd w:id="106"/>
    </w:p>
    <w:p w14:paraId="05D8E855">
      <w:pPr>
        <w:pStyle w:val="4"/>
        <w:spacing w:before="120" w:after="120" w:line="500" w:lineRule="exact"/>
        <w:rPr>
          <w:rFonts w:hint="default" w:ascii="Times New Roman" w:hAnsi="Times New Roman" w:eastAsia="华文中宋" w:cs="Times New Roman"/>
          <w:b/>
          <w:bCs/>
          <w:snapToGrid w:val="0"/>
          <w:color w:val="auto"/>
          <w:kern w:val="0"/>
          <w:sz w:val="24"/>
          <w:szCs w:val="20"/>
          <w:lang w:val="en-US" w:eastAsia="zh-CN" w:bidi="ar-SA"/>
        </w:rPr>
      </w:pPr>
      <w:bookmarkStart w:id="107" w:name="_Toc17588"/>
      <w:r>
        <w:rPr>
          <w:rFonts w:hint="default" w:ascii="Times New Roman" w:hAnsi="Times New Roman" w:eastAsia="华文中宋" w:cs="Times New Roman"/>
          <w:b/>
          <w:bCs/>
          <w:kern w:val="0"/>
          <w:sz w:val="24"/>
          <w:szCs w:val="24"/>
          <w:lang w:val="en-US" w:eastAsia="zh-CN"/>
        </w:rPr>
        <w:t>4.1.</w:t>
      </w:r>
      <w:r>
        <w:rPr>
          <w:rFonts w:hint="default" w:ascii="Times New Roman" w:hAnsi="Times New Roman" w:eastAsia="华文中宋" w:cs="Times New Roman"/>
          <w:b/>
          <w:bCs/>
          <w:snapToGrid w:val="0"/>
          <w:color w:val="auto"/>
          <w:kern w:val="0"/>
          <w:sz w:val="24"/>
          <w:szCs w:val="20"/>
          <w:lang w:val="en-US" w:eastAsia="zh-CN" w:bidi="ar-SA"/>
        </w:rPr>
        <w:t>1地理位置</w:t>
      </w:r>
      <w:bookmarkEnd w:id="107"/>
    </w:p>
    <w:p w14:paraId="76913DAE">
      <w:pPr>
        <w:pStyle w:val="24"/>
        <w:snapToGrid w:val="0"/>
        <w:jc w:val="left"/>
        <w:rPr>
          <w:rFonts w:hint="default" w:ascii="Times New Roman" w:hAnsi="Times New Roman" w:eastAsia="华文中宋" w:cs="Times New Roman"/>
          <w:color w:val="auto"/>
          <w:lang w:eastAsia="zh-CN"/>
        </w:rPr>
      </w:pPr>
      <w:r>
        <w:rPr>
          <w:rFonts w:hint="default" w:ascii="Times New Roman" w:hAnsi="Times New Roman" w:eastAsia="华文中宋" w:cs="Times New Roman"/>
          <w:b w:val="0"/>
          <w:bCs w:val="0"/>
          <w:snapToGrid w:val="0"/>
          <w:color w:val="auto"/>
          <w:kern w:val="0"/>
          <w:sz w:val="24"/>
          <w:szCs w:val="20"/>
          <w:lang w:val="en-US" w:eastAsia="zh-CN" w:bidi="ar-SA"/>
        </w:rPr>
        <w:t>民丰县盼水河铅锑矿工程项目位于民丰县城170°方向、直距约140千米处，行政区划隶属和田地区民丰县管辖。</w:t>
      </w:r>
      <w:r>
        <w:rPr>
          <w:rFonts w:hint="default" w:ascii="Times New Roman" w:hAnsi="Times New Roman" w:eastAsia="华文中宋" w:cs="Times New Roman"/>
          <w:color w:val="auto"/>
          <w:lang w:eastAsia="zh-CN"/>
        </w:rPr>
        <w:t>自民丰县向东沿G31</w:t>
      </w:r>
      <w:r>
        <w:rPr>
          <w:rFonts w:hint="default" w:ascii="Times New Roman" w:hAnsi="Times New Roman" w:eastAsia="华文中宋" w:cs="Times New Roman"/>
          <w:color w:val="auto"/>
          <w:lang w:val="en-US" w:eastAsia="zh-CN"/>
        </w:rPr>
        <w:t>5</w:t>
      </w:r>
      <w:r>
        <w:rPr>
          <w:rFonts w:hint="default" w:ascii="Times New Roman" w:hAnsi="Times New Roman" w:eastAsia="华文中宋" w:cs="Times New Roman"/>
          <w:color w:val="auto"/>
          <w:lang w:eastAsia="zh-CN"/>
        </w:rPr>
        <w:t>国道行驶</w:t>
      </w:r>
      <w:r>
        <w:rPr>
          <w:rFonts w:hint="default" w:ascii="Times New Roman" w:hAnsi="Times New Roman" w:eastAsia="华文中宋" w:cs="Times New Roman"/>
          <w:color w:val="auto"/>
          <w:lang w:val="en-US" w:eastAsia="zh-CN"/>
        </w:rPr>
        <w:t>41千米后向南转入</w:t>
      </w:r>
      <w:r>
        <w:rPr>
          <w:rFonts w:hint="default" w:ascii="Times New Roman" w:hAnsi="Times New Roman" w:eastAsia="华文中宋" w:cs="Times New Roman"/>
          <w:color w:val="auto"/>
          <w:lang w:eastAsia="zh-CN"/>
        </w:rPr>
        <w:t>G</w:t>
      </w:r>
      <w:r>
        <w:rPr>
          <w:rFonts w:hint="default" w:ascii="Times New Roman" w:hAnsi="Times New Roman" w:eastAsia="华文中宋" w:cs="Times New Roman"/>
          <w:color w:val="auto"/>
          <w:lang w:val="en-US" w:eastAsia="zh-CN"/>
        </w:rPr>
        <w:t>216</w:t>
      </w:r>
      <w:r>
        <w:rPr>
          <w:rFonts w:hint="default" w:ascii="Times New Roman" w:hAnsi="Times New Roman" w:eastAsia="华文中宋" w:cs="Times New Roman"/>
          <w:color w:val="auto"/>
          <w:lang w:eastAsia="zh-CN"/>
        </w:rPr>
        <w:t>国道，沿G</w:t>
      </w:r>
      <w:r>
        <w:rPr>
          <w:rFonts w:hint="default" w:ascii="Times New Roman" w:hAnsi="Times New Roman" w:eastAsia="华文中宋" w:cs="Times New Roman"/>
          <w:color w:val="auto"/>
          <w:lang w:val="en-US" w:eastAsia="zh-CN"/>
        </w:rPr>
        <w:t>216</w:t>
      </w:r>
      <w:r>
        <w:rPr>
          <w:rFonts w:hint="default" w:ascii="Times New Roman" w:hAnsi="Times New Roman" w:eastAsia="华文中宋" w:cs="Times New Roman"/>
          <w:color w:val="auto"/>
          <w:lang w:eastAsia="zh-CN"/>
        </w:rPr>
        <w:t>国道行驶</w:t>
      </w:r>
      <w:r>
        <w:rPr>
          <w:rFonts w:hint="default" w:ascii="Times New Roman" w:hAnsi="Times New Roman" w:eastAsia="华文中宋" w:cs="Times New Roman"/>
          <w:color w:val="auto"/>
          <w:lang w:val="en-US" w:eastAsia="zh-CN"/>
        </w:rPr>
        <w:t>225千米后向东沿简易道路行驶10千米到达矿区，</w:t>
      </w:r>
      <w:r>
        <w:rPr>
          <w:rFonts w:hint="default" w:ascii="Times New Roman" w:hAnsi="Times New Roman" w:eastAsia="华文中宋" w:cs="Times New Roman"/>
          <w:color w:val="auto"/>
          <w:lang w:eastAsia="zh-CN"/>
        </w:rPr>
        <w:t>矿区至民丰县运距</w:t>
      </w:r>
      <w:r>
        <w:rPr>
          <w:rFonts w:hint="default" w:ascii="Times New Roman" w:hAnsi="Times New Roman" w:eastAsia="华文中宋" w:cs="Times New Roman"/>
          <w:color w:val="auto"/>
          <w:lang w:val="en-US" w:eastAsia="zh-CN"/>
        </w:rPr>
        <w:t>276</w:t>
      </w:r>
      <w:r>
        <w:rPr>
          <w:rFonts w:hint="default" w:ascii="Times New Roman" w:hAnsi="Times New Roman" w:eastAsia="华文中宋" w:cs="Times New Roman"/>
          <w:color w:val="auto"/>
          <w:lang w:eastAsia="zh-CN"/>
        </w:rPr>
        <w:t>千米，交通条件相对便利。</w:t>
      </w:r>
    </w:p>
    <w:p w14:paraId="127FAEDF">
      <w:pPr>
        <w:pStyle w:val="24"/>
        <w:snapToGrid w:val="0"/>
        <w:jc w:val="left"/>
        <w:rPr>
          <w:rFonts w:hint="default" w:ascii="Times New Roman" w:hAnsi="Times New Roman" w:eastAsia="华文中宋" w:cs="Times New Roman"/>
          <w:color w:val="auto"/>
          <w:lang w:eastAsia="zh-CN"/>
        </w:rPr>
      </w:pPr>
      <w:r>
        <w:rPr>
          <w:rFonts w:hint="default" w:ascii="Times New Roman" w:hAnsi="Times New Roman" w:eastAsia="华文中宋" w:cs="Times New Roman"/>
          <w:color w:val="auto"/>
          <w:lang w:eastAsia="zh-CN"/>
        </w:rPr>
        <w:t>本项目采矿区地理位置详见</w:t>
      </w:r>
      <w:r>
        <w:rPr>
          <w:rFonts w:hint="default" w:ascii="Times New Roman" w:hAnsi="Times New Roman" w:cs="Times New Roman"/>
          <w:color w:val="auto"/>
          <w:lang w:val="en-US" w:eastAsia="zh-CN"/>
        </w:rPr>
        <w:t>图</w:t>
      </w:r>
      <w:r>
        <w:rPr>
          <w:rFonts w:hint="default" w:ascii="Times New Roman" w:hAnsi="Times New Roman" w:eastAsia="华文中宋" w:cs="Times New Roman"/>
          <w:color w:val="auto"/>
          <w:lang w:val="en-US" w:eastAsia="zh-CN"/>
        </w:rPr>
        <w:t>4</w:t>
      </w:r>
      <w:r>
        <w:rPr>
          <w:rFonts w:hint="default" w:ascii="Times New Roman" w:hAnsi="Times New Roman" w:eastAsia="华文中宋" w:cs="Times New Roman"/>
          <w:color w:val="auto"/>
          <w:lang w:eastAsia="zh-CN"/>
        </w:rPr>
        <w:t>.1-1。</w:t>
      </w:r>
    </w:p>
    <w:p w14:paraId="5D5E95E0">
      <w:pPr>
        <w:pStyle w:val="4"/>
        <w:spacing w:before="120" w:after="120" w:line="500" w:lineRule="exact"/>
        <w:rPr>
          <w:rFonts w:hint="default" w:ascii="Times New Roman" w:hAnsi="Times New Roman" w:eastAsia="华文中宋" w:cs="Times New Roman"/>
          <w:kern w:val="0"/>
          <w:sz w:val="24"/>
          <w:szCs w:val="24"/>
          <w:lang w:val="en-US" w:eastAsia="zh-CN"/>
        </w:rPr>
      </w:pPr>
      <w:bookmarkStart w:id="108" w:name="_Toc13117"/>
      <w:r>
        <w:rPr>
          <w:rFonts w:hint="default" w:ascii="Times New Roman" w:hAnsi="Times New Roman" w:eastAsia="华文中宋" w:cs="Times New Roman"/>
          <w:kern w:val="0"/>
          <w:sz w:val="24"/>
          <w:szCs w:val="24"/>
          <w:lang w:val="en-US" w:eastAsia="zh-CN"/>
        </w:rPr>
        <w:t>4.1.2地形、地貌</w:t>
      </w:r>
      <w:bookmarkEnd w:id="108"/>
    </w:p>
    <w:p w14:paraId="5E714392">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eastAsia="zh-CN"/>
        </w:rPr>
        <w:t>矿区位于</w:t>
      </w:r>
      <w:r>
        <w:rPr>
          <w:rFonts w:hint="default" w:ascii="Times New Roman" w:hAnsi="Times New Roman" w:eastAsia="华文中宋" w:cs="Times New Roman"/>
          <w:color w:val="auto"/>
        </w:rPr>
        <w:t>东昆仑山西段，苦牙克-拉</w:t>
      </w:r>
      <w:r>
        <w:rPr>
          <w:rFonts w:hint="default" w:ascii="Times New Roman" w:hAnsi="Times New Roman" w:eastAsia="华文中宋" w:cs="Times New Roman"/>
          <w:color w:val="auto"/>
          <w:lang w:eastAsia="zh-CN"/>
        </w:rPr>
        <w:t>竹笼</w:t>
      </w:r>
      <w:r>
        <w:rPr>
          <w:rFonts w:hint="default" w:ascii="Times New Roman" w:hAnsi="Times New Roman" w:eastAsia="华文中宋" w:cs="Times New Roman"/>
          <w:color w:val="auto"/>
        </w:rPr>
        <w:t>断裂为东、西昆仑山的天然分界</w:t>
      </w:r>
      <w:r>
        <w:rPr>
          <w:rFonts w:hint="default" w:ascii="Times New Roman" w:hAnsi="Times New Roman" w:eastAsia="华文中宋" w:cs="Times New Roman"/>
          <w:color w:val="auto"/>
          <w:lang w:eastAsia="zh-CN"/>
        </w:rPr>
        <w:t>。</w:t>
      </w:r>
      <w:r>
        <w:rPr>
          <w:rFonts w:hint="default" w:ascii="Times New Roman" w:hAnsi="Times New Roman" w:eastAsia="华文中宋" w:cs="Times New Roman"/>
          <w:color w:val="auto"/>
        </w:rPr>
        <w:t>属高寒山区，地势起伏</w:t>
      </w:r>
      <w:r>
        <w:rPr>
          <w:rFonts w:hint="default" w:ascii="Times New Roman" w:hAnsi="Times New Roman" w:eastAsia="华文中宋" w:cs="Times New Roman"/>
          <w:color w:val="auto"/>
          <w:lang w:eastAsia="zh-CN"/>
        </w:rPr>
        <w:t>不大</w:t>
      </w:r>
      <w:r>
        <w:rPr>
          <w:rFonts w:hint="default" w:ascii="Times New Roman" w:hAnsi="Times New Roman" w:eastAsia="华文中宋" w:cs="Times New Roman"/>
          <w:color w:val="auto"/>
        </w:rPr>
        <w:t>，最高海拔5152米，最低为510</w:t>
      </w:r>
      <w:r>
        <w:rPr>
          <w:rFonts w:hint="default" w:ascii="Times New Roman" w:hAnsi="Times New Roman" w:eastAsia="华文中宋" w:cs="Times New Roman"/>
          <w:color w:val="auto"/>
          <w:lang w:val="en-US" w:eastAsia="zh-CN"/>
        </w:rPr>
        <w:t>0</w:t>
      </w:r>
      <w:r>
        <w:rPr>
          <w:rFonts w:hint="default" w:ascii="Times New Roman" w:hAnsi="Times New Roman" w:eastAsia="华文中宋" w:cs="Times New Roman"/>
          <w:color w:val="auto"/>
        </w:rPr>
        <w:t>米，</w:t>
      </w:r>
      <w:r>
        <w:rPr>
          <w:rFonts w:hint="default" w:ascii="Times New Roman" w:hAnsi="Times New Roman" w:eastAsia="华文中宋" w:cs="Times New Roman"/>
          <w:color w:val="auto"/>
          <w:lang w:val="en-US" w:eastAsia="zh-CN"/>
        </w:rPr>
        <w:t>一般高差小于20米，</w:t>
      </w:r>
      <w:r>
        <w:rPr>
          <w:rFonts w:hint="default" w:ascii="Times New Roman" w:hAnsi="Times New Roman" w:eastAsia="华文中宋" w:cs="Times New Roman"/>
          <w:color w:val="auto"/>
          <w:lang w:eastAsia="zh-CN"/>
        </w:rPr>
        <w:t>最大</w:t>
      </w:r>
      <w:r>
        <w:rPr>
          <w:rFonts w:hint="default" w:ascii="Times New Roman" w:hAnsi="Times New Roman" w:eastAsia="华文中宋" w:cs="Times New Roman"/>
          <w:color w:val="auto"/>
        </w:rPr>
        <w:t>高差</w:t>
      </w:r>
      <w:r>
        <w:rPr>
          <w:rFonts w:hint="default" w:ascii="Times New Roman" w:hAnsi="Times New Roman" w:eastAsia="华文中宋" w:cs="Times New Roman"/>
          <w:color w:val="auto"/>
          <w:lang w:val="en-US" w:eastAsia="zh-CN"/>
        </w:rPr>
        <w:t>52</w:t>
      </w:r>
      <w:r>
        <w:rPr>
          <w:rFonts w:hint="default" w:ascii="Times New Roman" w:hAnsi="Times New Roman" w:eastAsia="华文中宋" w:cs="Times New Roman"/>
          <w:color w:val="auto"/>
        </w:rPr>
        <w:t>米。矿区地貌由残丘、垄岗和洼地组成，残丘顶部浑圆，斜坡坡度和缓，残丘和垄岗顶部基岩裸露</w:t>
      </w:r>
      <w:r>
        <w:rPr>
          <w:rFonts w:hint="default" w:ascii="Times New Roman" w:hAnsi="Times New Roman" w:eastAsia="华文中宋" w:cs="Times New Roman"/>
          <w:color w:val="auto"/>
          <w:lang w:eastAsia="zh-CN"/>
        </w:rPr>
        <w:t>，总体地形</w:t>
      </w:r>
      <w:r>
        <w:rPr>
          <w:rFonts w:hint="default" w:ascii="Times New Roman" w:hAnsi="Times New Roman" w:eastAsia="华文中宋" w:cs="Times New Roman"/>
          <w:color w:val="auto"/>
        </w:rPr>
        <w:t>坡度约</w:t>
      </w:r>
      <w:r>
        <w:rPr>
          <w:rFonts w:hint="default" w:ascii="Times New Roman" w:hAnsi="Times New Roman" w:eastAsia="华文中宋" w:cs="Times New Roman"/>
          <w:color w:val="auto"/>
          <w:lang w:val="en-US" w:eastAsia="zh-CN"/>
        </w:rPr>
        <w:t>3</w:t>
      </w:r>
      <w:r>
        <w:rPr>
          <w:rFonts w:hint="default" w:ascii="Times New Roman" w:hAnsi="Times New Roman" w:eastAsia="华文中宋" w:cs="Times New Roman"/>
          <w:color w:val="auto"/>
        </w:rPr>
        <w:t>-20°</w:t>
      </w:r>
      <w:r>
        <w:rPr>
          <w:rFonts w:hint="default" w:ascii="Times New Roman" w:hAnsi="Times New Roman" w:eastAsia="华文中宋" w:cs="Times New Roman"/>
          <w:color w:val="auto"/>
          <w:lang w:eastAsia="zh-CN"/>
        </w:rPr>
        <w:t>。</w:t>
      </w:r>
      <w:r>
        <w:rPr>
          <w:rFonts w:hint="default" w:ascii="Times New Roman" w:hAnsi="Times New Roman" w:eastAsia="华文中宋" w:cs="Times New Roman"/>
          <w:color w:val="auto"/>
        </w:rPr>
        <w:t>丘间洼地宽阔，洼地内有松散堆积物</w:t>
      </w:r>
      <w:r>
        <w:rPr>
          <w:rFonts w:hint="default" w:ascii="Times New Roman" w:hAnsi="Times New Roman" w:eastAsia="华文中宋" w:cs="Times New Roman"/>
          <w:color w:val="auto"/>
          <w:lang w:eastAsia="zh-CN"/>
        </w:rPr>
        <w:t>堆</w:t>
      </w:r>
      <w:r>
        <w:rPr>
          <w:rFonts w:hint="default" w:ascii="Times New Roman" w:hAnsi="Times New Roman" w:eastAsia="华文中宋" w:cs="Times New Roman"/>
          <w:color w:val="auto"/>
        </w:rPr>
        <w:t>积，植被发育，</w:t>
      </w:r>
      <w:r>
        <w:rPr>
          <w:rFonts w:hint="default" w:ascii="Times New Roman" w:hAnsi="Times New Roman" w:eastAsia="华文中宋" w:cs="Times New Roman"/>
          <w:color w:val="auto"/>
          <w:lang w:val="en-US" w:eastAsia="zh-CN"/>
        </w:rPr>
        <w:t>绝大部分区域植被覆盖度低于10%，少部分区域</w:t>
      </w:r>
      <w:r>
        <w:rPr>
          <w:rFonts w:hint="default" w:ascii="Times New Roman" w:hAnsi="Times New Roman" w:cs="Times New Roman"/>
          <w:color w:val="auto"/>
          <w:lang w:val="en-US" w:eastAsia="zh-CN"/>
        </w:rPr>
        <w:t>植被</w:t>
      </w:r>
      <w:r>
        <w:rPr>
          <w:rFonts w:hint="default" w:ascii="Times New Roman" w:hAnsi="Times New Roman" w:eastAsia="华文中宋" w:cs="Times New Roman"/>
          <w:color w:val="auto"/>
          <w:lang w:val="en-US" w:eastAsia="zh-CN"/>
        </w:rPr>
        <w:t>覆盖度位于10</w:t>
      </w:r>
      <w:r>
        <w:rPr>
          <w:rFonts w:hint="default"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～20</w:t>
      </w:r>
      <w:r>
        <w:rPr>
          <w:rFonts w:hint="default" w:ascii="Times New Roman" w:hAnsi="Times New Roman" w:eastAsia="华文中宋" w:cs="Times New Roman"/>
          <w:color w:val="auto"/>
        </w:rPr>
        <w:t>%</w:t>
      </w:r>
      <w:r>
        <w:rPr>
          <w:rFonts w:hint="default" w:ascii="Times New Roman" w:hAnsi="Times New Roman" w:eastAsia="华文中宋" w:cs="Times New Roman"/>
          <w:color w:val="auto"/>
          <w:lang w:val="en-US" w:eastAsia="zh-CN"/>
        </w:rPr>
        <w:t>之间</w:t>
      </w:r>
      <w:r>
        <w:rPr>
          <w:rFonts w:hint="default" w:ascii="Times New Roman" w:hAnsi="Times New Roman" w:eastAsia="华文中宋" w:cs="Times New Roman"/>
          <w:color w:val="auto"/>
          <w:lang w:eastAsia="zh-CN"/>
        </w:rPr>
        <w:t>，</w:t>
      </w:r>
      <w:r>
        <w:rPr>
          <w:rFonts w:hint="default" w:ascii="Times New Roman" w:hAnsi="Times New Roman" w:eastAsia="华文中宋" w:cs="Times New Roman"/>
          <w:color w:val="auto"/>
        </w:rPr>
        <w:t>整体上为</w:t>
      </w:r>
      <w:r>
        <w:rPr>
          <w:rFonts w:hint="default" w:ascii="Times New Roman" w:hAnsi="Times New Roman" w:eastAsia="华文中宋" w:cs="Times New Roman"/>
          <w:color w:val="auto"/>
          <w:lang w:eastAsia="zh-CN"/>
        </w:rPr>
        <w:t>高原</w:t>
      </w:r>
      <w:r>
        <w:rPr>
          <w:rFonts w:hint="default" w:ascii="Times New Roman" w:hAnsi="Times New Roman" w:eastAsia="华文中宋" w:cs="Times New Roman"/>
          <w:color w:val="auto"/>
        </w:rPr>
        <w:t>荒漠景观。矿区及周边无形态明显的沟谷分布</w:t>
      </w:r>
      <w:r>
        <w:rPr>
          <w:rFonts w:hint="default" w:ascii="Times New Roman" w:hAnsi="Times New Roman" w:eastAsia="华文中宋" w:cs="Times New Roman"/>
          <w:color w:val="auto"/>
          <w:lang w:eastAsia="zh-CN"/>
        </w:rPr>
        <w:t>。</w:t>
      </w:r>
    </w:p>
    <w:p w14:paraId="57279539">
      <w:pPr>
        <w:pStyle w:val="4"/>
        <w:spacing w:before="120" w:after="120" w:line="500" w:lineRule="exact"/>
        <w:rPr>
          <w:rFonts w:hint="default" w:ascii="Times New Roman" w:hAnsi="Times New Roman" w:eastAsia="华文中宋" w:cs="Times New Roman"/>
          <w:kern w:val="0"/>
          <w:sz w:val="24"/>
          <w:szCs w:val="24"/>
          <w:lang w:val="en-US" w:eastAsia="zh-CN"/>
        </w:rPr>
      </w:pPr>
      <w:bookmarkStart w:id="109" w:name="_Toc23492"/>
      <w:r>
        <w:rPr>
          <w:rFonts w:hint="default" w:ascii="Times New Roman" w:hAnsi="Times New Roman" w:eastAsia="华文中宋" w:cs="Times New Roman"/>
          <w:kern w:val="0"/>
          <w:sz w:val="24"/>
          <w:szCs w:val="24"/>
          <w:lang w:val="en-US" w:eastAsia="zh-CN"/>
        </w:rPr>
        <w:t>4.1.3气候条件</w:t>
      </w:r>
      <w:bookmarkEnd w:id="109"/>
    </w:p>
    <w:p w14:paraId="28D50587">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矿区地处昆仑山腹地高原，为典型大陆性气候，多风少雨，夏季短暂，最高气温仅20</w:t>
      </w:r>
      <w:r>
        <w:rPr>
          <w:rFonts w:hint="eastAsia" w:ascii="Times New Roman" w:hAnsi="Times New Roman" w:eastAsia="华文中宋" w:cs="Times New Roman"/>
          <w:sz w:val="24"/>
          <w:lang w:val="en-US" w:eastAsia="zh-CN"/>
        </w:rPr>
        <w:t>～</w:t>
      </w:r>
      <w:r>
        <w:rPr>
          <w:rFonts w:hint="default" w:ascii="Times New Roman" w:hAnsi="Times New Roman" w:eastAsia="华文中宋" w:cs="Times New Roman"/>
          <w:sz w:val="24"/>
          <w:lang w:val="en-US" w:eastAsia="zh-CN"/>
        </w:rPr>
        <w:t>25℃，冬季寒冷而漫长，最低温度可达-40℃，昼夜温差最大时达25℃</w:t>
      </w:r>
      <w:r>
        <w:rPr>
          <w:rFonts w:hint="eastAsia" w:ascii="Times New Roman" w:hAnsi="Times New Roman" w:eastAsia="华文中宋" w:cs="Times New Roman"/>
          <w:sz w:val="24"/>
          <w:lang w:val="en-US" w:eastAsia="zh-CN"/>
        </w:rPr>
        <w:t>～</w:t>
      </w:r>
      <w:r>
        <w:rPr>
          <w:rFonts w:hint="default" w:ascii="Times New Roman" w:hAnsi="Times New Roman" w:eastAsia="华文中宋" w:cs="Times New Roman"/>
          <w:sz w:val="24"/>
          <w:lang w:val="en-US" w:eastAsia="zh-CN"/>
        </w:rPr>
        <w:t>30℃，年均气低于-4℃。10月至次年4月为封冻期，降雪较少，最大冻土深度145厘米，5月份开始解冻，7</w:t>
      </w:r>
      <w:r>
        <w:rPr>
          <w:rFonts w:hint="eastAsia" w:ascii="Times New Roman" w:hAnsi="Times New Roman" w:eastAsia="华文中宋" w:cs="Times New Roman"/>
          <w:sz w:val="24"/>
          <w:lang w:val="en-US" w:eastAsia="zh-CN"/>
        </w:rPr>
        <w:t>～</w:t>
      </w:r>
      <w:r>
        <w:rPr>
          <w:rFonts w:hint="default" w:ascii="Times New Roman" w:hAnsi="Times New Roman" w:eastAsia="华文中宋" w:cs="Times New Roman"/>
          <w:sz w:val="24"/>
          <w:lang w:val="en-US" w:eastAsia="zh-CN"/>
        </w:rPr>
        <w:t>8月为雨季，多为雨雪加冰雹，伴随大风、降雪，日最大降雨量31毫米，多年平均降雨量约140毫米，年蒸发量为2400余毫米，蒸发量大于降水量近17倍。4</w:t>
      </w:r>
      <w:r>
        <w:rPr>
          <w:rFonts w:hint="eastAsia" w:ascii="Times New Roman" w:hAnsi="Times New Roman" w:eastAsia="华文中宋" w:cs="Times New Roman"/>
          <w:sz w:val="24"/>
          <w:lang w:val="en-US" w:eastAsia="zh-CN"/>
        </w:rPr>
        <w:t>～</w:t>
      </w:r>
      <w:r>
        <w:rPr>
          <w:rFonts w:hint="default" w:ascii="Times New Roman" w:hAnsi="Times New Roman" w:eastAsia="华文中宋" w:cs="Times New Roman"/>
          <w:sz w:val="24"/>
          <w:lang w:val="en-US" w:eastAsia="zh-CN"/>
        </w:rPr>
        <w:t>7月份为风季，多为西北风，风力一般4</w:t>
      </w:r>
      <w:r>
        <w:rPr>
          <w:rFonts w:hint="eastAsia" w:ascii="Times New Roman" w:hAnsi="Times New Roman" w:eastAsia="华文中宋" w:cs="Times New Roman"/>
          <w:sz w:val="24"/>
          <w:lang w:val="en-US" w:eastAsia="zh-CN"/>
        </w:rPr>
        <w:t>～</w:t>
      </w:r>
      <w:r>
        <w:rPr>
          <w:rFonts w:hint="default" w:ascii="Times New Roman" w:hAnsi="Times New Roman" w:eastAsia="华文中宋" w:cs="Times New Roman"/>
          <w:sz w:val="24"/>
          <w:lang w:val="en-US" w:eastAsia="zh-CN"/>
        </w:rPr>
        <w:t>5级，最大8级。</w:t>
      </w:r>
    </w:p>
    <w:p w14:paraId="1AD7E363">
      <w:pPr>
        <w:pStyle w:val="4"/>
        <w:spacing w:before="120" w:after="120" w:line="500" w:lineRule="exact"/>
        <w:rPr>
          <w:rFonts w:hint="default" w:ascii="Times New Roman" w:hAnsi="Times New Roman" w:eastAsia="华文中宋" w:cs="Times New Roman"/>
          <w:kern w:val="0"/>
          <w:sz w:val="24"/>
          <w:szCs w:val="24"/>
          <w:lang w:val="en-US" w:eastAsia="zh-CN"/>
        </w:rPr>
      </w:pPr>
      <w:bookmarkStart w:id="110" w:name="_Toc1529"/>
      <w:r>
        <w:rPr>
          <w:rFonts w:hint="default" w:ascii="Times New Roman" w:hAnsi="Times New Roman" w:eastAsia="华文中宋" w:cs="Times New Roman"/>
          <w:kern w:val="0"/>
          <w:sz w:val="24"/>
          <w:szCs w:val="24"/>
          <w:lang w:val="en-US" w:eastAsia="zh-CN"/>
        </w:rPr>
        <w:t>4.1.4水文</w:t>
      </w:r>
      <w:bookmarkEnd w:id="110"/>
    </w:p>
    <w:p w14:paraId="44AB67EC">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矿区位于东昆仑山西段，地形总体北高南低，地形相对高差小，坡度不大，区内无常年性河流分布，但局部细小冲沟发育。矿区南部有两处洼地水塘，水塘</w:t>
      </w:r>
      <w:r>
        <w:rPr>
          <w:rFonts w:hint="eastAsia" w:ascii="Times New Roman" w:hAnsi="Times New Roman" w:eastAsia="华文中宋" w:cs="Times New Roman"/>
          <w:sz w:val="24"/>
          <w:lang w:val="en-US" w:eastAsia="zh-CN"/>
        </w:rPr>
        <w:t>1#</w:t>
      </w:r>
      <w:r>
        <w:rPr>
          <w:rFonts w:hint="default" w:ascii="Times New Roman" w:hAnsi="Times New Roman" w:eastAsia="华文中宋" w:cs="Times New Roman"/>
          <w:sz w:val="24"/>
          <w:lang w:val="en-US" w:eastAsia="zh-CN"/>
        </w:rPr>
        <w:t>位于矿区南部，水面东西最大长度120米，南北最大宽度48米，水面面积约5000平方米，最大水深1.2米，水面标高5108米。水塘</w:t>
      </w:r>
      <w:r>
        <w:rPr>
          <w:rFonts w:hint="eastAsia" w:ascii="Times New Roman" w:hAnsi="Times New Roman" w:eastAsia="华文中宋" w:cs="Times New Roman"/>
          <w:sz w:val="24"/>
          <w:lang w:val="en-US" w:eastAsia="zh-CN"/>
        </w:rPr>
        <w:t>2#</w:t>
      </w:r>
      <w:r>
        <w:rPr>
          <w:rFonts w:hint="default" w:ascii="Times New Roman" w:hAnsi="Times New Roman" w:eastAsia="华文中宋" w:cs="Times New Roman"/>
          <w:sz w:val="24"/>
          <w:lang w:val="en-US" w:eastAsia="zh-CN"/>
        </w:rPr>
        <w:t>位于矿区东南部，东距水塘</w:t>
      </w:r>
      <w:r>
        <w:rPr>
          <w:rFonts w:hint="eastAsia" w:ascii="Times New Roman" w:hAnsi="Times New Roman" w:eastAsia="华文中宋" w:cs="Times New Roman"/>
          <w:sz w:val="24"/>
          <w:lang w:val="en-US" w:eastAsia="zh-CN"/>
        </w:rPr>
        <w:t>1#</w:t>
      </w:r>
      <w:r>
        <w:rPr>
          <w:rFonts w:hint="default" w:ascii="Times New Roman" w:hAnsi="Times New Roman" w:eastAsia="华文中宋" w:cs="Times New Roman"/>
          <w:sz w:val="24"/>
          <w:lang w:val="en-US" w:eastAsia="zh-CN"/>
        </w:rPr>
        <w:t>250米，水面东西最大长度100米，南北最大宽度70米，水面面积约6000平方米，最大水深1.0米，水面标高5102米。两处水塘几乎呈闭流状态，不能外泄，损耗于湖面蒸发及下渗。水塘的补给水源主要来自春季矿区及周边的冰雪融水，夏季雨雪补给量较少。</w:t>
      </w:r>
      <w:r>
        <w:rPr>
          <w:rFonts w:hint="eastAsia" w:ascii="Times New Roman" w:hAnsi="Times New Roman" w:eastAsia="华文中宋" w:cs="Times New Roman"/>
          <w:sz w:val="24"/>
          <w:lang w:val="en-US" w:eastAsia="zh-CN"/>
        </w:rPr>
        <w:t>项目1#、2#水塘与项目各个工业场地距离较远，在项目落实本报告提出的各项环保措施后，运营期正常开展工业活动过程中基本不会对矿区内两处水塘产生环境影响。</w:t>
      </w:r>
    </w:p>
    <w:p w14:paraId="4D1A38C9">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在矿区东侧约0.6千米处发育有季节性河流盼水河</w:t>
      </w:r>
      <w:r>
        <w:rPr>
          <w:rFonts w:hint="eastAsia" w:ascii="Times New Roman" w:hAnsi="Times New Roman" w:eastAsia="华文中宋" w:cs="Times New Roman"/>
          <w:sz w:val="24"/>
          <w:lang w:val="en-US" w:eastAsia="zh-CN"/>
        </w:rPr>
        <w:t>支流</w:t>
      </w:r>
      <w:r>
        <w:rPr>
          <w:rFonts w:hint="default" w:ascii="Times New Roman" w:hAnsi="Times New Roman" w:eastAsia="华文中宋" w:cs="Times New Roman"/>
          <w:sz w:val="24"/>
          <w:lang w:val="en-US" w:eastAsia="zh-CN"/>
        </w:rPr>
        <w:t>，自北向南流经，为冰雪融化季节性型河流，4</w:t>
      </w:r>
      <w:r>
        <w:rPr>
          <w:rFonts w:hint="eastAsia" w:ascii="Times New Roman" w:hAnsi="Times New Roman" w:eastAsia="华文中宋" w:cs="Times New Roman"/>
          <w:sz w:val="24"/>
          <w:lang w:val="en-US" w:eastAsia="zh-CN"/>
        </w:rPr>
        <w:t>～</w:t>
      </w:r>
      <w:r>
        <w:rPr>
          <w:rFonts w:hint="default" w:ascii="Times New Roman" w:hAnsi="Times New Roman" w:eastAsia="华文中宋" w:cs="Times New Roman"/>
          <w:sz w:val="24"/>
          <w:lang w:val="en-US" w:eastAsia="zh-CN"/>
        </w:rPr>
        <w:t>10月平均流量约0.38m</w:t>
      </w:r>
      <w:r>
        <w:rPr>
          <w:rFonts w:hint="default" w:ascii="Times New Roman" w:hAnsi="Times New Roman" w:eastAsia="华文中宋" w:cs="Times New Roman"/>
          <w:sz w:val="24"/>
          <w:vertAlign w:val="superscript"/>
          <w:lang w:val="en-US" w:eastAsia="zh-CN"/>
        </w:rPr>
        <w:t>3</w:t>
      </w:r>
      <w:r>
        <w:rPr>
          <w:rFonts w:hint="default" w:ascii="Times New Roman" w:hAnsi="Times New Roman" w:eastAsia="华文中宋" w:cs="Times New Roman"/>
          <w:sz w:val="24"/>
          <w:lang w:val="en-US" w:eastAsia="zh-CN"/>
        </w:rPr>
        <w:t>/s，11月至笠年3月为冰冻期。矿区南东侧的河流交汇处为周边地势最低洼处，四周季节性河流均汇流于此后流向下游</w:t>
      </w:r>
      <w:r>
        <w:rPr>
          <w:rFonts w:hint="eastAsia" w:ascii="Times New Roman" w:hAnsi="Times New Roman" w:eastAsia="华文中宋" w:cs="Times New Roman"/>
          <w:sz w:val="24"/>
          <w:lang w:val="en-US" w:eastAsia="zh-CN"/>
        </w:rPr>
        <w:t>盼水河</w:t>
      </w:r>
      <w:r>
        <w:rPr>
          <w:rFonts w:hint="default" w:ascii="Times New Roman" w:hAnsi="Times New Roman" w:eastAsia="华文中宋" w:cs="Times New Roman"/>
          <w:sz w:val="24"/>
          <w:lang w:val="en-US" w:eastAsia="zh-CN"/>
        </w:rPr>
        <w:t>，海拔标高约</w:t>
      </w:r>
      <w:r>
        <w:rPr>
          <w:rFonts w:hint="eastAsia" w:ascii="Times New Roman" w:hAnsi="Times New Roman" w:eastAsia="华文中宋" w:cs="Times New Roman"/>
          <w:sz w:val="24"/>
          <w:lang w:val="en-US" w:eastAsia="zh-CN"/>
        </w:rPr>
        <w:t>4982</w:t>
      </w:r>
      <w:r>
        <w:rPr>
          <w:rFonts w:hint="default" w:ascii="Times New Roman" w:hAnsi="Times New Roman" w:eastAsia="华文中宋" w:cs="Times New Roman"/>
          <w:sz w:val="24"/>
          <w:lang w:val="en-US" w:eastAsia="zh-CN"/>
        </w:rPr>
        <w:t>米，构成该区域最低侵蚀基准面。</w:t>
      </w:r>
      <w:r>
        <w:rPr>
          <w:rFonts w:hint="eastAsia" w:ascii="Times New Roman" w:hAnsi="Times New Roman" w:eastAsia="华文中宋" w:cs="Times New Roman"/>
          <w:sz w:val="24"/>
          <w:lang w:val="en-US" w:eastAsia="zh-CN"/>
        </w:rPr>
        <w:t>项目区周边水系图见附图4.1-2。</w:t>
      </w:r>
    </w:p>
    <w:p w14:paraId="29A08F72">
      <w:pPr>
        <w:pStyle w:val="4"/>
        <w:spacing w:before="120" w:after="120" w:line="500" w:lineRule="exact"/>
        <w:rPr>
          <w:rFonts w:hint="default" w:ascii="Times New Roman" w:hAnsi="Times New Roman" w:eastAsia="华文中宋" w:cs="Times New Roman"/>
          <w:kern w:val="0"/>
          <w:sz w:val="24"/>
          <w:szCs w:val="24"/>
          <w:lang w:val="en-US" w:eastAsia="zh-CN"/>
        </w:rPr>
      </w:pPr>
      <w:bookmarkStart w:id="111" w:name="_Toc23407"/>
      <w:r>
        <w:rPr>
          <w:rFonts w:hint="default" w:ascii="Times New Roman" w:hAnsi="Times New Roman" w:eastAsia="华文中宋" w:cs="Times New Roman"/>
          <w:kern w:val="0"/>
          <w:sz w:val="24"/>
          <w:szCs w:val="24"/>
          <w:lang w:val="en-US" w:eastAsia="zh-CN"/>
        </w:rPr>
        <w:t>4.1.5水文地质</w:t>
      </w:r>
      <w:bookmarkEnd w:id="111"/>
    </w:p>
    <w:p w14:paraId="37BF5BB7">
      <w:pPr>
        <w:adjustRightInd w:val="0"/>
        <w:snapToGrid w:val="0"/>
        <w:spacing w:line="500" w:lineRule="exact"/>
        <w:jc w:val="left"/>
        <w:rPr>
          <w:rFonts w:hint="default" w:ascii="Times New Roman" w:hAnsi="Times New Roman" w:eastAsia="华文中宋" w:cs="Times New Roman"/>
          <w:b/>
          <w:bCs/>
          <w:sz w:val="24"/>
          <w:lang w:val="en-US" w:eastAsia="zh-CN"/>
        </w:rPr>
      </w:pPr>
      <w:r>
        <w:rPr>
          <w:rFonts w:hint="eastAsia" w:ascii="Times New Roman" w:hAnsi="Times New Roman" w:eastAsia="华文中宋" w:cs="Times New Roman"/>
          <w:b/>
          <w:bCs/>
          <w:sz w:val="24"/>
          <w:lang w:val="en-US" w:eastAsia="zh-CN"/>
        </w:rPr>
        <w:t>4.1.5.1</w:t>
      </w:r>
      <w:r>
        <w:rPr>
          <w:rFonts w:hint="default" w:ascii="Times New Roman" w:hAnsi="Times New Roman" w:eastAsia="华文中宋" w:cs="Times New Roman"/>
          <w:b/>
          <w:bCs/>
          <w:sz w:val="24"/>
          <w:lang w:val="en-US" w:eastAsia="zh-CN"/>
        </w:rPr>
        <w:t>第四系松散岩类孔隙水</w:t>
      </w:r>
    </w:p>
    <w:p w14:paraId="686677F6">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主要分布在倾斜平原区和北部沙漠区，在南部山区的山间洼地有小面积分布。</w:t>
      </w:r>
    </w:p>
    <w:p w14:paraId="27B1B59D">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（1）倾斜平原区松散岩类孔隙水</w:t>
      </w:r>
    </w:p>
    <w:p w14:paraId="4A00B7AA">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含水层时代以上更新统为主，岩性在洪积扇中上部为卵砾石、砂砾石，赋存孔隙潜水，至下部，颗粒逐渐变细，具有多层结构，赋存潜水和承压水，隔水层为亚粘土和粘土。各河流及两岸地带潜水含水层富水性一般为100-100m</w:t>
      </w:r>
      <w:r>
        <w:rPr>
          <w:rFonts w:hint="default" w:ascii="Times New Roman" w:hAnsi="Times New Roman" w:eastAsia="华文中宋" w:cs="Times New Roman"/>
          <w:sz w:val="24"/>
          <w:vertAlign w:val="superscript"/>
          <w:lang w:val="en-US" w:eastAsia="zh-CN"/>
        </w:rPr>
        <w:t>3</w:t>
      </w:r>
      <w:r>
        <w:rPr>
          <w:rFonts w:hint="default" w:ascii="Times New Roman" w:hAnsi="Times New Roman" w:eastAsia="华文中宋" w:cs="Times New Roman"/>
          <w:sz w:val="24"/>
          <w:lang w:val="en-US" w:eastAsia="zh-CN"/>
        </w:rPr>
        <w:t>/d，仅在尼雅河两岸地带富水性在1000-5000m</w:t>
      </w:r>
      <w:r>
        <w:rPr>
          <w:rFonts w:hint="default" w:ascii="Times New Roman" w:hAnsi="Times New Roman" w:eastAsia="华文中宋" w:cs="Times New Roman"/>
          <w:sz w:val="24"/>
          <w:vertAlign w:val="superscript"/>
          <w:lang w:val="en-US" w:eastAsia="zh-CN"/>
        </w:rPr>
        <w:t>3</w:t>
      </w:r>
      <w:r>
        <w:rPr>
          <w:rFonts w:hint="default" w:ascii="Times New Roman" w:hAnsi="Times New Roman" w:eastAsia="华文中宋" w:cs="Times New Roman"/>
          <w:sz w:val="24"/>
          <w:lang w:val="en-US" w:eastAsia="zh-CN"/>
        </w:rPr>
        <w:t>/d，其余地区潜水含水层富水性为&lt;100 m</w:t>
      </w:r>
      <w:r>
        <w:rPr>
          <w:rFonts w:hint="default" w:ascii="Times New Roman" w:hAnsi="Times New Roman" w:eastAsia="华文中宋" w:cs="Times New Roman"/>
          <w:sz w:val="24"/>
          <w:vertAlign w:val="superscript"/>
          <w:lang w:val="en-US" w:eastAsia="zh-CN"/>
        </w:rPr>
        <w:t>3</w:t>
      </w:r>
      <w:r>
        <w:rPr>
          <w:rFonts w:hint="default" w:ascii="Times New Roman" w:hAnsi="Times New Roman" w:eastAsia="华文中宋" w:cs="Times New Roman"/>
          <w:sz w:val="24"/>
          <w:lang w:val="en-US" w:eastAsia="zh-CN"/>
        </w:rPr>
        <w:t>/d，矿化度多小于1g/L，类型以SO4.Cl-Ga型为主。</w:t>
      </w:r>
    </w:p>
    <w:p w14:paraId="72544308">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（2）沙漠区松散岩类孔隙水</w:t>
      </w:r>
    </w:p>
    <w:p w14:paraId="4C981AE0">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含水层岩性为粉砂及风积砂，潜水含水层富水性为小于250 m</w:t>
      </w:r>
      <w:r>
        <w:rPr>
          <w:rFonts w:hint="default" w:ascii="Times New Roman" w:hAnsi="Times New Roman" w:eastAsia="华文中宋" w:cs="Times New Roman"/>
          <w:sz w:val="24"/>
          <w:vertAlign w:val="superscript"/>
          <w:lang w:val="en-US" w:eastAsia="zh-CN"/>
        </w:rPr>
        <w:t>3</w:t>
      </w:r>
      <w:r>
        <w:rPr>
          <w:rFonts w:hint="default" w:ascii="Times New Roman" w:hAnsi="Times New Roman" w:eastAsia="华文中宋" w:cs="Times New Roman"/>
          <w:sz w:val="24"/>
          <w:lang w:val="en-US" w:eastAsia="zh-CN"/>
        </w:rPr>
        <w:t>/d。在北部沙漠区由于河水入渗是地下水唯一的补给源。不同季节，地下水的补给、迳流、排泄有较大差异。地下水径流总的方向由南向北缓慢流动，深层承压水和远离河道的潜水甚至呈停滞状态。地下水的排泄方式主要是潜水蒸发和植物蒸腾，由于水力坡度小，含水层颗粒细，并含较多盐分，蒸发强烈，因此地下水水质很差，矿化度大于1g/L，类型以SO4.Cl-Ca.Mg型为主。随着石油开发和塔克拉玛干沙漠绿色走廊的灌溉，地下水开采量不断增大，地下水的补给、迳流、排泄受人类开采的影响发生改变。</w:t>
      </w:r>
    </w:p>
    <w:p w14:paraId="74F8DC9A">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（3）山间洼地松散岩类孔隙水</w:t>
      </w:r>
    </w:p>
    <w:p w14:paraId="0F6467BE">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主要赋存于盆地、谷地中的洪积、冲洪积砂砾石、卵砾石层中。山间洼地中央潜水含水层富水性为100-1000m</w:t>
      </w:r>
      <w:r>
        <w:rPr>
          <w:rFonts w:hint="default" w:ascii="Times New Roman" w:hAnsi="Times New Roman" w:eastAsia="华文中宋" w:cs="Times New Roman"/>
          <w:sz w:val="24"/>
          <w:vertAlign w:val="superscript"/>
          <w:lang w:val="en-US" w:eastAsia="zh-CN"/>
        </w:rPr>
        <w:t>3</w:t>
      </w:r>
      <w:r>
        <w:rPr>
          <w:rFonts w:hint="default" w:ascii="Times New Roman" w:hAnsi="Times New Roman" w:eastAsia="华文中宋" w:cs="Times New Roman"/>
          <w:sz w:val="24"/>
          <w:lang w:val="en-US" w:eastAsia="zh-CN"/>
        </w:rPr>
        <w:t>/d</w:t>
      </w:r>
      <w:r>
        <w:rPr>
          <w:rFonts w:hint="eastAsia" w:ascii="Times New Roman" w:hAnsi="Times New Roman" w:eastAsia="华文中宋" w:cs="Times New Roman"/>
          <w:sz w:val="24"/>
          <w:lang w:val="en-US" w:eastAsia="zh-CN"/>
        </w:rPr>
        <w:t>，</w:t>
      </w:r>
      <w:r>
        <w:rPr>
          <w:rFonts w:hint="default" w:ascii="Times New Roman" w:hAnsi="Times New Roman" w:eastAsia="华文中宋" w:cs="Times New Roman"/>
          <w:sz w:val="24"/>
          <w:lang w:val="en-US" w:eastAsia="zh-CN"/>
        </w:rPr>
        <w:t>洼地周边地区潜水含水层富水性为&lt;100 m</w:t>
      </w:r>
      <w:r>
        <w:rPr>
          <w:rFonts w:hint="default" w:ascii="Times New Roman" w:hAnsi="Times New Roman" w:eastAsia="华文中宋" w:cs="Times New Roman"/>
          <w:sz w:val="24"/>
          <w:vertAlign w:val="superscript"/>
          <w:lang w:val="en-US" w:eastAsia="zh-CN"/>
        </w:rPr>
        <w:t>3</w:t>
      </w:r>
      <w:r>
        <w:rPr>
          <w:rFonts w:hint="default" w:ascii="Times New Roman" w:hAnsi="Times New Roman" w:eastAsia="华文中宋" w:cs="Times New Roman"/>
          <w:sz w:val="24"/>
          <w:lang w:val="en-US" w:eastAsia="zh-CN"/>
        </w:rPr>
        <w:t>/d。补给来源为冰雪融水和大气降水入渗，径流途中，少部分被潜水面蒸发和植物蒸腾排泄，大部分流入湖泊后被水面蒸发。</w:t>
      </w:r>
    </w:p>
    <w:p w14:paraId="3F6CE297">
      <w:pPr>
        <w:adjustRightInd w:val="0"/>
        <w:snapToGrid w:val="0"/>
        <w:spacing w:line="500" w:lineRule="exact"/>
        <w:jc w:val="left"/>
        <w:rPr>
          <w:rFonts w:hint="default" w:ascii="Times New Roman" w:hAnsi="Times New Roman" w:eastAsia="华文中宋" w:cs="Times New Roman"/>
          <w:b/>
          <w:bCs/>
          <w:sz w:val="24"/>
          <w:lang w:val="en-US" w:eastAsia="zh-CN"/>
        </w:rPr>
      </w:pPr>
      <w:r>
        <w:rPr>
          <w:rFonts w:hint="eastAsia" w:ascii="Times New Roman" w:hAnsi="Times New Roman" w:eastAsia="华文中宋" w:cs="Times New Roman"/>
          <w:b/>
          <w:bCs/>
          <w:sz w:val="24"/>
          <w:lang w:val="en-US" w:eastAsia="zh-CN"/>
        </w:rPr>
        <w:t>4.1.5.</w:t>
      </w:r>
      <w:r>
        <w:rPr>
          <w:rFonts w:hint="default" w:ascii="Times New Roman" w:hAnsi="Times New Roman" w:eastAsia="华文中宋" w:cs="Times New Roman"/>
          <w:b/>
          <w:bCs/>
          <w:sz w:val="24"/>
          <w:lang w:val="en-US" w:eastAsia="zh-CN"/>
        </w:rPr>
        <w:t>2基岩裂隙水</w:t>
      </w:r>
    </w:p>
    <w:p w14:paraId="34FE739B">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主要分布在民丰县南部中低山区。大气降水、冰雪融水入渗是地下水的主要补给来源。基岩裂隙水赋存在古生界泥盆系、石炭系、二叠系和中生界侏罗系地层的裂隙及断裂破碎带中；地下水接受大气降水、冰雪融水的双重补给，径流以地表分水岭为界，分水岭以南多以侧向径流方式流入山间盆地或谷地；分水岭以北，由于地形切割强烈，地下水多在沟谷中出露成泉后入河或直接侧向补给河水，河水出山口补给北麓平原。基岩裂隙水水质良好，矿化度多小于1g/L，阴离子类型以SO</w:t>
      </w:r>
      <w:r>
        <w:rPr>
          <w:rFonts w:hint="default" w:ascii="Times New Roman" w:hAnsi="Times New Roman" w:eastAsia="华文中宋" w:cs="Times New Roman"/>
          <w:sz w:val="24"/>
          <w:vertAlign w:val="subscript"/>
          <w:lang w:val="en-US" w:eastAsia="zh-CN"/>
        </w:rPr>
        <w:t>4</w:t>
      </w:r>
      <w:r>
        <w:rPr>
          <w:rFonts w:hint="default" w:ascii="Times New Roman" w:hAnsi="Times New Roman" w:eastAsia="华文中宋" w:cs="Times New Roman"/>
          <w:sz w:val="24"/>
          <w:lang w:val="en-US" w:eastAsia="zh-CN"/>
        </w:rPr>
        <w:t>-Cl型为主。</w:t>
      </w:r>
    </w:p>
    <w:p w14:paraId="3D895B45">
      <w:pPr>
        <w:adjustRightInd w:val="0"/>
        <w:snapToGrid w:val="0"/>
        <w:spacing w:line="500" w:lineRule="exact"/>
        <w:jc w:val="left"/>
        <w:rPr>
          <w:rFonts w:hint="default" w:ascii="Times New Roman" w:hAnsi="Times New Roman" w:eastAsia="华文中宋" w:cs="Times New Roman"/>
          <w:b/>
          <w:bCs/>
          <w:sz w:val="24"/>
          <w:lang w:val="en-US" w:eastAsia="zh-CN"/>
        </w:rPr>
      </w:pPr>
      <w:r>
        <w:rPr>
          <w:rFonts w:hint="eastAsia" w:ascii="Times New Roman" w:hAnsi="Times New Roman" w:eastAsia="华文中宋" w:cs="Times New Roman"/>
          <w:b/>
          <w:bCs/>
          <w:sz w:val="24"/>
          <w:lang w:val="en-US" w:eastAsia="zh-CN"/>
        </w:rPr>
        <w:t>4.1.5.3</w:t>
      </w:r>
      <w:r>
        <w:rPr>
          <w:rFonts w:hint="default" w:ascii="Times New Roman" w:hAnsi="Times New Roman" w:eastAsia="华文中宋" w:cs="Times New Roman"/>
          <w:b/>
          <w:bCs/>
          <w:sz w:val="24"/>
          <w:lang w:val="en-US" w:eastAsia="zh-CN"/>
        </w:rPr>
        <w:t>冻结层水</w:t>
      </w:r>
    </w:p>
    <w:p w14:paraId="331DFE74">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冻结层水分布在南部中、高山区，含水层由海相碎屑岩、碳酸盐岩及第四系松散堆积物组成。含水层底板为多年冻土，上边界为潜水面，含水层厚度、结构等随季节变化，一般5-10月，季节性融冻层解冻，冻结层上含水层中地下水径流畅通，11月至翌年4月为封冻期，含水层介质被冻实，成为不透水层。地下水主要补给方式为大气降水入渗和山区冰雪融水入渗。地下水排泄方式为潜水面蒸发和转化为湖水后被湖面蒸发。地下水水质良好，矿化度多小于1g/L。</w:t>
      </w:r>
    </w:p>
    <w:p w14:paraId="33E0F738">
      <w:pPr>
        <w:pStyle w:val="4"/>
        <w:spacing w:before="120" w:after="120" w:line="500" w:lineRule="exact"/>
        <w:rPr>
          <w:rFonts w:hint="default" w:ascii="Times New Roman" w:hAnsi="Times New Roman" w:eastAsia="华文中宋" w:cs="Times New Roman"/>
          <w:kern w:val="0"/>
          <w:sz w:val="24"/>
          <w:szCs w:val="24"/>
          <w:lang w:val="en-US" w:eastAsia="zh-CN"/>
        </w:rPr>
      </w:pPr>
      <w:bookmarkStart w:id="112" w:name="_Toc24702"/>
      <w:r>
        <w:rPr>
          <w:rFonts w:hint="default" w:ascii="Times New Roman" w:hAnsi="Times New Roman" w:eastAsia="华文中宋" w:cs="Times New Roman"/>
          <w:kern w:val="0"/>
          <w:sz w:val="24"/>
          <w:szCs w:val="24"/>
          <w:lang w:val="en-US" w:eastAsia="zh-CN"/>
        </w:rPr>
        <w:t>4.1.6地震</w:t>
      </w:r>
      <w:bookmarkEnd w:id="112"/>
    </w:p>
    <w:p w14:paraId="0852E3CC">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根据《</w:t>
      </w:r>
      <w:r>
        <w:rPr>
          <w:rFonts w:hint="eastAsia" w:ascii="Times New Roman" w:hAnsi="Times New Roman" w:eastAsia="华文中宋" w:cs="Times New Roman"/>
          <w:sz w:val="24"/>
          <w:lang w:val="en-US" w:eastAsia="zh-CN"/>
        </w:rPr>
        <w:t>中国地震动参数区划图</w:t>
      </w:r>
      <w:r>
        <w:rPr>
          <w:rFonts w:hint="default" w:ascii="Times New Roman" w:hAnsi="Times New Roman" w:eastAsia="华文中宋" w:cs="Times New Roman"/>
          <w:sz w:val="24"/>
          <w:lang w:val="en-US" w:eastAsia="zh-CN"/>
        </w:rPr>
        <w:t>》（GB18306—2015），矿区一带地震动峰值加速度为0.15g；按照地震动峰值加速度分区与地震基本烈度对照表确定矿区地震基本烈度属Ⅶ度区。地壳的稳定性与地壳的结构、新生代地壳形变、现代构造应力场、地震等级、地震基本烈度、地震动峰值加速度等因素密切相关。因此，根据地壳稳定性划分标准（见表4.1-1），判定矿山所在区域地壳稳定性属基本稳定区，工程建设条件适宜但需抗震设计。</w:t>
      </w:r>
    </w:p>
    <w:p w14:paraId="71586205">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u-ES" w:eastAsia="zh-CN"/>
        </w:rPr>
        <w:t>表</w:t>
      </w:r>
      <w:r>
        <w:rPr>
          <w:rFonts w:hint="default" w:ascii="Times New Roman" w:hAnsi="Times New Roman" w:eastAsia="华文中宋" w:cs="Times New Roman"/>
          <w:b/>
          <w:szCs w:val="21"/>
          <w:lang w:val="en-US" w:eastAsia="zh-CN"/>
        </w:rPr>
        <w:t xml:space="preserve">4.1-1  </w:t>
      </w:r>
      <w:r>
        <w:rPr>
          <w:rFonts w:hint="default" w:ascii="Times New Roman" w:hAnsi="Times New Roman" w:eastAsia="华文中宋" w:cs="Times New Roman"/>
          <w:b/>
          <w:szCs w:val="21"/>
          <w:lang w:val="eu-ES" w:eastAsia="zh-CN"/>
        </w:rPr>
        <w:t>区域地壳稳定性分区和判别指标一览表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872"/>
        <w:gridCol w:w="1319"/>
        <w:gridCol w:w="883"/>
        <w:gridCol w:w="1160"/>
        <w:gridCol w:w="1067"/>
        <w:gridCol w:w="866"/>
        <w:gridCol w:w="917"/>
        <w:gridCol w:w="927"/>
      </w:tblGrid>
      <w:tr w14:paraId="2D92A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455" w:type="dxa"/>
            <w:noWrap w:val="0"/>
            <w:vAlign w:val="center"/>
          </w:tcPr>
          <w:p w14:paraId="09F607F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稳定性</w:t>
            </w:r>
          </w:p>
        </w:tc>
        <w:tc>
          <w:tcPr>
            <w:tcW w:w="872" w:type="dxa"/>
            <w:noWrap w:val="0"/>
            <w:vAlign w:val="center"/>
          </w:tcPr>
          <w:p w14:paraId="11C9A207">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地壳结构</w:t>
            </w:r>
          </w:p>
        </w:tc>
        <w:tc>
          <w:tcPr>
            <w:tcW w:w="1319" w:type="dxa"/>
            <w:noWrap w:val="0"/>
            <w:vAlign w:val="center"/>
          </w:tcPr>
          <w:p w14:paraId="21FD082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新生代地壳变形火山、地热</w:t>
            </w:r>
          </w:p>
        </w:tc>
        <w:tc>
          <w:tcPr>
            <w:tcW w:w="883" w:type="dxa"/>
            <w:noWrap w:val="0"/>
            <w:vAlign w:val="center"/>
          </w:tcPr>
          <w:p w14:paraId="03F74B7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迭加断裂角α</w:t>
            </w:r>
          </w:p>
        </w:tc>
        <w:tc>
          <w:tcPr>
            <w:tcW w:w="1160" w:type="dxa"/>
            <w:noWrap w:val="0"/>
            <w:vAlign w:val="center"/>
          </w:tcPr>
          <w:p w14:paraId="43997463">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rPr>
              <w:t>布格异常梯度值Bs</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105</w:t>
            </w:r>
            <w:r>
              <w:rPr>
                <w:rFonts w:hint="default" w:ascii="Times New Roman" w:hAnsi="Times New Roman" w:eastAsia="华文中宋" w:cs="Times New Roman"/>
                <w:szCs w:val="21"/>
                <w:lang w:val="en-US" w:eastAsia="zh-CN"/>
              </w:rPr>
              <w:t>m</w:t>
            </w:r>
            <w:r>
              <w:rPr>
                <w:rFonts w:hint="default" w:ascii="Times New Roman" w:hAnsi="Times New Roman" w:eastAsia="华文中宋" w:cs="Times New Roman"/>
                <w:szCs w:val="21"/>
              </w:rPr>
              <w:t>s·k</w:t>
            </w:r>
            <w:r>
              <w:rPr>
                <w:rFonts w:hint="default" w:ascii="Times New Roman" w:hAnsi="Times New Roman" w:eastAsia="华文中宋" w:cs="Times New Roman"/>
                <w:szCs w:val="21"/>
                <w:lang w:val="en-US" w:eastAsia="zh-CN"/>
              </w:rPr>
              <w:t>m</w:t>
            </w:r>
            <w:r>
              <w:rPr>
                <w:rFonts w:hint="default" w:ascii="Times New Roman" w:hAnsi="Times New Roman" w:eastAsia="华文中宋" w:cs="Times New Roman"/>
                <w:szCs w:val="21"/>
                <w:vertAlign w:val="superscript"/>
              </w:rPr>
              <w:t>2</w:t>
            </w:r>
            <w:r>
              <w:rPr>
                <w:rFonts w:hint="eastAsia" w:ascii="Times New Roman" w:hAnsi="Times New Roman" w:eastAsia="华文中宋" w:cs="Times New Roman"/>
                <w:szCs w:val="21"/>
                <w:lang w:eastAsia="zh-CN"/>
              </w:rPr>
              <w:t>)</w:t>
            </w:r>
          </w:p>
        </w:tc>
        <w:tc>
          <w:tcPr>
            <w:tcW w:w="1067" w:type="dxa"/>
            <w:noWrap w:val="0"/>
            <w:vAlign w:val="center"/>
          </w:tcPr>
          <w:p w14:paraId="7EDD56E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最大震级</w:t>
            </w:r>
          </w:p>
        </w:tc>
        <w:tc>
          <w:tcPr>
            <w:tcW w:w="866" w:type="dxa"/>
            <w:noWrap w:val="0"/>
            <w:vAlign w:val="center"/>
          </w:tcPr>
          <w:p w14:paraId="1F9FD80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基本</w:t>
            </w:r>
          </w:p>
          <w:p w14:paraId="357FC64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烈度</w:t>
            </w:r>
          </w:p>
        </w:tc>
        <w:tc>
          <w:tcPr>
            <w:tcW w:w="917" w:type="dxa"/>
            <w:noWrap w:val="0"/>
            <w:vAlign w:val="center"/>
          </w:tcPr>
          <w:p w14:paraId="49359F9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地震动峰值加速度</w:t>
            </w:r>
          </w:p>
        </w:tc>
        <w:tc>
          <w:tcPr>
            <w:tcW w:w="927" w:type="dxa"/>
            <w:noWrap w:val="0"/>
            <w:vAlign w:val="center"/>
          </w:tcPr>
          <w:p w14:paraId="3E14878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工程建设条件</w:t>
            </w:r>
          </w:p>
        </w:tc>
      </w:tr>
      <w:tr w14:paraId="475B5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jc w:val="center"/>
        </w:trPr>
        <w:tc>
          <w:tcPr>
            <w:tcW w:w="455" w:type="dxa"/>
            <w:noWrap w:val="0"/>
            <w:vAlign w:val="center"/>
          </w:tcPr>
          <w:p w14:paraId="1BAAE987">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稳定区</w:t>
            </w:r>
          </w:p>
        </w:tc>
        <w:tc>
          <w:tcPr>
            <w:tcW w:w="872" w:type="dxa"/>
            <w:noWrap w:val="0"/>
            <w:vAlign w:val="center"/>
          </w:tcPr>
          <w:p w14:paraId="068F913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块状结构，缺乏</w:t>
            </w:r>
            <w:r>
              <w:rPr>
                <w:rFonts w:hint="eastAsia" w:ascii="Times New Roman" w:hAnsi="Times New Roman" w:eastAsia="华文中宋" w:cs="Times New Roman"/>
                <w:szCs w:val="21"/>
                <w:lang w:eastAsia="zh-CN"/>
              </w:rPr>
              <w:t>深度</w:t>
            </w:r>
            <w:r>
              <w:rPr>
                <w:rFonts w:hint="default" w:ascii="Times New Roman" w:hAnsi="Times New Roman" w:eastAsia="华文中宋" w:cs="Times New Roman"/>
                <w:szCs w:val="21"/>
              </w:rPr>
              <w:t>断裂或仅有基底断裂，地壳完整性好</w:t>
            </w:r>
          </w:p>
        </w:tc>
        <w:tc>
          <w:tcPr>
            <w:tcW w:w="1319" w:type="dxa"/>
            <w:noWrap w:val="0"/>
            <w:vAlign w:val="center"/>
          </w:tcPr>
          <w:p w14:paraId="0AF99FB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缺乏第四系断裂，大面积上升，第四纪地壳沉降速率＜0.1米/a，缺乏第四纪火山。</w:t>
            </w:r>
          </w:p>
        </w:tc>
        <w:tc>
          <w:tcPr>
            <w:tcW w:w="883" w:type="dxa"/>
            <w:noWrap w:val="0"/>
            <w:vAlign w:val="center"/>
          </w:tcPr>
          <w:p w14:paraId="0F1800D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0-10°</w:t>
            </w:r>
          </w:p>
          <w:p w14:paraId="460A2C5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71-90°</w:t>
            </w:r>
          </w:p>
        </w:tc>
        <w:tc>
          <w:tcPr>
            <w:tcW w:w="1160" w:type="dxa"/>
            <w:noWrap w:val="0"/>
            <w:vAlign w:val="center"/>
          </w:tcPr>
          <w:p w14:paraId="70FC35C0">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比较均匀变化，缺乏梯度带。</w:t>
            </w:r>
          </w:p>
        </w:tc>
        <w:tc>
          <w:tcPr>
            <w:tcW w:w="1067" w:type="dxa"/>
            <w:noWrap w:val="0"/>
            <w:vAlign w:val="center"/>
          </w:tcPr>
          <w:p w14:paraId="2751CB9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M</w:t>
            </w:r>
            <w:r>
              <w:rPr>
                <w:rFonts w:hint="eastAsia" w:ascii="Times New Roman" w:hAnsi="Times New Roman" w:eastAsia="华文中宋" w:cs="Times New Roman"/>
                <w:szCs w:val="21"/>
                <w:lang w:eastAsia="zh-CN"/>
              </w:rPr>
              <w:t>&lt;</w:t>
            </w:r>
            <w:r>
              <w:rPr>
                <w:rFonts w:hint="default" w:ascii="Times New Roman" w:hAnsi="Times New Roman" w:eastAsia="华文中宋" w:cs="Times New Roman"/>
                <w:szCs w:val="21"/>
              </w:rPr>
              <w:t>5.5</w:t>
            </w:r>
          </w:p>
        </w:tc>
        <w:tc>
          <w:tcPr>
            <w:tcW w:w="866" w:type="dxa"/>
            <w:noWrap w:val="0"/>
            <w:vAlign w:val="center"/>
          </w:tcPr>
          <w:p w14:paraId="125D2F9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I﹤6°</w:t>
            </w:r>
          </w:p>
        </w:tc>
        <w:tc>
          <w:tcPr>
            <w:tcW w:w="917" w:type="dxa"/>
            <w:noWrap w:val="0"/>
            <w:vAlign w:val="center"/>
          </w:tcPr>
          <w:p w14:paraId="7879913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﹤0.05</w:t>
            </w:r>
          </w:p>
        </w:tc>
        <w:tc>
          <w:tcPr>
            <w:tcW w:w="927" w:type="dxa"/>
            <w:noWrap w:val="0"/>
            <w:vAlign w:val="center"/>
          </w:tcPr>
          <w:p w14:paraId="3C9405A3">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良好</w:t>
            </w:r>
          </w:p>
        </w:tc>
      </w:tr>
      <w:tr w14:paraId="4363D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jc w:val="center"/>
        </w:trPr>
        <w:tc>
          <w:tcPr>
            <w:tcW w:w="455" w:type="dxa"/>
            <w:noWrap w:val="0"/>
            <w:vAlign w:val="center"/>
          </w:tcPr>
          <w:p w14:paraId="0CA69150">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基本稳定区</w:t>
            </w:r>
          </w:p>
        </w:tc>
        <w:tc>
          <w:tcPr>
            <w:tcW w:w="872" w:type="dxa"/>
            <w:noWrap w:val="0"/>
            <w:vAlign w:val="center"/>
          </w:tcPr>
          <w:p w14:paraId="3E63168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镶嵌结构，深断裂连续分布，间距大，地壳较完整</w:t>
            </w:r>
          </w:p>
        </w:tc>
        <w:tc>
          <w:tcPr>
            <w:tcW w:w="1319" w:type="dxa"/>
            <w:noWrap w:val="0"/>
            <w:vAlign w:val="center"/>
          </w:tcPr>
          <w:p w14:paraId="6EBEDB2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存在第四纪断裂长度不大，第四纪地壳沉降速率0.1</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0.4</w:t>
            </w:r>
            <w:r>
              <w:rPr>
                <w:rFonts w:hint="eastAsia" w:ascii="Times New Roman" w:hAnsi="Times New Roman" w:eastAsia="华文中宋" w:cs="Times New Roman"/>
                <w:szCs w:val="21"/>
                <w:lang w:eastAsia="zh-CN"/>
              </w:rPr>
              <w:t>米</w:t>
            </w:r>
            <w:r>
              <w:rPr>
                <w:rFonts w:hint="default" w:ascii="Times New Roman" w:hAnsi="Times New Roman" w:eastAsia="华文中宋" w:cs="Times New Roman"/>
                <w:szCs w:val="21"/>
              </w:rPr>
              <w:t>/a，缺乏第四纪火山。</w:t>
            </w:r>
          </w:p>
        </w:tc>
        <w:tc>
          <w:tcPr>
            <w:tcW w:w="883" w:type="dxa"/>
            <w:noWrap w:val="0"/>
            <w:vAlign w:val="center"/>
          </w:tcPr>
          <w:p w14:paraId="7797D52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11-24°</w:t>
            </w:r>
          </w:p>
          <w:p w14:paraId="576E4F77">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51-70°</w:t>
            </w:r>
          </w:p>
        </w:tc>
        <w:tc>
          <w:tcPr>
            <w:tcW w:w="1160" w:type="dxa"/>
            <w:noWrap w:val="0"/>
            <w:vAlign w:val="center"/>
          </w:tcPr>
          <w:p w14:paraId="755D5DC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地段性异常梯度带Bs＝0.5－2.0</w:t>
            </w:r>
          </w:p>
        </w:tc>
        <w:tc>
          <w:tcPr>
            <w:tcW w:w="1067" w:type="dxa"/>
            <w:noWrap w:val="0"/>
            <w:vAlign w:val="center"/>
          </w:tcPr>
          <w:p w14:paraId="1D6D4BB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5.5≤M≤6.0</w:t>
            </w:r>
          </w:p>
        </w:tc>
        <w:tc>
          <w:tcPr>
            <w:tcW w:w="866" w:type="dxa"/>
            <w:noWrap w:val="0"/>
            <w:vAlign w:val="center"/>
          </w:tcPr>
          <w:p w14:paraId="789C3C5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I</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7°</w:t>
            </w:r>
          </w:p>
        </w:tc>
        <w:tc>
          <w:tcPr>
            <w:tcW w:w="917" w:type="dxa"/>
            <w:noWrap w:val="0"/>
            <w:vAlign w:val="center"/>
          </w:tcPr>
          <w:p w14:paraId="4766651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0.1-0.15</w:t>
            </w:r>
          </w:p>
        </w:tc>
        <w:tc>
          <w:tcPr>
            <w:tcW w:w="927" w:type="dxa"/>
            <w:noWrap w:val="0"/>
            <w:vAlign w:val="center"/>
          </w:tcPr>
          <w:p w14:paraId="4A2EA17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适宜但需抗震设计</w:t>
            </w:r>
          </w:p>
        </w:tc>
      </w:tr>
      <w:tr w14:paraId="7E9F7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9" w:hRule="atLeast"/>
          <w:jc w:val="center"/>
        </w:trPr>
        <w:tc>
          <w:tcPr>
            <w:tcW w:w="455" w:type="dxa"/>
            <w:noWrap w:val="0"/>
            <w:vAlign w:val="center"/>
          </w:tcPr>
          <w:p w14:paraId="4C29D38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次不稳定区</w:t>
            </w:r>
          </w:p>
        </w:tc>
        <w:tc>
          <w:tcPr>
            <w:tcW w:w="872" w:type="dxa"/>
            <w:vMerge w:val="restart"/>
            <w:noWrap w:val="0"/>
            <w:vAlign w:val="center"/>
          </w:tcPr>
          <w:p w14:paraId="2ADB7A1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块状结构，深断裂成带出现，长度以大于百千米，地块呈条形、菱形地壳破碎</w:t>
            </w:r>
          </w:p>
        </w:tc>
        <w:tc>
          <w:tcPr>
            <w:tcW w:w="1319" w:type="dxa"/>
            <w:vMerge w:val="restart"/>
            <w:noWrap w:val="0"/>
            <w:vAlign w:val="center"/>
          </w:tcPr>
          <w:p w14:paraId="1325066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发育晚更新世和全新世以来活动断裂，延伸长度大于百千米，存在近代活动断裂引起的米＞6级地震，第四纪地壳沉降速率大于0.4</w:t>
            </w:r>
            <w:r>
              <w:rPr>
                <w:rFonts w:hint="eastAsia" w:ascii="Times New Roman" w:hAnsi="Times New Roman" w:eastAsia="华文中宋" w:cs="Times New Roman"/>
                <w:szCs w:val="21"/>
                <w:lang w:eastAsia="zh-CN"/>
              </w:rPr>
              <w:t>米</w:t>
            </w:r>
            <w:r>
              <w:rPr>
                <w:rFonts w:hint="default" w:ascii="Times New Roman" w:hAnsi="Times New Roman" w:eastAsia="华文中宋" w:cs="Times New Roman"/>
                <w:szCs w:val="21"/>
              </w:rPr>
              <w:t>/a，存在第四纪火山，温泉带。</w:t>
            </w:r>
          </w:p>
        </w:tc>
        <w:tc>
          <w:tcPr>
            <w:tcW w:w="883" w:type="dxa"/>
            <w:vMerge w:val="restart"/>
            <w:noWrap w:val="0"/>
            <w:vAlign w:val="center"/>
          </w:tcPr>
          <w:p w14:paraId="1C6F5DF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25-50°</w:t>
            </w:r>
          </w:p>
        </w:tc>
        <w:tc>
          <w:tcPr>
            <w:tcW w:w="1160" w:type="dxa"/>
            <w:noWrap w:val="0"/>
            <w:vAlign w:val="center"/>
          </w:tcPr>
          <w:p w14:paraId="5E6D41C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区域性异常梯度带Bs＝2.0－3.0</w:t>
            </w:r>
          </w:p>
        </w:tc>
        <w:tc>
          <w:tcPr>
            <w:tcW w:w="1067" w:type="dxa"/>
            <w:noWrap w:val="0"/>
            <w:vAlign w:val="center"/>
          </w:tcPr>
          <w:p w14:paraId="5E72786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6.0≤M≤7.0</w:t>
            </w:r>
          </w:p>
        </w:tc>
        <w:tc>
          <w:tcPr>
            <w:tcW w:w="866" w:type="dxa"/>
            <w:noWrap w:val="0"/>
            <w:vAlign w:val="center"/>
          </w:tcPr>
          <w:p w14:paraId="0043A78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I</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8-9°</w:t>
            </w:r>
          </w:p>
        </w:tc>
        <w:tc>
          <w:tcPr>
            <w:tcW w:w="917" w:type="dxa"/>
            <w:noWrap w:val="0"/>
            <w:vAlign w:val="center"/>
          </w:tcPr>
          <w:p w14:paraId="5DFE059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0.2-0.4</w:t>
            </w:r>
          </w:p>
        </w:tc>
        <w:tc>
          <w:tcPr>
            <w:tcW w:w="927" w:type="dxa"/>
            <w:noWrap w:val="0"/>
            <w:vAlign w:val="center"/>
          </w:tcPr>
          <w:p w14:paraId="0DABC871">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中等适宜</w:t>
            </w:r>
            <w:r>
              <w:rPr>
                <w:rFonts w:hint="eastAsia" w:ascii="Times New Roman" w:hAnsi="Times New Roman" w:eastAsia="华文中宋" w:cs="Times New Roman"/>
                <w:szCs w:val="21"/>
                <w:lang w:eastAsia="zh-CN"/>
              </w:rPr>
              <w:t>需</w:t>
            </w:r>
            <w:r>
              <w:rPr>
                <w:rFonts w:hint="default" w:ascii="Times New Roman" w:hAnsi="Times New Roman" w:eastAsia="华文中宋" w:cs="Times New Roman"/>
                <w:szCs w:val="21"/>
              </w:rPr>
              <w:t>加强抗震和工程措施</w:t>
            </w:r>
          </w:p>
        </w:tc>
      </w:tr>
      <w:tr w14:paraId="7F658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3" w:hRule="atLeast"/>
          <w:jc w:val="center"/>
        </w:trPr>
        <w:tc>
          <w:tcPr>
            <w:tcW w:w="455" w:type="dxa"/>
            <w:noWrap w:val="0"/>
            <w:vAlign w:val="center"/>
          </w:tcPr>
          <w:p w14:paraId="07A2FBE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不稳</w:t>
            </w:r>
          </w:p>
          <w:p w14:paraId="46A8886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定区</w:t>
            </w:r>
          </w:p>
        </w:tc>
        <w:tc>
          <w:tcPr>
            <w:tcW w:w="872" w:type="dxa"/>
            <w:vMerge w:val="continue"/>
            <w:noWrap w:val="0"/>
            <w:vAlign w:val="center"/>
          </w:tcPr>
          <w:p w14:paraId="746CE1E0">
            <w:pPr>
              <w:spacing w:line="300" w:lineRule="exact"/>
              <w:jc w:val="center"/>
              <w:rPr>
                <w:rFonts w:hint="default" w:ascii="Times New Roman" w:hAnsi="Times New Roman" w:eastAsia="华文中宋" w:cs="Times New Roman"/>
                <w:szCs w:val="21"/>
              </w:rPr>
            </w:pPr>
          </w:p>
        </w:tc>
        <w:tc>
          <w:tcPr>
            <w:tcW w:w="1319" w:type="dxa"/>
            <w:vMerge w:val="continue"/>
            <w:noWrap w:val="0"/>
            <w:vAlign w:val="center"/>
          </w:tcPr>
          <w:p w14:paraId="244FA5F1">
            <w:pPr>
              <w:spacing w:line="300" w:lineRule="exact"/>
              <w:jc w:val="center"/>
              <w:rPr>
                <w:rFonts w:hint="default" w:ascii="Times New Roman" w:hAnsi="Times New Roman" w:eastAsia="华文中宋" w:cs="Times New Roman"/>
                <w:szCs w:val="21"/>
              </w:rPr>
            </w:pPr>
          </w:p>
        </w:tc>
        <w:tc>
          <w:tcPr>
            <w:tcW w:w="883" w:type="dxa"/>
            <w:vMerge w:val="continue"/>
            <w:noWrap w:val="0"/>
            <w:vAlign w:val="center"/>
          </w:tcPr>
          <w:p w14:paraId="4F70E9E5">
            <w:pPr>
              <w:spacing w:line="300" w:lineRule="exact"/>
              <w:jc w:val="center"/>
              <w:rPr>
                <w:rFonts w:hint="default" w:ascii="Times New Roman" w:hAnsi="Times New Roman" w:eastAsia="华文中宋" w:cs="Times New Roman"/>
                <w:szCs w:val="21"/>
              </w:rPr>
            </w:pPr>
          </w:p>
        </w:tc>
        <w:tc>
          <w:tcPr>
            <w:tcW w:w="1160" w:type="dxa"/>
            <w:noWrap w:val="0"/>
            <w:vAlign w:val="center"/>
          </w:tcPr>
          <w:p w14:paraId="1636731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区域性异常梯度带Bs＞3.0</w:t>
            </w:r>
          </w:p>
        </w:tc>
        <w:tc>
          <w:tcPr>
            <w:tcW w:w="1067" w:type="dxa"/>
            <w:noWrap w:val="0"/>
            <w:vAlign w:val="center"/>
          </w:tcPr>
          <w:p w14:paraId="432E6BF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M≥7.5</w:t>
            </w:r>
          </w:p>
        </w:tc>
        <w:tc>
          <w:tcPr>
            <w:tcW w:w="866" w:type="dxa"/>
            <w:noWrap w:val="0"/>
            <w:vAlign w:val="center"/>
          </w:tcPr>
          <w:p w14:paraId="368D4A3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I≥10°</w:t>
            </w:r>
          </w:p>
        </w:tc>
        <w:tc>
          <w:tcPr>
            <w:tcW w:w="917" w:type="dxa"/>
            <w:noWrap w:val="0"/>
            <w:vAlign w:val="center"/>
          </w:tcPr>
          <w:p w14:paraId="4559D98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≥0.4</w:t>
            </w:r>
          </w:p>
        </w:tc>
        <w:tc>
          <w:tcPr>
            <w:tcW w:w="927" w:type="dxa"/>
            <w:noWrap w:val="0"/>
            <w:vAlign w:val="center"/>
          </w:tcPr>
          <w:p w14:paraId="7C7E68E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不适宜</w:t>
            </w:r>
          </w:p>
        </w:tc>
      </w:tr>
    </w:tbl>
    <w:p w14:paraId="7442F491">
      <w:pPr>
        <w:pStyle w:val="24"/>
        <w:snapToGrid w:val="0"/>
        <w:jc w:val="left"/>
        <w:rPr>
          <w:rFonts w:hint="default" w:ascii="Times New Roman" w:hAnsi="Times New Roman" w:eastAsia="华文中宋" w:cs="Times New Roman"/>
          <w:color w:val="auto"/>
          <w:szCs w:val="24"/>
        </w:rPr>
      </w:pPr>
      <w:r>
        <w:rPr>
          <w:rFonts w:hint="default" w:ascii="Times New Roman" w:hAnsi="Times New Roman" w:eastAsia="华文中宋" w:cs="Times New Roman"/>
          <w:color w:val="auto"/>
          <w:szCs w:val="24"/>
          <w:lang w:val="en-US" w:eastAsia="zh-CN"/>
        </w:rPr>
        <w:t>据地震记录资料，自2000年以来，矿区附近未发生过大的地震，据中国地震台网查询结果，在4.0级以上地震有17次（见表4.1-2），地震活动主要受邻区地震影响，以浅源地震为主，属中上壳地震</w:t>
      </w:r>
      <w:r>
        <w:rPr>
          <w:rFonts w:hint="default" w:ascii="Times New Roman" w:hAnsi="Times New Roman" w:eastAsia="华文中宋" w:cs="Times New Roman"/>
          <w:color w:val="auto"/>
          <w:szCs w:val="24"/>
        </w:rPr>
        <w:t>。</w:t>
      </w:r>
    </w:p>
    <w:p w14:paraId="6FC0329C">
      <w:pPr>
        <w:adjustRightInd w:val="0"/>
        <w:snapToGrid w:val="0"/>
        <w:spacing w:before="250" w:beforeLines="50"/>
        <w:ind w:firstLine="422" w:firstLineChars="200"/>
        <w:jc w:val="center"/>
        <w:rPr>
          <w:rFonts w:hint="default" w:ascii="Times New Roman" w:hAnsi="Times New Roman" w:eastAsia="华文中宋" w:cs="Times New Roman"/>
          <w:b/>
          <w:szCs w:val="21"/>
        </w:rPr>
      </w:pPr>
      <w:r>
        <w:rPr>
          <w:rFonts w:hint="default" w:ascii="Times New Roman" w:hAnsi="Times New Roman" w:eastAsia="华文中宋" w:cs="Times New Roman"/>
          <w:b/>
          <w:szCs w:val="21"/>
          <w:lang w:val="en-US" w:eastAsia="zh-CN"/>
        </w:rPr>
        <w:t>表4.1-2  工作区及周边Ms≥4.0级地震目录表</w:t>
      </w:r>
    </w:p>
    <w:tbl>
      <w:tblPr>
        <w:tblStyle w:val="19"/>
        <w:tblW w:w="81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2"/>
        <w:gridCol w:w="2556"/>
        <w:gridCol w:w="1320"/>
        <w:gridCol w:w="1185"/>
        <w:gridCol w:w="949"/>
        <w:gridCol w:w="1468"/>
      </w:tblGrid>
      <w:tr w14:paraId="76885A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jc w:val="center"/>
        </w:trPr>
        <w:tc>
          <w:tcPr>
            <w:tcW w:w="642" w:type="dxa"/>
            <w:vMerge w:val="restart"/>
            <w:noWrap w:val="0"/>
            <w:vAlign w:val="center"/>
          </w:tcPr>
          <w:p w14:paraId="50D5474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序号</w:t>
            </w:r>
          </w:p>
        </w:tc>
        <w:tc>
          <w:tcPr>
            <w:tcW w:w="2556" w:type="dxa"/>
            <w:vMerge w:val="restart"/>
            <w:noWrap w:val="0"/>
            <w:vAlign w:val="center"/>
          </w:tcPr>
          <w:p w14:paraId="6C04187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发震时间</w:t>
            </w:r>
          </w:p>
        </w:tc>
        <w:tc>
          <w:tcPr>
            <w:tcW w:w="2505" w:type="dxa"/>
            <w:gridSpan w:val="2"/>
            <w:noWrap w:val="0"/>
            <w:vAlign w:val="center"/>
          </w:tcPr>
          <w:p w14:paraId="49002A2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震中坐标</w:t>
            </w:r>
          </w:p>
        </w:tc>
        <w:tc>
          <w:tcPr>
            <w:tcW w:w="949" w:type="dxa"/>
            <w:vMerge w:val="restart"/>
            <w:noWrap w:val="0"/>
            <w:vAlign w:val="center"/>
          </w:tcPr>
          <w:p w14:paraId="68E4E02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Ms</w:t>
            </w:r>
          </w:p>
        </w:tc>
        <w:tc>
          <w:tcPr>
            <w:tcW w:w="1468" w:type="dxa"/>
            <w:vMerge w:val="restart"/>
            <w:noWrap w:val="0"/>
            <w:vAlign w:val="center"/>
          </w:tcPr>
          <w:p w14:paraId="1443B3A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震中位置</w:t>
            </w:r>
          </w:p>
        </w:tc>
      </w:tr>
      <w:tr w14:paraId="24A806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jc w:val="center"/>
        </w:trPr>
        <w:tc>
          <w:tcPr>
            <w:tcW w:w="642" w:type="dxa"/>
            <w:vMerge w:val="continue"/>
            <w:tcBorders>
              <w:top w:val="nil"/>
            </w:tcBorders>
            <w:noWrap w:val="0"/>
            <w:vAlign w:val="center"/>
          </w:tcPr>
          <w:p w14:paraId="01A452BE">
            <w:pPr>
              <w:spacing w:line="300" w:lineRule="exact"/>
              <w:jc w:val="center"/>
              <w:rPr>
                <w:rFonts w:hint="default" w:ascii="Times New Roman" w:hAnsi="Times New Roman" w:eastAsia="华文中宋" w:cs="Times New Roman"/>
                <w:szCs w:val="21"/>
              </w:rPr>
            </w:pPr>
          </w:p>
        </w:tc>
        <w:tc>
          <w:tcPr>
            <w:tcW w:w="2556" w:type="dxa"/>
            <w:vMerge w:val="continue"/>
            <w:tcBorders>
              <w:top w:val="nil"/>
            </w:tcBorders>
            <w:noWrap w:val="0"/>
            <w:vAlign w:val="center"/>
          </w:tcPr>
          <w:p w14:paraId="47B5F49D">
            <w:pPr>
              <w:spacing w:line="300" w:lineRule="exact"/>
              <w:jc w:val="center"/>
              <w:rPr>
                <w:rFonts w:hint="default" w:ascii="Times New Roman" w:hAnsi="Times New Roman" w:eastAsia="华文中宋" w:cs="Times New Roman"/>
                <w:szCs w:val="21"/>
              </w:rPr>
            </w:pPr>
          </w:p>
        </w:tc>
        <w:tc>
          <w:tcPr>
            <w:tcW w:w="1320" w:type="dxa"/>
            <w:noWrap w:val="0"/>
            <w:vAlign w:val="center"/>
          </w:tcPr>
          <w:p w14:paraId="4075A9E3">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N</w:t>
            </w:r>
          </w:p>
        </w:tc>
        <w:tc>
          <w:tcPr>
            <w:tcW w:w="1185" w:type="dxa"/>
            <w:noWrap w:val="0"/>
            <w:vAlign w:val="center"/>
          </w:tcPr>
          <w:p w14:paraId="6B35AED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E</w:t>
            </w:r>
          </w:p>
        </w:tc>
        <w:tc>
          <w:tcPr>
            <w:tcW w:w="949" w:type="dxa"/>
            <w:vMerge w:val="continue"/>
            <w:tcBorders>
              <w:top w:val="nil"/>
            </w:tcBorders>
            <w:noWrap w:val="0"/>
            <w:vAlign w:val="center"/>
          </w:tcPr>
          <w:p w14:paraId="43DC0A63">
            <w:pPr>
              <w:spacing w:line="300" w:lineRule="exact"/>
              <w:jc w:val="center"/>
              <w:rPr>
                <w:rFonts w:hint="default" w:ascii="Times New Roman" w:hAnsi="Times New Roman" w:eastAsia="华文中宋" w:cs="Times New Roman"/>
                <w:szCs w:val="21"/>
              </w:rPr>
            </w:pPr>
          </w:p>
        </w:tc>
        <w:tc>
          <w:tcPr>
            <w:tcW w:w="1468" w:type="dxa"/>
            <w:vMerge w:val="continue"/>
            <w:tcBorders>
              <w:top w:val="nil"/>
            </w:tcBorders>
            <w:noWrap w:val="0"/>
            <w:vAlign w:val="center"/>
          </w:tcPr>
          <w:p w14:paraId="4D06BBAC">
            <w:pPr>
              <w:spacing w:line="300" w:lineRule="exact"/>
              <w:jc w:val="center"/>
              <w:rPr>
                <w:rFonts w:hint="default" w:ascii="Times New Roman" w:hAnsi="Times New Roman" w:eastAsia="华文中宋" w:cs="Times New Roman"/>
                <w:szCs w:val="21"/>
              </w:rPr>
            </w:pPr>
          </w:p>
        </w:tc>
      </w:tr>
      <w:tr w14:paraId="51A60F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jc w:val="center"/>
        </w:trPr>
        <w:tc>
          <w:tcPr>
            <w:tcW w:w="642" w:type="dxa"/>
            <w:noWrap w:val="0"/>
            <w:vAlign w:val="center"/>
          </w:tcPr>
          <w:p w14:paraId="101FE3B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1</w:t>
            </w:r>
          </w:p>
        </w:tc>
        <w:tc>
          <w:tcPr>
            <w:tcW w:w="2556" w:type="dxa"/>
            <w:noWrap w:val="0"/>
            <w:vAlign w:val="center"/>
          </w:tcPr>
          <w:p w14:paraId="611D0C1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2022-07-0418:37:16</w:t>
            </w:r>
          </w:p>
        </w:tc>
        <w:tc>
          <w:tcPr>
            <w:tcW w:w="1320" w:type="dxa"/>
            <w:noWrap w:val="0"/>
            <w:vAlign w:val="center"/>
          </w:tcPr>
          <w:p w14:paraId="1CDD2A3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36.76</w:t>
            </w:r>
          </w:p>
        </w:tc>
        <w:tc>
          <w:tcPr>
            <w:tcW w:w="1185" w:type="dxa"/>
            <w:noWrap w:val="0"/>
            <w:vAlign w:val="center"/>
          </w:tcPr>
          <w:p w14:paraId="68D54BF0">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83.43</w:t>
            </w:r>
          </w:p>
        </w:tc>
        <w:tc>
          <w:tcPr>
            <w:tcW w:w="949" w:type="dxa"/>
            <w:noWrap w:val="0"/>
            <w:vAlign w:val="center"/>
          </w:tcPr>
          <w:p w14:paraId="02EE340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4.4</w:t>
            </w:r>
          </w:p>
        </w:tc>
        <w:tc>
          <w:tcPr>
            <w:tcW w:w="1468" w:type="dxa"/>
            <w:noWrap w:val="0"/>
            <w:vAlign w:val="center"/>
          </w:tcPr>
          <w:p w14:paraId="23F83917">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民丰县</w:t>
            </w:r>
          </w:p>
        </w:tc>
      </w:tr>
      <w:tr w14:paraId="13B2F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jc w:val="center"/>
        </w:trPr>
        <w:tc>
          <w:tcPr>
            <w:tcW w:w="642" w:type="dxa"/>
            <w:noWrap w:val="0"/>
            <w:vAlign w:val="center"/>
          </w:tcPr>
          <w:p w14:paraId="73B829D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2</w:t>
            </w:r>
          </w:p>
        </w:tc>
        <w:tc>
          <w:tcPr>
            <w:tcW w:w="2556" w:type="dxa"/>
            <w:noWrap w:val="0"/>
            <w:vAlign w:val="center"/>
          </w:tcPr>
          <w:p w14:paraId="56F67FB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2016-03-1122:44:25</w:t>
            </w:r>
          </w:p>
        </w:tc>
        <w:tc>
          <w:tcPr>
            <w:tcW w:w="1320" w:type="dxa"/>
            <w:noWrap w:val="0"/>
            <w:vAlign w:val="center"/>
          </w:tcPr>
          <w:p w14:paraId="18B1BEA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36.54</w:t>
            </w:r>
          </w:p>
        </w:tc>
        <w:tc>
          <w:tcPr>
            <w:tcW w:w="1185" w:type="dxa"/>
            <w:noWrap w:val="0"/>
            <w:vAlign w:val="center"/>
          </w:tcPr>
          <w:p w14:paraId="4650E49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83.93</w:t>
            </w:r>
          </w:p>
        </w:tc>
        <w:tc>
          <w:tcPr>
            <w:tcW w:w="949" w:type="dxa"/>
            <w:noWrap w:val="0"/>
            <w:vAlign w:val="center"/>
          </w:tcPr>
          <w:p w14:paraId="2917828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4.3</w:t>
            </w:r>
          </w:p>
        </w:tc>
        <w:tc>
          <w:tcPr>
            <w:tcW w:w="1468" w:type="dxa"/>
            <w:noWrap w:val="0"/>
            <w:vAlign w:val="center"/>
          </w:tcPr>
          <w:p w14:paraId="39040D7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eastAsia="zh-CN"/>
              </w:rPr>
              <w:t>民丰县</w:t>
            </w:r>
          </w:p>
        </w:tc>
      </w:tr>
      <w:tr w14:paraId="2D47D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jc w:val="center"/>
        </w:trPr>
        <w:tc>
          <w:tcPr>
            <w:tcW w:w="642" w:type="dxa"/>
            <w:noWrap w:val="0"/>
            <w:vAlign w:val="center"/>
          </w:tcPr>
          <w:p w14:paraId="3B45761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w:t>
            </w:r>
          </w:p>
        </w:tc>
        <w:tc>
          <w:tcPr>
            <w:tcW w:w="2556" w:type="dxa"/>
            <w:noWrap w:val="0"/>
            <w:vAlign w:val="center"/>
          </w:tcPr>
          <w:p w14:paraId="234E78D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2014-03-2013:40:34</w:t>
            </w:r>
          </w:p>
        </w:tc>
        <w:tc>
          <w:tcPr>
            <w:tcW w:w="1320" w:type="dxa"/>
            <w:noWrap w:val="0"/>
            <w:vAlign w:val="center"/>
          </w:tcPr>
          <w:p w14:paraId="69AA886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36.23</w:t>
            </w:r>
          </w:p>
        </w:tc>
        <w:tc>
          <w:tcPr>
            <w:tcW w:w="1185" w:type="dxa"/>
            <w:noWrap w:val="0"/>
            <w:vAlign w:val="center"/>
          </w:tcPr>
          <w:p w14:paraId="000A447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82.85</w:t>
            </w:r>
          </w:p>
        </w:tc>
        <w:tc>
          <w:tcPr>
            <w:tcW w:w="949" w:type="dxa"/>
            <w:noWrap w:val="0"/>
            <w:vAlign w:val="center"/>
          </w:tcPr>
          <w:p w14:paraId="7D1E7FF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4.1</w:t>
            </w:r>
          </w:p>
        </w:tc>
        <w:tc>
          <w:tcPr>
            <w:tcW w:w="1468" w:type="dxa"/>
            <w:noWrap w:val="0"/>
            <w:vAlign w:val="center"/>
          </w:tcPr>
          <w:p w14:paraId="7B4D332E">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民丰县</w:t>
            </w:r>
          </w:p>
        </w:tc>
      </w:tr>
      <w:tr w14:paraId="3D36D5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jc w:val="center"/>
        </w:trPr>
        <w:tc>
          <w:tcPr>
            <w:tcW w:w="642" w:type="dxa"/>
            <w:noWrap w:val="0"/>
            <w:vAlign w:val="center"/>
          </w:tcPr>
          <w:p w14:paraId="643CA11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w:t>
            </w:r>
          </w:p>
        </w:tc>
        <w:tc>
          <w:tcPr>
            <w:tcW w:w="2556" w:type="dxa"/>
            <w:noWrap w:val="0"/>
            <w:vAlign w:val="center"/>
          </w:tcPr>
          <w:p w14:paraId="7330689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2014-02-1520:32:59</w:t>
            </w:r>
          </w:p>
        </w:tc>
        <w:tc>
          <w:tcPr>
            <w:tcW w:w="1320" w:type="dxa"/>
            <w:noWrap w:val="0"/>
            <w:vAlign w:val="center"/>
          </w:tcPr>
          <w:p w14:paraId="67A0277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36.02</w:t>
            </w:r>
          </w:p>
        </w:tc>
        <w:tc>
          <w:tcPr>
            <w:tcW w:w="1185" w:type="dxa"/>
            <w:noWrap w:val="0"/>
            <w:vAlign w:val="center"/>
          </w:tcPr>
          <w:p w14:paraId="004C634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82.34</w:t>
            </w:r>
          </w:p>
        </w:tc>
        <w:tc>
          <w:tcPr>
            <w:tcW w:w="949" w:type="dxa"/>
            <w:noWrap w:val="0"/>
            <w:vAlign w:val="center"/>
          </w:tcPr>
          <w:p w14:paraId="65B29A2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4.6</w:t>
            </w:r>
          </w:p>
        </w:tc>
        <w:tc>
          <w:tcPr>
            <w:tcW w:w="1468" w:type="dxa"/>
            <w:noWrap w:val="0"/>
            <w:vAlign w:val="center"/>
          </w:tcPr>
          <w:p w14:paraId="7D57E07F">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于田县</w:t>
            </w:r>
          </w:p>
        </w:tc>
      </w:tr>
      <w:tr w14:paraId="173730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jc w:val="center"/>
        </w:trPr>
        <w:tc>
          <w:tcPr>
            <w:tcW w:w="642" w:type="dxa"/>
            <w:noWrap w:val="0"/>
            <w:vAlign w:val="center"/>
          </w:tcPr>
          <w:p w14:paraId="3AD1E87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w:t>
            </w:r>
          </w:p>
        </w:tc>
        <w:tc>
          <w:tcPr>
            <w:tcW w:w="2556" w:type="dxa"/>
            <w:noWrap w:val="0"/>
            <w:vAlign w:val="center"/>
          </w:tcPr>
          <w:p w14:paraId="45BBFB6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2014-02-1409:08:57</w:t>
            </w:r>
          </w:p>
        </w:tc>
        <w:tc>
          <w:tcPr>
            <w:tcW w:w="1320" w:type="dxa"/>
            <w:noWrap w:val="0"/>
            <w:vAlign w:val="center"/>
          </w:tcPr>
          <w:p w14:paraId="56D8814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36.01</w:t>
            </w:r>
          </w:p>
        </w:tc>
        <w:tc>
          <w:tcPr>
            <w:tcW w:w="1185" w:type="dxa"/>
            <w:noWrap w:val="0"/>
            <w:vAlign w:val="center"/>
          </w:tcPr>
          <w:p w14:paraId="69078F0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82.54</w:t>
            </w:r>
          </w:p>
        </w:tc>
        <w:tc>
          <w:tcPr>
            <w:tcW w:w="949" w:type="dxa"/>
            <w:noWrap w:val="0"/>
            <w:vAlign w:val="center"/>
          </w:tcPr>
          <w:p w14:paraId="428098D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4.1</w:t>
            </w:r>
          </w:p>
        </w:tc>
        <w:tc>
          <w:tcPr>
            <w:tcW w:w="1468" w:type="dxa"/>
            <w:noWrap w:val="0"/>
            <w:vAlign w:val="center"/>
          </w:tcPr>
          <w:p w14:paraId="6050911D">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于田县</w:t>
            </w:r>
          </w:p>
        </w:tc>
      </w:tr>
      <w:tr w14:paraId="0EEA6D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jc w:val="center"/>
        </w:trPr>
        <w:tc>
          <w:tcPr>
            <w:tcW w:w="642" w:type="dxa"/>
            <w:noWrap w:val="0"/>
            <w:vAlign w:val="center"/>
          </w:tcPr>
          <w:p w14:paraId="0A70A5A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w:t>
            </w:r>
          </w:p>
        </w:tc>
        <w:tc>
          <w:tcPr>
            <w:tcW w:w="2556" w:type="dxa"/>
            <w:noWrap w:val="0"/>
            <w:vAlign w:val="center"/>
          </w:tcPr>
          <w:p w14:paraId="357275E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2014-02-1405:37:17</w:t>
            </w:r>
          </w:p>
        </w:tc>
        <w:tc>
          <w:tcPr>
            <w:tcW w:w="1320" w:type="dxa"/>
            <w:noWrap w:val="0"/>
            <w:vAlign w:val="center"/>
          </w:tcPr>
          <w:p w14:paraId="51D6229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36.02</w:t>
            </w:r>
          </w:p>
        </w:tc>
        <w:tc>
          <w:tcPr>
            <w:tcW w:w="1185" w:type="dxa"/>
            <w:noWrap w:val="0"/>
            <w:vAlign w:val="center"/>
          </w:tcPr>
          <w:p w14:paraId="60F46B1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82.43</w:t>
            </w:r>
          </w:p>
        </w:tc>
        <w:tc>
          <w:tcPr>
            <w:tcW w:w="949" w:type="dxa"/>
            <w:noWrap w:val="0"/>
            <w:vAlign w:val="center"/>
          </w:tcPr>
          <w:p w14:paraId="68157F4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4.0</w:t>
            </w:r>
          </w:p>
        </w:tc>
        <w:tc>
          <w:tcPr>
            <w:tcW w:w="1468" w:type="dxa"/>
            <w:noWrap w:val="0"/>
            <w:vAlign w:val="center"/>
          </w:tcPr>
          <w:p w14:paraId="46E82DC5">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于田县</w:t>
            </w:r>
          </w:p>
        </w:tc>
      </w:tr>
      <w:tr w14:paraId="4989FB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jc w:val="center"/>
        </w:trPr>
        <w:tc>
          <w:tcPr>
            <w:tcW w:w="642" w:type="dxa"/>
            <w:noWrap w:val="0"/>
            <w:vAlign w:val="center"/>
          </w:tcPr>
          <w:p w14:paraId="79114CA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7</w:t>
            </w:r>
          </w:p>
        </w:tc>
        <w:tc>
          <w:tcPr>
            <w:tcW w:w="2556" w:type="dxa"/>
            <w:noWrap w:val="0"/>
            <w:vAlign w:val="center"/>
          </w:tcPr>
          <w:p w14:paraId="519683F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2014-02-1315:34:18</w:t>
            </w:r>
          </w:p>
        </w:tc>
        <w:tc>
          <w:tcPr>
            <w:tcW w:w="1320" w:type="dxa"/>
            <w:noWrap w:val="0"/>
            <w:vAlign w:val="center"/>
          </w:tcPr>
          <w:p w14:paraId="07E6D8B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36.12</w:t>
            </w:r>
          </w:p>
        </w:tc>
        <w:tc>
          <w:tcPr>
            <w:tcW w:w="1185" w:type="dxa"/>
            <w:noWrap w:val="0"/>
            <w:vAlign w:val="center"/>
          </w:tcPr>
          <w:p w14:paraId="594257B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82.49</w:t>
            </w:r>
          </w:p>
        </w:tc>
        <w:tc>
          <w:tcPr>
            <w:tcW w:w="949" w:type="dxa"/>
            <w:noWrap w:val="0"/>
            <w:vAlign w:val="center"/>
          </w:tcPr>
          <w:p w14:paraId="49D8F5D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4.1</w:t>
            </w:r>
          </w:p>
        </w:tc>
        <w:tc>
          <w:tcPr>
            <w:tcW w:w="1468" w:type="dxa"/>
            <w:noWrap w:val="0"/>
            <w:vAlign w:val="center"/>
          </w:tcPr>
          <w:p w14:paraId="3F90FA1D">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于田县</w:t>
            </w:r>
          </w:p>
        </w:tc>
      </w:tr>
      <w:tr w14:paraId="7C2BB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jc w:val="center"/>
        </w:trPr>
        <w:tc>
          <w:tcPr>
            <w:tcW w:w="642" w:type="dxa"/>
            <w:noWrap w:val="0"/>
            <w:vAlign w:val="center"/>
          </w:tcPr>
          <w:p w14:paraId="5A8FACF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w:t>
            </w:r>
          </w:p>
        </w:tc>
        <w:tc>
          <w:tcPr>
            <w:tcW w:w="2556" w:type="dxa"/>
            <w:noWrap w:val="0"/>
            <w:vAlign w:val="center"/>
          </w:tcPr>
          <w:p w14:paraId="2C5FDE6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2014-02-1308:08:41</w:t>
            </w:r>
          </w:p>
        </w:tc>
        <w:tc>
          <w:tcPr>
            <w:tcW w:w="1320" w:type="dxa"/>
            <w:noWrap w:val="0"/>
            <w:vAlign w:val="center"/>
          </w:tcPr>
          <w:p w14:paraId="3D5C233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36.02</w:t>
            </w:r>
          </w:p>
        </w:tc>
        <w:tc>
          <w:tcPr>
            <w:tcW w:w="1185" w:type="dxa"/>
            <w:noWrap w:val="0"/>
            <w:vAlign w:val="center"/>
          </w:tcPr>
          <w:p w14:paraId="1AE1373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82.48</w:t>
            </w:r>
          </w:p>
        </w:tc>
        <w:tc>
          <w:tcPr>
            <w:tcW w:w="949" w:type="dxa"/>
            <w:noWrap w:val="0"/>
            <w:vAlign w:val="center"/>
          </w:tcPr>
          <w:p w14:paraId="5719BA2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4.7</w:t>
            </w:r>
          </w:p>
        </w:tc>
        <w:tc>
          <w:tcPr>
            <w:tcW w:w="1468" w:type="dxa"/>
            <w:noWrap w:val="0"/>
            <w:vAlign w:val="center"/>
          </w:tcPr>
          <w:p w14:paraId="5DC7EF26">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于田县</w:t>
            </w:r>
          </w:p>
        </w:tc>
      </w:tr>
      <w:tr w14:paraId="65B487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jc w:val="center"/>
        </w:trPr>
        <w:tc>
          <w:tcPr>
            <w:tcW w:w="642" w:type="dxa"/>
            <w:noWrap w:val="0"/>
            <w:vAlign w:val="center"/>
          </w:tcPr>
          <w:p w14:paraId="49FC87D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9</w:t>
            </w:r>
          </w:p>
        </w:tc>
        <w:tc>
          <w:tcPr>
            <w:tcW w:w="2556" w:type="dxa"/>
            <w:noWrap w:val="0"/>
            <w:vAlign w:val="center"/>
          </w:tcPr>
          <w:p w14:paraId="3314D1D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2014-02-1304:51:24</w:t>
            </w:r>
          </w:p>
        </w:tc>
        <w:tc>
          <w:tcPr>
            <w:tcW w:w="1320" w:type="dxa"/>
            <w:noWrap w:val="0"/>
            <w:vAlign w:val="center"/>
          </w:tcPr>
          <w:p w14:paraId="58F68BA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36</w:t>
            </w:r>
          </w:p>
        </w:tc>
        <w:tc>
          <w:tcPr>
            <w:tcW w:w="1185" w:type="dxa"/>
            <w:noWrap w:val="0"/>
            <w:vAlign w:val="center"/>
          </w:tcPr>
          <w:p w14:paraId="62753CC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82.44</w:t>
            </w:r>
          </w:p>
        </w:tc>
        <w:tc>
          <w:tcPr>
            <w:tcW w:w="949" w:type="dxa"/>
            <w:noWrap w:val="0"/>
            <w:vAlign w:val="center"/>
          </w:tcPr>
          <w:p w14:paraId="7BE58A5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4.2</w:t>
            </w:r>
          </w:p>
        </w:tc>
        <w:tc>
          <w:tcPr>
            <w:tcW w:w="1468" w:type="dxa"/>
            <w:noWrap w:val="0"/>
            <w:vAlign w:val="center"/>
          </w:tcPr>
          <w:p w14:paraId="68B8EC6E">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于田县</w:t>
            </w:r>
          </w:p>
        </w:tc>
      </w:tr>
      <w:tr w14:paraId="628C3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jc w:val="center"/>
        </w:trPr>
        <w:tc>
          <w:tcPr>
            <w:tcW w:w="642" w:type="dxa"/>
            <w:noWrap w:val="0"/>
            <w:vAlign w:val="center"/>
          </w:tcPr>
          <w:p w14:paraId="63FAFDB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w:t>
            </w:r>
          </w:p>
        </w:tc>
        <w:tc>
          <w:tcPr>
            <w:tcW w:w="2556" w:type="dxa"/>
            <w:noWrap w:val="0"/>
            <w:vAlign w:val="center"/>
          </w:tcPr>
          <w:p w14:paraId="37F231B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2014-02-1303:09:22</w:t>
            </w:r>
          </w:p>
        </w:tc>
        <w:tc>
          <w:tcPr>
            <w:tcW w:w="1320" w:type="dxa"/>
            <w:noWrap w:val="0"/>
            <w:vAlign w:val="center"/>
          </w:tcPr>
          <w:p w14:paraId="2213E4D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36.03</w:t>
            </w:r>
          </w:p>
        </w:tc>
        <w:tc>
          <w:tcPr>
            <w:tcW w:w="1185" w:type="dxa"/>
            <w:noWrap w:val="0"/>
            <w:vAlign w:val="center"/>
          </w:tcPr>
          <w:p w14:paraId="4B6DC9E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82.4</w:t>
            </w:r>
          </w:p>
        </w:tc>
        <w:tc>
          <w:tcPr>
            <w:tcW w:w="949" w:type="dxa"/>
            <w:noWrap w:val="0"/>
            <w:vAlign w:val="center"/>
          </w:tcPr>
          <w:p w14:paraId="5A30F01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4.9</w:t>
            </w:r>
          </w:p>
        </w:tc>
        <w:tc>
          <w:tcPr>
            <w:tcW w:w="1468" w:type="dxa"/>
            <w:noWrap w:val="0"/>
            <w:vAlign w:val="center"/>
          </w:tcPr>
          <w:p w14:paraId="7D1E9773">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于田县</w:t>
            </w:r>
          </w:p>
        </w:tc>
      </w:tr>
      <w:tr w14:paraId="1509E2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jc w:val="center"/>
        </w:trPr>
        <w:tc>
          <w:tcPr>
            <w:tcW w:w="642" w:type="dxa"/>
            <w:noWrap w:val="0"/>
            <w:vAlign w:val="center"/>
          </w:tcPr>
          <w:p w14:paraId="4C5EF90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11</w:t>
            </w:r>
          </w:p>
        </w:tc>
        <w:tc>
          <w:tcPr>
            <w:tcW w:w="2556" w:type="dxa"/>
            <w:noWrap w:val="0"/>
            <w:vAlign w:val="center"/>
          </w:tcPr>
          <w:p w14:paraId="3B80D8F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2014-02-1220:26:41</w:t>
            </w:r>
          </w:p>
        </w:tc>
        <w:tc>
          <w:tcPr>
            <w:tcW w:w="1320" w:type="dxa"/>
            <w:noWrap w:val="0"/>
            <w:vAlign w:val="center"/>
          </w:tcPr>
          <w:p w14:paraId="4FE439A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36.21</w:t>
            </w:r>
          </w:p>
        </w:tc>
        <w:tc>
          <w:tcPr>
            <w:tcW w:w="1185" w:type="dxa"/>
            <w:noWrap w:val="0"/>
            <w:vAlign w:val="center"/>
          </w:tcPr>
          <w:p w14:paraId="4A44700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82.95</w:t>
            </w:r>
          </w:p>
        </w:tc>
        <w:tc>
          <w:tcPr>
            <w:tcW w:w="949" w:type="dxa"/>
            <w:noWrap w:val="0"/>
            <w:vAlign w:val="center"/>
          </w:tcPr>
          <w:p w14:paraId="67E6A88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4.2</w:t>
            </w:r>
          </w:p>
        </w:tc>
        <w:tc>
          <w:tcPr>
            <w:tcW w:w="1468" w:type="dxa"/>
            <w:noWrap w:val="0"/>
            <w:vAlign w:val="center"/>
          </w:tcPr>
          <w:p w14:paraId="2E51AE12">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民丰县</w:t>
            </w:r>
          </w:p>
        </w:tc>
      </w:tr>
      <w:tr w14:paraId="1720FC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jc w:val="center"/>
        </w:trPr>
        <w:tc>
          <w:tcPr>
            <w:tcW w:w="642" w:type="dxa"/>
            <w:noWrap w:val="0"/>
            <w:vAlign w:val="center"/>
          </w:tcPr>
          <w:p w14:paraId="658B12E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12</w:t>
            </w:r>
          </w:p>
        </w:tc>
        <w:tc>
          <w:tcPr>
            <w:tcW w:w="2556" w:type="dxa"/>
            <w:noWrap w:val="0"/>
            <w:vAlign w:val="center"/>
          </w:tcPr>
          <w:p w14:paraId="38ECDCD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2014-02-1219:14:20</w:t>
            </w:r>
          </w:p>
        </w:tc>
        <w:tc>
          <w:tcPr>
            <w:tcW w:w="1320" w:type="dxa"/>
            <w:noWrap w:val="0"/>
            <w:vAlign w:val="center"/>
          </w:tcPr>
          <w:p w14:paraId="5D59111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36.15</w:t>
            </w:r>
          </w:p>
        </w:tc>
        <w:tc>
          <w:tcPr>
            <w:tcW w:w="1185" w:type="dxa"/>
            <w:noWrap w:val="0"/>
            <w:vAlign w:val="center"/>
          </w:tcPr>
          <w:p w14:paraId="65F617C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82.51</w:t>
            </w:r>
          </w:p>
        </w:tc>
        <w:tc>
          <w:tcPr>
            <w:tcW w:w="949" w:type="dxa"/>
            <w:noWrap w:val="0"/>
            <w:vAlign w:val="center"/>
          </w:tcPr>
          <w:p w14:paraId="72170F1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4.6</w:t>
            </w:r>
          </w:p>
        </w:tc>
        <w:tc>
          <w:tcPr>
            <w:tcW w:w="1468" w:type="dxa"/>
            <w:noWrap w:val="0"/>
            <w:vAlign w:val="center"/>
          </w:tcPr>
          <w:p w14:paraId="17FEC754">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于田县</w:t>
            </w:r>
          </w:p>
        </w:tc>
      </w:tr>
      <w:tr w14:paraId="34751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jc w:val="center"/>
        </w:trPr>
        <w:tc>
          <w:tcPr>
            <w:tcW w:w="642" w:type="dxa"/>
            <w:noWrap w:val="0"/>
            <w:vAlign w:val="center"/>
          </w:tcPr>
          <w:p w14:paraId="6A4B1F9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13</w:t>
            </w:r>
          </w:p>
        </w:tc>
        <w:tc>
          <w:tcPr>
            <w:tcW w:w="2556" w:type="dxa"/>
            <w:noWrap w:val="0"/>
            <w:vAlign w:val="center"/>
          </w:tcPr>
          <w:p w14:paraId="419BAF6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2014-02-1218:00:07</w:t>
            </w:r>
          </w:p>
        </w:tc>
        <w:tc>
          <w:tcPr>
            <w:tcW w:w="1320" w:type="dxa"/>
            <w:noWrap w:val="0"/>
            <w:vAlign w:val="center"/>
          </w:tcPr>
          <w:p w14:paraId="7F476D3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36.04</w:t>
            </w:r>
          </w:p>
        </w:tc>
        <w:tc>
          <w:tcPr>
            <w:tcW w:w="1185" w:type="dxa"/>
            <w:noWrap w:val="0"/>
            <w:vAlign w:val="center"/>
          </w:tcPr>
          <w:p w14:paraId="1C90038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82.46</w:t>
            </w:r>
          </w:p>
        </w:tc>
        <w:tc>
          <w:tcPr>
            <w:tcW w:w="949" w:type="dxa"/>
            <w:noWrap w:val="0"/>
            <w:vAlign w:val="center"/>
          </w:tcPr>
          <w:p w14:paraId="5086BF4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4.9</w:t>
            </w:r>
          </w:p>
        </w:tc>
        <w:tc>
          <w:tcPr>
            <w:tcW w:w="1468" w:type="dxa"/>
            <w:noWrap w:val="0"/>
            <w:vAlign w:val="center"/>
          </w:tcPr>
          <w:p w14:paraId="50AB2F36">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于田县</w:t>
            </w:r>
          </w:p>
        </w:tc>
      </w:tr>
      <w:tr w14:paraId="0D70AF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jc w:val="center"/>
        </w:trPr>
        <w:tc>
          <w:tcPr>
            <w:tcW w:w="642" w:type="dxa"/>
            <w:noWrap w:val="0"/>
            <w:vAlign w:val="center"/>
          </w:tcPr>
          <w:p w14:paraId="6907F4B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14</w:t>
            </w:r>
          </w:p>
        </w:tc>
        <w:tc>
          <w:tcPr>
            <w:tcW w:w="2556" w:type="dxa"/>
            <w:noWrap w:val="0"/>
            <w:vAlign w:val="center"/>
          </w:tcPr>
          <w:p w14:paraId="2C3D87B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2014-02-1217:24:43</w:t>
            </w:r>
          </w:p>
        </w:tc>
        <w:tc>
          <w:tcPr>
            <w:tcW w:w="1320" w:type="dxa"/>
            <w:noWrap w:val="0"/>
            <w:vAlign w:val="center"/>
          </w:tcPr>
          <w:p w14:paraId="74330B5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36</w:t>
            </w:r>
          </w:p>
        </w:tc>
        <w:tc>
          <w:tcPr>
            <w:tcW w:w="1185" w:type="dxa"/>
            <w:noWrap w:val="0"/>
            <w:vAlign w:val="center"/>
          </w:tcPr>
          <w:p w14:paraId="244BB55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82.45</w:t>
            </w:r>
          </w:p>
        </w:tc>
        <w:tc>
          <w:tcPr>
            <w:tcW w:w="949" w:type="dxa"/>
            <w:noWrap w:val="0"/>
            <w:vAlign w:val="center"/>
          </w:tcPr>
          <w:p w14:paraId="5A0E92E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5.7</w:t>
            </w:r>
          </w:p>
        </w:tc>
        <w:tc>
          <w:tcPr>
            <w:tcW w:w="1468" w:type="dxa"/>
            <w:noWrap w:val="0"/>
            <w:vAlign w:val="center"/>
          </w:tcPr>
          <w:p w14:paraId="16A18EFA">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于田县</w:t>
            </w:r>
          </w:p>
        </w:tc>
      </w:tr>
      <w:tr w14:paraId="56353F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jc w:val="center"/>
        </w:trPr>
        <w:tc>
          <w:tcPr>
            <w:tcW w:w="642" w:type="dxa"/>
            <w:noWrap w:val="0"/>
            <w:vAlign w:val="center"/>
          </w:tcPr>
          <w:p w14:paraId="651DF24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15</w:t>
            </w:r>
          </w:p>
        </w:tc>
        <w:tc>
          <w:tcPr>
            <w:tcW w:w="2556" w:type="dxa"/>
            <w:noWrap w:val="0"/>
            <w:vAlign w:val="center"/>
          </w:tcPr>
          <w:p w14:paraId="178B12F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2014-02-1217:23:27</w:t>
            </w:r>
          </w:p>
        </w:tc>
        <w:tc>
          <w:tcPr>
            <w:tcW w:w="1320" w:type="dxa"/>
            <w:noWrap w:val="0"/>
            <w:vAlign w:val="center"/>
          </w:tcPr>
          <w:p w14:paraId="53D8CDA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36.1</w:t>
            </w:r>
          </w:p>
        </w:tc>
        <w:tc>
          <w:tcPr>
            <w:tcW w:w="1185" w:type="dxa"/>
            <w:noWrap w:val="0"/>
            <w:vAlign w:val="center"/>
          </w:tcPr>
          <w:p w14:paraId="21F90B3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82.5</w:t>
            </w:r>
          </w:p>
        </w:tc>
        <w:tc>
          <w:tcPr>
            <w:tcW w:w="949" w:type="dxa"/>
            <w:noWrap w:val="0"/>
            <w:vAlign w:val="center"/>
          </w:tcPr>
          <w:p w14:paraId="0D5A936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4.1</w:t>
            </w:r>
          </w:p>
        </w:tc>
        <w:tc>
          <w:tcPr>
            <w:tcW w:w="1468" w:type="dxa"/>
            <w:noWrap w:val="0"/>
            <w:vAlign w:val="center"/>
          </w:tcPr>
          <w:p w14:paraId="055DF189">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于田县</w:t>
            </w:r>
          </w:p>
        </w:tc>
      </w:tr>
      <w:tr w14:paraId="06052A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jc w:val="center"/>
        </w:trPr>
        <w:tc>
          <w:tcPr>
            <w:tcW w:w="642" w:type="dxa"/>
            <w:noWrap w:val="0"/>
            <w:vAlign w:val="center"/>
          </w:tcPr>
          <w:p w14:paraId="195AC9E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16</w:t>
            </w:r>
          </w:p>
        </w:tc>
        <w:tc>
          <w:tcPr>
            <w:tcW w:w="2556" w:type="dxa"/>
            <w:noWrap w:val="0"/>
            <w:vAlign w:val="center"/>
          </w:tcPr>
          <w:p w14:paraId="23806A7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2014-02-1217:22:20</w:t>
            </w:r>
          </w:p>
        </w:tc>
        <w:tc>
          <w:tcPr>
            <w:tcW w:w="1320" w:type="dxa"/>
            <w:noWrap w:val="0"/>
            <w:vAlign w:val="center"/>
          </w:tcPr>
          <w:p w14:paraId="22CD492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36.1</w:t>
            </w:r>
          </w:p>
        </w:tc>
        <w:tc>
          <w:tcPr>
            <w:tcW w:w="1185" w:type="dxa"/>
            <w:noWrap w:val="0"/>
            <w:vAlign w:val="center"/>
          </w:tcPr>
          <w:p w14:paraId="510C9CD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82.5</w:t>
            </w:r>
          </w:p>
        </w:tc>
        <w:tc>
          <w:tcPr>
            <w:tcW w:w="949" w:type="dxa"/>
            <w:noWrap w:val="0"/>
            <w:vAlign w:val="center"/>
          </w:tcPr>
          <w:p w14:paraId="41D4748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4.3</w:t>
            </w:r>
          </w:p>
        </w:tc>
        <w:tc>
          <w:tcPr>
            <w:tcW w:w="1468" w:type="dxa"/>
            <w:noWrap w:val="0"/>
            <w:vAlign w:val="center"/>
          </w:tcPr>
          <w:p w14:paraId="2E8397DA">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于田县</w:t>
            </w:r>
          </w:p>
        </w:tc>
      </w:tr>
      <w:tr w14:paraId="3A8A4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exact"/>
          <w:jc w:val="center"/>
        </w:trPr>
        <w:tc>
          <w:tcPr>
            <w:tcW w:w="642" w:type="dxa"/>
            <w:noWrap w:val="0"/>
            <w:vAlign w:val="center"/>
          </w:tcPr>
          <w:p w14:paraId="5A5C0AC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17</w:t>
            </w:r>
          </w:p>
        </w:tc>
        <w:tc>
          <w:tcPr>
            <w:tcW w:w="2556" w:type="dxa"/>
            <w:noWrap w:val="0"/>
            <w:vAlign w:val="center"/>
          </w:tcPr>
          <w:p w14:paraId="00961BD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2012-04-2606:49:56</w:t>
            </w:r>
          </w:p>
        </w:tc>
        <w:tc>
          <w:tcPr>
            <w:tcW w:w="1320" w:type="dxa"/>
            <w:noWrap w:val="0"/>
            <w:vAlign w:val="center"/>
          </w:tcPr>
          <w:p w14:paraId="07CFDD0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36.39</w:t>
            </w:r>
          </w:p>
        </w:tc>
        <w:tc>
          <w:tcPr>
            <w:tcW w:w="1185" w:type="dxa"/>
            <w:noWrap w:val="0"/>
            <w:vAlign w:val="center"/>
          </w:tcPr>
          <w:p w14:paraId="36E09F2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82.52</w:t>
            </w:r>
          </w:p>
        </w:tc>
        <w:tc>
          <w:tcPr>
            <w:tcW w:w="949" w:type="dxa"/>
            <w:noWrap w:val="0"/>
            <w:vAlign w:val="center"/>
          </w:tcPr>
          <w:p w14:paraId="4C788D5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4.2</w:t>
            </w:r>
          </w:p>
        </w:tc>
        <w:tc>
          <w:tcPr>
            <w:tcW w:w="1468" w:type="dxa"/>
            <w:noWrap w:val="0"/>
            <w:vAlign w:val="center"/>
          </w:tcPr>
          <w:p w14:paraId="6A36D7EF">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民丰县</w:t>
            </w:r>
          </w:p>
        </w:tc>
      </w:tr>
    </w:tbl>
    <w:p w14:paraId="3CAC107F">
      <w:pPr>
        <w:pStyle w:val="3"/>
        <w:spacing w:before="120" w:after="120" w:line="500" w:lineRule="exact"/>
        <w:ind w:left="375" w:hanging="375" w:firstLineChars="0"/>
        <w:contextualSpacing/>
        <w:rPr>
          <w:rFonts w:hint="default" w:ascii="Times New Roman" w:hAnsi="Times New Roman" w:eastAsia="华文中宋" w:cs="Times New Roman"/>
          <w:b/>
          <w:bCs/>
          <w:snapToGrid w:val="0"/>
          <w:kern w:val="0"/>
          <w:sz w:val="28"/>
          <w:szCs w:val="28"/>
          <w:lang w:val="en-US" w:eastAsia="zh-CN" w:bidi="ar-SA"/>
        </w:rPr>
      </w:pPr>
      <w:bookmarkStart w:id="113" w:name="_Toc31999"/>
      <w:bookmarkStart w:id="114" w:name="_Toc31723"/>
      <w:r>
        <w:rPr>
          <w:rFonts w:hint="default" w:ascii="Times New Roman" w:hAnsi="Times New Roman" w:cs="Times New Roman"/>
          <w:b/>
          <w:bCs/>
          <w:color w:val="000000"/>
          <w:sz w:val="28"/>
          <w:szCs w:val="28"/>
          <w:highlight w:val="none"/>
          <w:lang w:val="en-US" w:eastAsia="zh-CN"/>
        </w:rPr>
        <w:t>4</w:t>
      </w:r>
      <w:r>
        <w:rPr>
          <w:rFonts w:hint="default" w:ascii="Times New Roman" w:hAnsi="Times New Roman" w:eastAsia="华文中宋" w:cs="Times New Roman"/>
          <w:b/>
          <w:bCs/>
          <w:snapToGrid w:val="0"/>
          <w:kern w:val="0"/>
          <w:sz w:val="28"/>
          <w:szCs w:val="28"/>
          <w:lang w:val="en-US" w:eastAsia="zh-CN" w:bidi="ar-SA"/>
        </w:rPr>
        <w:t>.2自然环境质量现状调查与评价</w:t>
      </w:r>
      <w:bookmarkEnd w:id="113"/>
      <w:bookmarkEnd w:id="114"/>
    </w:p>
    <w:p w14:paraId="25AA39B5">
      <w:pPr>
        <w:pStyle w:val="24"/>
        <w:snapToGrid w:val="0"/>
        <w:jc w:val="left"/>
        <w:rPr>
          <w:rFonts w:hint="default"/>
          <w:highlight w:val="none"/>
          <w:lang w:val="en-US" w:eastAsia="zh-CN"/>
        </w:rPr>
      </w:pPr>
      <w:r>
        <w:rPr>
          <w:rFonts w:hint="default" w:ascii="Times New Roman" w:hAnsi="Times New Roman" w:eastAsia="华文中宋" w:cs="Times New Roman"/>
          <w:color w:val="auto"/>
          <w:highlight w:val="none"/>
          <w:lang w:val="en-US" w:eastAsia="zh-CN"/>
        </w:rPr>
        <w:t>本项目现状监测委托</w:t>
      </w:r>
      <w:r>
        <w:rPr>
          <w:rFonts w:hint="eastAsia" w:ascii="Times New Roman" w:hAnsi="Times New Roman" w:cs="Times New Roman"/>
          <w:color w:val="auto"/>
          <w:highlight w:val="none"/>
          <w:lang w:val="en-US" w:eastAsia="zh-CN"/>
        </w:rPr>
        <w:t>新疆精诚检测技术有限公司</w:t>
      </w:r>
      <w:r>
        <w:rPr>
          <w:rFonts w:hint="default" w:ascii="Times New Roman" w:hAnsi="Times New Roman" w:eastAsia="华文中宋" w:cs="Times New Roman"/>
          <w:color w:val="auto"/>
          <w:highlight w:val="none"/>
          <w:lang w:val="en-US" w:eastAsia="zh-CN"/>
        </w:rPr>
        <w:t>于</w:t>
      </w:r>
      <w:r>
        <w:rPr>
          <w:rFonts w:hint="eastAsia" w:ascii="Times New Roman" w:hAnsi="Times New Roman" w:cs="Times New Roman"/>
          <w:color w:val="auto"/>
          <w:highlight w:val="none"/>
          <w:lang w:val="en-US" w:eastAsia="zh-CN"/>
        </w:rPr>
        <w:t>2025</w:t>
      </w:r>
      <w:r>
        <w:rPr>
          <w:rFonts w:hint="default" w:ascii="Times New Roman" w:hAnsi="Times New Roman" w:eastAsia="华文中宋" w:cs="Times New Roman"/>
          <w:color w:val="auto"/>
          <w:highlight w:val="none"/>
          <w:lang w:val="en-US" w:eastAsia="zh-CN"/>
        </w:rPr>
        <w:t>年</w:t>
      </w:r>
      <w:r>
        <w:rPr>
          <w:rFonts w:hint="eastAsia" w:ascii="Times New Roman" w:hAnsi="Times New Roman" w:cs="Times New Roman"/>
          <w:color w:val="auto"/>
          <w:highlight w:val="none"/>
          <w:lang w:val="en-US" w:eastAsia="zh-CN"/>
        </w:rPr>
        <w:t>7</w:t>
      </w:r>
      <w:r>
        <w:rPr>
          <w:rFonts w:hint="default" w:ascii="Times New Roman" w:hAnsi="Times New Roman" w:eastAsia="华文中宋" w:cs="Times New Roman"/>
          <w:color w:val="auto"/>
          <w:highlight w:val="none"/>
          <w:lang w:val="en-US" w:eastAsia="zh-CN"/>
        </w:rPr>
        <w:t>月</w:t>
      </w:r>
      <w:r>
        <w:rPr>
          <w:rFonts w:hint="eastAsia" w:ascii="Times New Roman" w:hAnsi="Times New Roman" w:cs="Times New Roman"/>
          <w:color w:val="auto"/>
          <w:highlight w:val="none"/>
          <w:lang w:val="en-US" w:eastAsia="zh-CN"/>
        </w:rPr>
        <w:t>5</w:t>
      </w:r>
      <w:r>
        <w:rPr>
          <w:rFonts w:hint="default" w:ascii="Times New Roman" w:hAnsi="Times New Roman" w:eastAsia="华文中宋" w:cs="Times New Roman"/>
          <w:color w:val="auto"/>
          <w:highlight w:val="none"/>
          <w:lang w:val="en-US" w:eastAsia="zh-CN"/>
        </w:rPr>
        <w:t>日</w:t>
      </w:r>
      <w:r>
        <w:rPr>
          <w:rFonts w:hint="eastAsia" w:ascii="Times New Roman" w:hAnsi="Times New Roman" w:cs="Times New Roman"/>
          <w:color w:val="auto"/>
          <w:highlight w:val="none"/>
          <w:lang w:val="en-US" w:eastAsia="zh-CN"/>
        </w:rPr>
        <w:t>～</w:t>
      </w:r>
      <w:r>
        <w:rPr>
          <w:rFonts w:hint="default" w:ascii="Times New Roman" w:hAnsi="Times New Roman" w:eastAsia="华文中宋" w:cs="Times New Roman"/>
          <w:color w:val="auto"/>
          <w:highlight w:val="none"/>
          <w:lang w:val="en-US" w:eastAsia="zh-CN"/>
        </w:rPr>
        <w:t>2</w:t>
      </w:r>
      <w:r>
        <w:rPr>
          <w:rFonts w:hint="eastAsia" w:ascii="Times New Roman" w:hAnsi="Times New Roman" w:cs="Times New Roman"/>
          <w:color w:val="auto"/>
          <w:highlight w:val="none"/>
          <w:lang w:val="en-US" w:eastAsia="zh-CN"/>
        </w:rPr>
        <w:t>025</w:t>
      </w:r>
      <w:r>
        <w:rPr>
          <w:rFonts w:hint="default" w:ascii="Times New Roman" w:hAnsi="Times New Roman" w:eastAsia="华文中宋" w:cs="Times New Roman"/>
          <w:color w:val="auto"/>
          <w:highlight w:val="none"/>
          <w:lang w:val="en-US" w:eastAsia="zh-CN"/>
        </w:rPr>
        <w:t>年</w:t>
      </w:r>
      <w:r>
        <w:rPr>
          <w:rFonts w:hint="eastAsia" w:ascii="Times New Roman" w:hAnsi="Times New Roman" w:cs="Times New Roman"/>
          <w:color w:val="auto"/>
          <w:highlight w:val="none"/>
          <w:lang w:val="en-US" w:eastAsia="zh-CN"/>
        </w:rPr>
        <w:t>7</w:t>
      </w:r>
      <w:r>
        <w:rPr>
          <w:rFonts w:hint="default" w:ascii="Times New Roman" w:hAnsi="Times New Roman" w:eastAsia="华文中宋" w:cs="Times New Roman"/>
          <w:color w:val="auto"/>
          <w:highlight w:val="none"/>
          <w:lang w:val="en-US" w:eastAsia="zh-CN"/>
        </w:rPr>
        <w:t>月1</w:t>
      </w:r>
      <w:r>
        <w:rPr>
          <w:rFonts w:hint="eastAsia" w:ascii="Times New Roman" w:hAnsi="Times New Roman" w:cs="Times New Roman"/>
          <w:color w:val="auto"/>
          <w:highlight w:val="none"/>
          <w:lang w:val="en-US" w:eastAsia="zh-CN"/>
        </w:rPr>
        <w:t>2</w:t>
      </w:r>
      <w:r>
        <w:rPr>
          <w:rFonts w:hint="default" w:ascii="Times New Roman" w:hAnsi="Times New Roman" w:eastAsia="华文中宋" w:cs="Times New Roman"/>
          <w:color w:val="auto"/>
          <w:highlight w:val="none"/>
          <w:lang w:val="en-US" w:eastAsia="zh-CN"/>
        </w:rPr>
        <w:t>日对项目区进行补充监测</w:t>
      </w:r>
      <w:r>
        <w:rPr>
          <w:rFonts w:hint="eastAsia" w:ascii="Times New Roman" w:hAnsi="Times New Roman" w:cs="Times New Roman"/>
          <w:color w:val="auto"/>
          <w:highlight w:val="none"/>
          <w:lang w:val="en-US" w:eastAsia="zh-CN"/>
        </w:rPr>
        <w:t>，项目监测点位示意图见图4.2-1。</w:t>
      </w:r>
    </w:p>
    <w:p w14:paraId="1B9FF1B4">
      <w:pPr>
        <w:pStyle w:val="4"/>
        <w:spacing w:before="120" w:after="120" w:line="500" w:lineRule="exact"/>
        <w:rPr>
          <w:rFonts w:hint="default" w:ascii="Times New Roman" w:hAnsi="Times New Roman" w:eastAsia="华文中宋" w:cs="Times New Roman"/>
          <w:kern w:val="0"/>
          <w:sz w:val="24"/>
          <w:szCs w:val="24"/>
          <w:highlight w:val="none"/>
          <w:lang w:val="en-US" w:eastAsia="zh-CN"/>
        </w:rPr>
      </w:pPr>
      <w:bookmarkStart w:id="115" w:name="_Toc14597"/>
      <w:r>
        <w:rPr>
          <w:rFonts w:hint="default" w:ascii="Times New Roman" w:hAnsi="Times New Roman" w:eastAsia="华文中宋" w:cs="Times New Roman"/>
          <w:kern w:val="0"/>
          <w:sz w:val="24"/>
          <w:szCs w:val="24"/>
          <w:highlight w:val="none"/>
          <w:lang w:val="en-US" w:eastAsia="zh-CN"/>
        </w:rPr>
        <w:t>4.2.1区域环境空气质量达标情况调查与评价</w:t>
      </w:r>
      <w:bookmarkEnd w:id="115"/>
    </w:p>
    <w:p w14:paraId="31F87831">
      <w:pPr>
        <w:pStyle w:val="24"/>
        <w:snapToGrid w:val="0"/>
        <w:jc w:val="left"/>
        <w:rPr>
          <w:rFonts w:hint="default" w:ascii="Times New Roman" w:hAnsi="Times New Roman" w:eastAsia="华文中宋" w:cs="Times New Roman"/>
          <w:color w:val="auto"/>
          <w:highlight w:val="none"/>
          <w:lang w:val="en-US" w:eastAsia="zh-CN"/>
        </w:rPr>
      </w:pPr>
      <w:r>
        <w:rPr>
          <w:rFonts w:hint="default" w:ascii="Times New Roman" w:hAnsi="Times New Roman" w:eastAsia="华文中宋" w:cs="Times New Roman"/>
          <w:color w:val="auto"/>
          <w:highlight w:val="none"/>
          <w:lang w:val="en-US" w:eastAsia="zh-CN"/>
        </w:rPr>
        <w:t>（1）项目所在区域空气达标判定</w:t>
      </w:r>
    </w:p>
    <w:p w14:paraId="3E777182">
      <w:pPr>
        <w:pStyle w:val="24"/>
        <w:snapToGrid w:val="0"/>
        <w:jc w:val="left"/>
        <w:rPr>
          <w:rFonts w:hint="default" w:ascii="Times New Roman" w:hAnsi="Times New Roman" w:eastAsia="华文中宋" w:cs="Times New Roman"/>
          <w:color w:val="auto"/>
          <w:highlight w:val="none"/>
          <w:lang w:val="en-US" w:eastAsia="zh-CN"/>
        </w:rPr>
      </w:pPr>
      <w:r>
        <w:rPr>
          <w:rFonts w:hint="default" w:ascii="Times New Roman" w:hAnsi="Times New Roman" w:eastAsia="华文中宋" w:cs="Times New Roman"/>
          <w:color w:val="auto"/>
          <w:highlight w:val="none"/>
          <w:lang w:val="en-US" w:eastAsia="zh-CN"/>
        </w:rPr>
        <w:t>根据导则对环境质量现状数据的要求，本次环评引用</w:t>
      </w:r>
      <w:r>
        <w:rPr>
          <w:rFonts w:hint="eastAsia" w:ascii="Times New Roman" w:hAnsi="Times New Roman" w:eastAsia="华文中宋" w:cs="Times New Roman"/>
          <w:color w:val="auto"/>
          <w:highlight w:val="none"/>
          <w:lang w:val="en-US" w:eastAsia="zh-CN"/>
        </w:rPr>
        <w:t>《</w:t>
      </w:r>
      <w:bookmarkStart w:id="116" w:name="_Toc10087"/>
      <w:r>
        <w:rPr>
          <w:rFonts w:hint="eastAsia" w:ascii="Times New Roman" w:hAnsi="Times New Roman" w:eastAsia="华文中宋" w:cs="Times New Roman"/>
          <w:color w:val="auto"/>
          <w:highlight w:val="none"/>
          <w:lang w:val="en-US" w:eastAsia="zh-CN"/>
        </w:rPr>
        <w:t>民丰县2024年环境空气质量分析报告</w:t>
      </w:r>
      <w:bookmarkEnd w:id="116"/>
      <w:r>
        <w:rPr>
          <w:rFonts w:hint="eastAsia" w:ascii="Times New Roman" w:hAnsi="Times New Roman" w:eastAsia="华文中宋" w:cs="Times New Roman"/>
          <w:color w:val="auto"/>
          <w:highlight w:val="none"/>
          <w:lang w:val="en-US" w:eastAsia="zh-CN"/>
        </w:rPr>
        <w:t>》中2024年民丰县监测数据，作为本项目环境空气现状评价基本污染物</w:t>
      </w:r>
      <w:r>
        <w:rPr>
          <w:rFonts w:hint="default" w:ascii="Times New Roman" w:hAnsi="Times New Roman" w:eastAsia="华文中宋" w:cs="Times New Roman"/>
          <w:color w:val="auto"/>
          <w:highlight w:val="none"/>
          <w:lang w:val="en-US" w:eastAsia="zh-CN"/>
        </w:rPr>
        <w:t>S</w:t>
      </w:r>
      <w:r>
        <w:rPr>
          <w:rFonts w:hint="eastAsia" w:ascii="Times New Roman" w:hAnsi="Times New Roman" w:eastAsia="华文中宋" w:cs="Times New Roman"/>
          <w:color w:val="auto"/>
          <w:highlight w:val="none"/>
          <w:lang w:val="en-US" w:eastAsia="zh-CN"/>
        </w:rPr>
        <w:t>O</w:t>
      </w:r>
      <w:r>
        <w:rPr>
          <w:rFonts w:hint="default" w:ascii="Times New Roman" w:hAnsi="Times New Roman" w:eastAsia="华文中宋" w:cs="Times New Roman"/>
          <w:color w:val="auto"/>
          <w:highlight w:val="none"/>
          <w:vertAlign w:val="subscript"/>
          <w:lang w:val="en-US" w:eastAsia="zh-CN"/>
        </w:rPr>
        <w:t>2</w:t>
      </w:r>
      <w:r>
        <w:rPr>
          <w:rFonts w:hint="default" w:ascii="Times New Roman" w:hAnsi="Times New Roman" w:eastAsia="华文中宋" w:cs="Times New Roman"/>
          <w:color w:val="auto"/>
          <w:highlight w:val="none"/>
          <w:lang w:val="en-US" w:eastAsia="zh-CN"/>
        </w:rPr>
        <w:t>、NO</w:t>
      </w:r>
      <w:r>
        <w:rPr>
          <w:rFonts w:hint="default" w:ascii="Times New Roman" w:hAnsi="Times New Roman" w:eastAsia="华文中宋" w:cs="Times New Roman"/>
          <w:color w:val="auto"/>
          <w:highlight w:val="none"/>
          <w:vertAlign w:val="subscript"/>
          <w:lang w:val="en-US" w:eastAsia="zh-CN"/>
        </w:rPr>
        <w:t>2</w:t>
      </w:r>
      <w:r>
        <w:rPr>
          <w:rFonts w:hint="default" w:ascii="Times New Roman" w:hAnsi="Times New Roman" w:eastAsia="华文中宋" w:cs="Times New Roman"/>
          <w:color w:val="auto"/>
          <w:highlight w:val="none"/>
          <w:lang w:val="en-US" w:eastAsia="zh-CN"/>
        </w:rPr>
        <w:t>、PM</w:t>
      </w:r>
      <w:r>
        <w:rPr>
          <w:rFonts w:hint="default" w:ascii="Times New Roman" w:hAnsi="Times New Roman" w:eastAsia="华文中宋" w:cs="Times New Roman"/>
          <w:color w:val="auto"/>
          <w:highlight w:val="none"/>
          <w:vertAlign w:val="subscript"/>
          <w:lang w:val="en-US" w:eastAsia="zh-CN"/>
        </w:rPr>
        <w:t>10</w:t>
      </w:r>
      <w:r>
        <w:rPr>
          <w:rFonts w:hint="default" w:ascii="Times New Roman" w:hAnsi="Times New Roman" w:eastAsia="华文中宋" w:cs="Times New Roman"/>
          <w:color w:val="auto"/>
          <w:highlight w:val="none"/>
          <w:lang w:val="en-US" w:eastAsia="zh-CN"/>
        </w:rPr>
        <w:t>、PM</w:t>
      </w:r>
      <w:r>
        <w:rPr>
          <w:rFonts w:hint="default" w:ascii="Times New Roman" w:hAnsi="Times New Roman" w:eastAsia="华文中宋" w:cs="Times New Roman"/>
          <w:color w:val="auto"/>
          <w:highlight w:val="none"/>
          <w:vertAlign w:val="subscript"/>
          <w:lang w:val="en-US" w:eastAsia="zh-CN"/>
        </w:rPr>
        <w:t>2.5</w:t>
      </w:r>
      <w:r>
        <w:rPr>
          <w:rFonts w:hint="eastAsia" w:ascii="Times New Roman" w:hAnsi="Times New Roman" w:eastAsia="华文中宋" w:cs="Times New Roman"/>
          <w:color w:val="auto"/>
          <w:highlight w:val="none"/>
          <w:lang w:val="en-US" w:eastAsia="zh-CN"/>
        </w:rPr>
        <w:t>、</w:t>
      </w:r>
      <w:r>
        <w:rPr>
          <w:rFonts w:hint="default" w:ascii="Times New Roman" w:hAnsi="Times New Roman" w:eastAsia="华文中宋" w:cs="Times New Roman"/>
          <w:color w:val="auto"/>
          <w:highlight w:val="none"/>
          <w:lang w:val="en-US" w:eastAsia="zh-CN"/>
        </w:rPr>
        <w:t>O</w:t>
      </w:r>
      <w:r>
        <w:rPr>
          <w:rFonts w:hint="default" w:ascii="Times New Roman" w:hAnsi="Times New Roman" w:eastAsia="华文中宋" w:cs="Times New Roman"/>
          <w:color w:val="auto"/>
          <w:highlight w:val="none"/>
          <w:vertAlign w:val="subscript"/>
          <w:lang w:val="en-US" w:eastAsia="zh-CN"/>
        </w:rPr>
        <w:t>3</w:t>
      </w:r>
      <w:r>
        <w:rPr>
          <w:rFonts w:hint="eastAsia" w:ascii="Times New Roman" w:hAnsi="Times New Roman" w:eastAsia="华文中宋" w:cs="Times New Roman"/>
          <w:color w:val="auto"/>
          <w:highlight w:val="none"/>
          <w:lang w:val="en-US" w:eastAsia="zh-CN"/>
        </w:rPr>
        <w:t>的数据来源。地区</w:t>
      </w:r>
      <w:r>
        <w:rPr>
          <w:rFonts w:hint="default" w:ascii="Times New Roman" w:hAnsi="Times New Roman" w:eastAsia="华文中宋" w:cs="Times New Roman"/>
          <w:color w:val="auto"/>
          <w:highlight w:val="none"/>
          <w:lang w:val="en-US" w:eastAsia="zh-CN"/>
        </w:rPr>
        <w:t>PM</w:t>
      </w:r>
      <w:r>
        <w:rPr>
          <w:rFonts w:hint="default" w:ascii="Times New Roman" w:hAnsi="Times New Roman" w:eastAsia="华文中宋" w:cs="Times New Roman"/>
          <w:color w:val="auto"/>
          <w:highlight w:val="none"/>
          <w:vertAlign w:val="subscript"/>
          <w:lang w:val="en-US" w:eastAsia="zh-CN"/>
        </w:rPr>
        <w:t>10</w:t>
      </w:r>
      <w:r>
        <w:rPr>
          <w:rFonts w:hint="default" w:ascii="Times New Roman" w:hAnsi="Times New Roman" w:eastAsia="华文中宋" w:cs="Times New Roman"/>
          <w:color w:val="auto"/>
          <w:highlight w:val="none"/>
          <w:lang w:val="en-US" w:eastAsia="zh-CN"/>
        </w:rPr>
        <w:t>、PM</w:t>
      </w:r>
      <w:r>
        <w:rPr>
          <w:rFonts w:hint="default" w:ascii="Times New Roman" w:hAnsi="Times New Roman" w:eastAsia="华文中宋" w:cs="Times New Roman"/>
          <w:color w:val="auto"/>
          <w:highlight w:val="none"/>
          <w:vertAlign w:val="subscript"/>
          <w:lang w:val="en-US" w:eastAsia="zh-CN"/>
        </w:rPr>
        <w:t>2.5</w:t>
      </w:r>
      <w:r>
        <w:rPr>
          <w:rFonts w:hint="eastAsia" w:ascii="Times New Roman" w:hAnsi="Times New Roman" w:eastAsia="华文中宋" w:cs="Times New Roman"/>
          <w:color w:val="auto"/>
          <w:highlight w:val="none"/>
          <w:lang w:val="en-US" w:eastAsia="zh-CN"/>
        </w:rPr>
        <w:t>均</w:t>
      </w:r>
      <w:r>
        <w:rPr>
          <w:rFonts w:hint="default" w:ascii="Times New Roman" w:hAnsi="Times New Roman" w:eastAsia="华文中宋" w:cs="Times New Roman"/>
          <w:color w:val="auto"/>
          <w:highlight w:val="none"/>
          <w:lang w:val="en-US" w:eastAsia="zh-CN"/>
        </w:rPr>
        <w:t>超过《环境空气质量标准》（GB3095-2012）中二级标准限值，判定为不达标区。具体见表4.2-1。</w:t>
      </w:r>
    </w:p>
    <w:p w14:paraId="172EB534">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表4.2-1  环境质量现状统计表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791"/>
        <w:gridCol w:w="1564"/>
        <w:gridCol w:w="1564"/>
        <w:gridCol w:w="1080"/>
        <w:gridCol w:w="1056"/>
      </w:tblGrid>
      <w:tr w14:paraId="7A0EA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A30161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评价因子</w:t>
            </w:r>
          </w:p>
        </w:tc>
        <w:tc>
          <w:tcPr>
            <w:tcW w:w="0" w:type="auto"/>
            <w:vAlign w:val="center"/>
          </w:tcPr>
          <w:p w14:paraId="7AD52BC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年评价指标</w:t>
            </w:r>
          </w:p>
        </w:tc>
        <w:tc>
          <w:tcPr>
            <w:tcW w:w="0" w:type="auto"/>
            <w:vAlign w:val="center"/>
          </w:tcPr>
          <w:p w14:paraId="5807C9C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现状浓度μg/m</w:t>
            </w:r>
            <w:r>
              <w:rPr>
                <w:rFonts w:hint="default" w:ascii="Times New Roman" w:hAnsi="Times New Roman" w:eastAsia="华文中宋" w:cs="Times New Roman"/>
                <w:szCs w:val="21"/>
                <w:vertAlign w:val="superscript"/>
                <w:lang w:val="en-US" w:eastAsia="zh-CN"/>
              </w:rPr>
              <w:t>3</w:t>
            </w:r>
          </w:p>
        </w:tc>
        <w:tc>
          <w:tcPr>
            <w:tcW w:w="0" w:type="auto"/>
            <w:vAlign w:val="center"/>
          </w:tcPr>
          <w:p w14:paraId="08422DF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评价标准μg/m</w:t>
            </w:r>
            <w:r>
              <w:rPr>
                <w:rFonts w:hint="default" w:ascii="Times New Roman" w:hAnsi="Times New Roman" w:eastAsia="华文中宋" w:cs="Times New Roman"/>
                <w:szCs w:val="21"/>
                <w:vertAlign w:val="superscript"/>
                <w:lang w:val="en-US" w:eastAsia="zh-CN"/>
              </w:rPr>
              <w:t>3</w:t>
            </w:r>
          </w:p>
        </w:tc>
        <w:tc>
          <w:tcPr>
            <w:tcW w:w="0" w:type="auto"/>
            <w:vAlign w:val="center"/>
          </w:tcPr>
          <w:p w14:paraId="75C5FC2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占标率/%</w:t>
            </w:r>
          </w:p>
        </w:tc>
        <w:tc>
          <w:tcPr>
            <w:tcW w:w="0" w:type="auto"/>
            <w:vAlign w:val="center"/>
          </w:tcPr>
          <w:p w14:paraId="4253D63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达标情况</w:t>
            </w:r>
          </w:p>
        </w:tc>
      </w:tr>
      <w:tr w14:paraId="16B17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AEE056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SO</w:t>
            </w:r>
            <w:r>
              <w:rPr>
                <w:rFonts w:hint="default" w:ascii="Times New Roman" w:hAnsi="Times New Roman" w:eastAsia="华文中宋" w:cs="Times New Roman"/>
                <w:szCs w:val="21"/>
                <w:vertAlign w:val="subscript"/>
                <w:lang w:val="en-US" w:eastAsia="zh-CN"/>
              </w:rPr>
              <w:t>2</w:t>
            </w:r>
          </w:p>
        </w:tc>
        <w:tc>
          <w:tcPr>
            <w:tcW w:w="0" w:type="auto"/>
            <w:vAlign w:val="center"/>
          </w:tcPr>
          <w:p w14:paraId="48F39ED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年平均</w:t>
            </w:r>
          </w:p>
        </w:tc>
        <w:tc>
          <w:tcPr>
            <w:tcW w:w="0" w:type="auto"/>
            <w:vAlign w:val="center"/>
          </w:tcPr>
          <w:p w14:paraId="1ECA247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4</w:t>
            </w:r>
          </w:p>
        </w:tc>
        <w:tc>
          <w:tcPr>
            <w:tcW w:w="0" w:type="auto"/>
            <w:vAlign w:val="center"/>
          </w:tcPr>
          <w:p w14:paraId="04D9D82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60</w:t>
            </w:r>
          </w:p>
        </w:tc>
        <w:tc>
          <w:tcPr>
            <w:tcW w:w="0" w:type="auto"/>
            <w:vAlign w:val="center"/>
          </w:tcPr>
          <w:p w14:paraId="38A3419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6.7</w:t>
            </w:r>
            <w:r>
              <w:rPr>
                <w:rFonts w:hint="default" w:ascii="Times New Roman" w:hAnsi="Times New Roman" w:eastAsia="华文中宋" w:cs="Times New Roman"/>
                <w:szCs w:val="21"/>
                <w:lang w:val="en-US" w:eastAsia="zh-CN"/>
              </w:rPr>
              <w:t>0</w:t>
            </w:r>
          </w:p>
        </w:tc>
        <w:tc>
          <w:tcPr>
            <w:tcW w:w="0" w:type="auto"/>
            <w:vAlign w:val="center"/>
          </w:tcPr>
          <w:p w14:paraId="0A8E79E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达标</w:t>
            </w:r>
          </w:p>
        </w:tc>
      </w:tr>
      <w:tr w14:paraId="78EBB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96268E7">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NO</w:t>
            </w:r>
            <w:r>
              <w:rPr>
                <w:rFonts w:hint="default" w:ascii="Times New Roman" w:hAnsi="Times New Roman" w:eastAsia="华文中宋" w:cs="Times New Roman"/>
                <w:szCs w:val="21"/>
                <w:highlight w:val="none"/>
                <w:vertAlign w:val="subscript"/>
                <w:lang w:val="en-US" w:eastAsia="zh-CN"/>
              </w:rPr>
              <w:t>2</w:t>
            </w:r>
          </w:p>
        </w:tc>
        <w:tc>
          <w:tcPr>
            <w:tcW w:w="0" w:type="auto"/>
            <w:vAlign w:val="center"/>
          </w:tcPr>
          <w:p w14:paraId="47BA722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年平均</w:t>
            </w:r>
          </w:p>
        </w:tc>
        <w:tc>
          <w:tcPr>
            <w:tcW w:w="0" w:type="auto"/>
            <w:vAlign w:val="center"/>
          </w:tcPr>
          <w:p w14:paraId="67B9D9C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8</w:t>
            </w:r>
          </w:p>
        </w:tc>
        <w:tc>
          <w:tcPr>
            <w:tcW w:w="0" w:type="auto"/>
            <w:vAlign w:val="center"/>
          </w:tcPr>
          <w:p w14:paraId="337437B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40</w:t>
            </w:r>
          </w:p>
        </w:tc>
        <w:tc>
          <w:tcPr>
            <w:tcW w:w="0" w:type="auto"/>
            <w:vAlign w:val="center"/>
          </w:tcPr>
          <w:p w14:paraId="4830EFF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w:t>
            </w:r>
            <w:r>
              <w:rPr>
                <w:rFonts w:hint="default" w:ascii="Times New Roman" w:hAnsi="Times New Roman" w:eastAsia="华文中宋" w:cs="Times New Roman"/>
                <w:szCs w:val="21"/>
                <w:lang w:val="en-US" w:eastAsia="zh-CN"/>
              </w:rPr>
              <w:t>0.00</w:t>
            </w:r>
          </w:p>
        </w:tc>
        <w:tc>
          <w:tcPr>
            <w:tcW w:w="0" w:type="auto"/>
            <w:vAlign w:val="center"/>
          </w:tcPr>
          <w:p w14:paraId="4F8E3FE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达标</w:t>
            </w:r>
          </w:p>
        </w:tc>
      </w:tr>
      <w:tr w14:paraId="5A68C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C6991F2">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CO</w:t>
            </w:r>
          </w:p>
        </w:tc>
        <w:tc>
          <w:tcPr>
            <w:tcW w:w="0" w:type="auto"/>
            <w:vAlign w:val="center"/>
          </w:tcPr>
          <w:p w14:paraId="2D11BF8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年平均</w:t>
            </w:r>
          </w:p>
        </w:tc>
        <w:tc>
          <w:tcPr>
            <w:tcW w:w="0" w:type="auto"/>
            <w:vAlign w:val="center"/>
          </w:tcPr>
          <w:p w14:paraId="259715D7">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900</w:t>
            </w:r>
          </w:p>
        </w:tc>
        <w:tc>
          <w:tcPr>
            <w:tcW w:w="0" w:type="auto"/>
            <w:vAlign w:val="center"/>
          </w:tcPr>
          <w:p w14:paraId="6078135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4000</w:t>
            </w:r>
          </w:p>
        </w:tc>
        <w:tc>
          <w:tcPr>
            <w:tcW w:w="0" w:type="auto"/>
            <w:vAlign w:val="center"/>
          </w:tcPr>
          <w:p w14:paraId="2EE22EA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w:t>
            </w:r>
            <w:r>
              <w:rPr>
                <w:rFonts w:hint="eastAsia" w:ascii="Times New Roman" w:hAnsi="Times New Roman" w:eastAsia="华文中宋" w:cs="Times New Roman"/>
                <w:szCs w:val="21"/>
                <w:lang w:val="en-US" w:eastAsia="zh-CN"/>
              </w:rPr>
              <w:t>2</w:t>
            </w:r>
            <w:r>
              <w:rPr>
                <w:rFonts w:hint="default" w:ascii="Times New Roman" w:hAnsi="Times New Roman" w:eastAsia="华文中宋" w:cs="Times New Roman"/>
                <w:szCs w:val="21"/>
                <w:lang w:val="en-US" w:eastAsia="zh-CN"/>
              </w:rPr>
              <w:t>.</w:t>
            </w:r>
            <w:r>
              <w:rPr>
                <w:rFonts w:hint="eastAsia" w:ascii="Times New Roman" w:hAnsi="Times New Roman" w:eastAsia="华文中宋" w:cs="Times New Roman"/>
                <w:szCs w:val="21"/>
                <w:lang w:val="en-US" w:eastAsia="zh-CN"/>
              </w:rPr>
              <w:t>5</w:t>
            </w:r>
            <w:r>
              <w:rPr>
                <w:rFonts w:hint="default" w:ascii="Times New Roman" w:hAnsi="Times New Roman" w:eastAsia="华文中宋" w:cs="Times New Roman"/>
                <w:szCs w:val="21"/>
                <w:lang w:val="en-US" w:eastAsia="zh-CN"/>
              </w:rPr>
              <w:t>0</w:t>
            </w:r>
          </w:p>
        </w:tc>
        <w:tc>
          <w:tcPr>
            <w:tcW w:w="0" w:type="auto"/>
            <w:vAlign w:val="center"/>
          </w:tcPr>
          <w:p w14:paraId="00BE793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达标</w:t>
            </w:r>
          </w:p>
        </w:tc>
      </w:tr>
      <w:tr w14:paraId="0C3C4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1030FF7">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O</w:t>
            </w:r>
            <w:r>
              <w:rPr>
                <w:rFonts w:hint="default" w:ascii="Times New Roman" w:hAnsi="Times New Roman" w:eastAsia="华文中宋" w:cs="Times New Roman"/>
                <w:szCs w:val="21"/>
                <w:highlight w:val="none"/>
                <w:vertAlign w:val="subscript"/>
                <w:lang w:val="en-US" w:eastAsia="zh-CN"/>
              </w:rPr>
              <w:t>3</w:t>
            </w:r>
          </w:p>
        </w:tc>
        <w:tc>
          <w:tcPr>
            <w:tcW w:w="0" w:type="auto"/>
            <w:vAlign w:val="center"/>
          </w:tcPr>
          <w:p w14:paraId="08F9B147">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日最大8h平均值</w:t>
            </w:r>
          </w:p>
        </w:tc>
        <w:tc>
          <w:tcPr>
            <w:tcW w:w="0" w:type="auto"/>
            <w:vAlign w:val="center"/>
          </w:tcPr>
          <w:p w14:paraId="10FFBC5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107</w:t>
            </w:r>
          </w:p>
        </w:tc>
        <w:tc>
          <w:tcPr>
            <w:tcW w:w="0" w:type="auto"/>
            <w:vAlign w:val="center"/>
          </w:tcPr>
          <w:p w14:paraId="2DD0B35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160</w:t>
            </w:r>
          </w:p>
        </w:tc>
        <w:tc>
          <w:tcPr>
            <w:tcW w:w="0" w:type="auto"/>
            <w:vAlign w:val="center"/>
          </w:tcPr>
          <w:p w14:paraId="799E7F2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66</w:t>
            </w:r>
            <w:r>
              <w:rPr>
                <w:rFonts w:hint="default" w:ascii="Times New Roman" w:hAnsi="Times New Roman" w:eastAsia="华文中宋" w:cs="Times New Roman"/>
                <w:szCs w:val="21"/>
                <w:lang w:val="en-US" w:eastAsia="zh-CN"/>
              </w:rPr>
              <w:t>.</w:t>
            </w:r>
            <w:r>
              <w:rPr>
                <w:rFonts w:hint="eastAsia" w:ascii="Times New Roman" w:hAnsi="Times New Roman" w:eastAsia="华文中宋" w:cs="Times New Roman"/>
                <w:szCs w:val="21"/>
                <w:lang w:val="en-US" w:eastAsia="zh-CN"/>
              </w:rPr>
              <w:t>88</w:t>
            </w:r>
          </w:p>
        </w:tc>
        <w:tc>
          <w:tcPr>
            <w:tcW w:w="0" w:type="auto"/>
            <w:vAlign w:val="center"/>
          </w:tcPr>
          <w:p w14:paraId="11DBEC8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达标</w:t>
            </w:r>
          </w:p>
        </w:tc>
      </w:tr>
      <w:tr w14:paraId="219A2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2CDE91E">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PM</w:t>
            </w:r>
            <w:r>
              <w:rPr>
                <w:rFonts w:hint="default" w:ascii="Times New Roman" w:hAnsi="Times New Roman" w:eastAsia="华文中宋" w:cs="Times New Roman"/>
                <w:szCs w:val="21"/>
                <w:highlight w:val="none"/>
                <w:vertAlign w:val="subscript"/>
                <w:lang w:val="en-US" w:eastAsia="zh-CN"/>
              </w:rPr>
              <w:t>10</w:t>
            </w:r>
          </w:p>
        </w:tc>
        <w:tc>
          <w:tcPr>
            <w:tcW w:w="0" w:type="auto"/>
            <w:vAlign w:val="center"/>
          </w:tcPr>
          <w:p w14:paraId="0D0F518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年平均</w:t>
            </w:r>
          </w:p>
        </w:tc>
        <w:tc>
          <w:tcPr>
            <w:tcW w:w="0" w:type="auto"/>
            <w:vAlign w:val="center"/>
          </w:tcPr>
          <w:p w14:paraId="4201C55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406</w:t>
            </w:r>
          </w:p>
        </w:tc>
        <w:tc>
          <w:tcPr>
            <w:tcW w:w="0" w:type="auto"/>
            <w:vAlign w:val="center"/>
          </w:tcPr>
          <w:p w14:paraId="4736882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70</w:t>
            </w:r>
          </w:p>
        </w:tc>
        <w:tc>
          <w:tcPr>
            <w:tcW w:w="0" w:type="auto"/>
            <w:vAlign w:val="center"/>
          </w:tcPr>
          <w:p w14:paraId="53D9F8D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580</w:t>
            </w:r>
            <w:r>
              <w:rPr>
                <w:rFonts w:hint="default" w:ascii="Times New Roman" w:hAnsi="Times New Roman" w:eastAsia="华文中宋" w:cs="Times New Roman"/>
                <w:szCs w:val="21"/>
                <w:lang w:val="en-US" w:eastAsia="zh-CN"/>
              </w:rPr>
              <w:t>.</w:t>
            </w:r>
            <w:r>
              <w:rPr>
                <w:rFonts w:hint="eastAsia" w:ascii="Times New Roman" w:hAnsi="Times New Roman" w:eastAsia="华文中宋" w:cs="Times New Roman"/>
                <w:szCs w:val="21"/>
                <w:lang w:val="en-US" w:eastAsia="zh-CN"/>
              </w:rPr>
              <w:t>00</w:t>
            </w:r>
          </w:p>
        </w:tc>
        <w:tc>
          <w:tcPr>
            <w:tcW w:w="0" w:type="auto"/>
            <w:vAlign w:val="center"/>
          </w:tcPr>
          <w:p w14:paraId="6F7D09C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不达标</w:t>
            </w:r>
          </w:p>
        </w:tc>
      </w:tr>
      <w:tr w14:paraId="29E62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0A95550">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PM</w:t>
            </w:r>
            <w:r>
              <w:rPr>
                <w:rFonts w:hint="default" w:ascii="Times New Roman" w:hAnsi="Times New Roman" w:eastAsia="华文中宋" w:cs="Times New Roman"/>
                <w:szCs w:val="21"/>
                <w:highlight w:val="none"/>
                <w:vertAlign w:val="subscript"/>
                <w:lang w:val="en-US" w:eastAsia="zh-CN"/>
              </w:rPr>
              <w:t>2.5</w:t>
            </w:r>
          </w:p>
        </w:tc>
        <w:tc>
          <w:tcPr>
            <w:tcW w:w="0" w:type="auto"/>
            <w:vAlign w:val="center"/>
          </w:tcPr>
          <w:p w14:paraId="2E87C85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年平均</w:t>
            </w:r>
          </w:p>
        </w:tc>
        <w:tc>
          <w:tcPr>
            <w:tcW w:w="0" w:type="auto"/>
            <w:vAlign w:val="center"/>
          </w:tcPr>
          <w:p w14:paraId="6B2C6C9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101</w:t>
            </w:r>
          </w:p>
        </w:tc>
        <w:tc>
          <w:tcPr>
            <w:tcW w:w="0" w:type="auto"/>
            <w:vAlign w:val="center"/>
          </w:tcPr>
          <w:p w14:paraId="1015D20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35</w:t>
            </w:r>
          </w:p>
        </w:tc>
        <w:tc>
          <w:tcPr>
            <w:tcW w:w="0" w:type="auto"/>
            <w:vAlign w:val="center"/>
          </w:tcPr>
          <w:p w14:paraId="3B4761A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288.57</w:t>
            </w:r>
          </w:p>
        </w:tc>
        <w:tc>
          <w:tcPr>
            <w:tcW w:w="0" w:type="auto"/>
            <w:vAlign w:val="center"/>
          </w:tcPr>
          <w:p w14:paraId="4A1CA78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不达标</w:t>
            </w:r>
          </w:p>
        </w:tc>
      </w:tr>
    </w:tbl>
    <w:p w14:paraId="25A89D8E">
      <w:pPr>
        <w:pStyle w:val="24"/>
        <w:snapToGrid w:val="0"/>
        <w:jc w:val="left"/>
        <w:rPr>
          <w:rFonts w:hint="default" w:ascii="Times New Roman" w:hAnsi="Times New Roman" w:eastAsia="华文中宋" w:cs="Times New Roman"/>
          <w:color w:val="auto"/>
          <w:highlight w:val="lightGray"/>
          <w:lang w:val="en-US"/>
        </w:rPr>
      </w:pPr>
      <w:r>
        <w:rPr>
          <w:rFonts w:hint="default" w:ascii="Times New Roman" w:hAnsi="Times New Roman" w:eastAsia="华文中宋" w:cs="Times New Roman"/>
          <w:color w:val="auto"/>
          <w:lang w:val="en-US" w:eastAsia="zh-CN"/>
        </w:rPr>
        <w:t>统计结果可知，项目所在区域各污染因子中SO</w:t>
      </w:r>
      <w:r>
        <w:rPr>
          <w:rFonts w:hint="default" w:ascii="Times New Roman" w:hAnsi="Times New Roman" w:eastAsia="华文中宋" w:cs="Times New Roman"/>
          <w:color w:val="auto"/>
          <w:vertAlign w:val="subscript"/>
          <w:lang w:val="en-US" w:eastAsia="zh-CN"/>
        </w:rPr>
        <w:t>2</w:t>
      </w:r>
      <w:r>
        <w:rPr>
          <w:rFonts w:hint="default" w:ascii="Times New Roman" w:hAnsi="Times New Roman" w:eastAsia="华文中宋" w:cs="Times New Roman"/>
          <w:color w:val="auto"/>
          <w:lang w:val="en-US" w:eastAsia="zh-CN"/>
        </w:rPr>
        <w:t>、NO</w:t>
      </w:r>
      <w:r>
        <w:rPr>
          <w:rFonts w:hint="default" w:ascii="Times New Roman" w:hAnsi="Times New Roman" w:eastAsia="华文中宋" w:cs="Times New Roman"/>
          <w:color w:val="auto"/>
          <w:vertAlign w:val="subscript"/>
          <w:lang w:val="en-US" w:eastAsia="zh-CN"/>
        </w:rPr>
        <w:t>2</w:t>
      </w:r>
      <w:r>
        <w:rPr>
          <w:rFonts w:hint="default" w:ascii="Times New Roman" w:hAnsi="Times New Roman" w:eastAsia="华文中宋" w:cs="Times New Roman"/>
          <w:color w:val="auto"/>
          <w:lang w:val="en-US" w:eastAsia="zh-CN"/>
        </w:rPr>
        <w:t>、CO、O</w:t>
      </w:r>
      <w:r>
        <w:rPr>
          <w:rFonts w:hint="default" w:ascii="Times New Roman" w:hAnsi="Times New Roman" w:eastAsia="华文中宋" w:cs="Times New Roman"/>
          <w:color w:val="auto"/>
          <w:vertAlign w:val="subscript"/>
          <w:lang w:val="en-US" w:eastAsia="zh-CN"/>
        </w:rPr>
        <w:t>3</w:t>
      </w:r>
      <w:r>
        <w:rPr>
          <w:rFonts w:hint="default" w:ascii="Times New Roman" w:hAnsi="Times New Roman" w:eastAsia="华文中宋" w:cs="Times New Roman"/>
          <w:color w:val="auto"/>
          <w:lang w:val="en-US" w:eastAsia="zh-CN"/>
        </w:rPr>
        <w:t>满足《环境空气质量标准》（GB3095-2012）中二级标准要求，PM</w:t>
      </w:r>
      <w:r>
        <w:rPr>
          <w:rFonts w:hint="default" w:ascii="Times New Roman" w:hAnsi="Times New Roman" w:eastAsia="华文中宋" w:cs="Times New Roman"/>
          <w:color w:val="auto"/>
          <w:vertAlign w:val="subscript"/>
          <w:lang w:val="en-US" w:eastAsia="zh-CN"/>
        </w:rPr>
        <w:t>10</w:t>
      </w:r>
      <w:r>
        <w:rPr>
          <w:rFonts w:hint="default" w:ascii="Times New Roman" w:hAnsi="Times New Roman" w:eastAsia="华文中宋" w:cs="Times New Roman"/>
          <w:color w:val="auto"/>
          <w:lang w:val="en-US" w:eastAsia="zh-CN"/>
        </w:rPr>
        <w:t>、PM</w:t>
      </w:r>
      <w:r>
        <w:rPr>
          <w:rFonts w:hint="default" w:ascii="Times New Roman" w:hAnsi="Times New Roman" w:eastAsia="华文中宋" w:cs="Times New Roman"/>
          <w:color w:val="auto"/>
          <w:vertAlign w:val="subscript"/>
          <w:lang w:val="en-US" w:eastAsia="zh-CN"/>
        </w:rPr>
        <w:t>2.5</w:t>
      </w:r>
      <w:r>
        <w:rPr>
          <w:rFonts w:hint="default" w:ascii="Times New Roman" w:hAnsi="Times New Roman" w:eastAsia="华文中宋" w:cs="Times New Roman"/>
          <w:color w:val="auto"/>
          <w:lang w:val="en-US" w:eastAsia="zh-CN"/>
        </w:rPr>
        <w:t>年平均浓度不达标，项目所在区域PM</w:t>
      </w:r>
      <w:r>
        <w:rPr>
          <w:rFonts w:hint="default" w:ascii="Times New Roman" w:hAnsi="Times New Roman" w:eastAsia="华文中宋" w:cs="Times New Roman"/>
          <w:color w:val="auto"/>
          <w:vertAlign w:val="subscript"/>
          <w:lang w:val="en-US" w:eastAsia="zh-CN"/>
        </w:rPr>
        <w:t>10</w:t>
      </w:r>
      <w:r>
        <w:rPr>
          <w:rFonts w:hint="default" w:ascii="Times New Roman" w:hAnsi="Times New Roman" w:eastAsia="华文中宋" w:cs="Times New Roman"/>
          <w:color w:val="auto"/>
          <w:lang w:val="en-US" w:eastAsia="zh-CN"/>
        </w:rPr>
        <w:t>、PM</w:t>
      </w:r>
      <w:r>
        <w:rPr>
          <w:rFonts w:hint="default" w:ascii="Times New Roman" w:hAnsi="Times New Roman" w:eastAsia="华文中宋" w:cs="Times New Roman"/>
          <w:color w:val="auto"/>
          <w:vertAlign w:val="subscript"/>
          <w:lang w:val="en-US" w:eastAsia="zh-CN"/>
        </w:rPr>
        <w:t>2.5</w:t>
      </w:r>
      <w:r>
        <w:rPr>
          <w:rFonts w:hint="default" w:ascii="Times New Roman" w:hAnsi="Times New Roman" w:eastAsia="华文中宋" w:cs="Times New Roman"/>
          <w:color w:val="auto"/>
          <w:lang w:val="en-US" w:eastAsia="zh-CN"/>
        </w:rPr>
        <w:t>超标与区域气候干旱、降水少、蒸发量大、易起尘的自然环境有关。根据《环境影响评价技术导则</w:t>
      </w:r>
      <w:r>
        <w:rPr>
          <w:rFonts w:hint="eastAsia" w:ascii="Times New Roman" w:hAnsi="Times New Roman" w:cs="Times New Roman"/>
          <w:color w:val="auto"/>
          <w:lang w:val="en-US" w:eastAsia="zh-CN"/>
        </w:rPr>
        <w:t xml:space="preserve"> </w:t>
      </w:r>
      <w:r>
        <w:rPr>
          <w:rFonts w:hint="default" w:ascii="Times New Roman" w:hAnsi="Times New Roman" w:eastAsia="华文中宋" w:cs="Times New Roman"/>
          <w:color w:val="auto"/>
          <w:lang w:val="en-US" w:eastAsia="zh-CN"/>
        </w:rPr>
        <w:t>大气环境》（HJ2.2-2018），项目所在区域属于环境空气质量为不达标区。根据《关于在南疆四地州深度贫困地区实施〈环境影响评价技术导则 大气环境〉（HJ2.2-2018）差别化政策有关事宜的复函》，本项目可不提供颗粒物削减方案。</w:t>
      </w:r>
    </w:p>
    <w:p w14:paraId="160D01C0">
      <w:pPr>
        <w:pStyle w:val="24"/>
        <w:snapToGrid w:val="0"/>
        <w:jc w:val="left"/>
        <w:rPr>
          <w:rFonts w:hint="default" w:ascii="Times New Roman" w:hAnsi="Times New Roman" w:eastAsia="华文中宋" w:cs="Times New Roman"/>
          <w:color w:val="auto"/>
          <w:highlight w:val="none"/>
          <w:lang w:val="en-US" w:eastAsia="zh-CN"/>
        </w:rPr>
      </w:pPr>
      <w:r>
        <w:rPr>
          <w:rFonts w:hint="default" w:ascii="Times New Roman" w:hAnsi="Times New Roman" w:eastAsia="华文中宋" w:cs="Times New Roman"/>
          <w:color w:val="auto"/>
          <w:highlight w:val="none"/>
          <w:lang w:val="en-US" w:eastAsia="zh-CN"/>
        </w:rPr>
        <w:t>（2）特征因子补充监测</w:t>
      </w:r>
    </w:p>
    <w:p w14:paraId="10535E32">
      <w:pPr>
        <w:pStyle w:val="24"/>
        <w:snapToGrid w:val="0"/>
        <w:jc w:val="left"/>
        <w:rPr>
          <w:rFonts w:hint="default" w:ascii="Times New Roman" w:hAnsi="Times New Roman" w:eastAsia="华文中宋" w:cs="Times New Roman"/>
          <w:color w:val="auto"/>
          <w:highlight w:val="none"/>
          <w:lang w:val="en-US" w:eastAsia="zh-CN"/>
        </w:rPr>
      </w:pPr>
      <w:r>
        <w:rPr>
          <w:rFonts w:hint="default" w:ascii="Times New Roman" w:hAnsi="Times New Roman" w:eastAsia="华文中宋" w:cs="Times New Roman"/>
          <w:color w:val="auto"/>
          <w:highlight w:val="none"/>
          <w:lang w:val="en-US" w:eastAsia="zh-CN"/>
        </w:rPr>
        <w:t>①监测点的布置</w:t>
      </w:r>
    </w:p>
    <w:p w14:paraId="0AE5D84E">
      <w:pPr>
        <w:pStyle w:val="24"/>
        <w:snapToGrid w:val="0"/>
        <w:jc w:val="left"/>
        <w:rPr>
          <w:rFonts w:hint="default" w:ascii="Times New Roman" w:hAnsi="Times New Roman" w:eastAsia="华文中宋" w:cs="Times New Roman"/>
          <w:color w:val="auto"/>
          <w:highlight w:val="none"/>
          <w:lang w:val="en-US" w:eastAsia="zh-CN"/>
        </w:rPr>
      </w:pPr>
      <w:r>
        <w:rPr>
          <w:rFonts w:hint="default" w:ascii="Times New Roman" w:hAnsi="Times New Roman" w:eastAsia="华文中宋" w:cs="Times New Roman"/>
          <w:color w:val="auto"/>
          <w:highlight w:val="none"/>
          <w:lang w:val="en-US" w:eastAsia="zh-CN"/>
        </w:rPr>
        <w:t>根据项目所在地的具体位置、当地气象、地形和环境功能等因素，主要考虑对区域环境空气质量的影响，共布设</w:t>
      </w:r>
      <w:r>
        <w:rPr>
          <w:rFonts w:hint="default" w:ascii="Times New Roman" w:hAnsi="Times New Roman" w:cs="Times New Roman"/>
          <w:color w:val="auto"/>
          <w:highlight w:val="none"/>
          <w:lang w:val="en-US" w:eastAsia="zh-CN"/>
        </w:rPr>
        <w:t>2</w:t>
      </w:r>
      <w:r>
        <w:rPr>
          <w:rFonts w:hint="default" w:ascii="Times New Roman" w:hAnsi="Times New Roman" w:eastAsia="华文中宋" w:cs="Times New Roman"/>
          <w:color w:val="auto"/>
          <w:highlight w:val="none"/>
          <w:lang w:val="en-US" w:eastAsia="zh-CN"/>
        </w:rPr>
        <w:t>个环境空气监测点，位于</w:t>
      </w:r>
      <w:r>
        <w:rPr>
          <w:rFonts w:hint="eastAsia" w:ascii="Times New Roman" w:hAnsi="Times New Roman" w:cs="Times New Roman"/>
          <w:color w:val="auto"/>
          <w:highlight w:val="none"/>
          <w:lang w:val="en-US" w:eastAsia="zh-CN"/>
        </w:rPr>
        <w:t>矿区及</w:t>
      </w:r>
      <w:r>
        <w:rPr>
          <w:rFonts w:hint="default" w:ascii="Times New Roman" w:hAnsi="Times New Roman" w:eastAsia="华文中宋" w:cs="Times New Roman"/>
          <w:color w:val="auto"/>
          <w:highlight w:val="none"/>
          <w:lang w:val="en-US" w:eastAsia="zh-CN"/>
        </w:rPr>
        <w:t>矿区下风向</w:t>
      </w:r>
      <w:r>
        <w:rPr>
          <w:rFonts w:hint="eastAsia" w:ascii="Times New Roman" w:hAnsi="Times New Roman" w:cs="Times New Roman"/>
          <w:color w:val="auto"/>
          <w:highlight w:val="none"/>
          <w:lang w:val="en-US" w:eastAsia="zh-CN"/>
        </w:rPr>
        <w:t>。</w:t>
      </w:r>
      <w:r>
        <w:rPr>
          <w:rFonts w:hint="default" w:ascii="Times New Roman" w:hAnsi="Times New Roman" w:eastAsia="华文中宋" w:cs="Times New Roman"/>
          <w:color w:val="auto"/>
          <w:highlight w:val="none"/>
          <w:lang w:val="en-US" w:eastAsia="zh-CN"/>
        </w:rPr>
        <w:t>根据导则要求，补充监测点位布置在厂址及20年统计的主导风向下风向5km处1～2个监测点，本次监测点符合导则相关要求。</w:t>
      </w:r>
    </w:p>
    <w:p w14:paraId="6E69DBB6">
      <w:pPr>
        <w:pStyle w:val="24"/>
        <w:snapToGrid w:val="0"/>
        <w:jc w:val="left"/>
        <w:rPr>
          <w:rFonts w:hint="default" w:ascii="Times New Roman" w:hAnsi="Times New Roman" w:eastAsia="华文中宋" w:cs="Times New Roman"/>
          <w:color w:val="auto"/>
          <w:highlight w:val="none"/>
          <w:lang w:val="en-US" w:eastAsia="zh-CN"/>
        </w:rPr>
      </w:pPr>
      <w:r>
        <w:rPr>
          <w:rFonts w:hint="default" w:ascii="Times New Roman" w:hAnsi="Times New Roman" w:eastAsia="华文中宋" w:cs="Times New Roman"/>
          <w:color w:val="auto"/>
          <w:highlight w:val="none"/>
          <w:lang w:val="en-US" w:eastAsia="zh-CN"/>
        </w:rPr>
        <w:t>②监测项目</w:t>
      </w:r>
    </w:p>
    <w:p w14:paraId="22A52636">
      <w:pPr>
        <w:pStyle w:val="24"/>
        <w:snapToGrid w:val="0"/>
        <w:jc w:val="left"/>
        <w:rPr>
          <w:rFonts w:hint="default" w:ascii="Times New Roman" w:hAnsi="Times New Roman" w:eastAsia="华文中宋" w:cs="Times New Roman"/>
          <w:color w:val="auto"/>
          <w:highlight w:val="none"/>
          <w:lang w:val="en-US" w:eastAsia="zh-CN"/>
        </w:rPr>
      </w:pPr>
      <w:r>
        <w:rPr>
          <w:rFonts w:hint="default" w:ascii="Times New Roman" w:hAnsi="Times New Roman" w:eastAsia="华文中宋" w:cs="Times New Roman"/>
          <w:color w:val="auto"/>
          <w:highlight w:val="none"/>
          <w:lang w:val="en-US" w:eastAsia="zh-CN"/>
        </w:rPr>
        <w:t>本项目大气环境质量现状监测项目为：TSP</w:t>
      </w:r>
      <w:r>
        <w:rPr>
          <w:rFonts w:hint="eastAsia" w:ascii="Times New Roman" w:hAnsi="Times New Roman" w:cs="Times New Roman"/>
          <w:color w:val="auto"/>
          <w:highlight w:val="none"/>
          <w:lang w:val="en-US" w:eastAsia="zh-CN"/>
        </w:rPr>
        <w:t>、铅</w:t>
      </w:r>
      <w:r>
        <w:rPr>
          <w:rFonts w:hint="default" w:ascii="Times New Roman" w:hAnsi="Times New Roman" w:eastAsia="华文中宋" w:cs="Times New Roman"/>
          <w:color w:val="auto"/>
          <w:highlight w:val="none"/>
          <w:lang w:val="en-US" w:eastAsia="zh-CN"/>
        </w:rPr>
        <w:t>。</w:t>
      </w:r>
    </w:p>
    <w:p w14:paraId="6937B8D5">
      <w:pPr>
        <w:pStyle w:val="24"/>
        <w:snapToGrid w:val="0"/>
        <w:jc w:val="left"/>
        <w:rPr>
          <w:rFonts w:hint="default" w:ascii="Times New Roman" w:hAnsi="Times New Roman" w:eastAsia="华文中宋" w:cs="Times New Roman"/>
          <w:color w:val="auto"/>
          <w:highlight w:val="none"/>
          <w:lang w:val="en-US" w:eastAsia="zh-CN"/>
        </w:rPr>
      </w:pPr>
      <w:r>
        <w:rPr>
          <w:rFonts w:hint="default" w:ascii="Times New Roman" w:hAnsi="Times New Roman" w:eastAsia="华文中宋" w:cs="Times New Roman"/>
          <w:color w:val="auto"/>
          <w:highlight w:val="none"/>
          <w:lang w:val="en-US" w:eastAsia="zh-CN"/>
        </w:rPr>
        <w:t>监测时间和频率</w:t>
      </w:r>
    </w:p>
    <w:p w14:paraId="7C939E8F">
      <w:pPr>
        <w:pStyle w:val="24"/>
        <w:snapToGrid w:val="0"/>
        <w:jc w:val="left"/>
        <w:rPr>
          <w:rFonts w:hint="default" w:ascii="Times New Roman" w:hAnsi="Times New Roman" w:eastAsia="华文中宋" w:cs="Times New Roman"/>
          <w:color w:val="auto"/>
          <w:highlight w:val="none"/>
          <w:lang w:val="en-US" w:eastAsia="zh-CN"/>
        </w:rPr>
      </w:pPr>
      <w:r>
        <w:rPr>
          <w:rFonts w:hint="default" w:ascii="Times New Roman" w:hAnsi="Times New Roman" w:eastAsia="华文中宋" w:cs="Times New Roman"/>
          <w:color w:val="auto"/>
          <w:highlight w:val="none"/>
          <w:lang w:val="en-US" w:eastAsia="zh-CN"/>
        </w:rPr>
        <w:t>监测时间：202</w:t>
      </w:r>
      <w:r>
        <w:rPr>
          <w:rFonts w:hint="eastAsia" w:ascii="Times New Roman" w:hAnsi="Times New Roman" w:cs="Times New Roman"/>
          <w:color w:val="auto"/>
          <w:highlight w:val="none"/>
          <w:lang w:val="en-US" w:eastAsia="zh-CN"/>
        </w:rPr>
        <w:t>5</w:t>
      </w:r>
      <w:r>
        <w:rPr>
          <w:rFonts w:hint="default" w:ascii="Times New Roman" w:hAnsi="Times New Roman" w:eastAsia="华文中宋" w:cs="Times New Roman"/>
          <w:color w:val="auto"/>
          <w:highlight w:val="none"/>
          <w:lang w:val="en-US" w:eastAsia="zh-CN"/>
        </w:rPr>
        <w:t>年</w:t>
      </w:r>
      <w:r>
        <w:rPr>
          <w:rFonts w:hint="eastAsia" w:ascii="Times New Roman" w:hAnsi="Times New Roman" w:cs="Times New Roman"/>
          <w:color w:val="auto"/>
          <w:highlight w:val="none"/>
          <w:lang w:val="en-US" w:eastAsia="zh-CN"/>
        </w:rPr>
        <w:t>7</w:t>
      </w:r>
      <w:r>
        <w:rPr>
          <w:rFonts w:hint="default" w:ascii="Times New Roman" w:hAnsi="Times New Roman" w:eastAsia="华文中宋" w:cs="Times New Roman"/>
          <w:color w:val="auto"/>
          <w:highlight w:val="none"/>
          <w:lang w:val="en-US" w:eastAsia="zh-CN"/>
        </w:rPr>
        <w:t>月</w:t>
      </w:r>
      <w:r>
        <w:rPr>
          <w:rFonts w:hint="eastAsia" w:ascii="Times New Roman" w:hAnsi="Times New Roman" w:cs="Times New Roman"/>
          <w:color w:val="auto"/>
          <w:highlight w:val="none"/>
          <w:lang w:val="en-US" w:eastAsia="zh-CN"/>
        </w:rPr>
        <w:t>5</w:t>
      </w:r>
      <w:r>
        <w:rPr>
          <w:rFonts w:hint="default" w:ascii="Times New Roman" w:hAnsi="Times New Roman" w:eastAsia="华文中宋" w:cs="Times New Roman"/>
          <w:color w:val="auto"/>
          <w:highlight w:val="none"/>
          <w:lang w:val="en-US" w:eastAsia="zh-CN"/>
        </w:rPr>
        <w:t>日—202</w:t>
      </w:r>
      <w:r>
        <w:rPr>
          <w:rFonts w:hint="eastAsia" w:ascii="Times New Roman" w:hAnsi="Times New Roman" w:cs="Times New Roman"/>
          <w:color w:val="auto"/>
          <w:highlight w:val="none"/>
          <w:lang w:val="en-US" w:eastAsia="zh-CN"/>
        </w:rPr>
        <w:t>5</w:t>
      </w:r>
      <w:r>
        <w:rPr>
          <w:rFonts w:hint="default" w:ascii="Times New Roman" w:hAnsi="Times New Roman" w:eastAsia="华文中宋" w:cs="Times New Roman"/>
          <w:color w:val="auto"/>
          <w:highlight w:val="none"/>
          <w:lang w:val="en-US" w:eastAsia="zh-CN"/>
        </w:rPr>
        <w:t>年</w:t>
      </w:r>
      <w:r>
        <w:rPr>
          <w:rFonts w:hint="eastAsia" w:ascii="Times New Roman" w:hAnsi="Times New Roman" w:cs="Times New Roman"/>
          <w:color w:val="auto"/>
          <w:highlight w:val="none"/>
          <w:lang w:val="en-US" w:eastAsia="zh-CN"/>
        </w:rPr>
        <w:t>7</w:t>
      </w:r>
      <w:r>
        <w:rPr>
          <w:rFonts w:hint="default" w:ascii="Times New Roman" w:hAnsi="Times New Roman" w:eastAsia="华文中宋" w:cs="Times New Roman"/>
          <w:color w:val="auto"/>
          <w:highlight w:val="none"/>
          <w:lang w:val="en-US" w:eastAsia="zh-CN"/>
        </w:rPr>
        <w:t>月1</w:t>
      </w:r>
      <w:r>
        <w:rPr>
          <w:rFonts w:hint="eastAsia" w:ascii="Times New Roman" w:hAnsi="Times New Roman" w:cs="Times New Roman"/>
          <w:color w:val="auto"/>
          <w:highlight w:val="none"/>
          <w:lang w:val="en-US" w:eastAsia="zh-CN"/>
        </w:rPr>
        <w:t>2</w:t>
      </w:r>
      <w:r>
        <w:rPr>
          <w:rFonts w:hint="default" w:ascii="Times New Roman" w:hAnsi="Times New Roman" w:eastAsia="华文中宋" w:cs="Times New Roman"/>
          <w:color w:val="auto"/>
          <w:highlight w:val="none"/>
          <w:lang w:val="en-US" w:eastAsia="zh-CN"/>
        </w:rPr>
        <w:t>日，连续监测7天。</w:t>
      </w:r>
    </w:p>
    <w:p w14:paraId="7BCA6B67">
      <w:pPr>
        <w:adjustRightInd w:val="0"/>
        <w:snapToGrid w:val="0"/>
        <w:spacing w:before="250" w:beforeLines="50"/>
        <w:ind w:firstLine="422" w:firstLineChars="200"/>
        <w:jc w:val="center"/>
        <w:rPr>
          <w:rFonts w:hint="default" w:ascii="Times New Roman" w:hAnsi="Times New Roman" w:eastAsia="华文中宋" w:cs="Times New Roman"/>
          <w:b/>
          <w:szCs w:val="21"/>
          <w:highlight w:val="none"/>
          <w:lang w:val="en-US" w:eastAsia="zh-CN"/>
        </w:rPr>
      </w:pPr>
      <w:r>
        <w:rPr>
          <w:rFonts w:hint="default" w:ascii="Times New Roman" w:hAnsi="Times New Roman" w:eastAsia="华文中宋" w:cs="Times New Roman"/>
          <w:b/>
          <w:szCs w:val="21"/>
          <w:highlight w:val="none"/>
          <w:lang w:val="en-US" w:eastAsia="zh-CN"/>
        </w:rPr>
        <w:t>表4.2-2  环境空气监测数据  单位（μg/m</w:t>
      </w:r>
      <w:r>
        <w:rPr>
          <w:rFonts w:hint="default" w:ascii="Times New Roman" w:hAnsi="Times New Roman" w:eastAsia="华文中宋" w:cs="Times New Roman"/>
          <w:b/>
          <w:szCs w:val="21"/>
          <w:highlight w:val="none"/>
          <w:vertAlign w:val="superscript"/>
          <w:lang w:val="en-US" w:eastAsia="zh-CN"/>
        </w:rPr>
        <w:t>3</w:t>
      </w:r>
      <w:r>
        <w:rPr>
          <w:rFonts w:hint="default" w:ascii="Times New Roman" w:hAnsi="Times New Roman" w:eastAsia="华文中宋" w:cs="Times New Roman"/>
          <w:b/>
          <w:szCs w:val="21"/>
          <w:highlight w:val="none"/>
          <w:lang w:val="en-US" w:eastAsia="zh-CN"/>
        </w:rPr>
        <w:t>）</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9"/>
        <w:gridCol w:w="1856"/>
        <w:gridCol w:w="1926"/>
        <w:gridCol w:w="1278"/>
        <w:gridCol w:w="1500"/>
      </w:tblGrid>
      <w:tr w14:paraId="522FA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49" w:type="pct"/>
            <w:noWrap w:val="0"/>
            <w:vAlign w:val="center"/>
          </w:tcPr>
          <w:p w14:paraId="6B9DD399">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监测点位</w:t>
            </w:r>
          </w:p>
        </w:tc>
        <w:tc>
          <w:tcPr>
            <w:tcW w:w="2219" w:type="pct"/>
            <w:gridSpan w:val="2"/>
            <w:noWrap w:val="0"/>
            <w:vAlign w:val="center"/>
          </w:tcPr>
          <w:p w14:paraId="720DD9D3">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项目区1#</w:t>
            </w:r>
          </w:p>
        </w:tc>
        <w:tc>
          <w:tcPr>
            <w:tcW w:w="1630" w:type="pct"/>
            <w:gridSpan w:val="2"/>
            <w:noWrap w:val="0"/>
            <w:vAlign w:val="center"/>
          </w:tcPr>
          <w:p w14:paraId="6E4A0C8E">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项目区下风向2#</w:t>
            </w:r>
          </w:p>
        </w:tc>
      </w:tr>
      <w:tr w14:paraId="58B9F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149" w:type="pct"/>
            <w:noWrap w:val="0"/>
            <w:vAlign w:val="center"/>
          </w:tcPr>
          <w:p w14:paraId="05F5917F">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监测项目</w:t>
            </w:r>
          </w:p>
        </w:tc>
        <w:tc>
          <w:tcPr>
            <w:tcW w:w="1089" w:type="pct"/>
            <w:shd w:val="clear" w:color="auto" w:fill="auto"/>
            <w:noWrap w:val="0"/>
            <w:vAlign w:val="center"/>
          </w:tcPr>
          <w:p w14:paraId="5E5644B6">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TSP</w:t>
            </w:r>
          </w:p>
        </w:tc>
        <w:tc>
          <w:tcPr>
            <w:tcW w:w="1130" w:type="pct"/>
            <w:shd w:val="clear" w:color="auto" w:fill="auto"/>
            <w:noWrap w:val="0"/>
            <w:vAlign w:val="center"/>
          </w:tcPr>
          <w:p w14:paraId="19119699">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铅</w:t>
            </w:r>
          </w:p>
        </w:tc>
        <w:tc>
          <w:tcPr>
            <w:tcW w:w="750" w:type="pct"/>
            <w:shd w:val="clear" w:color="auto" w:fill="auto"/>
            <w:noWrap w:val="0"/>
            <w:vAlign w:val="center"/>
          </w:tcPr>
          <w:p w14:paraId="6BF93C2E">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TSP</w:t>
            </w:r>
          </w:p>
        </w:tc>
        <w:tc>
          <w:tcPr>
            <w:tcW w:w="880" w:type="pct"/>
            <w:shd w:val="clear" w:color="auto" w:fill="auto"/>
            <w:noWrap w:val="0"/>
            <w:vAlign w:val="center"/>
          </w:tcPr>
          <w:p w14:paraId="045BF071">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铅</w:t>
            </w:r>
          </w:p>
        </w:tc>
      </w:tr>
      <w:tr w14:paraId="59ED8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149" w:type="pct"/>
            <w:noWrap w:val="0"/>
            <w:vAlign w:val="center"/>
          </w:tcPr>
          <w:p w14:paraId="1125658F">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2025.7.5-2025.7.6</w:t>
            </w:r>
          </w:p>
        </w:tc>
        <w:tc>
          <w:tcPr>
            <w:tcW w:w="1089" w:type="pct"/>
            <w:shd w:val="clear" w:color="auto" w:fill="auto"/>
            <w:noWrap w:val="0"/>
            <w:vAlign w:val="center"/>
          </w:tcPr>
          <w:p w14:paraId="716E270D">
            <w:pPr>
              <w:spacing w:line="300" w:lineRule="exact"/>
              <w:jc w:val="center"/>
              <w:rPr>
                <w:rFonts w:hint="default" w:ascii="Times New Roman" w:hAnsi="Times New Roman" w:eastAsia="华文中宋" w:cs="Times New Roman"/>
                <w:szCs w:val="21"/>
                <w:highlight w:val="none"/>
                <w:lang w:val="en-US" w:eastAsia="zh-CN"/>
              </w:rPr>
            </w:pPr>
          </w:p>
        </w:tc>
        <w:tc>
          <w:tcPr>
            <w:tcW w:w="1130" w:type="pct"/>
            <w:shd w:val="clear" w:color="auto" w:fill="auto"/>
            <w:noWrap w:val="0"/>
            <w:vAlign w:val="center"/>
          </w:tcPr>
          <w:p w14:paraId="201B0B07">
            <w:pPr>
              <w:spacing w:line="300" w:lineRule="exact"/>
              <w:jc w:val="center"/>
              <w:rPr>
                <w:rFonts w:hint="default" w:ascii="Times New Roman" w:hAnsi="Times New Roman" w:eastAsia="华文中宋" w:cs="Times New Roman"/>
                <w:szCs w:val="21"/>
                <w:highlight w:val="none"/>
                <w:lang w:val="en-US" w:eastAsia="zh-CN"/>
              </w:rPr>
            </w:pPr>
          </w:p>
        </w:tc>
        <w:tc>
          <w:tcPr>
            <w:tcW w:w="750" w:type="pct"/>
            <w:noWrap w:val="0"/>
            <w:vAlign w:val="center"/>
          </w:tcPr>
          <w:p w14:paraId="4B68BBF8">
            <w:pPr>
              <w:spacing w:line="300" w:lineRule="exact"/>
              <w:jc w:val="center"/>
              <w:rPr>
                <w:rFonts w:hint="default" w:ascii="Times New Roman" w:hAnsi="Times New Roman" w:eastAsia="华文中宋" w:cs="Times New Roman"/>
                <w:szCs w:val="21"/>
                <w:highlight w:val="none"/>
                <w:lang w:val="en-US" w:eastAsia="zh-CN"/>
              </w:rPr>
            </w:pPr>
          </w:p>
        </w:tc>
        <w:tc>
          <w:tcPr>
            <w:tcW w:w="880" w:type="pct"/>
            <w:noWrap w:val="0"/>
            <w:vAlign w:val="center"/>
          </w:tcPr>
          <w:p w14:paraId="645A27BB">
            <w:pPr>
              <w:spacing w:line="300" w:lineRule="exact"/>
              <w:jc w:val="center"/>
              <w:rPr>
                <w:rFonts w:hint="default" w:ascii="Times New Roman" w:hAnsi="Times New Roman" w:eastAsia="华文中宋" w:cs="Times New Roman"/>
                <w:szCs w:val="21"/>
                <w:highlight w:val="none"/>
                <w:lang w:val="en-US" w:eastAsia="zh-CN"/>
              </w:rPr>
            </w:pPr>
          </w:p>
        </w:tc>
      </w:tr>
      <w:tr w14:paraId="4D1FD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149" w:type="pct"/>
            <w:noWrap w:val="0"/>
            <w:vAlign w:val="center"/>
          </w:tcPr>
          <w:p w14:paraId="409BDB22">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2025.7.6-2025.7.7</w:t>
            </w:r>
          </w:p>
        </w:tc>
        <w:tc>
          <w:tcPr>
            <w:tcW w:w="1089" w:type="pct"/>
            <w:shd w:val="clear" w:color="auto" w:fill="auto"/>
            <w:noWrap w:val="0"/>
            <w:vAlign w:val="center"/>
          </w:tcPr>
          <w:p w14:paraId="7D1570D1">
            <w:pPr>
              <w:spacing w:line="300" w:lineRule="exact"/>
              <w:jc w:val="center"/>
              <w:rPr>
                <w:rFonts w:hint="default" w:ascii="Times New Roman" w:hAnsi="Times New Roman" w:eastAsia="华文中宋" w:cs="Times New Roman"/>
                <w:szCs w:val="21"/>
                <w:highlight w:val="none"/>
                <w:lang w:val="en-US" w:eastAsia="zh-CN"/>
              </w:rPr>
            </w:pPr>
          </w:p>
        </w:tc>
        <w:tc>
          <w:tcPr>
            <w:tcW w:w="1130" w:type="pct"/>
            <w:shd w:val="clear" w:color="auto" w:fill="auto"/>
            <w:noWrap w:val="0"/>
            <w:vAlign w:val="center"/>
          </w:tcPr>
          <w:p w14:paraId="5BADF19B">
            <w:pPr>
              <w:spacing w:line="300" w:lineRule="exact"/>
              <w:jc w:val="center"/>
              <w:rPr>
                <w:rFonts w:hint="default" w:ascii="Times New Roman" w:hAnsi="Times New Roman" w:eastAsia="华文中宋" w:cs="Times New Roman"/>
                <w:szCs w:val="21"/>
                <w:highlight w:val="none"/>
                <w:lang w:val="en-US" w:eastAsia="zh-CN"/>
              </w:rPr>
            </w:pPr>
          </w:p>
        </w:tc>
        <w:tc>
          <w:tcPr>
            <w:tcW w:w="750" w:type="pct"/>
            <w:noWrap w:val="0"/>
            <w:vAlign w:val="center"/>
          </w:tcPr>
          <w:p w14:paraId="375871D4">
            <w:pPr>
              <w:spacing w:line="300" w:lineRule="exact"/>
              <w:jc w:val="center"/>
              <w:rPr>
                <w:rFonts w:hint="default" w:ascii="Times New Roman" w:hAnsi="Times New Roman" w:eastAsia="华文中宋" w:cs="Times New Roman"/>
                <w:szCs w:val="21"/>
                <w:highlight w:val="none"/>
                <w:lang w:val="en-US" w:eastAsia="zh-CN"/>
              </w:rPr>
            </w:pPr>
          </w:p>
        </w:tc>
        <w:tc>
          <w:tcPr>
            <w:tcW w:w="880" w:type="pct"/>
            <w:noWrap w:val="0"/>
            <w:vAlign w:val="center"/>
          </w:tcPr>
          <w:p w14:paraId="3B33FFE5">
            <w:pPr>
              <w:spacing w:line="300" w:lineRule="exact"/>
              <w:jc w:val="center"/>
              <w:rPr>
                <w:rFonts w:hint="default" w:ascii="Times New Roman" w:hAnsi="Times New Roman" w:eastAsia="华文中宋" w:cs="Times New Roman"/>
                <w:szCs w:val="21"/>
                <w:highlight w:val="none"/>
                <w:lang w:val="en-US" w:eastAsia="zh-CN"/>
              </w:rPr>
            </w:pPr>
          </w:p>
        </w:tc>
      </w:tr>
      <w:tr w14:paraId="2B62B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149" w:type="pct"/>
            <w:noWrap w:val="0"/>
            <w:vAlign w:val="center"/>
          </w:tcPr>
          <w:p w14:paraId="7804204A">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2025.7.7-2025.7.8</w:t>
            </w:r>
          </w:p>
        </w:tc>
        <w:tc>
          <w:tcPr>
            <w:tcW w:w="1089" w:type="pct"/>
            <w:shd w:val="clear" w:color="auto" w:fill="auto"/>
            <w:noWrap w:val="0"/>
            <w:vAlign w:val="center"/>
          </w:tcPr>
          <w:p w14:paraId="0FBCBDC4">
            <w:pPr>
              <w:spacing w:line="300" w:lineRule="exact"/>
              <w:jc w:val="center"/>
              <w:rPr>
                <w:rFonts w:hint="default" w:ascii="Times New Roman" w:hAnsi="Times New Roman" w:eastAsia="华文中宋" w:cs="Times New Roman"/>
                <w:szCs w:val="21"/>
                <w:highlight w:val="none"/>
                <w:lang w:val="en-US" w:eastAsia="zh-CN"/>
              </w:rPr>
            </w:pPr>
          </w:p>
        </w:tc>
        <w:tc>
          <w:tcPr>
            <w:tcW w:w="1130" w:type="pct"/>
            <w:shd w:val="clear" w:color="auto" w:fill="auto"/>
            <w:noWrap w:val="0"/>
            <w:vAlign w:val="center"/>
          </w:tcPr>
          <w:p w14:paraId="282E3133">
            <w:pPr>
              <w:spacing w:line="300" w:lineRule="exact"/>
              <w:jc w:val="center"/>
              <w:rPr>
                <w:rFonts w:hint="default" w:ascii="Times New Roman" w:hAnsi="Times New Roman" w:eastAsia="华文中宋" w:cs="Times New Roman"/>
                <w:szCs w:val="21"/>
                <w:highlight w:val="none"/>
                <w:lang w:val="en-US" w:eastAsia="zh-CN"/>
              </w:rPr>
            </w:pPr>
          </w:p>
        </w:tc>
        <w:tc>
          <w:tcPr>
            <w:tcW w:w="750" w:type="pct"/>
            <w:noWrap w:val="0"/>
            <w:vAlign w:val="center"/>
          </w:tcPr>
          <w:p w14:paraId="3DA94D13">
            <w:pPr>
              <w:spacing w:line="300" w:lineRule="exact"/>
              <w:jc w:val="center"/>
              <w:rPr>
                <w:rFonts w:hint="default" w:ascii="Times New Roman" w:hAnsi="Times New Roman" w:eastAsia="华文中宋" w:cs="Times New Roman"/>
                <w:szCs w:val="21"/>
                <w:highlight w:val="none"/>
                <w:lang w:val="en-US" w:eastAsia="zh-CN"/>
              </w:rPr>
            </w:pPr>
          </w:p>
        </w:tc>
        <w:tc>
          <w:tcPr>
            <w:tcW w:w="880" w:type="pct"/>
            <w:noWrap w:val="0"/>
            <w:vAlign w:val="center"/>
          </w:tcPr>
          <w:p w14:paraId="4E622294">
            <w:pPr>
              <w:spacing w:line="300" w:lineRule="exact"/>
              <w:jc w:val="center"/>
              <w:rPr>
                <w:rFonts w:hint="default" w:ascii="Times New Roman" w:hAnsi="Times New Roman" w:eastAsia="华文中宋" w:cs="Times New Roman"/>
                <w:szCs w:val="21"/>
                <w:highlight w:val="none"/>
                <w:lang w:val="en-US" w:eastAsia="zh-CN"/>
              </w:rPr>
            </w:pPr>
          </w:p>
        </w:tc>
      </w:tr>
      <w:tr w14:paraId="54811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149" w:type="pct"/>
            <w:noWrap w:val="0"/>
            <w:vAlign w:val="center"/>
          </w:tcPr>
          <w:p w14:paraId="3965A9F4">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2025.7.8-2025.7.9</w:t>
            </w:r>
          </w:p>
        </w:tc>
        <w:tc>
          <w:tcPr>
            <w:tcW w:w="1089" w:type="pct"/>
            <w:shd w:val="clear" w:color="auto" w:fill="auto"/>
            <w:noWrap w:val="0"/>
            <w:vAlign w:val="center"/>
          </w:tcPr>
          <w:p w14:paraId="01390968">
            <w:pPr>
              <w:spacing w:line="300" w:lineRule="exact"/>
              <w:jc w:val="center"/>
              <w:rPr>
                <w:rFonts w:hint="default" w:ascii="Times New Roman" w:hAnsi="Times New Roman" w:eastAsia="华文中宋" w:cs="Times New Roman"/>
                <w:szCs w:val="21"/>
                <w:highlight w:val="none"/>
                <w:lang w:val="en-US" w:eastAsia="zh-CN"/>
              </w:rPr>
            </w:pPr>
          </w:p>
        </w:tc>
        <w:tc>
          <w:tcPr>
            <w:tcW w:w="1130" w:type="pct"/>
            <w:shd w:val="clear" w:color="auto" w:fill="auto"/>
            <w:noWrap w:val="0"/>
            <w:vAlign w:val="center"/>
          </w:tcPr>
          <w:p w14:paraId="110A5C85">
            <w:pPr>
              <w:spacing w:line="300" w:lineRule="exact"/>
              <w:jc w:val="center"/>
              <w:rPr>
                <w:rFonts w:hint="default" w:ascii="Times New Roman" w:hAnsi="Times New Roman" w:eastAsia="华文中宋" w:cs="Times New Roman"/>
                <w:szCs w:val="21"/>
                <w:highlight w:val="none"/>
                <w:lang w:val="en-US" w:eastAsia="zh-CN"/>
              </w:rPr>
            </w:pPr>
          </w:p>
        </w:tc>
        <w:tc>
          <w:tcPr>
            <w:tcW w:w="750" w:type="pct"/>
            <w:noWrap w:val="0"/>
            <w:vAlign w:val="center"/>
          </w:tcPr>
          <w:p w14:paraId="7001A8DA">
            <w:pPr>
              <w:spacing w:line="300" w:lineRule="exact"/>
              <w:jc w:val="center"/>
              <w:rPr>
                <w:rFonts w:hint="default" w:ascii="Times New Roman" w:hAnsi="Times New Roman" w:eastAsia="华文中宋" w:cs="Times New Roman"/>
                <w:szCs w:val="21"/>
                <w:highlight w:val="none"/>
                <w:lang w:val="en-US" w:eastAsia="zh-CN"/>
              </w:rPr>
            </w:pPr>
          </w:p>
        </w:tc>
        <w:tc>
          <w:tcPr>
            <w:tcW w:w="880" w:type="pct"/>
            <w:noWrap w:val="0"/>
            <w:vAlign w:val="center"/>
          </w:tcPr>
          <w:p w14:paraId="6F31B1A2">
            <w:pPr>
              <w:spacing w:line="300" w:lineRule="exact"/>
              <w:jc w:val="center"/>
              <w:rPr>
                <w:rFonts w:hint="default" w:ascii="Times New Roman" w:hAnsi="Times New Roman" w:eastAsia="华文中宋" w:cs="Times New Roman"/>
                <w:szCs w:val="21"/>
                <w:highlight w:val="none"/>
                <w:lang w:val="en-US" w:eastAsia="zh-CN"/>
              </w:rPr>
            </w:pPr>
          </w:p>
        </w:tc>
      </w:tr>
      <w:tr w14:paraId="53E5A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149" w:type="pct"/>
            <w:noWrap w:val="0"/>
            <w:vAlign w:val="center"/>
          </w:tcPr>
          <w:p w14:paraId="289FFFE4">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2025.7.9-2025.7.10</w:t>
            </w:r>
          </w:p>
        </w:tc>
        <w:tc>
          <w:tcPr>
            <w:tcW w:w="1089" w:type="pct"/>
            <w:shd w:val="clear" w:color="auto" w:fill="auto"/>
            <w:noWrap w:val="0"/>
            <w:vAlign w:val="center"/>
          </w:tcPr>
          <w:p w14:paraId="5ECFD819">
            <w:pPr>
              <w:spacing w:line="300" w:lineRule="exact"/>
              <w:jc w:val="center"/>
              <w:rPr>
                <w:rFonts w:hint="default" w:ascii="Times New Roman" w:hAnsi="Times New Roman" w:eastAsia="华文中宋" w:cs="Times New Roman"/>
                <w:szCs w:val="21"/>
                <w:highlight w:val="none"/>
                <w:lang w:val="en-US" w:eastAsia="zh-CN"/>
              </w:rPr>
            </w:pPr>
          </w:p>
        </w:tc>
        <w:tc>
          <w:tcPr>
            <w:tcW w:w="1130" w:type="pct"/>
            <w:shd w:val="clear" w:color="auto" w:fill="auto"/>
            <w:noWrap w:val="0"/>
            <w:vAlign w:val="center"/>
          </w:tcPr>
          <w:p w14:paraId="7BB40DF2">
            <w:pPr>
              <w:spacing w:line="300" w:lineRule="exact"/>
              <w:jc w:val="center"/>
              <w:rPr>
                <w:rFonts w:hint="default" w:ascii="Times New Roman" w:hAnsi="Times New Roman" w:eastAsia="华文中宋" w:cs="Times New Roman"/>
                <w:szCs w:val="21"/>
                <w:highlight w:val="none"/>
                <w:lang w:val="en-US" w:eastAsia="zh-CN"/>
              </w:rPr>
            </w:pPr>
          </w:p>
        </w:tc>
        <w:tc>
          <w:tcPr>
            <w:tcW w:w="750" w:type="pct"/>
            <w:noWrap w:val="0"/>
            <w:vAlign w:val="center"/>
          </w:tcPr>
          <w:p w14:paraId="1EF79711">
            <w:pPr>
              <w:spacing w:line="300" w:lineRule="exact"/>
              <w:jc w:val="center"/>
              <w:rPr>
                <w:rFonts w:hint="default" w:ascii="Times New Roman" w:hAnsi="Times New Roman" w:eastAsia="华文中宋" w:cs="Times New Roman"/>
                <w:szCs w:val="21"/>
                <w:highlight w:val="none"/>
                <w:lang w:val="en-US" w:eastAsia="zh-CN"/>
              </w:rPr>
            </w:pPr>
          </w:p>
        </w:tc>
        <w:tc>
          <w:tcPr>
            <w:tcW w:w="880" w:type="pct"/>
            <w:noWrap w:val="0"/>
            <w:vAlign w:val="center"/>
          </w:tcPr>
          <w:p w14:paraId="056D7875">
            <w:pPr>
              <w:spacing w:line="300" w:lineRule="exact"/>
              <w:jc w:val="center"/>
              <w:rPr>
                <w:rFonts w:hint="default" w:ascii="Times New Roman" w:hAnsi="Times New Roman" w:eastAsia="华文中宋" w:cs="Times New Roman"/>
                <w:szCs w:val="21"/>
                <w:highlight w:val="none"/>
                <w:lang w:val="en-US" w:eastAsia="zh-CN"/>
              </w:rPr>
            </w:pPr>
          </w:p>
        </w:tc>
      </w:tr>
      <w:tr w14:paraId="1EB57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149" w:type="pct"/>
            <w:noWrap w:val="0"/>
            <w:vAlign w:val="center"/>
          </w:tcPr>
          <w:p w14:paraId="3EC0F3D9">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2025.7.10-2025.7.11</w:t>
            </w:r>
          </w:p>
        </w:tc>
        <w:tc>
          <w:tcPr>
            <w:tcW w:w="1089" w:type="pct"/>
            <w:shd w:val="clear" w:color="auto" w:fill="auto"/>
            <w:noWrap w:val="0"/>
            <w:vAlign w:val="center"/>
          </w:tcPr>
          <w:p w14:paraId="514E4B1C">
            <w:pPr>
              <w:spacing w:line="300" w:lineRule="exact"/>
              <w:jc w:val="center"/>
              <w:rPr>
                <w:rFonts w:hint="default" w:ascii="Times New Roman" w:hAnsi="Times New Roman" w:eastAsia="华文中宋" w:cs="Times New Roman"/>
                <w:szCs w:val="21"/>
                <w:highlight w:val="none"/>
                <w:lang w:val="en-US" w:eastAsia="zh-CN"/>
              </w:rPr>
            </w:pPr>
          </w:p>
        </w:tc>
        <w:tc>
          <w:tcPr>
            <w:tcW w:w="1130" w:type="pct"/>
            <w:shd w:val="clear" w:color="auto" w:fill="auto"/>
            <w:noWrap w:val="0"/>
            <w:vAlign w:val="center"/>
          </w:tcPr>
          <w:p w14:paraId="70576AD6">
            <w:pPr>
              <w:spacing w:line="300" w:lineRule="exact"/>
              <w:jc w:val="center"/>
              <w:rPr>
                <w:rFonts w:hint="default" w:ascii="Times New Roman" w:hAnsi="Times New Roman" w:eastAsia="华文中宋" w:cs="Times New Roman"/>
                <w:szCs w:val="21"/>
                <w:highlight w:val="none"/>
                <w:lang w:val="en-US" w:eastAsia="zh-CN"/>
              </w:rPr>
            </w:pPr>
          </w:p>
        </w:tc>
        <w:tc>
          <w:tcPr>
            <w:tcW w:w="750" w:type="pct"/>
            <w:noWrap w:val="0"/>
            <w:vAlign w:val="center"/>
          </w:tcPr>
          <w:p w14:paraId="7E046EB8">
            <w:pPr>
              <w:spacing w:line="300" w:lineRule="exact"/>
              <w:jc w:val="center"/>
              <w:rPr>
                <w:rFonts w:hint="default" w:ascii="Times New Roman" w:hAnsi="Times New Roman" w:eastAsia="华文中宋" w:cs="Times New Roman"/>
                <w:szCs w:val="21"/>
                <w:highlight w:val="none"/>
                <w:lang w:val="en-US" w:eastAsia="zh-CN"/>
              </w:rPr>
            </w:pPr>
          </w:p>
        </w:tc>
        <w:tc>
          <w:tcPr>
            <w:tcW w:w="880" w:type="pct"/>
            <w:noWrap w:val="0"/>
            <w:vAlign w:val="center"/>
          </w:tcPr>
          <w:p w14:paraId="0B220D1C">
            <w:pPr>
              <w:spacing w:line="300" w:lineRule="exact"/>
              <w:jc w:val="center"/>
              <w:rPr>
                <w:rFonts w:hint="default" w:ascii="Times New Roman" w:hAnsi="Times New Roman" w:eastAsia="华文中宋" w:cs="Times New Roman"/>
                <w:szCs w:val="21"/>
                <w:highlight w:val="none"/>
                <w:lang w:val="en-US" w:eastAsia="zh-CN"/>
              </w:rPr>
            </w:pPr>
          </w:p>
        </w:tc>
      </w:tr>
      <w:tr w14:paraId="5E6EA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149" w:type="pct"/>
            <w:noWrap w:val="0"/>
            <w:vAlign w:val="center"/>
          </w:tcPr>
          <w:p w14:paraId="73DE1AE9">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2025.7.11-2025.7.12</w:t>
            </w:r>
          </w:p>
        </w:tc>
        <w:tc>
          <w:tcPr>
            <w:tcW w:w="1089" w:type="pct"/>
            <w:shd w:val="clear" w:color="auto" w:fill="auto"/>
            <w:noWrap w:val="0"/>
            <w:vAlign w:val="center"/>
          </w:tcPr>
          <w:p w14:paraId="79E4B27F">
            <w:pPr>
              <w:spacing w:line="300" w:lineRule="exact"/>
              <w:jc w:val="center"/>
              <w:rPr>
                <w:rFonts w:hint="default" w:ascii="Times New Roman" w:hAnsi="Times New Roman" w:eastAsia="华文中宋" w:cs="Times New Roman"/>
                <w:szCs w:val="21"/>
                <w:highlight w:val="none"/>
                <w:lang w:val="en-US" w:eastAsia="zh-CN"/>
              </w:rPr>
            </w:pPr>
          </w:p>
        </w:tc>
        <w:tc>
          <w:tcPr>
            <w:tcW w:w="1130" w:type="pct"/>
            <w:shd w:val="clear" w:color="auto" w:fill="auto"/>
            <w:noWrap w:val="0"/>
            <w:vAlign w:val="center"/>
          </w:tcPr>
          <w:p w14:paraId="4F6AA6D2">
            <w:pPr>
              <w:spacing w:line="300" w:lineRule="exact"/>
              <w:jc w:val="center"/>
              <w:rPr>
                <w:rFonts w:hint="default" w:ascii="Times New Roman" w:hAnsi="Times New Roman" w:eastAsia="华文中宋" w:cs="Times New Roman"/>
                <w:szCs w:val="21"/>
                <w:highlight w:val="none"/>
                <w:lang w:val="en-US" w:eastAsia="zh-CN"/>
              </w:rPr>
            </w:pPr>
          </w:p>
        </w:tc>
        <w:tc>
          <w:tcPr>
            <w:tcW w:w="750" w:type="pct"/>
            <w:noWrap w:val="0"/>
            <w:vAlign w:val="center"/>
          </w:tcPr>
          <w:p w14:paraId="67A4FB51">
            <w:pPr>
              <w:spacing w:line="300" w:lineRule="exact"/>
              <w:jc w:val="center"/>
              <w:rPr>
                <w:rFonts w:hint="default" w:ascii="Times New Roman" w:hAnsi="Times New Roman" w:eastAsia="华文中宋" w:cs="Times New Roman"/>
                <w:szCs w:val="21"/>
                <w:highlight w:val="none"/>
                <w:lang w:val="en-US" w:eastAsia="zh-CN"/>
              </w:rPr>
            </w:pPr>
          </w:p>
        </w:tc>
        <w:tc>
          <w:tcPr>
            <w:tcW w:w="880" w:type="pct"/>
            <w:noWrap w:val="0"/>
            <w:vAlign w:val="center"/>
          </w:tcPr>
          <w:p w14:paraId="20029587">
            <w:pPr>
              <w:spacing w:line="300" w:lineRule="exact"/>
              <w:jc w:val="center"/>
              <w:rPr>
                <w:rFonts w:hint="default" w:ascii="Times New Roman" w:hAnsi="Times New Roman" w:eastAsia="华文中宋" w:cs="Times New Roman"/>
                <w:szCs w:val="21"/>
                <w:highlight w:val="none"/>
                <w:lang w:val="en-US" w:eastAsia="zh-CN"/>
              </w:rPr>
            </w:pPr>
          </w:p>
        </w:tc>
      </w:tr>
      <w:tr w14:paraId="26B4B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149" w:type="pct"/>
            <w:noWrap w:val="0"/>
            <w:vAlign w:val="center"/>
          </w:tcPr>
          <w:p w14:paraId="37D82F5C">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最大值</w:t>
            </w:r>
          </w:p>
        </w:tc>
        <w:tc>
          <w:tcPr>
            <w:tcW w:w="1089" w:type="pct"/>
            <w:shd w:val="clear" w:color="auto" w:fill="auto"/>
            <w:noWrap w:val="0"/>
            <w:vAlign w:val="center"/>
          </w:tcPr>
          <w:p w14:paraId="0772C709">
            <w:pPr>
              <w:spacing w:line="300" w:lineRule="exact"/>
              <w:jc w:val="center"/>
              <w:rPr>
                <w:rFonts w:hint="default" w:ascii="Times New Roman" w:hAnsi="Times New Roman" w:eastAsia="华文中宋" w:cs="Times New Roman"/>
                <w:szCs w:val="21"/>
                <w:highlight w:val="none"/>
                <w:lang w:val="en-US" w:eastAsia="zh-CN"/>
              </w:rPr>
            </w:pPr>
          </w:p>
        </w:tc>
        <w:tc>
          <w:tcPr>
            <w:tcW w:w="1130" w:type="pct"/>
            <w:shd w:val="clear" w:color="auto" w:fill="auto"/>
            <w:noWrap w:val="0"/>
            <w:vAlign w:val="center"/>
          </w:tcPr>
          <w:p w14:paraId="3912BB45">
            <w:pPr>
              <w:spacing w:line="300" w:lineRule="exact"/>
              <w:jc w:val="center"/>
              <w:rPr>
                <w:rFonts w:hint="default" w:ascii="Times New Roman" w:hAnsi="Times New Roman" w:eastAsia="华文中宋" w:cs="Times New Roman"/>
                <w:szCs w:val="21"/>
                <w:highlight w:val="none"/>
                <w:lang w:val="en-US" w:eastAsia="zh-CN"/>
              </w:rPr>
            </w:pPr>
          </w:p>
        </w:tc>
        <w:tc>
          <w:tcPr>
            <w:tcW w:w="750" w:type="pct"/>
            <w:noWrap w:val="0"/>
            <w:vAlign w:val="center"/>
          </w:tcPr>
          <w:p w14:paraId="3DCDB731">
            <w:pPr>
              <w:spacing w:line="300" w:lineRule="exact"/>
              <w:jc w:val="center"/>
              <w:rPr>
                <w:rFonts w:hint="default" w:ascii="Times New Roman" w:hAnsi="Times New Roman" w:eastAsia="华文中宋" w:cs="Times New Roman"/>
                <w:szCs w:val="21"/>
                <w:highlight w:val="none"/>
                <w:lang w:val="en-US" w:eastAsia="zh-CN"/>
              </w:rPr>
            </w:pPr>
          </w:p>
        </w:tc>
        <w:tc>
          <w:tcPr>
            <w:tcW w:w="880" w:type="pct"/>
            <w:noWrap w:val="0"/>
            <w:vAlign w:val="center"/>
          </w:tcPr>
          <w:p w14:paraId="0B15A9F7">
            <w:pPr>
              <w:spacing w:line="300" w:lineRule="exact"/>
              <w:jc w:val="center"/>
              <w:rPr>
                <w:rFonts w:hint="default" w:ascii="Times New Roman" w:hAnsi="Times New Roman" w:eastAsia="华文中宋" w:cs="Times New Roman"/>
                <w:szCs w:val="21"/>
                <w:highlight w:val="none"/>
                <w:lang w:val="en-US" w:eastAsia="zh-CN"/>
              </w:rPr>
            </w:pPr>
          </w:p>
        </w:tc>
      </w:tr>
      <w:tr w14:paraId="28ADC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149" w:type="pct"/>
            <w:noWrap w:val="0"/>
            <w:vAlign w:val="center"/>
          </w:tcPr>
          <w:p w14:paraId="6AA4F0B4">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标准值</w:t>
            </w:r>
          </w:p>
        </w:tc>
        <w:tc>
          <w:tcPr>
            <w:tcW w:w="1089" w:type="pct"/>
            <w:shd w:val="clear" w:color="auto" w:fill="auto"/>
            <w:noWrap w:val="0"/>
            <w:vAlign w:val="center"/>
          </w:tcPr>
          <w:p w14:paraId="5392F2EF">
            <w:pPr>
              <w:spacing w:line="300" w:lineRule="exact"/>
              <w:jc w:val="center"/>
              <w:rPr>
                <w:rFonts w:hint="default" w:ascii="Times New Roman" w:hAnsi="Times New Roman" w:eastAsia="华文中宋" w:cs="Times New Roman"/>
                <w:szCs w:val="21"/>
                <w:highlight w:val="none"/>
                <w:lang w:val="en-US" w:eastAsia="zh-CN"/>
              </w:rPr>
            </w:pPr>
          </w:p>
        </w:tc>
        <w:tc>
          <w:tcPr>
            <w:tcW w:w="1130" w:type="pct"/>
            <w:shd w:val="clear" w:color="auto" w:fill="auto"/>
            <w:noWrap w:val="0"/>
            <w:vAlign w:val="center"/>
          </w:tcPr>
          <w:p w14:paraId="7D04C405">
            <w:pPr>
              <w:spacing w:line="300" w:lineRule="exact"/>
              <w:jc w:val="center"/>
              <w:rPr>
                <w:rFonts w:hint="default" w:ascii="Times New Roman" w:hAnsi="Times New Roman" w:eastAsia="华文中宋" w:cs="Times New Roman"/>
                <w:szCs w:val="21"/>
                <w:highlight w:val="none"/>
                <w:lang w:val="en-US" w:eastAsia="zh-CN"/>
              </w:rPr>
            </w:pPr>
          </w:p>
        </w:tc>
        <w:tc>
          <w:tcPr>
            <w:tcW w:w="750" w:type="pct"/>
            <w:noWrap w:val="0"/>
            <w:vAlign w:val="center"/>
          </w:tcPr>
          <w:p w14:paraId="09EA9646">
            <w:pPr>
              <w:spacing w:line="300" w:lineRule="exact"/>
              <w:jc w:val="center"/>
              <w:rPr>
                <w:rFonts w:hint="default" w:ascii="Times New Roman" w:hAnsi="Times New Roman" w:eastAsia="华文中宋" w:cs="Times New Roman"/>
                <w:szCs w:val="21"/>
                <w:highlight w:val="none"/>
                <w:lang w:val="en-US" w:eastAsia="zh-CN"/>
              </w:rPr>
            </w:pPr>
          </w:p>
        </w:tc>
        <w:tc>
          <w:tcPr>
            <w:tcW w:w="880" w:type="pct"/>
            <w:noWrap w:val="0"/>
            <w:vAlign w:val="center"/>
          </w:tcPr>
          <w:p w14:paraId="0AB8EA84">
            <w:pPr>
              <w:spacing w:line="300" w:lineRule="exact"/>
              <w:jc w:val="center"/>
              <w:rPr>
                <w:rFonts w:hint="default" w:ascii="Times New Roman" w:hAnsi="Times New Roman" w:eastAsia="华文中宋" w:cs="Times New Roman"/>
                <w:szCs w:val="21"/>
                <w:highlight w:val="none"/>
                <w:lang w:val="en-US" w:eastAsia="zh-CN"/>
              </w:rPr>
            </w:pPr>
          </w:p>
        </w:tc>
      </w:tr>
    </w:tbl>
    <w:p w14:paraId="2547F238">
      <w:pPr>
        <w:keepNext w:val="0"/>
        <w:keepLines w:val="0"/>
        <w:pageBreakBefore w:val="0"/>
        <w:widowControl/>
        <w:suppressLineNumbers w:val="0"/>
        <w:kinsoku/>
        <w:wordWrap/>
        <w:overflowPunct/>
        <w:topLinePunct w:val="0"/>
        <w:bidi w:val="0"/>
        <w:spacing w:line="360" w:lineRule="auto"/>
        <w:ind w:firstLine="480" w:firstLineChars="200"/>
        <w:jc w:val="left"/>
        <w:rPr>
          <w:rFonts w:hint="default" w:ascii="Times New Roman" w:hAnsi="Times New Roman" w:cs="Times New Roman" w:eastAsiaTheme="minorEastAsia"/>
          <w:color w:val="000000"/>
          <w:kern w:val="0"/>
          <w:sz w:val="24"/>
          <w:szCs w:val="24"/>
          <w:lang w:val="en-US" w:eastAsia="zh-CN"/>
        </w:rPr>
      </w:pPr>
      <w:r>
        <w:rPr>
          <w:rFonts w:hint="default" w:ascii="Times New Roman" w:hAnsi="Times New Roman" w:cs="Times New Roman" w:eastAsiaTheme="minorEastAsia"/>
          <w:color w:val="000000"/>
          <w:kern w:val="0"/>
          <w:sz w:val="24"/>
          <w:szCs w:val="24"/>
          <w:lang w:val="en-US" w:eastAsia="zh-CN"/>
        </w:rPr>
        <w:t>根据环境空气质量现状调查结果，计算各污染物的单因子标准指数。对照环境空气质量标准，由各监测点现状监测结果可以看出，TSP</w:t>
      </w:r>
      <w:r>
        <w:rPr>
          <w:rFonts w:hint="eastAsia" w:ascii="Times New Roman" w:hAnsi="Times New Roman" w:cs="Times New Roman"/>
          <w:color w:val="000000"/>
          <w:kern w:val="0"/>
          <w:sz w:val="24"/>
          <w:szCs w:val="24"/>
          <w:lang w:val="en-US" w:eastAsia="zh-CN"/>
        </w:rPr>
        <w:t>、铅大气</w:t>
      </w:r>
      <w:r>
        <w:rPr>
          <w:rFonts w:hint="default" w:ascii="Times New Roman" w:hAnsi="Times New Roman" w:cs="Times New Roman" w:eastAsiaTheme="minorEastAsia"/>
          <w:color w:val="000000"/>
          <w:kern w:val="0"/>
          <w:sz w:val="24"/>
          <w:szCs w:val="24"/>
          <w:lang w:val="en-US" w:eastAsia="zh-CN"/>
        </w:rPr>
        <w:t>浓度值满足《环境空气质量标准》（GB3095-2012）二级标准。</w:t>
      </w:r>
    </w:p>
    <w:p w14:paraId="42388033">
      <w:pPr>
        <w:pStyle w:val="4"/>
        <w:spacing w:before="120" w:after="120" w:line="500" w:lineRule="exact"/>
        <w:rPr>
          <w:rFonts w:hint="default" w:ascii="Times New Roman" w:hAnsi="Times New Roman" w:eastAsia="华文中宋" w:cs="Times New Roman"/>
          <w:kern w:val="0"/>
          <w:sz w:val="24"/>
          <w:szCs w:val="24"/>
          <w:lang w:val="en-US" w:eastAsia="zh-CN"/>
        </w:rPr>
      </w:pPr>
      <w:bookmarkStart w:id="117" w:name="_Toc26114"/>
      <w:r>
        <w:rPr>
          <w:rFonts w:hint="default" w:ascii="Times New Roman" w:hAnsi="Times New Roman" w:eastAsia="华文中宋" w:cs="Times New Roman"/>
          <w:kern w:val="0"/>
          <w:sz w:val="24"/>
          <w:szCs w:val="24"/>
          <w:lang w:val="en-US" w:eastAsia="zh-CN"/>
        </w:rPr>
        <w:t>4.2.2 地表水环境质量现状调查</w:t>
      </w:r>
      <w:r>
        <w:rPr>
          <w:rFonts w:hint="eastAsia" w:ascii="Times New Roman" w:hAnsi="Times New Roman" w:eastAsia="华文中宋" w:cs="Times New Roman"/>
          <w:kern w:val="0"/>
          <w:sz w:val="24"/>
          <w:szCs w:val="24"/>
          <w:lang w:val="en-US" w:eastAsia="zh-CN"/>
        </w:rPr>
        <w:t>与</w:t>
      </w:r>
      <w:r>
        <w:rPr>
          <w:rFonts w:hint="default" w:ascii="Times New Roman" w:hAnsi="Times New Roman" w:eastAsia="华文中宋" w:cs="Times New Roman"/>
          <w:kern w:val="0"/>
          <w:sz w:val="24"/>
          <w:szCs w:val="24"/>
          <w:lang w:val="en-US" w:eastAsia="zh-CN"/>
        </w:rPr>
        <w:t>评价</w:t>
      </w:r>
      <w:bookmarkEnd w:id="117"/>
    </w:p>
    <w:p w14:paraId="61DDA772">
      <w:pPr>
        <w:keepNext w:val="0"/>
        <w:keepLines w:val="0"/>
        <w:pageBreakBefore w:val="0"/>
        <w:widowControl/>
        <w:suppressLineNumbers w:val="0"/>
        <w:kinsoku/>
        <w:wordWrap/>
        <w:overflowPunct/>
        <w:topLinePunct w:val="0"/>
        <w:bidi w:val="0"/>
        <w:spacing w:line="360" w:lineRule="auto"/>
        <w:ind w:firstLine="480" w:firstLineChars="200"/>
        <w:jc w:val="left"/>
        <w:rPr>
          <w:rFonts w:hint="default" w:ascii="Times New Roman" w:hAnsi="Times New Roman" w:cs="Times New Roman" w:eastAsiaTheme="minorEastAsia"/>
          <w:color w:val="000000"/>
          <w:kern w:val="0"/>
          <w:sz w:val="24"/>
          <w:szCs w:val="24"/>
          <w:lang w:val="en-US" w:eastAsia="zh-CN"/>
        </w:rPr>
      </w:pPr>
      <w:r>
        <w:rPr>
          <w:rFonts w:hint="default" w:ascii="Times New Roman" w:hAnsi="Times New Roman" w:cs="Times New Roman" w:eastAsiaTheme="minorEastAsia"/>
          <w:color w:val="000000"/>
          <w:kern w:val="0"/>
          <w:sz w:val="24"/>
          <w:szCs w:val="24"/>
          <w:lang w:val="en-US" w:eastAsia="zh-CN"/>
        </w:rPr>
        <w:t>本项目地表水评价工作等级为三级B，根据技术导则，三级B项目不要求进行地表水环境质量现状调查，</w:t>
      </w:r>
      <w:r>
        <w:rPr>
          <w:rFonts w:hint="eastAsia" w:ascii="Times New Roman" w:hAnsi="Times New Roman" w:cs="Times New Roman"/>
          <w:color w:val="000000"/>
          <w:kern w:val="0"/>
          <w:sz w:val="24"/>
          <w:szCs w:val="24"/>
          <w:lang w:val="en-US" w:eastAsia="zh-CN"/>
        </w:rPr>
        <w:t>考虑到本项目距离右侧盼水河支流距离较近，因此对盼水河支流进行地表水现状监测</w:t>
      </w:r>
      <w:r>
        <w:rPr>
          <w:rFonts w:hint="default" w:ascii="Times New Roman" w:hAnsi="Times New Roman" w:cs="Times New Roman" w:eastAsiaTheme="minorEastAsia"/>
          <w:color w:val="000000"/>
          <w:kern w:val="0"/>
          <w:sz w:val="24"/>
          <w:szCs w:val="24"/>
          <w:lang w:val="en-US" w:eastAsia="zh-CN"/>
        </w:rPr>
        <w:t>。</w:t>
      </w:r>
    </w:p>
    <w:p w14:paraId="1284BE4B">
      <w:pPr>
        <w:keepNext w:val="0"/>
        <w:keepLines w:val="0"/>
        <w:pageBreakBefore w:val="0"/>
        <w:widowControl/>
        <w:suppressLineNumbers w:val="0"/>
        <w:kinsoku/>
        <w:wordWrap/>
        <w:overflowPunct/>
        <w:topLinePunct w:val="0"/>
        <w:bidi w:val="0"/>
        <w:spacing w:line="360" w:lineRule="auto"/>
        <w:ind w:firstLine="480" w:firstLineChars="200"/>
        <w:jc w:val="left"/>
        <w:rPr>
          <w:rFonts w:hint="eastAsia" w:ascii="Times New Roman" w:hAnsi="Times New Roman" w:cs="Times New Roman"/>
          <w:color w:val="000000"/>
          <w:kern w:val="0"/>
          <w:sz w:val="24"/>
          <w:szCs w:val="24"/>
          <w:lang w:val="en-US" w:eastAsia="zh-CN"/>
        </w:rPr>
      </w:pPr>
      <w:r>
        <w:rPr>
          <w:rFonts w:hint="eastAsia" w:ascii="Times New Roman" w:hAnsi="Times New Roman" w:cs="Times New Roman"/>
          <w:color w:val="000000"/>
          <w:kern w:val="0"/>
          <w:sz w:val="24"/>
          <w:szCs w:val="24"/>
          <w:lang w:val="en-US" w:eastAsia="zh-CN"/>
        </w:rPr>
        <w:t>（1）监测点位</w:t>
      </w:r>
    </w:p>
    <w:p w14:paraId="20D7D7F2">
      <w:pPr>
        <w:keepNext w:val="0"/>
        <w:keepLines w:val="0"/>
        <w:pageBreakBefore w:val="0"/>
        <w:widowControl/>
        <w:suppressLineNumbers w:val="0"/>
        <w:kinsoku/>
        <w:wordWrap/>
        <w:overflowPunct/>
        <w:topLinePunct w:val="0"/>
        <w:bidi w:val="0"/>
        <w:spacing w:line="360" w:lineRule="auto"/>
        <w:ind w:firstLine="480" w:firstLineChars="200"/>
        <w:jc w:val="left"/>
        <w:rPr>
          <w:rFonts w:hint="eastAsia" w:ascii="Times New Roman" w:hAnsi="Times New Roman" w:cs="Times New Roman"/>
          <w:color w:val="000000"/>
          <w:kern w:val="0"/>
          <w:sz w:val="24"/>
          <w:szCs w:val="24"/>
          <w:lang w:val="en-US" w:eastAsia="zh-CN"/>
        </w:rPr>
      </w:pPr>
      <w:r>
        <w:rPr>
          <w:rFonts w:hint="eastAsia" w:ascii="Times New Roman" w:hAnsi="Times New Roman" w:cs="Times New Roman"/>
          <w:color w:val="000000"/>
          <w:kern w:val="0"/>
          <w:sz w:val="24"/>
          <w:szCs w:val="24"/>
          <w:lang w:val="en-US" w:eastAsia="zh-CN"/>
        </w:rPr>
        <w:t>在项目区右侧约600m处盼水河支流设置一个监测点。</w:t>
      </w:r>
    </w:p>
    <w:p w14:paraId="31D3783B">
      <w:pPr>
        <w:keepNext w:val="0"/>
        <w:keepLines w:val="0"/>
        <w:pageBreakBefore w:val="0"/>
        <w:widowControl/>
        <w:numPr>
          <w:ilvl w:val="0"/>
          <w:numId w:val="0"/>
        </w:numPr>
        <w:suppressLineNumbers w:val="0"/>
        <w:kinsoku/>
        <w:wordWrap/>
        <w:overflowPunct/>
        <w:topLinePunct w:val="0"/>
        <w:bidi w:val="0"/>
        <w:spacing w:line="360" w:lineRule="auto"/>
        <w:ind w:left="0" w:leftChars="0" w:firstLine="480" w:firstLineChars="200"/>
        <w:jc w:val="left"/>
        <w:rPr>
          <w:rFonts w:hint="eastAsia" w:ascii="Times New Roman" w:hAnsi="Times New Roman" w:cs="Times New Roman"/>
          <w:color w:val="000000"/>
          <w:kern w:val="0"/>
          <w:sz w:val="24"/>
          <w:szCs w:val="24"/>
          <w:lang w:val="en-US" w:eastAsia="zh-CN"/>
        </w:rPr>
      </w:pPr>
      <w:r>
        <w:rPr>
          <w:rFonts w:hint="eastAsia" w:ascii="Times New Roman" w:hAnsi="Times New Roman" w:cs="Times New Roman" w:eastAsiaTheme="minorEastAsia"/>
          <w:color w:val="000000"/>
          <w:kern w:val="0"/>
          <w:sz w:val="24"/>
          <w:szCs w:val="24"/>
          <w:lang w:val="en-US" w:eastAsia="zh-CN" w:bidi="ar-SA"/>
        </w:rPr>
        <w:t>（3）</w:t>
      </w:r>
      <w:r>
        <w:rPr>
          <w:rFonts w:hint="eastAsia" w:ascii="Times New Roman" w:hAnsi="Times New Roman" w:cs="Times New Roman"/>
          <w:color w:val="000000"/>
          <w:kern w:val="0"/>
          <w:sz w:val="24"/>
          <w:szCs w:val="24"/>
          <w:lang w:val="en-US" w:eastAsia="zh-CN"/>
        </w:rPr>
        <w:t>监测项目</w:t>
      </w:r>
    </w:p>
    <w:p w14:paraId="61EFF087">
      <w:pPr>
        <w:keepNext w:val="0"/>
        <w:keepLines w:val="0"/>
        <w:pageBreakBefore w:val="0"/>
        <w:widowControl/>
        <w:numPr>
          <w:ilvl w:val="0"/>
          <w:numId w:val="0"/>
        </w:numPr>
        <w:suppressLineNumbers w:val="0"/>
        <w:kinsoku/>
        <w:wordWrap/>
        <w:overflowPunct/>
        <w:topLinePunct w:val="0"/>
        <w:bidi w:val="0"/>
        <w:spacing w:line="360" w:lineRule="auto"/>
        <w:ind w:firstLine="480" w:firstLineChars="200"/>
        <w:jc w:val="left"/>
        <w:rPr>
          <w:rFonts w:hint="eastAsia" w:ascii="Times New Roman" w:hAnsi="Times New Roman" w:cs="Times New Roman"/>
          <w:color w:val="000000"/>
          <w:kern w:val="0"/>
          <w:sz w:val="24"/>
          <w:szCs w:val="24"/>
          <w:lang w:val="en-US" w:eastAsia="zh-CN"/>
        </w:rPr>
      </w:pPr>
      <w:r>
        <w:rPr>
          <w:rFonts w:hint="eastAsia" w:ascii="Times New Roman" w:hAnsi="Times New Roman" w:cs="Times New Roman"/>
          <w:color w:val="000000"/>
          <w:kern w:val="0"/>
          <w:sz w:val="24"/>
          <w:szCs w:val="24"/>
          <w:lang w:val="en-US" w:eastAsia="zh-CN"/>
        </w:rPr>
        <w:t>水温、pH值、溶解氧、高锰酸盐指数、化学需氧量、 五日生化需氧量、氨氮、总磷、总氮、铜、锌、氟化物、硒、砷、汞、镉、铬（六价）、铅、氰化物、挥发酚、石油类、阴离子表面活性剂、硫化物、粪大肠菌群。</w:t>
      </w:r>
    </w:p>
    <w:p w14:paraId="4E9AC88D">
      <w:pPr>
        <w:keepNext w:val="0"/>
        <w:keepLines w:val="0"/>
        <w:pageBreakBefore w:val="0"/>
        <w:widowControl/>
        <w:numPr>
          <w:ilvl w:val="0"/>
          <w:numId w:val="0"/>
        </w:numPr>
        <w:suppressLineNumbers w:val="0"/>
        <w:kinsoku/>
        <w:wordWrap/>
        <w:overflowPunct/>
        <w:topLinePunct w:val="0"/>
        <w:bidi w:val="0"/>
        <w:spacing w:line="360" w:lineRule="auto"/>
        <w:ind w:left="0" w:leftChars="0" w:firstLine="480" w:firstLineChars="200"/>
        <w:jc w:val="left"/>
        <w:rPr>
          <w:rFonts w:hint="eastAsia" w:ascii="Times New Roman" w:hAnsi="Times New Roman" w:cs="Times New Roman"/>
          <w:color w:val="000000"/>
          <w:kern w:val="0"/>
          <w:sz w:val="24"/>
          <w:szCs w:val="24"/>
          <w:lang w:val="en-US" w:eastAsia="zh-CN"/>
        </w:rPr>
      </w:pPr>
      <w:r>
        <w:rPr>
          <w:rFonts w:hint="eastAsia" w:ascii="Times New Roman" w:hAnsi="Times New Roman" w:cs="Times New Roman" w:eastAsiaTheme="minorEastAsia"/>
          <w:color w:val="000000"/>
          <w:kern w:val="0"/>
          <w:sz w:val="24"/>
          <w:szCs w:val="24"/>
          <w:lang w:val="en-US" w:eastAsia="zh-CN" w:bidi="ar-SA"/>
        </w:rPr>
        <w:t>（4）</w:t>
      </w:r>
      <w:r>
        <w:rPr>
          <w:rFonts w:hint="eastAsia" w:ascii="Times New Roman" w:hAnsi="Times New Roman" w:cs="Times New Roman"/>
          <w:color w:val="000000"/>
          <w:kern w:val="0"/>
          <w:sz w:val="24"/>
          <w:szCs w:val="24"/>
          <w:lang w:val="en-US" w:eastAsia="zh-CN"/>
        </w:rPr>
        <w:t>采样时间</w:t>
      </w:r>
    </w:p>
    <w:p w14:paraId="04334A73">
      <w:pPr>
        <w:keepNext w:val="0"/>
        <w:keepLines w:val="0"/>
        <w:pageBreakBefore w:val="0"/>
        <w:widowControl/>
        <w:numPr>
          <w:ilvl w:val="0"/>
          <w:numId w:val="0"/>
        </w:numPr>
        <w:suppressLineNumbers w:val="0"/>
        <w:kinsoku/>
        <w:wordWrap/>
        <w:overflowPunct/>
        <w:topLinePunct w:val="0"/>
        <w:bidi w:val="0"/>
        <w:spacing w:line="360" w:lineRule="auto"/>
        <w:ind w:firstLine="480" w:firstLineChars="200"/>
        <w:jc w:val="left"/>
        <w:rPr>
          <w:rFonts w:hint="eastAsia" w:ascii="Times New Roman" w:hAnsi="Times New Roman" w:cs="Times New Roman"/>
          <w:color w:val="000000"/>
          <w:kern w:val="0"/>
          <w:sz w:val="24"/>
          <w:szCs w:val="24"/>
          <w:lang w:val="en-US" w:eastAsia="zh-CN"/>
        </w:rPr>
      </w:pPr>
      <w:r>
        <w:rPr>
          <w:rFonts w:hint="eastAsia" w:ascii="Times New Roman" w:hAnsi="Times New Roman" w:cs="Times New Roman"/>
          <w:color w:val="000000"/>
          <w:kern w:val="0"/>
          <w:sz w:val="24"/>
          <w:szCs w:val="24"/>
          <w:lang w:val="en-US" w:eastAsia="zh-CN"/>
        </w:rPr>
        <w:t>2025年7月5日。</w:t>
      </w:r>
    </w:p>
    <w:p w14:paraId="548D1855">
      <w:pPr>
        <w:keepNext w:val="0"/>
        <w:keepLines w:val="0"/>
        <w:pageBreakBefore w:val="0"/>
        <w:widowControl/>
        <w:numPr>
          <w:ilvl w:val="0"/>
          <w:numId w:val="0"/>
        </w:numPr>
        <w:suppressLineNumbers w:val="0"/>
        <w:kinsoku/>
        <w:wordWrap/>
        <w:overflowPunct/>
        <w:topLinePunct w:val="0"/>
        <w:bidi w:val="0"/>
        <w:spacing w:line="360" w:lineRule="auto"/>
        <w:ind w:firstLine="480" w:firstLineChars="200"/>
        <w:jc w:val="left"/>
        <w:rPr>
          <w:rFonts w:hint="eastAsia" w:ascii="Times New Roman" w:hAnsi="Times New Roman" w:cs="Times New Roman"/>
          <w:color w:val="000000"/>
          <w:kern w:val="0"/>
          <w:sz w:val="24"/>
          <w:szCs w:val="24"/>
          <w:lang w:val="en-US" w:eastAsia="zh-CN"/>
        </w:rPr>
      </w:pPr>
      <w:r>
        <w:rPr>
          <w:rFonts w:hint="eastAsia" w:ascii="Times New Roman" w:hAnsi="Times New Roman" w:cs="Times New Roman"/>
          <w:color w:val="000000"/>
          <w:kern w:val="0"/>
          <w:sz w:val="24"/>
          <w:szCs w:val="24"/>
          <w:lang w:val="en-US" w:eastAsia="zh-CN"/>
        </w:rPr>
        <w:t>（5）监测结果与评价。</w:t>
      </w:r>
    </w:p>
    <w:p w14:paraId="7753C1CD">
      <w:pPr>
        <w:keepNext w:val="0"/>
        <w:keepLines w:val="0"/>
        <w:pageBreakBefore w:val="0"/>
        <w:widowControl/>
        <w:numPr>
          <w:ilvl w:val="0"/>
          <w:numId w:val="0"/>
        </w:numPr>
        <w:suppressLineNumbers w:val="0"/>
        <w:kinsoku/>
        <w:wordWrap/>
        <w:overflowPunct/>
        <w:topLinePunct w:val="0"/>
        <w:bidi w:val="0"/>
        <w:spacing w:line="360" w:lineRule="auto"/>
        <w:ind w:firstLine="480" w:firstLineChars="200"/>
        <w:jc w:val="left"/>
        <w:rPr>
          <w:rFonts w:hint="eastAsia" w:ascii="Times New Roman" w:hAnsi="Times New Roman" w:cs="Times New Roman"/>
          <w:color w:val="000000"/>
          <w:kern w:val="0"/>
          <w:sz w:val="24"/>
          <w:szCs w:val="24"/>
          <w:lang w:val="en-US" w:eastAsia="zh-CN"/>
        </w:rPr>
      </w:pPr>
      <w:r>
        <w:rPr>
          <w:rFonts w:hint="eastAsia" w:ascii="Times New Roman" w:hAnsi="Times New Roman" w:cs="Times New Roman"/>
          <w:color w:val="000000"/>
          <w:kern w:val="0"/>
          <w:sz w:val="24"/>
          <w:szCs w:val="24"/>
          <w:lang w:val="en-US" w:eastAsia="zh-CN"/>
        </w:rPr>
        <w:t>本项目</w:t>
      </w:r>
      <w:r>
        <w:rPr>
          <w:rFonts w:hint="default" w:ascii="Times New Roman" w:hAnsi="Times New Roman" w:cs="Times New Roman"/>
          <w:color w:val="000000"/>
          <w:kern w:val="0"/>
          <w:sz w:val="24"/>
          <w:szCs w:val="24"/>
          <w:lang w:val="en-US" w:eastAsia="zh-CN"/>
        </w:rPr>
        <w:t>地</w:t>
      </w:r>
      <w:r>
        <w:rPr>
          <w:rFonts w:hint="eastAsia" w:ascii="Times New Roman" w:hAnsi="Times New Roman" w:cs="Times New Roman"/>
          <w:color w:val="000000"/>
          <w:kern w:val="0"/>
          <w:sz w:val="24"/>
          <w:szCs w:val="24"/>
          <w:lang w:val="en-US" w:eastAsia="zh-CN"/>
        </w:rPr>
        <w:t>表</w:t>
      </w:r>
      <w:r>
        <w:rPr>
          <w:rFonts w:hint="default" w:ascii="Times New Roman" w:hAnsi="Times New Roman" w:cs="Times New Roman"/>
          <w:color w:val="000000"/>
          <w:kern w:val="0"/>
          <w:sz w:val="24"/>
          <w:szCs w:val="24"/>
          <w:lang w:val="en-US" w:eastAsia="zh-CN"/>
        </w:rPr>
        <w:t>水水质现状监测结果</w:t>
      </w:r>
      <w:r>
        <w:rPr>
          <w:rFonts w:hint="eastAsia" w:ascii="Times New Roman" w:hAnsi="Times New Roman" w:cs="Times New Roman"/>
          <w:color w:val="000000"/>
          <w:kern w:val="0"/>
          <w:sz w:val="24"/>
          <w:szCs w:val="24"/>
          <w:lang w:val="en-US" w:eastAsia="zh-CN"/>
        </w:rPr>
        <w:t>及</w:t>
      </w:r>
      <w:r>
        <w:rPr>
          <w:rFonts w:hint="default" w:ascii="Times New Roman" w:hAnsi="Times New Roman" w:cs="Times New Roman"/>
          <w:color w:val="000000"/>
          <w:kern w:val="0"/>
          <w:sz w:val="24"/>
          <w:szCs w:val="24"/>
          <w:lang w:val="en-US" w:eastAsia="zh-CN"/>
        </w:rPr>
        <w:t>评价结果见表</w:t>
      </w:r>
      <w:r>
        <w:rPr>
          <w:rFonts w:hint="eastAsia" w:ascii="Times New Roman" w:hAnsi="Times New Roman" w:cs="Times New Roman"/>
          <w:color w:val="000000"/>
          <w:kern w:val="0"/>
          <w:sz w:val="24"/>
          <w:szCs w:val="24"/>
          <w:lang w:val="en-US" w:eastAsia="zh-CN"/>
        </w:rPr>
        <w:t>4.2-3。</w:t>
      </w:r>
    </w:p>
    <w:p w14:paraId="4B328A35">
      <w:pPr>
        <w:adjustRightInd w:val="0"/>
        <w:snapToGrid w:val="0"/>
        <w:spacing w:before="250" w:beforeLines="50"/>
        <w:ind w:firstLine="422" w:firstLineChars="200"/>
        <w:jc w:val="center"/>
        <w:rPr>
          <w:rFonts w:hint="default" w:ascii="Times New Roman" w:hAnsi="Times New Roman" w:eastAsia="华文中宋" w:cs="Times New Roman"/>
          <w:b/>
          <w:szCs w:val="21"/>
          <w:highlight w:val="none"/>
          <w:lang w:val="en-US" w:eastAsia="zh-CN"/>
        </w:rPr>
      </w:pPr>
      <w:r>
        <w:rPr>
          <w:rFonts w:hint="eastAsia" w:ascii="Times New Roman" w:hAnsi="Times New Roman" w:eastAsia="华文中宋" w:cs="Times New Roman"/>
          <w:b/>
          <w:szCs w:val="21"/>
          <w:highlight w:val="none"/>
          <w:lang w:val="en-US" w:eastAsia="zh-CN"/>
        </w:rPr>
        <w:t xml:space="preserve">表4.2-3  地表水水质现状监测结果及评价结果一览表    </w:t>
      </w:r>
      <w:r>
        <w:rPr>
          <w:rFonts w:hint="default" w:ascii="Times New Roman" w:hAnsi="Times New Roman" w:eastAsia="华文中宋" w:cs="Times New Roman"/>
          <w:b/>
          <w:szCs w:val="21"/>
          <w:highlight w:val="none"/>
          <w:lang w:val="en-US" w:eastAsia="zh-CN"/>
        </w:rPr>
        <w:t>单位（</w:t>
      </w:r>
      <w:r>
        <w:rPr>
          <w:rFonts w:hint="eastAsia" w:ascii="Times New Roman" w:hAnsi="Times New Roman" w:eastAsia="华文中宋" w:cs="Times New Roman"/>
          <w:b/>
          <w:szCs w:val="21"/>
          <w:highlight w:val="none"/>
          <w:lang w:val="en-US" w:eastAsia="zh-CN"/>
        </w:rPr>
        <w:t>m</w:t>
      </w:r>
      <w:r>
        <w:rPr>
          <w:rFonts w:hint="default" w:ascii="Times New Roman" w:hAnsi="Times New Roman" w:eastAsia="华文中宋" w:cs="Times New Roman"/>
          <w:b/>
          <w:szCs w:val="21"/>
          <w:highlight w:val="none"/>
          <w:lang w:val="en-US" w:eastAsia="zh-CN"/>
        </w:rPr>
        <w:t>g/m</w:t>
      </w:r>
      <w:r>
        <w:rPr>
          <w:rFonts w:hint="default" w:ascii="Times New Roman" w:hAnsi="Times New Roman" w:eastAsia="华文中宋" w:cs="Times New Roman"/>
          <w:b/>
          <w:szCs w:val="21"/>
          <w:highlight w:val="none"/>
          <w:vertAlign w:val="superscript"/>
          <w:lang w:val="en-US" w:eastAsia="zh-CN"/>
        </w:rPr>
        <w:t>3</w:t>
      </w:r>
      <w:r>
        <w:rPr>
          <w:rFonts w:hint="default" w:ascii="Times New Roman" w:hAnsi="Times New Roman" w:eastAsia="华文中宋" w:cs="Times New Roman"/>
          <w:b/>
          <w:szCs w:val="21"/>
          <w:highlight w:val="none"/>
          <w:lang w:val="en-US" w:eastAsia="zh-CN"/>
        </w:rPr>
        <w:t>）</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4"/>
        <w:gridCol w:w="2182"/>
        <w:gridCol w:w="1704"/>
        <w:gridCol w:w="1704"/>
        <w:gridCol w:w="1705"/>
      </w:tblGrid>
      <w:tr w14:paraId="751B9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pct"/>
          </w:tcPr>
          <w:p w14:paraId="37E98776">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序号</w:t>
            </w:r>
          </w:p>
        </w:tc>
        <w:tc>
          <w:tcPr>
            <w:tcW w:w="1280" w:type="pct"/>
          </w:tcPr>
          <w:p w14:paraId="45D507FF">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监测项目</w:t>
            </w:r>
          </w:p>
        </w:tc>
        <w:tc>
          <w:tcPr>
            <w:tcW w:w="1000" w:type="pct"/>
          </w:tcPr>
          <w:p w14:paraId="1325C644">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标准值</w:t>
            </w:r>
          </w:p>
        </w:tc>
        <w:tc>
          <w:tcPr>
            <w:tcW w:w="1000" w:type="pct"/>
          </w:tcPr>
          <w:p w14:paraId="6A945AB8">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监测结果</w:t>
            </w:r>
          </w:p>
        </w:tc>
        <w:tc>
          <w:tcPr>
            <w:tcW w:w="1000" w:type="pct"/>
          </w:tcPr>
          <w:p w14:paraId="455AB69F">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标准指数</w:t>
            </w:r>
          </w:p>
        </w:tc>
      </w:tr>
      <w:tr w14:paraId="20014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pct"/>
          </w:tcPr>
          <w:p w14:paraId="25959299">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w:t>
            </w:r>
          </w:p>
        </w:tc>
        <w:tc>
          <w:tcPr>
            <w:tcW w:w="1280" w:type="pct"/>
          </w:tcPr>
          <w:p w14:paraId="109A8D47">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水温（℃）</w:t>
            </w:r>
          </w:p>
        </w:tc>
        <w:tc>
          <w:tcPr>
            <w:tcW w:w="1000" w:type="pct"/>
          </w:tcPr>
          <w:p w14:paraId="4EA06F0A">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52040B23">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7405609C">
            <w:pPr>
              <w:spacing w:line="300" w:lineRule="exact"/>
              <w:jc w:val="center"/>
              <w:rPr>
                <w:rFonts w:hint="default" w:ascii="Times New Roman" w:hAnsi="Times New Roman" w:eastAsia="华文中宋" w:cs="Times New Roman"/>
                <w:szCs w:val="21"/>
                <w:highlight w:val="none"/>
                <w:lang w:val="en-US" w:eastAsia="zh-CN"/>
              </w:rPr>
            </w:pPr>
          </w:p>
        </w:tc>
      </w:tr>
      <w:tr w14:paraId="7A39E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pct"/>
          </w:tcPr>
          <w:p w14:paraId="490F1D24">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2</w:t>
            </w:r>
          </w:p>
        </w:tc>
        <w:tc>
          <w:tcPr>
            <w:tcW w:w="1280" w:type="pct"/>
          </w:tcPr>
          <w:p w14:paraId="5588229C">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pH值</w:t>
            </w:r>
          </w:p>
        </w:tc>
        <w:tc>
          <w:tcPr>
            <w:tcW w:w="1000" w:type="pct"/>
          </w:tcPr>
          <w:p w14:paraId="292D3C9B">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4D10147A">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408EC2D6">
            <w:pPr>
              <w:spacing w:line="300" w:lineRule="exact"/>
              <w:jc w:val="center"/>
              <w:rPr>
                <w:rFonts w:hint="default" w:ascii="Times New Roman" w:hAnsi="Times New Roman" w:eastAsia="华文中宋" w:cs="Times New Roman"/>
                <w:szCs w:val="21"/>
                <w:highlight w:val="none"/>
                <w:lang w:val="en-US" w:eastAsia="zh-CN"/>
              </w:rPr>
            </w:pPr>
          </w:p>
        </w:tc>
      </w:tr>
      <w:tr w14:paraId="6CBC6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pct"/>
          </w:tcPr>
          <w:p w14:paraId="1EE57408">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3</w:t>
            </w:r>
          </w:p>
        </w:tc>
        <w:tc>
          <w:tcPr>
            <w:tcW w:w="1280" w:type="pct"/>
          </w:tcPr>
          <w:p w14:paraId="69ED3CBF">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溶解氧</w:t>
            </w:r>
          </w:p>
        </w:tc>
        <w:tc>
          <w:tcPr>
            <w:tcW w:w="1000" w:type="pct"/>
          </w:tcPr>
          <w:p w14:paraId="4C5EACB0">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299602E2">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49B5004C">
            <w:pPr>
              <w:spacing w:line="300" w:lineRule="exact"/>
              <w:jc w:val="center"/>
              <w:rPr>
                <w:rFonts w:hint="default" w:ascii="Times New Roman" w:hAnsi="Times New Roman" w:eastAsia="华文中宋" w:cs="Times New Roman"/>
                <w:szCs w:val="21"/>
                <w:highlight w:val="none"/>
                <w:lang w:val="en-US" w:eastAsia="zh-CN"/>
              </w:rPr>
            </w:pPr>
          </w:p>
        </w:tc>
      </w:tr>
      <w:tr w14:paraId="062E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pct"/>
          </w:tcPr>
          <w:p w14:paraId="4C4C6864">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4</w:t>
            </w:r>
          </w:p>
        </w:tc>
        <w:tc>
          <w:tcPr>
            <w:tcW w:w="1280" w:type="pct"/>
          </w:tcPr>
          <w:p w14:paraId="48853227">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高锰酸盐指数</w:t>
            </w:r>
          </w:p>
        </w:tc>
        <w:tc>
          <w:tcPr>
            <w:tcW w:w="1000" w:type="pct"/>
          </w:tcPr>
          <w:p w14:paraId="064049F2">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22099274">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73B3A050">
            <w:pPr>
              <w:spacing w:line="300" w:lineRule="exact"/>
              <w:jc w:val="center"/>
              <w:rPr>
                <w:rFonts w:hint="default" w:ascii="Times New Roman" w:hAnsi="Times New Roman" w:eastAsia="华文中宋" w:cs="Times New Roman"/>
                <w:szCs w:val="21"/>
                <w:highlight w:val="none"/>
                <w:lang w:val="en-US" w:eastAsia="zh-CN"/>
              </w:rPr>
            </w:pPr>
          </w:p>
        </w:tc>
      </w:tr>
      <w:tr w14:paraId="1CCBD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pct"/>
          </w:tcPr>
          <w:p w14:paraId="6BF95AFC">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5</w:t>
            </w:r>
          </w:p>
        </w:tc>
        <w:tc>
          <w:tcPr>
            <w:tcW w:w="1280" w:type="pct"/>
          </w:tcPr>
          <w:p w14:paraId="1D40586B">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化学需氧量</w:t>
            </w:r>
          </w:p>
        </w:tc>
        <w:tc>
          <w:tcPr>
            <w:tcW w:w="1000" w:type="pct"/>
          </w:tcPr>
          <w:p w14:paraId="2BDE8909">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268DD68E">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0CD7987F">
            <w:pPr>
              <w:spacing w:line="300" w:lineRule="exact"/>
              <w:jc w:val="center"/>
              <w:rPr>
                <w:rFonts w:hint="default" w:ascii="Times New Roman" w:hAnsi="Times New Roman" w:eastAsia="华文中宋" w:cs="Times New Roman"/>
                <w:szCs w:val="21"/>
                <w:highlight w:val="none"/>
                <w:lang w:val="en-US" w:eastAsia="zh-CN"/>
              </w:rPr>
            </w:pPr>
          </w:p>
        </w:tc>
      </w:tr>
      <w:tr w14:paraId="4697A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pct"/>
          </w:tcPr>
          <w:p w14:paraId="04135CBF">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6</w:t>
            </w:r>
          </w:p>
        </w:tc>
        <w:tc>
          <w:tcPr>
            <w:tcW w:w="1280" w:type="pct"/>
          </w:tcPr>
          <w:p w14:paraId="77F05361">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五日生化需氧量</w:t>
            </w:r>
          </w:p>
        </w:tc>
        <w:tc>
          <w:tcPr>
            <w:tcW w:w="1000" w:type="pct"/>
          </w:tcPr>
          <w:p w14:paraId="022CC07D">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2BA03DFE">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43815E13">
            <w:pPr>
              <w:spacing w:line="300" w:lineRule="exact"/>
              <w:jc w:val="center"/>
              <w:rPr>
                <w:rFonts w:hint="default" w:ascii="Times New Roman" w:hAnsi="Times New Roman" w:eastAsia="华文中宋" w:cs="Times New Roman"/>
                <w:szCs w:val="21"/>
                <w:highlight w:val="none"/>
                <w:lang w:val="en-US" w:eastAsia="zh-CN"/>
              </w:rPr>
            </w:pPr>
          </w:p>
        </w:tc>
      </w:tr>
      <w:tr w14:paraId="50271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pct"/>
          </w:tcPr>
          <w:p w14:paraId="3B5AFE63">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7</w:t>
            </w:r>
          </w:p>
        </w:tc>
        <w:tc>
          <w:tcPr>
            <w:tcW w:w="1280" w:type="pct"/>
          </w:tcPr>
          <w:p w14:paraId="153F5E77">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氨氮</w:t>
            </w:r>
          </w:p>
        </w:tc>
        <w:tc>
          <w:tcPr>
            <w:tcW w:w="1000" w:type="pct"/>
          </w:tcPr>
          <w:p w14:paraId="555E7D79">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0F0E35F2">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2153A33B">
            <w:pPr>
              <w:spacing w:line="300" w:lineRule="exact"/>
              <w:jc w:val="center"/>
              <w:rPr>
                <w:rFonts w:hint="default" w:ascii="Times New Roman" w:hAnsi="Times New Roman" w:eastAsia="华文中宋" w:cs="Times New Roman"/>
                <w:szCs w:val="21"/>
                <w:highlight w:val="none"/>
                <w:lang w:val="en-US" w:eastAsia="zh-CN"/>
              </w:rPr>
            </w:pPr>
          </w:p>
        </w:tc>
      </w:tr>
      <w:tr w14:paraId="285BA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pct"/>
          </w:tcPr>
          <w:p w14:paraId="48724ACB">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8</w:t>
            </w:r>
          </w:p>
        </w:tc>
        <w:tc>
          <w:tcPr>
            <w:tcW w:w="1280" w:type="pct"/>
          </w:tcPr>
          <w:p w14:paraId="24D111E2">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总磷</w:t>
            </w:r>
          </w:p>
        </w:tc>
        <w:tc>
          <w:tcPr>
            <w:tcW w:w="1000" w:type="pct"/>
          </w:tcPr>
          <w:p w14:paraId="2FB16B7F">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66086F15">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2E7F4AA4">
            <w:pPr>
              <w:spacing w:line="300" w:lineRule="exact"/>
              <w:jc w:val="center"/>
              <w:rPr>
                <w:rFonts w:hint="default" w:ascii="Times New Roman" w:hAnsi="Times New Roman" w:eastAsia="华文中宋" w:cs="Times New Roman"/>
                <w:szCs w:val="21"/>
                <w:highlight w:val="none"/>
                <w:lang w:val="en-US" w:eastAsia="zh-CN"/>
              </w:rPr>
            </w:pPr>
          </w:p>
        </w:tc>
      </w:tr>
      <w:tr w14:paraId="1B20B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pct"/>
          </w:tcPr>
          <w:p w14:paraId="08E800EC">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9</w:t>
            </w:r>
          </w:p>
        </w:tc>
        <w:tc>
          <w:tcPr>
            <w:tcW w:w="1280" w:type="pct"/>
          </w:tcPr>
          <w:p w14:paraId="461CFA75">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总氮</w:t>
            </w:r>
          </w:p>
        </w:tc>
        <w:tc>
          <w:tcPr>
            <w:tcW w:w="1000" w:type="pct"/>
          </w:tcPr>
          <w:p w14:paraId="5F96FB9B">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5886D3D0">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39068E53">
            <w:pPr>
              <w:spacing w:line="300" w:lineRule="exact"/>
              <w:jc w:val="center"/>
              <w:rPr>
                <w:rFonts w:hint="default" w:ascii="Times New Roman" w:hAnsi="Times New Roman" w:eastAsia="华文中宋" w:cs="Times New Roman"/>
                <w:szCs w:val="21"/>
                <w:highlight w:val="none"/>
                <w:lang w:val="en-US" w:eastAsia="zh-CN"/>
              </w:rPr>
            </w:pPr>
          </w:p>
        </w:tc>
      </w:tr>
      <w:tr w14:paraId="7C6CB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pct"/>
          </w:tcPr>
          <w:p w14:paraId="57537B99">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10</w:t>
            </w:r>
          </w:p>
        </w:tc>
        <w:tc>
          <w:tcPr>
            <w:tcW w:w="1280" w:type="pct"/>
          </w:tcPr>
          <w:p w14:paraId="7EA28A17">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铜</w:t>
            </w:r>
          </w:p>
        </w:tc>
        <w:tc>
          <w:tcPr>
            <w:tcW w:w="1000" w:type="pct"/>
          </w:tcPr>
          <w:p w14:paraId="429FE5E3">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12DA27B5">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401CB260">
            <w:pPr>
              <w:spacing w:line="300" w:lineRule="exact"/>
              <w:jc w:val="center"/>
              <w:rPr>
                <w:rFonts w:hint="default" w:ascii="Times New Roman" w:hAnsi="Times New Roman" w:eastAsia="华文中宋" w:cs="Times New Roman"/>
                <w:szCs w:val="21"/>
                <w:highlight w:val="none"/>
                <w:lang w:val="en-US" w:eastAsia="zh-CN"/>
              </w:rPr>
            </w:pPr>
          </w:p>
        </w:tc>
      </w:tr>
      <w:tr w14:paraId="40F82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pct"/>
          </w:tcPr>
          <w:p w14:paraId="002381C6">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11</w:t>
            </w:r>
          </w:p>
        </w:tc>
        <w:tc>
          <w:tcPr>
            <w:tcW w:w="1280" w:type="pct"/>
          </w:tcPr>
          <w:p w14:paraId="2C8A5917">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锌</w:t>
            </w:r>
          </w:p>
        </w:tc>
        <w:tc>
          <w:tcPr>
            <w:tcW w:w="1000" w:type="pct"/>
          </w:tcPr>
          <w:p w14:paraId="778C1AF4">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04674ACE">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497C5E22">
            <w:pPr>
              <w:spacing w:line="300" w:lineRule="exact"/>
              <w:jc w:val="center"/>
              <w:rPr>
                <w:rFonts w:hint="default" w:ascii="Times New Roman" w:hAnsi="Times New Roman" w:eastAsia="华文中宋" w:cs="Times New Roman"/>
                <w:szCs w:val="21"/>
                <w:highlight w:val="none"/>
                <w:lang w:val="en-US" w:eastAsia="zh-CN"/>
              </w:rPr>
            </w:pPr>
          </w:p>
        </w:tc>
      </w:tr>
      <w:tr w14:paraId="59C30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pct"/>
          </w:tcPr>
          <w:p w14:paraId="0C3F4747">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12</w:t>
            </w:r>
          </w:p>
        </w:tc>
        <w:tc>
          <w:tcPr>
            <w:tcW w:w="1280" w:type="pct"/>
          </w:tcPr>
          <w:p w14:paraId="4E03BB2C">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氟化物</w:t>
            </w:r>
          </w:p>
        </w:tc>
        <w:tc>
          <w:tcPr>
            <w:tcW w:w="1000" w:type="pct"/>
          </w:tcPr>
          <w:p w14:paraId="5DE9DB8C">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36D477E9">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188FABD9">
            <w:pPr>
              <w:spacing w:line="300" w:lineRule="exact"/>
              <w:jc w:val="center"/>
              <w:rPr>
                <w:rFonts w:hint="default" w:ascii="Times New Roman" w:hAnsi="Times New Roman" w:eastAsia="华文中宋" w:cs="Times New Roman"/>
                <w:szCs w:val="21"/>
                <w:highlight w:val="none"/>
                <w:lang w:val="en-US" w:eastAsia="zh-CN"/>
              </w:rPr>
            </w:pPr>
          </w:p>
        </w:tc>
      </w:tr>
      <w:tr w14:paraId="35BAB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pct"/>
          </w:tcPr>
          <w:p w14:paraId="5217828C">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13</w:t>
            </w:r>
          </w:p>
        </w:tc>
        <w:tc>
          <w:tcPr>
            <w:tcW w:w="1280" w:type="pct"/>
          </w:tcPr>
          <w:p w14:paraId="198F03E8">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硒</w:t>
            </w:r>
          </w:p>
        </w:tc>
        <w:tc>
          <w:tcPr>
            <w:tcW w:w="1000" w:type="pct"/>
          </w:tcPr>
          <w:p w14:paraId="2ECACDCA">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14D05F95">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40A8B733">
            <w:pPr>
              <w:spacing w:line="300" w:lineRule="exact"/>
              <w:jc w:val="center"/>
              <w:rPr>
                <w:rFonts w:hint="default" w:ascii="Times New Roman" w:hAnsi="Times New Roman" w:eastAsia="华文中宋" w:cs="Times New Roman"/>
                <w:szCs w:val="21"/>
                <w:highlight w:val="none"/>
                <w:lang w:val="en-US" w:eastAsia="zh-CN"/>
              </w:rPr>
            </w:pPr>
          </w:p>
        </w:tc>
      </w:tr>
      <w:tr w14:paraId="06136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pct"/>
          </w:tcPr>
          <w:p w14:paraId="6648B2FE">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14</w:t>
            </w:r>
          </w:p>
        </w:tc>
        <w:tc>
          <w:tcPr>
            <w:tcW w:w="1280" w:type="pct"/>
          </w:tcPr>
          <w:p w14:paraId="3211AC8F">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砷</w:t>
            </w:r>
          </w:p>
        </w:tc>
        <w:tc>
          <w:tcPr>
            <w:tcW w:w="1000" w:type="pct"/>
          </w:tcPr>
          <w:p w14:paraId="48BBE163">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41592142">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56787B5C">
            <w:pPr>
              <w:spacing w:line="300" w:lineRule="exact"/>
              <w:jc w:val="center"/>
              <w:rPr>
                <w:rFonts w:hint="default" w:ascii="Times New Roman" w:hAnsi="Times New Roman" w:eastAsia="华文中宋" w:cs="Times New Roman"/>
                <w:szCs w:val="21"/>
                <w:highlight w:val="none"/>
                <w:lang w:val="en-US" w:eastAsia="zh-CN"/>
              </w:rPr>
            </w:pPr>
          </w:p>
        </w:tc>
      </w:tr>
      <w:tr w14:paraId="4A83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pct"/>
          </w:tcPr>
          <w:p w14:paraId="4B7ACB3C">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15</w:t>
            </w:r>
          </w:p>
        </w:tc>
        <w:tc>
          <w:tcPr>
            <w:tcW w:w="1280" w:type="pct"/>
          </w:tcPr>
          <w:p w14:paraId="6CDF29D1">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汞</w:t>
            </w:r>
          </w:p>
        </w:tc>
        <w:tc>
          <w:tcPr>
            <w:tcW w:w="1000" w:type="pct"/>
          </w:tcPr>
          <w:p w14:paraId="7823B1A7">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7A9270BA">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0E7FDABF">
            <w:pPr>
              <w:spacing w:line="300" w:lineRule="exact"/>
              <w:jc w:val="center"/>
              <w:rPr>
                <w:rFonts w:hint="default" w:ascii="Times New Roman" w:hAnsi="Times New Roman" w:eastAsia="华文中宋" w:cs="Times New Roman"/>
                <w:szCs w:val="21"/>
                <w:highlight w:val="none"/>
                <w:lang w:val="en-US" w:eastAsia="zh-CN"/>
              </w:rPr>
            </w:pPr>
          </w:p>
        </w:tc>
      </w:tr>
      <w:tr w14:paraId="3C7AD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pct"/>
          </w:tcPr>
          <w:p w14:paraId="72CFAD0F">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16</w:t>
            </w:r>
          </w:p>
        </w:tc>
        <w:tc>
          <w:tcPr>
            <w:tcW w:w="1280" w:type="pct"/>
          </w:tcPr>
          <w:p w14:paraId="16D773E5">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镉</w:t>
            </w:r>
          </w:p>
        </w:tc>
        <w:tc>
          <w:tcPr>
            <w:tcW w:w="1000" w:type="pct"/>
          </w:tcPr>
          <w:p w14:paraId="628A9F1E">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26740C84">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5F348ACA">
            <w:pPr>
              <w:spacing w:line="300" w:lineRule="exact"/>
              <w:jc w:val="center"/>
              <w:rPr>
                <w:rFonts w:hint="default" w:ascii="Times New Roman" w:hAnsi="Times New Roman" w:eastAsia="华文中宋" w:cs="Times New Roman"/>
                <w:szCs w:val="21"/>
                <w:highlight w:val="none"/>
                <w:lang w:val="en-US" w:eastAsia="zh-CN"/>
              </w:rPr>
            </w:pPr>
          </w:p>
        </w:tc>
      </w:tr>
      <w:tr w14:paraId="2144C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pct"/>
          </w:tcPr>
          <w:p w14:paraId="305EC9A6">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17</w:t>
            </w:r>
          </w:p>
        </w:tc>
        <w:tc>
          <w:tcPr>
            <w:tcW w:w="1280" w:type="pct"/>
          </w:tcPr>
          <w:p w14:paraId="19329B12">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铬（六价）</w:t>
            </w:r>
          </w:p>
        </w:tc>
        <w:tc>
          <w:tcPr>
            <w:tcW w:w="1000" w:type="pct"/>
          </w:tcPr>
          <w:p w14:paraId="7751A17D">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0DE8B0ED">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3805C588">
            <w:pPr>
              <w:spacing w:line="300" w:lineRule="exact"/>
              <w:jc w:val="center"/>
              <w:rPr>
                <w:rFonts w:hint="default" w:ascii="Times New Roman" w:hAnsi="Times New Roman" w:eastAsia="华文中宋" w:cs="Times New Roman"/>
                <w:szCs w:val="21"/>
                <w:highlight w:val="none"/>
                <w:lang w:val="en-US" w:eastAsia="zh-CN"/>
              </w:rPr>
            </w:pPr>
          </w:p>
        </w:tc>
      </w:tr>
      <w:tr w14:paraId="4EBA8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pct"/>
          </w:tcPr>
          <w:p w14:paraId="545340E2">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18</w:t>
            </w:r>
          </w:p>
        </w:tc>
        <w:tc>
          <w:tcPr>
            <w:tcW w:w="1280" w:type="pct"/>
          </w:tcPr>
          <w:p w14:paraId="258D80C7">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铅</w:t>
            </w:r>
          </w:p>
        </w:tc>
        <w:tc>
          <w:tcPr>
            <w:tcW w:w="1000" w:type="pct"/>
          </w:tcPr>
          <w:p w14:paraId="1E77765F">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0F694898">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33F2604D">
            <w:pPr>
              <w:spacing w:line="300" w:lineRule="exact"/>
              <w:jc w:val="center"/>
              <w:rPr>
                <w:rFonts w:hint="default" w:ascii="Times New Roman" w:hAnsi="Times New Roman" w:eastAsia="华文中宋" w:cs="Times New Roman"/>
                <w:szCs w:val="21"/>
                <w:highlight w:val="none"/>
                <w:lang w:val="en-US" w:eastAsia="zh-CN"/>
              </w:rPr>
            </w:pPr>
          </w:p>
        </w:tc>
      </w:tr>
      <w:tr w14:paraId="32B74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pct"/>
          </w:tcPr>
          <w:p w14:paraId="2CC8DD69">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19</w:t>
            </w:r>
          </w:p>
        </w:tc>
        <w:tc>
          <w:tcPr>
            <w:tcW w:w="1280" w:type="pct"/>
          </w:tcPr>
          <w:p w14:paraId="3E76790D">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氰化物</w:t>
            </w:r>
          </w:p>
        </w:tc>
        <w:tc>
          <w:tcPr>
            <w:tcW w:w="1000" w:type="pct"/>
          </w:tcPr>
          <w:p w14:paraId="6DCBFB58">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06AB306F">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2A69E393">
            <w:pPr>
              <w:spacing w:line="300" w:lineRule="exact"/>
              <w:jc w:val="center"/>
              <w:rPr>
                <w:rFonts w:hint="default" w:ascii="Times New Roman" w:hAnsi="Times New Roman" w:eastAsia="华文中宋" w:cs="Times New Roman"/>
                <w:szCs w:val="21"/>
                <w:highlight w:val="none"/>
                <w:lang w:val="en-US" w:eastAsia="zh-CN"/>
              </w:rPr>
            </w:pPr>
          </w:p>
        </w:tc>
      </w:tr>
      <w:tr w14:paraId="3D658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pct"/>
          </w:tcPr>
          <w:p w14:paraId="4AC7D0E7">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20</w:t>
            </w:r>
          </w:p>
        </w:tc>
        <w:tc>
          <w:tcPr>
            <w:tcW w:w="1280" w:type="pct"/>
          </w:tcPr>
          <w:p w14:paraId="76B42C27">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挥发酚</w:t>
            </w:r>
          </w:p>
        </w:tc>
        <w:tc>
          <w:tcPr>
            <w:tcW w:w="1000" w:type="pct"/>
          </w:tcPr>
          <w:p w14:paraId="29ECC23A">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0FD62CF0">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5F00B032">
            <w:pPr>
              <w:spacing w:line="300" w:lineRule="exact"/>
              <w:jc w:val="center"/>
              <w:rPr>
                <w:rFonts w:hint="default" w:ascii="Times New Roman" w:hAnsi="Times New Roman" w:eastAsia="华文中宋" w:cs="Times New Roman"/>
                <w:szCs w:val="21"/>
                <w:highlight w:val="none"/>
                <w:lang w:val="en-US" w:eastAsia="zh-CN"/>
              </w:rPr>
            </w:pPr>
          </w:p>
        </w:tc>
      </w:tr>
      <w:tr w14:paraId="0D4B4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pct"/>
          </w:tcPr>
          <w:p w14:paraId="6C9856F1">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21</w:t>
            </w:r>
          </w:p>
        </w:tc>
        <w:tc>
          <w:tcPr>
            <w:tcW w:w="1280" w:type="pct"/>
          </w:tcPr>
          <w:p w14:paraId="7B57818D">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石油类</w:t>
            </w:r>
          </w:p>
        </w:tc>
        <w:tc>
          <w:tcPr>
            <w:tcW w:w="1000" w:type="pct"/>
          </w:tcPr>
          <w:p w14:paraId="7A3C7CD7">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1D938FD8">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45A6A6C1">
            <w:pPr>
              <w:spacing w:line="300" w:lineRule="exact"/>
              <w:jc w:val="center"/>
              <w:rPr>
                <w:rFonts w:hint="default" w:ascii="Times New Roman" w:hAnsi="Times New Roman" w:eastAsia="华文中宋" w:cs="Times New Roman"/>
                <w:szCs w:val="21"/>
                <w:highlight w:val="none"/>
                <w:lang w:val="en-US" w:eastAsia="zh-CN"/>
              </w:rPr>
            </w:pPr>
          </w:p>
        </w:tc>
      </w:tr>
      <w:tr w14:paraId="0B7F6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pct"/>
          </w:tcPr>
          <w:p w14:paraId="42F2179E">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22</w:t>
            </w:r>
          </w:p>
        </w:tc>
        <w:tc>
          <w:tcPr>
            <w:tcW w:w="1280" w:type="pct"/>
          </w:tcPr>
          <w:p w14:paraId="4DEFD499">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阴离子表面活性剂</w:t>
            </w:r>
          </w:p>
        </w:tc>
        <w:tc>
          <w:tcPr>
            <w:tcW w:w="1000" w:type="pct"/>
          </w:tcPr>
          <w:p w14:paraId="120B468B">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762B20AE">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18FEB82D">
            <w:pPr>
              <w:spacing w:line="300" w:lineRule="exact"/>
              <w:jc w:val="center"/>
              <w:rPr>
                <w:rFonts w:hint="default" w:ascii="Times New Roman" w:hAnsi="Times New Roman" w:eastAsia="华文中宋" w:cs="Times New Roman"/>
                <w:szCs w:val="21"/>
                <w:highlight w:val="none"/>
                <w:lang w:val="en-US" w:eastAsia="zh-CN"/>
              </w:rPr>
            </w:pPr>
          </w:p>
        </w:tc>
      </w:tr>
      <w:tr w14:paraId="3B0D8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pct"/>
          </w:tcPr>
          <w:p w14:paraId="7BD08BA6">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23</w:t>
            </w:r>
          </w:p>
        </w:tc>
        <w:tc>
          <w:tcPr>
            <w:tcW w:w="1280" w:type="pct"/>
          </w:tcPr>
          <w:p w14:paraId="11C692AE">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硫化物</w:t>
            </w:r>
          </w:p>
        </w:tc>
        <w:tc>
          <w:tcPr>
            <w:tcW w:w="1000" w:type="pct"/>
          </w:tcPr>
          <w:p w14:paraId="2B3BB066">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0144EF75">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2175452D">
            <w:pPr>
              <w:spacing w:line="300" w:lineRule="exact"/>
              <w:jc w:val="center"/>
              <w:rPr>
                <w:rFonts w:hint="default" w:ascii="Times New Roman" w:hAnsi="Times New Roman" w:eastAsia="华文中宋" w:cs="Times New Roman"/>
                <w:szCs w:val="21"/>
                <w:highlight w:val="none"/>
                <w:lang w:val="en-US" w:eastAsia="zh-CN"/>
              </w:rPr>
            </w:pPr>
          </w:p>
        </w:tc>
      </w:tr>
      <w:tr w14:paraId="54E63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pct"/>
          </w:tcPr>
          <w:p w14:paraId="6D93FE5E">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24</w:t>
            </w:r>
          </w:p>
        </w:tc>
        <w:tc>
          <w:tcPr>
            <w:tcW w:w="1280" w:type="pct"/>
          </w:tcPr>
          <w:p w14:paraId="616B6910">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粪大肠菌群</w:t>
            </w:r>
          </w:p>
        </w:tc>
        <w:tc>
          <w:tcPr>
            <w:tcW w:w="1000" w:type="pct"/>
          </w:tcPr>
          <w:p w14:paraId="053CF81A">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4869D23E">
            <w:pPr>
              <w:spacing w:line="300" w:lineRule="exact"/>
              <w:jc w:val="center"/>
              <w:rPr>
                <w:rFonts w:hint="default" w:ascii="Times New Roman" w:hAnsi="Times New Roman" w:eastAsia="华文中宋" w:cs="Times New Roman"/>
                <w:szCs w:val="21"/>
                <w:highlight w:val="none"/>
                <w:lang w:val="en-US" w:eastAsia="zh-CN"/>
              </w:rPr>
            </w:pPr>
          </w:p>
        </w:tc>
        <w:tc>
          <w:tcPr>
            <w:tcW w:w="1000" w:type="pct"/>
          </w:tcPr>
          <w:p w14:paraId="01E6AD35">
            <w:pPr>
              <w:spacing w:line="300" w:lineRule="exact"/>
              <w:jc w:val="center"/>
              <w:rPr>
                <w:rFonts w:hint="default" w:ascii="Times New Roman" w:hAnsi="Times New Roman" w:eastAsia="华文中宋" w:cs="Times New Roman"/>
                <w:szCs w:val="21"/>
                <w:highlight w:val="none"/>
                <w:lang w:val="en-US" w:eastAsia="zh-CN"/>
              </w:rPr>
            </w:pPr>
          </w:p>
        </w:tc>
      </w:tr>
    </w:tbl>
    <w:p w14:paraId="36C5E6CB">
      <w:pPr>
        <w:keepNext w:val="0"/>
        <w:keepLines w:val="0"/>
        <w:pageBreakBefore w:val="0"/>
        <w:widowControl/>
        <w:numPr>
          <w:ilvl w:val="0"/>
          <w:numId w:val="0"/>
        </w:numPr>
        <w:suppressLineNumbers w:val="0"/>
        <w:kinsoku/>
        <w:wordWrap/>
        <w:overflowPunct/>
        <w:topLinePunct w:val="0"/>
        <w:bidi w:val="0"/>
        <w:spacing w:line="360" w:lineRule="auto"/>
        <w:ind w:firstLine="480" w:firstLineChars="200"/>
        <w:jc w:val="left"/>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由监测评价结果表明</w:t>
      </w:r>
      <w:r>
        <w:rPr>
          <w:rFonts w:hint="eastAsia" w:ascii="Times New Roman" w:hAnsi="Times New Roman" w:cs="Times New Roman"/>
          <w:color w:val="000000"/>
          <w:kern w:val="0"/>
          <w:sz w:val="24"/>
          <w:szCs w:val="24"/>
          <w:lang w:val="en-US" w:eastAsia="zh-CN"/>
        </w:rPr>
        <w:t>，项目区东侧600m盼水河支流可满足</w:t>
      </w:r>
      <w:r>
        <w:rPr>
          <w:rFonts w:hint="default" w:ascii="Times New Roman" w:hAnsi="Times New Roman" w:cs="Times New Roman"/>
          <w:color w:val="000000"/>
          <w:kern w:val="0"/>
          <w:sz w:val="24"/>
          <w:szCs w:val="24"/>
          <w:lang w:val="en-US" w:eastAsia="zh-CN"/>
        </w:rPr>
        <w:t>《地表水环境质量标准》（GB3838-2002）中的</w:t>
      </w:r>
      <w:r>
        <w:rPr>
          <w:rFonts w:hint="eastAsia" w:ascii="Times New Roman" w:hAnsi="Times New Roman" w:cs="Times New Roman"/>
          <w:color w:val="000000"/>
          <w:kern w:val="0"/>
          <w:sz w:val="24"/>
          <w:szCs w:val="24"/>
          <w:lang w:val="en-US" w:eastAsia="zh-CN"/>
        </w:rPr>
        <w:t>Ⅱ</w:t>
      </w:r>
      <w:r>
        <w:rPr>
          <w:rFonts w:hint="default" w:ascii="Times New Roman" w:hAnsi="Times New Roman" w:cs="Times New Roman"/>
          <w:color w:val="000000"/>
          <w:kern w:val="0"/>
          <w:sz w:val="24"/>
          <w:szCs w:val="24"/>
          <w:lang w:val="en-US" w:eastAsia="zh-CN"/>
        </w:rPr>
        <w:t>类标准</w:t>
      </w:r>
      <w:r>
        <w:rPr>
          <w:rFonts w:hint="eastAsia" w:ascii="Times New Roman" w:hAnsi="Times New Roman" w:cs="Times New Roman"/>
          <w:color w:val="000000"/>
          <w:kern w:val="0"/>
          <w:sz w:val="24"/>
          <w:szCs w:val="24"/>
          <w:lang w:val="en-US" w:eastAsia="zh-CN"/>
        </w:rPr>
        <w:t>。</w:t>
      </w:r>
    </w:p>
    <w:p w14:paraId="276E7683">
      <w:pPr>
        <w:pStyle w:val="4"/>
        <w:spacing w:before="120" w:after="120" w:line="500" w:lineRule="exact"/>
        <w:rPr>
          <w:rFonts w:hint="default" w:ascii="Times New Roman" w:hAnsi="Times New Roman" w:eastAsia="华文中宋" w:cs="Times New Roman"/>
          <w:kern w:val="0"/>
          <w:sz w:val="24"/>
          <w:szCs w:val="24"/>
          <w:lang w:val="en-US" w:eastAsia="zh-CN"/>
        </w:rPr>
      </w:pPr>
      <w:bookmarkStart w:id="118" w:name="_Toc15068"/>
      <w:r>
        <w:rPr>
          <w:rFonts w:hint="default" w:ascii="Times New Roman" w:hAnsi="Times New Roman" w:eastAsia="华文中宋" w:cs="Times New Roman"/>
          <w:kern w:val="0"/>
          <w:sz w:val="24"/>
          <w:szCs w:val="24"/>
          <w:lang w:val="en-US" w:eastAsia="zh-CN"/>
        </w:rPr>
        <w:t>4.2.</w:t>
      </w:r>
      <w:r>
        <w:rPr>
          <w:rFonts w:hint="eastAsia" w:ascii="Times New Roman" w:hAnsi="Times New Roman" w:eastAsia="华文中宋" w:cs="Times New Roman"/>
          <w:kern w:val="0"/>
          <w:sz w:val="24"/>
          <w:szCs w:val="24"/>
          <w:lang w:val="en-US" w:eastAsia="zh-CN"/>
        </w:rPr>
        <w:t>3</w:t>
      </w:r>
      <w:r>
        <w:rPr>
          <w:rFonts w:hint="default" w:ascii="Times New Roman" w:hAnsi="Times New Roman" w:eastAsia="华文中宋" w:cs="Times New Roman"/>
          <w:kern w:val="0"/>
          <w:sz w:val="24"/>
          <w:szCs w:val="24"/>
          <w:lang w:val="en-US" w:eastAsia="zh-CN"/>
        </w:rPr>
        <w:t xml:space="preserve"> 地下水环境现状调查及评价</w:t>
      </w:r>
      <w:bookmarkEnd w:id="118"/>
    </w:p>
    <w:p w14:paraId="1E8E49A7">
      <w:pPr>
        <w:keepNext w:val="0"/>
        <w:keepLines w:val="0"/>
        <w:pageBreakBefore w:val="0"/>
        <w:widowControl/>
        <w:numPr>
          <w:ilvl w:val="0"/>
          <w:numId w:val="0"/>
        </w:numPr>
        <w:suppressLineNumbers w:val="0"/>
        <w:kinsoku/>
        <w:wordWrap/>
        <w:overflowPunct/>
        <w:topLinePunct w:val="0"/>
        <w:bidi w:val="0"/>
        <w:spacing w:line="360" w:lineRule="auto"/>
        <w:ind w:firstLine="480" w:firstLineChars="200"/>
        <w:jc w:val="left"/>
        <w:rPr>
          <w:rFonts w:hint="default" w:ascii="Times New Roman" w:hAnsi="Times New Roman" w:cs="Times New Roman"/>
          <w:color w:val="000000"/>
          <w:kern w:val="0"/>
          <w:sz w:val="24"/>
          <w:szCs w:val="24"/>
          <w:lang w:val="en-US" w:eastAsia="zh-CN"/>
        </w:rPr>
      </w:pPr>
      <w:bookmarkStart w:id="119" w:name="_Toc12146"/>
      <w:bookmarkStart w:id="120" w:name="_Toc18027"/>
      <w:bookmarkStart w:id="121" w:name="_Toc24555"/>
      <w:r>
        <w:rPr>
          <w:rFonts w:hint="eastAsia" w:ascii="Times New Roman" w:hAnsi="Times New Roman" w:cs="Times New Roman"/>
          <w:color w:val="000000"/>
          <w:kern w:val="0"/>
          <w:sz w:val="24"/>
          <w:szCs w:val="24"/>
          <w:lang w:val="en-US" w:eastAsia="zh-CN"/>
        </w:rPr>
        <w:t>根据《</w:t>
      </w:r>
      <w:r>
        <w:rPr>
          <w:rFonts w:hint="default" w:ascii="Times New Roman" w:hAnsi="Times New Roman" w:cs="Times New Roman"/>
          <w:color w:val="000000"/>
          <w:kern w:val="0"/>
          <w:sz w:val="24"/>
          <w:szCs w:val="24"/>
          <w:lang w:val="en-US" w:eastAsia="zh-CN"/>
        </w:rPr>
        <w:t>新疆民丰县盼水河锑铅</w:t>
      </w:r>
      <w:r>
        <w:rPr>
          <w:rFonts w:hint="eastAsia" w:ascii="Times New Roman" w:hAnsi="Times New Roman" w:cs="Times New Roman"/>
          <w:color w:val="000000"/>
          <w:kern w:val="0"/>
          <w:sz w:val="24"/>
          <w:szCs w:val="24"/>
          <w:lang w:val="en-US" w:eastAsia="zh-CN"/>
        </w:rPr>
        <w:t>矿</w:t>
      </w:r>
      <w:r>
        <w:rPr>
          <w:rFonts w:hint="default" w:ascii="Times New Roman" w:hAnsi="Times New Roman" w:cs="Times New Roman"/>
          <w:color w:val="000000"/>
          <w:kern w:val="0"/>
          <w:sz w:val="24"/>
          <w:szCs w:val="24"/>
          <w:lang w:val="en-US" w:eastAsia="zh-CN"/>
        </w:rPr>
        <w:t>水文地质勘查报告</w:t>
      </w:r>
      <w:r>
        <w:rPr>
          <w:rFonts w:hint="eastAsia" w:ascii="Times New Roman" w:hAnsi="Times New Roman" w:cs="Times New Roman"/>
          <w:color w:val="000000"/>
          <w:kern w:val="0"/>
          <w:sz w:val="24"/>
          <w:szCs w:val="24"/>
          <w:lang w:val="en-US" w:eastAsia="zh-CN"/>
        </w:rPr>
        <w:t>》，本次勘察</w:t>
      </w:r>
      <w:r>
        <w:rPr>
          <w:rFonts w:hint="default" w:ascii="Times New Roman" w:hAnsi="Times New Roman" w:cs="Times New Roman"/>
          <w:color w:val="000000"/>
          <w:kern w:val="0"/>
          <w:sz w:val="24"/>
          <w:szCs w:val="24"/>
          <w:lang w:val="en-US" w:eastAsia="zh-CN"/>
        </w:rPr>
        <w:t>施工水文孔5眼</w:t>
      </w:r>
      <w:r>
        <w:rPr>
          <w:rFonts w:hint="eastAsia" w:ascii="Times New Roman" w:hAnsi="Times New Roman" w:cs="Times New Roman"/>
          <w:color w:val="000000"/>
          <w:kern w:val="0"/>
          <w:sz w:val="24"/>
          <w:szCs w:val="24"/>
          <w:lang w:val="en-US" w:eastAsia="zh-CN"/>
        </w:rPr>
        <w:t>，</w:t>
      </w:r>
      <w:r>
        <w:rPr>
          <w:rFonts w:hint="default" w:ascii="Times New Roman" w:hAnsi="Times New Roman" w:cs="Times New Roman"/>
          <w:color w:val="000000"/>
          <w:kern w:val="0"/>
          <w:sz w:val="24"/>
          <w:szCs w:val="24"/>
          <w:lang w:val="en-US" w:eastAsia="zh-CN"/>
        </w:rPr>
        <w:t>总进尺457米，成井管径不小于110毫米。钻探施工工艺成熟，孔径、孔斜及孔内沉淀符合设计要求，钻孔均揭穿矿床最低开采标高。</w:t>
      </w:r>
    </w:p>
    <w:p w14:paraId="44E4811C">
      <w:pPr>
        <w:adjustRightInd w:val="0"/>
        <w:snapToGrid w:val="0"/>
        <w:spacing w:before="250" w:beforeLines="50"/>
        <w:ind w:firstLine="422" w:firstLineChars="200"/>
        <w:jc w:val="center"/>
        <w:rPr>
          <w:rFonts w:hint="default" w:ascii="Times New Roman" w:hAnsi="Times New Roman" w:eastAsia="华文中宋" w:cs="Times New Roman"/>
          <w:b/>
          <w:szCs w:val="21"/>
          <w:highlight w:val="none"/>
          <w:lang w:val="en-US" w:eastAsia="zh-CN"/>
        </w:rPr>
      </w:pPr>
      <w:r>
        <w:rPr>
          <w:rFonts w:hint="eastAsia" w:ascii="Times New Roman" w:hAnsi="Times New Roman" w:eastAsia="华文中宋" w:cs="Times New Roman"/>
          <w:b/>
          <w:szCs w:val="21"/>
          <w:highlight w:val="none"/>
          <w:lang w:val="en-US" w:eastAsia="zh-CN"/>
        </w:rPr>
        <w:t xml:space="preserve">表4.2-4  </w:t>
      </w:r>
      <w:r>
        <w:rPr>
          <w:rFonts w:hint="default" w:ascii="Times New Roman" w:hAnsi="Times New Roman" w:eastAsia="华文中宋" w:cs="Times New Roman"/>
          <w:b/>
          <w:szCs w:val="21"/>
          <w:highlight w:val="none"/>
          <w:lang w:val="en-US" w:eastAsia="zh-CN"/>
        </w:rPr>
        <w:t>水文地质钻孔信息统计表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735"/>
        <w:gridCol w:w="1700"/>
        <w:gridCol w:w="1180"/>
        <w:gridCol w:w="1170"/>
        <w:gridCol w:w="1317"/>
      </w:tblGrid>
      <w:tr w14:paraId="05DE6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20" w:type="dxa"/>
            <w:vMerge w:val="restart"/>
            <w:noWrap w:val="0"/>
            <w:vAlign w:val="center"/>
          </w:tcPr>
          <w:p w14:paraId="3ED7B43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钻孔编号</w:t>
            </w:r>
          </w:p>
        </w:tc>
        <w:tc>
          <w:tcPr>
            <w:tcW w:w="3435" w:type="dxa"/>
            <w:gridSpan w:val="2"/>
            <w:noWrap w:val="0"/>
            <w:vAlign w:val="center"/>
          </w:tcPr>
          <w:p w14:paraId="0F74F36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位置</w:t>
            </w:r>
          </w:p>
        </w:tc>
        <w:tc>
          <w:tcPr>
            <w:tcW w:w="1180" w:type="dxa"/>
            <w:vMerge w:val="restart"/>
            <w:noWrap w:val="0"/>
            <w:vAlign w:val="center"/>
          </w:tcPr>
          <w:p w14:paraId="4185DD2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孔深（m）</w:t>
            </w:r>
          </w:p>
        </w:tc>
        <w:tc>
          <w:tcPr>
            <w:tcW w:w="1170" w:type="dxa"/>
            <w:vMerge w:val="restart"/>
            <w:noWrap w:val="0"/>
            <w:vAlign w:val="center"/>
          </w:tcPr>
          <w:p w14:paraId="40419BE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水位（m）</w:t>
            </w:r>
          </w:p>
        </w:tc>
        <w:tc>
          <w:tcPr>
            <w:tcW w:w="1317" w:type="dxa"/>
            <w:vMerge w:val="restart"/>
            <w:noWrap w:val="0"/>
            <w:vAlign w:val="center"/>
          </w:tcPr>
          <w:p w14:paraId="105055B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备注</w:t>
            </w:r>
          </w:p>
        </w:tc>
      </w:tr>
      <w:tr w14:paraId="673C2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1420" w:type="dxa"/>
            <w:vMerge w:val="continue"/>
            <w:noWrap w:val="0"/>
            <w:vAlign w:val="center"/>
          </w:tcPr>
          <w:p w14:paraId="777E009C">
            <w:pPr>
              <w:spacing w:line="300" w:lineRule="exact"/>
              <w:jc w:val="center"/>
              <w:rPr>
                <w:rFonts w:hint="default" w:ascii="Times New Roman" w:hAnsi="Times New Roman" w:eastAsia="华文中宋" w:cs="Times New Roman"/>
                <w:szCs w:val="21"/>
                <w:lang w:val="en-US" w:eastAsia="zh-CN"/>
              </w:rPr>
            </w:pPr>
          </w:p>
        </w:tc>
        <w:tc>
          <w:tcPr>
            <w:tcW w:w="1735" w:type="dxa"/>
            <w:noWrap w:val="0"/>
            <w:vAlign w:val="center"/>
          </w:tcPr>
          <w:p w14:paraId="4C5291E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东经</w:t>
            </w:r>
          </w:p>
        </w:tc>
        <w:tc>
          <w:tcPr>
            <w:tcW w:w="1700" w:type="dxa"/>
            <w:noWrap w:val="0"/>
            <w:vAlign w:val="center"/>
          </w:tcPr>
          <w:p w14:paraId="14BFB59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北纬</w:t>
            </w:r>
          </w:p>
        </w:tc>
        <w:tc>
          <w:tcPr>
            <w:tcW w:w="1180" w:type="dxa"/>
            <w:vMerge w:val="continue"/>
            <w:noWrap w:val="0"/>
            <w:vAlign w:val="center"/>
          </w:tcPr>
          <w:p w14:paraId="6BEB5F7B">
            <w:pPr>
              <w:spacing w:line="300" w:lineRule="exact"/>
              <w:jc w:val="center"/>
              <w:rPr>
                <w:rFonts w:hint="default" w:ascii="Times New Roman" w:hAnsi="Times New Roman" w:eastAsia="华文中宋" w:cs="Times New Roman"/>
                <w:szCs w:val="21"/>
                <w:lang w:val="en-US" w:eastAsia="zh-CN"/>
              </w:rPr>
            </w:pPr>
          </w:p>
        </w:tc>
        <w:tc>
          <w:tcPr>
            <w:tcW w:w="1170" w:type="dxa"/>
            <w:vMerge w:val="continue"/>
            <w:noWrap w:val="0"/>
            <w:vAlign w:val="center"/>
          </w:tcPr>
          <w:p w14:paraId="75AB8657">
            <w:pPr>
              <w:spacing w:line="300" w:lineRule="exact"/>
              <w:jc w:val="center"/>
              <w:rPr>
                <w:rFonts w:hint="default" w:ascii="Times New Roman" w:hAnsi="Times New Roman" w:eastAsia="华文中宋" w:cs="Times New Roman"/>
                <w:szCs w:val="21"/>
                <w:lang w:val="en-US" w:eastAsia="zh-CN"/>
              </w:rPr>
            </w:pPr>
          </w:p>
        </w:tc>
        <w:tc>
          <w:tcPr>
            <w:tcW w:w="1317" w:type="dxa"/>
            <w:vMerge w:val="continue"/>
            <w:noWrap w:val="0"/>
            <w:vAlign w:val="center"/>
          </w:tcPr>
          <w:p w14:paraId="1B0A3435">
            <w:pPr>
              <w:spacing w:line="300" w:lineRule="exact"/>
              <w:jc w:val="center"/>
              <w:rPr>
                <w:rFonts w:hint="default" w:ascii="Times New Roman" w:hAnsi="Times New Roman" w:eastAsia="华文中宋" w:cs="Times New Roman"/>
                <w:szCs w:val="21"/>
                <w:lang w:val="en-US" w:eastAsia="zh-CN"/>
              </w:rPr>
            </w:pPr>
          </w:p>
        </w:tc>
      </w:tr>
      <w:tr w14:paraId="1E534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420" w:type="dxa"/>
            <w:noWrap w:val="0"/>
            <w:vAlign w:val="center"/>
          </w:tcPr>
          <w:p w14:paraId="4E8FB03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SZK01</w:t>
            </w:r>
          </w:p>
        </w:tc>
        <w:tc>
          <w:tcPr>
            <w:tcW w:w="1735" w:type="dxa"/>
            <w:noWrap w:val="0"/>
            <w:vAlign w:val="center"/>
          </w:tcPr>
          <w:p w14:paraId="2128DAF4">
            <w:pPr>
              <w:spacing w:line="300" w:lineRule="exact"/>
              <w:jc w:val="center"/>
              <w:rPr>
                <w:rFonts w:hint="default" w:ascii="Times New Roman" w:hAnsi="Times New Roman" w:eastAsia="华文中宋" w:cs="Times New Roman"/>
                <w:szCs w:val="21"/>
                <w:lang w:val="en-US" w:eastAsia="zh-CN"/>
              </w:rPr>
            </w:pPr>
          </w:p>
        </w:tc>
        <w:tc>
          <w:tcPr>
            <w:tcW w:w="1700" w:type="dxa"/>
            <w:noWrap w:val="0"/>
            <w:vAlign w:val="center"/>
          </w:tcPr>
          <w:p w14:paraId="53336307">
            <w:pPr>
              <w:spacing w:line="300" w:lineRule="exact"/>
              <w:jc w:val="center"/>
              <w:rPr>
                <w:rFonts w:hint="default" w:ascii="Times New Roman" w:hAnsi="Times New Roman" w:eastAsia="华文中宋" w:cs="Times New Roman"/>
                <w:szCs w:val="21"/>
                <w:lang w:val="en-US" w:eastAsia="zh-CN"/>
              </w:rPr>
            </w:pPr>
          </w:p>
        </w:tc>
        <w:tc>
          <w:tcPr>
            <w:tcW w:w="1180" w:type="dxa"/>
            <w:noWrap w:val="0"/>
            <w:vAlign w:val="center"/>
          </w:tcPr>
          <w:p w14:paraId="7E7EB965">
            <w:pPr>
              <w:spacing w:line="300" w:lineRule="exact"/>
              <w:jc w:val="center"/>
              <w:rPr>
                <w:rFonts w:hint="default" w:ascii="Times New Roman" w:hAnsi="Times New Roman" w:eastAsia="华文中宋" w:cs="Times New Roman"/>
                <w:szCs w:val="21"/>
                <w:lang w:val="en-US" w:eastAsia="zh-CN"/>
              </w:rPr>
            </w:pPr>
          </w:p>
        </w:tc>
        <w:tc>
          <w:tcPr>
            <w:tcW w:w="1170" w:type="dxa"/>
            <w:noWrap w:val="0"/>
            <w:vAlign w:val="center"/>
          </w:tcPr>
          <w:p w14:paraId="2FDFD42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干孔</w:t>
            </w:r>
          </w:p>
        </w:tc>
        <w:tc>
          <w:tcPr>
            <w:tcW w:w="1317" w:type="dxa"/>
            <w:noWrap w:val="0"/>
            <w:vAlign w:val="center"/>
          </w:tcPr>
          <w:p w14:paraId="65C38D0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矿区上游</w:t>
            </w:r>
          </w:p>
        </w:tc>
      </w:tr>
      <w:tr w14:paraId="654FF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1420" w:type="dxa"/>
            <w:noWrap w:val="0"/>
            <w:vAlign w:val="center"/>
          </w:tcPr>
          <w:p w14:paraId="7624730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SZK02</w:t>
            </w:r>
          </w:p>
        </w:tc>
        <w:tc>
          <w:tcPr>
            <w:tcW w:w="1735" w:type="dxa"/>
            <w:noWrap w:val="0"/>
            <w:vAlign w:val="center"/>
          </w:tcPr>
          <w:p w14:paraId="1977D4F1">
            <w:pPr>
              <w:spacing w:line="300" w:lineRule="exact"/>
              <w:jc w:val="center"/>
              <w:rPr>
                <w:rFonts w:hint="default" w:ascii="Times New Roman" w:hAnsi="Times New Roman" w:eastAsia="华文中宋" w:cs="Times New Roman"/>
                <w:szCs w:val="21"/>
                <w:lang w:val="en-US" w:eastAsia="zh-CN"/>
              </w:rPr>
            </w:pPr>
          </w:p>
        </w:tc>
        <w:tc>
          <w:tcPr>
            <w:tcW w:w="1700" w:type="dxa"/>
            <w:noWrap w:val="0"/>
            <w:vAlign w:val="center"/>
          </w:tcPr>
          <w:p w14:paraId="0992CD6F">
            <w:pPr>
              <w:spacing w:line="300" w:lineRule="exact"/>
              <w:jc w:val="center"/>
              <w:rPr>
                <w:rFonts w:hint="default" w:ascii="Times New Roman" w:hAnsi="Times New Roman" w:eastAsia="华文中宋" w:cs="Times New Roman"/>
                <w:szCs w:val="21"/>
                <w:lang w:val="en-US" w:eastAsia="zh-CN"/>
              </w:rPr>
            </w:pPr>
          </w:p>
        </w:tc>
        <w:tc>
          <w:tcPr>
            <w:tcW w:w="1180" w:type="dxa"/>
            <w:noWrap w:val="0"/>
            <w:vAlign w:val="center"/>
          </w:tcPr>
          <w:p w14:paraId="24ED268C">
            <w:pPr>
              <w:spacing w:line="300" w:lineRule="exact"/>
              <w:jc w:val="center"/>
              <w:rPr>
                <w:rFonts w:hint="default" w:ascii="Times New Roman" w:hAnsi="Times New Roman" w:eastAsia="华文中宋" w:cs="Times New Roman"/>
                <w:szCs w:val="21"/>
                <w:lang w:val="en-US" w:eastAsia="zh-CN"/>
              </w:rPr>
            </w:pPr>
          </w:p>
        </w:tc>
        <w:tc>
          <w:tcPr>
            <w:tcW w:w="1170" w:type="dxa"/>
            <w:noWrap w:val="0"/>
            <w:vAlign w:val="center"/>
          </w:tcPr>
          <w:p w14:paraId="4C94A07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干孔</w:t>
            </w:r>
          </w:p>
        </w:tc>
        <w:tc>
          <w:tcPr>
            <w:tcW w:w="1317" w:type="dxa"/>
            <w:noWrap w:val="0"/>
            <w:vAlign w:val="center"/>
          </w:tcPr>
          <w:p w14:paraId="5C1D983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矿区下游</w:t>
            </w:r>
          </w:p>
        </w:tc>
      </w:tr>
      <w:tr w14:paraId="1F7C9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20" w:type="dxa"/>
            <w:noWrap w:val="0"/>
            <w:vAlign w:val="center"/>
          </w:tcPr>
          <w:p w14:paraId="6DD1521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SZK03</w:t>
            </w:r>
          </w:p>
        </w:tc>
        <w:tc>
          <w:tcPr>
            <w:tcW w:w="1735" w:type="dxa"/>
            <w:noWrap w:val="0"/>
            <w:vAlign w:val="center"/>
          </w:tcPr>
          <w:p w14:paraId="76D6B6D0">
            <w:pPr>
              <w:spacing w:line="300" w:lineRule="exact"/>
              <w:jc w:val="center"/>
              <w:rPr>
                <w:rFonts w:hint="default" w:ascii="Times New Roman" w:hAnsi="Times New Roman" w:eastAsia="华文中宋" w:cs="Times New Roman"/>
                <w:szCs w:val="21"/>
                <w:lang w:val="en-US" w:eastAsia="zh-CN"/>
              </w:rPr>
            </w:pPr>
          </w:p>
        </w:tc>
        <w:tc>
          <w:tcPr>
            <w:tcW w:w="1700" w:type="dxa"/>
            <w:noWrap w:val="0"/>
            <w:vAlign w:val="center"/>
          </w:tcPr>
          <w:p w14:paraId="631B5DDD">
            <w:pPr>
              <w:spacing w:line="300" w:lineRule="exact"/>
              <w:jc w:val="center"/>
              <w:rPr>
                <w:rFonts w:hint="default" w:ascii="Times New Roman" w:hAnsi="Times New Roman" w:eastAsia="华文中宋" w:cs="Times New Roman"/>
                <w:szCs w:val="21"/>
                <w:lang w:val="en-US" w:eastAsia="zh-CN"/>
              </w:rPr>
            </w:pPr>
          </w:p>
        </w:tc>
        <w:tc>
          <w:tcPr>
            <w:tcW w:w="1180" w:type="dxa"/>
            <w:noWrap w:val="0"/>
            <w:vAlign w:val="center"/>
          </w:tcPr>
          <w:p w14:paraId="1D2D80D4">
            <w:pPr>
              <w:spacing w:line="300" w:lineRule="exact"/>
              <w:jc w:val="center"/>
              <w:rPr>
                <w:rFonts w:hint="default" w:ascii="Times New Roman" w:hAnsi="Times New Roman" w:eastAsia="华文中宋" w:cs="Times New Roman"/>
                <w:szCs w:val="21"/>
                <w:lang w:val="en-US" w:eastAsia="zh-CN"/>
              </w:rPr>
            </w:pPr>
          </w:p>
        </w:tc>
        <w:tc>
          <w:tcPr>
            <w:tcW w:w="1170" w:type="dxa"/>
            <w:noWrap w:val="0"/>
            <w:vAlign w:val="center"/>
          </w:tcPr>
          <w:p w14:paraId="36385C5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干孔</w:t>
            </w:r>
          </w:p>
        </w:tc>
        <w:tc>
          <w:tcPr>
            <w:tcW w:w="1317" w:type="dxa"/>
            <w:noWrap w:val="0"/>
            <w:vAlign w:val="center"/>
          </w:tcPr>
          <w:p w14:paraId="6C35235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矿区下游</w:t>
            </w:r>
          </w:p>
        </w:tc>
      </w:tr>
      <w:tr w14:paraId="54697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20" w:type="dxa"/>
            <w:noWrap w:val="0"/>
            <w:vAlign w:val="center"/>
          </w:tcPr>
          <w:p w14:paraId="2FDCC46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SZK04</w:t>
            </w:r>
          </w:p>
        </w:tc>
        <w:tc>
          <w:tcPr>
            <w:tcW w:w="1735" w:type="dxa"/>
            <w:noWrap w:val="0"/>
            <w:vAlign w:val="center"/>
          </w:tcPr>
          <w:p w14:paraId="1EC3F3D0">
            <w:pPr>
              <w:spacing w:line="300" w:lineRule="exact"/>
              <w:jc w:val="center"/>
              <w:rPr>
                <w:rFonts w:hint="default" w:ascii="Times New Roman" w:hAnsi="Times New Roman" w:eastAsia="华文中宋" w:cs="Times New Roman"/>
                <w:szCs w:val="21"/>
                <w:lang w:val="en-US" w:eastAsia="zh-CN"/>
              </w:rPr>
            </w:pPr>
          </w:p>
        </w:tc>
        <w:tc>
          <w:tcPr>
            <w:tcW w:w="1700" w:type="dxa"/>
            <w:noWrap w:val="0"/>
            <w:vAlign w:val="center"/>
          </w:tcPr>
          <w:p w14:paraId="7B412649">
            <w:pPr>
              <w:spacing w:line="300" w:lineRule="exact"/>
              <w:jc w:val="center"/>
              <w:rPr>
                <w:rFonts w:hint="default" w:ascii="Times New Roman" w:hAnsi="Times New Roman" w:eastAsia="华文中宋" w:cs="Times New Roman"/>
                <w:szCs w:val="21"/>
                <w:lang w:val="en-US" w:eastAsia="zh-CN"/>
              </w:rPr>
            </w:pPr>
          </w:p>
        </w:tc>
        <w:tc>
          <w:tcPr>
            <w:tcW w:w="1180" w:type="dxa"/>
            <w:noWrap w:val="0"/>
            <w:vAlign w:val="center"/>
          </w:tcPr>
          <w:p w14:paraId="31524151">
            <w:pPr>
              <w:spacing w:line="300" w:lineRule="exact"/>
              <w:jc w:val="center"/>
              <w:rPr>
                <w:rFonts w:hint="default" w:ascii="Times New Roman" w:hAnsi="Times New Roman" w:eastAsia="华文中宋" w:cs="Times New Roman"/>
                <w:szCs w:val="21"/>
                <w:lang w:val="en-US" w:eastAsia="zh-CN"/>
              </w:rPr>
            </w:pPr>
          </w:p>
        </w:tc>
        <w:tc>
          <w:tcPr>
            <w:tcW w:w="1170" w:type="dxa"/>
            <w:noWrap w:val="0"/>
            <w:vAlign w:val="center"/>
          </w:tcPr>
          <w:p w14:paraId="404F115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干孔</w:t>
            </w:r>
          </w:p>
        </w:tc>
        <w:tc>
          <w:tcPr>
            <w:tcW w:w="1317" w:type="dxa"/>
            <w:noWrap w:val="0"/>
            <w:vAlign w:val="center"/>
          </w:tcPr>
          <w:p w14:paraId="56A4F23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矿区两侧</w:t>
            </w:r>
          </w:p>
        </w:tc>
      </w:tr>
      <w:tr w14:paraId="2F46C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1420" w:type="dxa"/>
            <w:noWrap w:val="0"/>
            <w:vAlign w:val="center"/>
          </w:tcPr>
          <w:p w14:paraId="6CB6433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SZK05</w:t>
            </w:r>
          </w:p>
        </w:tc>
        <w:tc>
          <w:tcPr>
            <w:tcW w:w="1735" w:type="dxa"/>
            <w:noWrap w:val="0"/>
            <w:vAlign w:val="center"/>
          </w:tcPr>
          <w:p w14:paraId="00F3A380">
            <w:pPr>
              <w:spacing w:line="300" w:lineRule="exact"/>
              <w:jc w:val="center"/>
              <w:rPr>
                <w:rFonts w:hint="default" w:ascii="Times New Roman" w:hAnsi="Times New Roman" w:eastAsia="华文中宋" w:cs="Times New Roman"/>
                <w:szCs w:val="21"/>
                <w:lang w:val="en-US" w:eastAsia="zh-CN"/>
              </w:rPr>
            </w:pPr>
          </w:p>
        </w:tc>
        <w:tc>
          <w:tcPr>
            <w:tcW w:w="1700" w:type="dxa"/>
            <w:noWrap w:val="0"/>
            <w:vAlign w:val="center"/>
          </w:tcPr>
          <w:p w14:paraId="0B01985A">
            <w:pPr>
              <w:spacing w:line="300" w:lineRule="exact"/>
              <w:jc w:val="center"/>
              <w:rPr>
                <w:rFonts w:hint="default" w:ascii="Times New Roman" w:hAnsi="Times New Roman" w:eastAsia="华文中宋" w:cs="Times New Roman"/>
                <w:szCs w:val="21"/>
                <w:lang w:val="en-US" w:eastAsia="zh-CN"/>
              </w:rPr>
            </w:pPr>
          </w:p>
        </w:tc>
        <w:tc>
          <w:tcPr>
            <w:tcW w:w="1180" w:type="dxa"/>
            <w:noWrap w:val="0"/>
            <w:vAlign w:val="center"/>
          </w:tcPr>
          <w:p w14:paraId="642CC36A">
            <w:pPr>
              <w:spacing w:line="300" w:lineRule="exact"/>
              <w:jc w:val="center"/>
              <w:rPr>
                <w:rFonts w:hint="default" w:ascii="Times New Roman" w:hAnsi="Times New Roman" w:eastAsia="华文中宋" w:cs="Times New Roman"/>
                <w:szCs w:val="21"/>
                <w:lang w:val="en-US" w:eastAsia="zh-CN"/>
              </w:rPr>
            </w:pPr>
          </w:p>
        </w:tc>
        <w:tc>
          <w:tcPr>
            <w:tcW w:w="1170" w:type="dxa"/>
            <w:noWrap w:val="0"/>
            <w:vAlign w:val="center"/>
          </w:tcPr>
          <w:p w14:paraId="096F9FF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干孔</w:t>
            </w:r>
          </w:p>
        </w:tc>
        <w:tc>
          <w:tcPr>
            <w:tcW w:w="1317" w:type="dxa"/>
            <w:noWrap w:val="0"/>
            <w:vAlign w:val="center"/>
          </w:tcPr>
          <w:p w14:paraId="06579B8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矿区两侧</w:t>
            </w:r>
          </w:p>
        </w:tc>
      </w:tr>
    </w:tbl>
    <w:p w14:paraId="0D53102A">
      <w:pPr>
        <w:keepNext w:val="0"/>
        <w:keepLines w:val="0"/>
        <w:pageBreakBefore w:val="0"/>
        <w:widowControl/>
        <w:suppressLineNumbers w:val="0"/>
        <w:kinsoku/>
        <w:wordWrap/>
        <w:overflowPunct/>
        <w:topLinePunct w:val="0"/>
        <w:bidi w:val="0"/>
        <w:spacing w:line="360" w:lineRule="auto"/>
        <w:ind w:firstLine="480" w:firstLineChars="200"/>
        <w:jc w:val="left"/>
        <w:rPr>
          <w:rFonts w:hint="default" w:ascii="Times New Roman" w:hAnsi="Times New Roman" w:cs="Times New Roman" w:eastAsiaTheme="minorEastAsia"/>
          <w:color w:val="000000"/>
          <w:kern w:val="0"/>
          <w:sz w:val="24"/>
          <w:szCs w:val="24"/>
          <w:lang w:val="en-US" w:eastAsia="zh-CN"/>
        </w:rPr>
      </w:pPr>
      <w:r>
        <w:rPr>
          <w:rFonts w:hint="default" w:ascii="Times New Roman" w:hAnsi="Times New Roman" w:cs="Times New Roman" w:eastAsiaTheme="minorEastAsia"/>
          <w:color w:val="000000"/>
          <w:kern w:val="0"/>
          <w:sz w:val="24"/>
          <w:szCs w:val="24"/>
          <w:lang w:val="en-US" w:eastAsia="zh-CN"/>
        </w:rPr>
        <w:t>根据本次调查，并结合以往区域水文地质调查资料，本次在矿区上游、两侧及矿区下游共施工5口水文地质钻孔，孔深73～102米，均为干孔，因此地下水水位埋深大于102米。</w:t>
      </w:r>
      <w:r>
        <w:rPr>
          <w:rFonts w:hint="eastAsia" w:ascii="Times New Roman" w:hAnsi="Times New Roman" w:cs="Times New Roman"/>
          <w:color w:val="000000"/>
          <w:kern w:val="0"/>
          <w:sz w:val="24"/>
          <w:szCs w:val="24"/>
          <w:lang w:val="en-US" w:eastAsia="zh-CN"/>
        </w:rPr>
        <w:t>本项目A-A′水文地质剖面图见附图、B-B′水文地质剖面图、项目5口水文地质钻孔柱状图见附图中水文地质钻孔图件。</w:t>
      </w:r>
    </w:p>
    <w:p w14:paraId="3EEDAFFA">
      <w:pPr>
        <w:keepNext w:val="0"/>
        <w:keepLines w:val="0"/>
        <w:pageBreakBefore w:val="0"/>
        <w:widowControl/>
        <w:numPr>
          <w:ilvl w:val="0"/>
          <w:numId w:val="0"/>
        </w:numPr>
        <w:suppressLineNumbers w:val="0"/>
        <w:kinsoku/>
        <w:wordWrap/>
        <w:overflowPunct/>
        <w:topLinePunct w:val="0"/>
        <w:bidi w:val="0"/>
        <w:spacing w:line="360" w:lineRule="auto"/>
        <w:ind w:firstLine="480" w:firstLineChars="200"/>
        <w:jc w:val="left"/>
        <w:rPr>
          <w:rFonts w:hint="eastAsia" w:ascii="Times New Roman" w:hAnsi="Times New Roman" w:cs="Times New Roman"/>
          <w:color w:val="000000"/>
          <w:kern w:val="0"/>
          <w:sz w:val="24"/>
          <w:szCs w:val="24"/>
          <w:lang w:val="en-US" w:eastAsia="zh-CN"/>
        </w:rPr>
      </w:pPr>
      <w:r>
        <w:rPr>
          <w:rFonts w:hint="eastAsia" w:ascii="Times New Roman" w:hAnsi="Times New Roman" w:cs="Times New Roman"/>
          <w:color w:val="000000"/>
          <w:kern w:val="0"/>
          <w:sz w:val="24"/>
          <w:szCs w:val="24"/>
          <w:lang w:val="en-US" w:eastAsia="zh-CN"/>
        </w:rPr>
        <w:t>根据《环境影响评价技术导则 地下水环境》（HJ610-2016）8.3.3.3中f）条“在包气带厚度超过 100m 的地区或监测井较难布置的基岩山区，当地下水质监测点数无法满足d）要求时，可视情况调整数量，并说明调整理由。一般情况下，该类地区一级、二级评价项目应至少设置3个监测点，三级评价项目可根据需要设置一定数量的监测点。”项目区海拔高度在</w:t>
      </w:r>
      <w:r>
        <w:rPr>
          <w:rFonts w:hint="default" w:ascii="Times New Roman" w:hAnsi="Times New Roman" w:eastAsia="华文中宋" w:cs="Times New Roman"/>
          <w:sz w:val="24"/>
          <w:lang w:val="en-US" w:eastAsia="zh-CN"/>
        </w:rPr>
        <w:t>5100.31</w:t>
      </w:r>
      <w:r>
        <w:rPr>
          <w:rFonts w:hint="eastAsia" w:ascii="Times New Roman" w:hAnsi="Times New Roman" w:eastAsia="华文中宋" w:cs="Times New Roman"/>
          <w:sz w:val="24"/>
          <w:lang w:val="en-US" w:eastAsia="zh-CN"/>
        </w:rPr>
        <w:t>～</w:t>
      </w:r>
      <w:r>
        <w:rPr>
          <w:rFonts w:hint="default" w:ascii="Times New Roman" w:hAnsi="Times New Roman" w:eastAsia="华文中宋" w:cs="Times New Roman"/>
          <w:sz w:val="24"/>
          <w:lang w:val="en-US" w:eastAsia="zh-CN"/>
        </w:rPr>
        <w:t>5152.93m</w:t>
      </w:r>
      <w:r>
        <w:rPr>
          <w:rFonts w:hint="eastAsia" w:ascii="Times New Roman" w:hAnsi="Times New Roman" w:cs="Times New Roman"/>
          <w:color w:val="000000"/>
          <w:kern w:val="0"/>
          <w:sz w:val="24"/>
          <w:szCs w:val="24"/>
          <w:lang w:val="en-US" w:eastAsia="zh-CN"/>
        </w:rPr>
        <w:t>，海拔较高，且包气带厚度超过100m，地下水监测井布置较为困难，因此本项目未进行地下水监测。</w:t>
      </w:r>
    </w:p>
    <w:p w14:paraId="4FFC6B97">
      <w:pPr>
        <w:pStyle w:val="24"/>
        <w:snapToGrid w:val="0"/>
        <w:jc w:val="left"/>
        <w:rPr>
          <w:rFonts w:hint="default"/>
          <w:lang w:val="en-US" w:eastAsia="zh-CN"/>
        </w:rPr>
      </w:pPr>
      <w:r>
        <w:rPr>
          <w:rFonts w:hint="eastAsia" w:ascii="Times New Roman" w:hAnsi="Times New Roman" w:cs="Times New Roman"/>
          <w:color w:val="auto"/>
          <w:lang w:val="en-US" w:eastAsia="zh-CN"/>
        </w:rPr>
        <w:t>本项目地下水埋深≥102m，采坑最大开采深度64m，远高于地下水埋深，不会产生矿坑涌水等，地表水与地下水水力联系较弱，且闭矿期间基本不产生废水，因此在项目运营期间及闭矿期不会对地下水产生影响。</w:t>
      </w:r>
    </w:p>
    <w:p w14:paraId="7ADA3F5D">
      <w:pPr>
        <w:pStyle w:val="4"/>
        <w:spacing w:before="120" w:after="120" w:line="500" w:lineRule="exact"/>
        <w:rPr>
          <w:rFonts w:hint="default" w:ascii="Times New Roman" w:hAnsi="Times New Roman" w:eastAsia="华文中宋" w:cs="Times New Roman"/>
          <w:kern w:val="0"/>
          <w:sz w:val="24"/>
          <w:szCs w:val="24"/>
          <w:lang w:val="en-US" w:eastAsia="zh-CN"/>
        </w:rPr>
      </w:pPr>
      <w:bookmarkStart w:id="122" w:name="_Toc20172"/>
      <w:r>
        <w:rPr>
          <w:rFonts w:hint="eastAsia" w:ascii="Times New Roman" w:hAnsi="Times New Roman" w:eastAsia="华文中宋" w:cs="Times New Roman"/>
          <w:kern w:val="0"/>
          <w:sz w:val="24"/>
          <w:szCs w:val="24"/>
          <w:lang w:val="en-US" w:eastAsia="zh-CN"/>
        </w:rPr>
        <w:t>4</w:t>
      </w:r>
      <w:r>
        <w:rPr>
          <w:rFonts w:hint="default" w:ascii="Times New Roman" w:hAnsi="Times New Roman" w:eastAsia="华文中宋" w:cs="Times New Roman"/>
          <w:kern w:val="0"/>
          <w:sz w:val="24"/>
          <w:szCs w:val="24"/>
          <w:lang w:val="en-US" w:eastAsia="zh-CN"/>
        </w:rPr>
        <w:t>.2.</w:t>
      </w:r>
      <w:r>
        <w:rPr>
          <w:rFonts w:hint="eastAsia" w:ascii="Times New Roman" w:hAnsi="Times New Roman" w:eastAsia="华文中宋" w:cs="Times New Roman"/>
          <w:kern w:val="0"/>
          <w:sz w:val="24"/>
          <w:szCs w:val="24"/>
          <w:lang w:val="en-US" w:eastAsia="zh-CN"/>
        </w:rPr>
        <w:t>4</w:t>
      </w:r>
      <w:r>
        <w:rPr>
          <w:rFonts w:hint="default" w:ascii="Times New Roman" w:hAnsi="Times New Roman" w:eastAsia="华文中宋" w:cs="Times New Roman"/>
          <w:kern w:val="0"/>
          <w:sz w:val="24"/>
          <w:szCs w:val="24"/>
          <w:lang w:val="en-US" w:eastAsia="zh-CN"/>
        </w:rPr>
        <w:t>声环境质量现状监测与评价</w:t>
      </w:r>
      <w:bookmarkEnd w:id="119"/>
      <w:bookmarkEnd w:id="120"/>
      <w:bookmarkEnd w:id="121"/>
      <w:bookmarkEnd w:id="122"/>
    </w:p>
    <w:p w14:paraId="157DA4F0">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项目声环境现状委托新疆</w:t>
      </w:r>
      <w:r>
        <w:rPr>
          <w:rFonts w:hint="eastAsia" w:ascii="Times New Roman" w:hAnsi="Times New Roman" w:cs="Times New Roman"/>
          <w:color w:val="auto"/>
          <w:lang w:val="en-US" w:eastAsia="zh-CN"/>
        </w:rPr>
        <w:t>精诚检测技术</w:t>
      </w:r>
      <w:r>
        <w:rPr>
          <w:rFonts w:hint="default" w:ascii="Times New Roman" w:hAnsi="Times New Roman" w:eastAsia="华文中宋" w:cs="Times New Roman"/>
          <w:color w:val="auto"/>
          <w:lang w:val="en-US" w:eastAsia="zh-CN"/>
        </w:rPr>
        <w:t>有限公司进行现场监测。</w:t>
      </w:r>
    </w:p>
    <w:p w14:paraId="7EDB1A6F">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（1）监测点位</w:t>
      </w:r>
    </w:p>
    <w:p w14:paraId="2501E422">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val="en-US" w:eastAsia="zh-CN"/>
        </w:rPr>
        <w:t>本工程声环境现状监测分别在矿界北侧、西侧、南侧、东侧，各设置1个监测点，共4个监测点。</w:t>
      </w:r>
    </w:p>
    <w:p w14:paraId="5A44DFFC">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val="en-US" w:eastAsia="zh-CN"/>
        </w:rPr>
        <w:t>（2）</w:t>
      </w:r>
      <w:r>
        <w:rPr>
          <w:rFonts w:hint="default" w:ascii="Times New Roman" w:hAnsi="Times New Roman" w:eastAsia="华文中宋" w:cs="Times New Roman"/>
          <w:color w:val="auto"/>
        </w:rPr>
        <w:t>监测项目：</w:t>
      </w:r>
    </w:p>
    <w:p w14:paraId="61330954">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rPr>
        <w:t>昼间等效声级Ld、夜间等效声级Ln。</w:t>
      </w:r>
    </w:p>
    <w:p w14:paraId="465BD8EC">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val="en-US" w:eastAsia="zh-CN"/>
        </w:rPr>
        <w:t>（3）</w:t>
      </w:r>
      <w:r>
        <w:rPr>
          <w:rFonts w:hint="default" w:ascii="Times New Roman" w:hAnsi="Times New Roman" w:eastAsia="华文中宋" w:cs="Times New Roman"/>
          <w:color w:val="auto"/>
        </w:rPr>
        <w:t>监测时间、频次：</w:t>
      </w:r>
    </w:p>
    <w:p w14:paraId="33BEADAD">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rPr>
        <w:t>20</w:t>
      </w:r>
      <w:r>
        <w:rPr>
          <w:rFonts w:hint="default" w:ascii="Times New Roman" w:hAnsi="Times New Roman" w:eastAsia="华文中宋" w:cs="Times New Roman"/>
          <w:color w:val="auto"/>
          <w:lang w:val="en-US" w:eastAsia="zh-CN"/>
        </w:rPr>
        <w:t>2</w:t>
      </w:r>
      <w:r>
        <w:rPr>
          <w:rFonts w:hint="eastAsia" w:ascii="Times New Roman" w:hAnsi="Times New Roman" w:cs="Times New Roman"/>
          <w:color w:val="auto"/>
          <w:lang w:val="en-US" w:eastAsia="zh-CN"/>
        </w:rPr>
        <w:t>5</w:t>
      </w:r>
      <w:r>
        <w:rPr>
          <w:rFonts w:hint="default" w:ascii="Times New Roman" w:hAnsi="Times New Roman" w:eastAsia="华文中宋" w:cs="Times New Roman"/>
          <w:color w:val="auto"/>
        </w:rPr>
        <w:t>年</w:t>
      </w:r>
      <w:r>
        <w:rPr>
          <w:rFonts w:hint="eastAsia" w:ascii="Times New Roman" w:hAnsi="Times New Roman" w:cs="Times New Roman"/>
          <w:color w:val="auto"/>
          <w:lang w:val="en-US" w:eastAsia="zh-CN"/>
        </w:rPr>
        <w:t>7</w:t>
      </w:r>
      <w:r>
        <w:rPr>
          <w:rFonts w:hint="default" w:ascii="Times New Roman" w:hAnsi="Times New Roman" w:eastAsia="华文中宋" w:cs="Times New Roman"/>
          <w:color w:val="auto"/>
        </w:rPr>
        <w:t>月</w:t>
      </w:r>
      <w:r>
        <w:rPr>
          <w:rFonts w:hint="eastAsia" w:ascii="Times New Roman" w:hAnsi="Times New Roman" w:cs="Times New Roman"/>
          <w:color w:val="auto"/>
          <w:lang w:val="en-US" w:eastAsia="zh-CN"/>
        </w:rPr>
        <w:t>5</w:t>
      </w:r>
      <w:r>
        <w:rPr>
          <w:rFonts w:hint="default" w:ascii="Times New Roman" w:hAnsi="Times New Roman" w:eastAsia="华文中宋" w:cs="Times New Roman"/>
          <w:color w:val="auto"/>
        </w:rPr>
        <w:t>日</w:t>
      </w:r>
      <w:r>
        <w:rPr>
          <w:rFonts w:hint="default" w:ascii="Times New Roman" w:hAnsi="Times New Roman" w:eastAsia="华文中宋" w:cs="Times New Roman"/>
          <w:color w:val="auto"/>
          <w:lang w:eastAsia="zh-CN"/>
        </w:rPr>
        <w:t>—</w:t>
      </w:r>
      <w:r>
        <w:rPr>
          <w:rFonts w:hint="default" w:ascii="Times New Roman" w:hAnsi="Times New Roman" w:eastAsia="华文中宋" w:cs="Times New Roman"/>
          <w:color w:val="auto"/>
        </w:rPr>
        <w:t>20</w:t>
      </w:r>
      <w:r>
        <w:rPr>
          <w:rFonts w:hint="default" w:ascii="Times New Roman" w:hAnsi="Times New Roman" w:eastAsia="华文中宋" w:cs="Times New Roman"/>
          <w:color w:val="auto"/>
          <w:lang w:val="en-US" w:eastAsia="zh-CN"/>
        </w:rPr>
        <w:t>2</w:t>
      </w:r>
      <w:r>
        <w:rPr>
          <w:rFonts w:hint="eastAsia" w:ascii="Times New Roman" w:hAnsi="Times New Roman" w:cs="Times New Roman"/>
          <w:color w:val="auto"/>
          <w:lang w:val="en-US" w:eastAsia="zh-CN"/>
        </w:rPr>
        <w:t>5</w:t>
      </w:r>
      <w:r>
        <w:rPr>
          <w:rFonts w:hint="default" w:ascii="Times New Roman" w:hAnsi="Times New Roman" w:eastAsia="华文中宋" w:cs="Times New Roman"/>
          <w:color w:val="auto"/>
        </w:rPr>
        <w:t>年</w:t>
      </w:r>
      <w:r>
        <w:rPr>
          <w:rFonts w:hint="eastAsia" w:ascii="Times New Roman" w:hAnsi="Times New Roman" w:cs="Times New Roman"/>
          <w:color w:val="auto"/>
          <w:lang w:val="en-US" w:eastAsia="zh-CN"/>
        </w:rPr>
        <w:t>7</w:t>
      </w:r>
      <w:r>
        <w:rPr>
          <w:rFonts w:hint="default" w:ascii="Times New Roman" w:hAnsi="Times New Roman" w:eastAsia="华文中宋" w:cs="Times New Roman"/>
          <w:color w:val="auto"/>
        </w:rPr>
        <w:t>月</w:t>
      </w:r>
      <w:r>
        <w:rPr>
          <w:rFonts w:hint="eastAsia" w:ascii="Times New Roman" w:hAnsi="Times New Roman" w:cs="Times New Roman"/>
          <w:color w:val="auto"/>
          <w:lang w:val="en-US" w:eastAsia="zh-CN"/>
        </w:rPr>
        <w:t>6</w:t>
      </w:r>
      <w:r>
        <w:rPr>
          <w:rFonts w:hint="default" w:ascii="Times New Roman" w:hAnsi="Times New Roman" w:eastAsia="华文中宋" w:cs="Times New Roman"/>
          <w:color w:val="auto"/>
        </w:rPr>
        <w:t>日对</w:t>
      </w:r>
      <w:r>
        <w:rPr>
          <w:rFonts w:hint="default" w:ascii="Times New Roman" w:hAnsi="Times New Roman" w:eastAsia="华文中宋" w:cs="Times New Roman"/>
          <w:color w:val="auto"/>
          <w:lang w:val="en-US" w:eastAsia="zh-CN"/>
        </w:rPr>
        <w:t>矿</w:t>
      </w:r>
      <w:r>
        <w:rPr>
          <w:rFonts w:hint="default" w:ascii="Times New Roman" w:hAnsi="Times New Roman" w:eastAsia="华文中宋" w:cs="Times New Roman"/>
          <w:color w:val="auto"/>
        </w:rPr>
        <w:t>区进行监测，监测时间1天，昼夜各监测一次。</w:t>
      </w:r>
    </w:p>
    <w:p w14:paraId="28852CEC">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val="en-US" w:eastAsia="zh-CN"/>
        </w:rPr>
        <w:t>（4）</w:t>
      </w:r>
      <w:r>
        <w:rPr>
          <w:rFonts w:hint="default" w:ascii="Times New Roman" w:hAnsi="Times New Roman" w:eastAsia="华文中宋" w:cs="Times New Roman"/>
          <w:color w:val="auto"/>
        </w:rPr>
        <w:t>监测方法：</w:t>
      </w:r>
    </w:p>
    <w:p w14:paraId="25D643BE">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rPr>
        <w:t>按照《声环境质量标准》（GB 3096-2008）中规定方法进行。</w:t>
      </w:r>
    </w:p>
    <w:p w14:paraId="731AFF2E">
      <w:pPr>
        <w:pStyle w:val="24"/>
        <w:snapToGrid w:val="0"/>
        <w:jc w:val="left"/>
        <w:rPr>
          <w:rFonts w:hint="default" w:ascii="Times New Roman" w:hAnsi="Times New Roman" w:eastAsia="华文中宋" w:cs="Times New Roman"/>
          <w:color w:val="auto"/>
          <w:lang w:val="sv-SE"/>
        </w:rPr>
      </w:pPr>
      <w:r>
        <w:rPr>
          <w:rFonts w:hint="default" w:ascii="Times New Roman" w:hAnsi="Times New Roman" w:eastAsia="华文中宋" w:cs="Times New Roman"/>
          <w:color w:val="auto"/>
          <w:lang w:val="sv-SE"/>
        </w:rPr>
        <w:t>（5）监测结果</w:t>
      </w:r>
    </w:p>
    <w:p w14:paraId="366EC102">
      <w:pPr>
        <w:pStyle w:val="24"/>
        <w:snapToGrid w:val="0"/>
        <w:jc w:val="left"/>
        <w:rPr>
          <w:rFonts w:hint="default" w:ascii="Times New Roman" w:hAnsi="Times New Roman" w:eastAsia="华文中宋" w:cs="Times New Roman"/>
          <w:color w:val="auto"/>
          <w:lang w:val="sv-SE"/>
        </w:rPr>
      </w:pPr>
      <w:r>
        <w:rPr>
          <w:rFonts w:hint="default" w:ascii="Times New Roman" w:hAnsi="Times New Roman" w:eastAsia="华文中宋" w:cs="Times New Roman"/>
          <w:color w:val="auto"/>
          <w:lang w:val="sv-SE"/>
        </w:rPr>
        <w:t>声环境质量监测统计结果见</w:t>
      </w:r>
      <w:r>
        <w:rPr>
          <w:rFonts w:hint="default" w:ascii="Times New Roman" w:hAnsi="Times New Roman" w:eastAsia="华文中宋" w:cs="Times New Roman"/>
          <w:color w:val="auto"/>
        </w:rPr>
        <w:t>表</w:t>
      </w:r>
      <w:r>
        <w:rPr>
          <w:rFonts w:hint="default" w:ascii="Times New Roman" w:hAnsi="Times New Roman" w:eastAsia="华文中宋" w:cs="Times New Roman"/>
          <w:color w:val="auto"/>
          <w:lang w:val="en-US" w:eastAsia="zh-CN"/>
        </w:rPr>
        <w:t>4.2-</w:t>
      </w:r>
      <w:r>
        <w:rPr>
          <w:rFonts w:hint="eastAsia" w:ascii="Times New Roman" w:hAnsi="Times New Roman" w:cs="Times New Roman"/>
          <w:color w:val="auto"/>
          <w:lang w:val="en-US" w:eastAsia="zh-CN"/>
        </w:rPr>
        <w:t>5</w:t>
      </w:r>
      <w:r>
        <w:rPr>
          <w:rFonts w:hint="default" w:ascii="Times New Roman" w:hAnsi="Times New Roman" w:eastAsia="华文中宋" w:cs="Times New Roman"/>
          <w:color w:val="auto"/>
          <w:lang w:val="sv-SE"/>
        </w:rPr>
        <w:t>。</w:t>
      </w:r>
    </w:p>
    <w:p w14:paraId="32882D07">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表4.2-</w:t>
      </w:r>
      <w:r>
        <w:rPr>
          <w:rFonts w:hint="eastAsia" w:ascii="Times New Roman" w:hAnsi="Times New Roman" w:eastAsia="华文中宋" w:cs="Times New Roman"/>
          <w:b/>
          <w:szCs w:val="21"/>
          <w:lang w:val="en-US" w:eastAsia="zh-CN"/>
        </w:rPr>
        <w:t>5</w:t>
      </w:r>
      <w:r>
        <w:rPr>
          <w:rFonts w:hint="default" w:ascii="Times New Roman" w:hAnsi="Times New Roman" w:eastAsia="华文中宋" w:cs="Times New Roman"/>
          <w:b/>
          <w:szCs w:val="21"/>
          <w:lang w:val="en-US" w:eastAsia="zh-CN"/>
        </w:rPr>
        <w:t xml:space="preserve">  环境噪声现状监测及评价结果统计表    单位dB（A）</w:t>
      </w:r>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217"/>
        <w:gridCol w:w="1217"/>
        <w:gridCol w:w="1217"/>
        <w:gridCol w:w="1217"/>
        <w:gridCol w:w="1217"/>
        <w:gridCol w:w="1218"/>
      </w:tblGrid>
      <w:tr w14:paraId="52C10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Merge w:val="restart"/>
            <w:vAlign w:val="center"/>
          </w:tcPr>
          <w:p w14:paraId="0D5BA46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监测点</w:t>
            </w:r>
          </w:p>
        </w:tc>
        <w:tc>
          <w:tcPr>
            <w:tcW w:w="2142" w:type="pct"/>
            <w:gridSpan w:val="3"/>
            <w:vAlign w:val="center"/>
          </w:tcPr>
          <w:p w14:paraId="2C4FE41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昼间</w:t>
            </w:r>
          </w:p>
        </w:tc>
        <w:tc>
          <w:tcPr>
            <w:tcW w:w="2142" w:type="pct"/>
            <w:gridSpan w:val="3"/>
            <w:vAlign w:val="center"/>
          </w:tcPr>
          <w:p w14:paraId="31D8DCA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夜间</w:t>
            </w:r>
          </w:p>
        </w:tc>
      </w:tr>
      <w:tr w14:paraId="02FF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Merge w:val="continue"/>
            <w:vAlign w:val="center"/>
          </w:tcPr>
          <w:p w14:paraId="69210A36">
            <w:pPr>
              <w:spacing w:line="300" w:lineRule="exact"/>
              <w:jc w:val="center"/>
              <w:rPr>
                <w:rFonts w:hint="default" w:ascii="Times New Roman" w:hAnsi="Times New Roman" w:eastAsia="华文中宋" w:cs="Times New Roman"/>
                <w:szCs w:val="21"/>
                <w:lang w:val="sv-SE" w:eastAsia="zh-CN"/>
              </w:rPr>
            </w:pPr>
          </w:p>
        </w:tc>
        <w:tc>
          <w:tcPr>
            <w:tcW w:w="714" w:type="pct"/>
            <w:vAlign w:val="center"/>
          </w:tcPr>
          <w:p w14:paraId="4EA8906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监测结果</w:t>
            </w:r>
          </w:p>
        </w:tc>
        <w:tc>
          <w:tcPr>
            <w:tcW w:w="714" w:type="pct"/>
            <w:vAlign w:val="center"/>
          </w:tcPr>
          <w:p w14:paraId="741F9C9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标准限值</w:t>
            </w:r>
          </w:p>
        </w:tc>
        <w:tc>
          <w:tcPr>
            <w:tcW w:w="714" w:type="pct"/>
            <w:shd w:val="clear" w:color="auto" w:fill="auto"/>
            <w:vAlign w:val="center"/>
          </w:tcPr>
          <w:p w14:paraId="3EB0DF0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达标情况</w:t>
            </w:r>
          </w:p>
        </w:tc>
        <w:tc>
          <w:tcPr>
            <w:tcW w:w="714" w:type="pct"/>
            <w:shd w:val="clear" w:color="auto" w:fill="auto"/>
            <w:vAlign w:val="center"/>
          </w:tcPr>
          <w:p w14:paraId="7556D8EA">
            <w:pPr>
              <w:spacing w:line="300" w:lineRule="exact"/>
              <w:jc w:val="center"/>
              <w:rPr>
                <w:rFonts w:hint="default" w:ascii="Times New Roman" w:hAnsi="Times New Roman" w:eastAsia="华文中宋" w:cs="Times New Roman"/>
                <w:szCs w:val="21"/>
                <w:lang w:val="sv-SE" w:eastAsia="zh-CN"/>
              </w:rPr>
            </w:pPr>
            <w:r>
              <w:rPr>
                <w:rFonts w:hint="default" w:ascii="Times New Roman" w:hAnsi="Times New Roman" w:eastAsia="华文中宋" w:cs="Times New Roman"/>
                <w:szCs w:val="21"/>
                <w:lang w:val="en-US" w:eastAsia="zh-CN"/>
              </w:rPr>
              <w:t>监测结果</w:t>
            </w:r>
          </w:p>
        </w:tc>
        <w:tc>
          <w:tcPr>
            <w:tcW w:w="714" w:type="pct"/>
            <w:shd w:val="clear" w:color="auto" w:fill="auto"/>
            <w:vAlign w:val="center"/>
          </w:tcPr>
          <w:p w14:paraId="43D82DD8">
            <w:pPr>
              <w:spacing w:line="300" w:lineRule="exact"/>
              <w:jc w:val="center"/>
              <w:rPr>
                <w:rFonts w:hint="default" w:ascii="Times New Roman" w:hAnsi="Times New Roman" w:eastAsia="华文中宋" w:cs="Times New Roman"/>
                <w:szCs w:val="21"/>
                <w:lang w:val="sv-SE" w:eastAsia="zh-CN"/>
              </w:rPr>
            </w:pPr>
            <w:r>
              <w:rPr>
                <w:rFonts w:hint="default" w:ascii="Times New Roman" w:hAnsi="Times New Roman" w:eastAsia="华文中宋" w:cs="Times New Roman"/>
                <w:szCs w:val="21"/>
                <w:lang w:val="en-US" w:eastAsia="zh-CN"/>
              </w:rPr>
              <w:t>标准限值</w:t>
            </w:r>
          </w:p>
        </w:tc>
        <w:tc>
          <w:tcPr>
            <w:tcW w:w="714" w:type="pct"/>
            <w:shd w:val="clear" w:color="auto" w:fill="auto"/>
            <w:vAlign w:val="center"/>
          </w:tcPr>
          <w:p w14:paraId="4C95642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达标情况</w:t>
            </w:r>
          </w:p>
        </w:tc>
      </w:tr>
      <w:tr w14:paraId="78EF4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14:paraId="16937E8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矿区东侧</w:t>
            </w:r>
          </w:p>
        </w:tc>
        <w:tc>
          <w:tcPr>
            <w:tcW w:w="714" w:type="pct"/>
            <w:vAlign w:val="center"/>
          </w:tcPr>
          <w:p w14:paraId="0BBD8C72">
            <w:pPr>
              <w:spacing w:line="300" w:lineRule="exact"/>
              <w:jc w:val="center"/>
              <w:rPr>
                <w:rFonts w:hint="default" w:ascii="Times New Roman" w:hAnsi="Times New Roman" w:eastAsia="华文中宋" w:cs="Times New Roman"/>
                <w:szCs w:val="21"/>
                <w:lang w:val="en-US" w:eastAsia="zh-CN"/>
              </w:rPr>
            </w:pPr>
          </w:p>
        </w:tc>
        <w:tc>
          <w:tcPr>
            <w:tcW w:w="714" w:type="pct"/>
            <w:vAlign w:val="center"/>
          </w:tcPr>
          <w:p w14:paraId="4F5C83A4">
            <w:pPr>
              <w:spacing w:line="300" w:lineRule="exact"/>
              <w:jc w:val="center"/>
              <w:rPr>
                <w:rFonts w:hint="default" w:ascii="Times New Roman" w:hAnsi="Times New Roman" w:eastAsia="华文中宋" w:cs="Times New Roman"/>
                <w:szCs w:val="21"/>
                <w:lang w:val="en-US" w:eastAsia="zh-CN"/>
              </w:rPr>
            </w:pPr>
          </w:p>
        </w:tc>
        <w:tc>
          <w:tcPr>
            <w:tcW w:w="714" w:type="pct"/>
            <w:vAlign w:val="center"/>
          </w:tcPr>
          <w:p w14:paraId="2602D776">
            <w:pPr>
              <w:spacing w:line="300" w:lineRule="exact"/>
              <w:jc w:val="center"/>
              <w:rPr>
                <w:rFonts w:hint="default" w:ascii="Times New Roman" w:hAnsi="Times New Roman" w:eastAsia="华文中宋" w:cs="Times New Roman"/>
                <w:szCs w:val="21"/>
                <w:lang w:val="en-US" w:eastAsia="zh-CN"/>
              </w:rPr>
            </w:pPr>
          </w:p>
        </w:tc>
        <w:tc>
          <w:tcPr>
            <w:tcW w:w="714" w:type="pct"/>
            <w:vAlign w:val="center"/>
          </w:tcPr>
          <w:p w14:paraId="52E10E46">
            <w:pPr>
              <w:spacing w:line="300" w:lineRule="exact"/>
              <w:jc w:val="center"/>
              <w:rPr>
                <w:rFonts w:hint="default" w:ascii="Times New Roman" w:hAnsi="Times New Roman" w:eastAsia="华文中宋" w:cs="Times New Roman"/>
                <w:szCs w:val="21"/>
                <w:lang w:val="en-US" w:eastAsia="zh-CN"/>
              </w:rPr>
            </w:pPr>
          </w:p>
        </w:tc>
        <w:tc>
          <w:tcPr>
            <w:tcW w:w="714" w:type="pct"/>
            <w:vAlign w:val="center"/>
          </w:tcPr>
          <w:p w14:paraId="0A3B77AC">
            <w:pPr>
              <w:spacing w:line="300" w:lineRule="exact"/>
              <w:jc w:val="center"/>
              <w:rPr>
                <w:rFonts w:hint="default" w:ascii="Times New Roman" w:hAnsi="Times New Roman" w:eastAsia="华文中宋" w:cs="Times New Roman"/>
                <w:szCs w:val="21"/>
                <w:lang w:val="en-US" w:eastAsia="zh-CN"/>
              </w:rPr>
            </w:pPr>
          </w:p>
        </w:tc>
        <w:tc>
          <w:tcPr>
            <w:tcW w:w="714" w:type="pct"/>
            <w:vAlign w:val="center"/>
          </w:tcPr>
          <w:p w14:paraId="690590F2">
            <w:pPr>
              <w:spacing w:line="300" w:lineRule="exact"/>
              <w:jc w:val="center"/>
              <w:rPr>
                <w:rFonts w:hint="default" w:ascii="Times New Roman" w:hAnsi="Times New Roman" w:eastAsia="华文中宋" w:cs="Times New Roman"/>
                <w:szCs w:val="21"/>
                <w:lang w:val="en-US" w:eastAsia="zh-CN"/>
              </w:rPr>
            </w:pPr>
          </w:p>
        </w:tc>
      </w:tr>
      <w:tr w14:paraId="05374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14:paraId="1139D7B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矿区南侧</w:t>
            </w:r>
          </w:p>
        </w:tc>
        <w:tc>
          <w:tcPr>
            <w:tcW w:w="714" w:type="pct"/>
            <w:vAlign w:val="center"/>
          </w:tcPr>
          <w:p w14:paraId="1F853D82">
            <w:pPr>
              <w:spacing w:line="300" w:lineRule="exact"/>
              <w:jc w:val="center"/>
              <w:rPr>
                <w:rFonts w:hint="default" w:ascii="Times New Roman" w:hAnsi="Times New Roman" w:eastAsia="华文中宋" w:cs="Times New Roman"/>
                <w:szCs w:val="21"/>
                <w:lang w:val="en-US" w:eastAsia="zh-CN"/>
              </w:rPr>
            </w:pPr>
          </w:p>
        </w:tc>
        <w:tc>
          <w:tcPr>
            <w:tcW w:w="714" w:type="pct"/>
            <w:vAlign w:val="center"/>
          </w:tcPr>
          <w:p w14:paraId="3AA0BBE6">
            <w:pPr>
              <w:spacing w:line="300" w:lineRule="exact"/>
              <w:jc w:val="center"/>
              <w:rPr>
                <w:rFonts w:hint="default" w:ascii="Times New Roman" w:hAnsi="Times New Roman" w:eastAsia="华文中宋" w:cs="Times New Roman"/>
                <w:szCs w:val="21"/>
                <w:lang w:val="en-US" w:eastAsia="zh-CN"/>
              </w:rPr>
            </w:pPr>
          </w:p>
        </w:tc>
        <w:tc>
          <w:tcPr>
            <w:tcW w:w="714" w:type="pct"/>
            <w:vAlign w:val="center"/>
          </w:tcPr>
          <w:p w14:paraId="3D9E8AF0">
            <w:pPr>
              <w:spacing w:line="300" w:lineRule="exact"/>
              <w:jc w:val="center"/>
              <w:rPr>
                <w:rFonts w:hint="default" w:ascii="Times New Roman" w:hAnsi="Times New Roman" w:eastAsia="华文中宋" w:cs="Times New Roman"/>
                <w:szCs w:val="21"/>
                <w:lang w:val="en-US" w:eastAsia="zh-CN"/>
              </w:rPr>
            </w:pPr>
          </w:p>
        </w:tc>
        <w:tc>
          <w:tcPr>
            <w:tcW w:w="714" w:type="pct"/>
            <w:vAlign w:val="center"/>
          </w:tcPr>
          <w:p w14:paraId="7F37D806">
            <w:pPr>
              <w:spacing w:line="300" w:lineRule="exact"/>
              <w:jc w:val="center"/>
              <w:rPr>
                <w:rFonts w:hint="default" w:ascii="Times New Roman" w:hAnsi="Times New Roman" w:eastAsia="华文中宋" w:cs="Times New Roman"/>
                <w:szCs w:val="21"/>
                <w:lang w:val="en-US" w:eastAsia="zh-CN"/>
              </w:rPr>
            </w:pPr>
          </w:p>
        </w:tc>
        <w:tc>
          <w:tcPr>
            <w:tcW w:w="714" w:type="pct"/>
            <w:vAlign w:val="center"/>
          </w:tcPr>
          <w:p w14:paraId="7F9343D3">
            <w:pPr>
              <w:spacing w:line="300" w:lineRule="exact"/>
              <w:jc w:val="center"/>
              <w:rPr>
                <w:rFonts w:hint="default" w:ascii="Times New Roman" w:hAnsi="Times New Roman" w:eastAsia="华文中宋" w:cs="Times New Roman"/>
                <w:szCs w:val="21"/>
                <w:lang w:val="en-US" w:eastAsia="zh-CN"/>
              </w:rPr>
            </w:pPr>
          </w:p>
        </w:tc>
        <w:tc>
          <w:tcPr>
            <w:tcW w:w="714" w:type="pct"/>
            <w:vAlign w:val="center"/>
          </w:tcPr>
          <w:p w14:paraId="75DDC2DE">
            <w:pPr>
              <w:spacing w:line="300" w:lineRule="exact"/>
              <w:jc w:val="center"/>
              <w:rPr>
                <w:rFonts w:hint="default" w:ascii="Times New Roman" w:hAnsi="Times New Roman" w:eastAsia="华文中宋" w:cs="Times New Roman"/>
                <w:szCs w:val="21"/>
                <w:lang w:val="en-US" w:eastAsia="zh-CN"/>
              </w:rPr>
            </w:pPr>
          </w:p>
        </w:tc>
      </w:tr>
      <w:tr w14:paraId="0D935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14:paraId="2FBA53B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矿区西侧</w:t>
            </w:r>
          </w:p>
        </w:tc>
        <w:tc>
          <w:tcPr>
            <w:tcW w:w="714" w:type="pct"/>
            <w:vAlign w:val="center"/>
          </w:tcPr>
          <w:p w14:paraId="4E923FC1">
            <w:pPr>
              <w:spacing w:line="300" w:lineRule="exact"/>
              <w:jc w:val="center"/>
              <w:rPr>
                <w:rFonts w:hint="default" w:ascii="Times New Roman" w:hAnsi="Times New Roman" w:eastAsia="华文中宋" w:cs="Times New Roman"/>
                <w:szCs w:val="21"/>
                <w:lang w:val="en-US" w:eastAsia="zh-CN"/>
              </w:rPr>
            </w:pPr>
          </w:p>
        </w:tc>
        <w:tc>
          <w:tcPr>
            <w:tcW w:w="714" w:type="pct"/>
            <w:vAlign w:val="center"/>
          </w:tcPr>
          <w:p w14:paraId="3628D560">
            <w:pPr>
              <w:spacing w:line="300" w:lineRule="exact"/>
              <w:jc w:val="center"/>
              <w:rPr>
                <w:rFonts w:hint="default" w:ascii="Times New Roman" w:hAnsi="Times New Roman" w:eastAsia="华文中宋" w:cs="Times New Roman"/>
                <w:szCs w:val="21"/>
                <w:lang w:val="en-US" w:eastAsia="zh-CN"/>
              </w:rPr>
            </w:pPr>
          </w:p>
        </w:tc>
        <w:tc>
          <w:tcPr>
            <w:tcW w:w="714" w:type="pct"/>
            <w:vAlign w:val="center"/>
          </w:tcPr>
          <w:p w14:paraId="51AC96E6">
            <w:pPr>
              <w:spacing w:line="300" w:lineRule="exact"/>
              <w:jc w:val="center"/>
              <w:rPr>
                <w:rFonts w:hint="default" w:ascii="Times New Roman" w:hAnsi="Times New Roman" w:eastAsia="华文中宋" w:cs="Times New Roman"/>
                <w:szCs w:val="21"/>
                <w:lang w:val="en-US" w:eastAsia="zh-CN"/>
              </w:rPr>
            </w:pPr>
          </w:p>
        </w:tc>
        <w:tc>
          <w:tcPr>
            <w:tcW w:w="714" w:type="pct"/>
            <w:vAlign w:val="center"/>
          </w:tcPr>
          <w:p w14:paraId="18AA2E54">
            <w:pPr>
              <w:spacing w:line="300" w:lineRule="exact"/>
              <w:jc w:val="center"/>
              <w:rPr>
                <w:rFonts w:hint="default" w:ascii="Times New Roman" w:hAnsi="Times New Roman" w:eastAsia="华文中宋" w:cs="Times New Roman"/>
                <w:szCs w:val="21"/>
                <w:lang w:val="en-US" w:eastAsia="zh-CN"/>
              </w:rPr>
            </w:pPr>
          </w:p>
        </w:tc>
        <w:tc>
          <w:tcPr>
            <w:tcW w:w="714" w:type="pct"/>
            <w:vAlign w:val="center"/>
          </w:tcPr>
          <w:p w14:paraId="3C6BA20E">
            <w:pPr>
              <w:spacing w:line="300" w:lineRule="exact"/>
              <w:jc w:val="center"/>
              <w:rPr>
                <w:rFonts w:hint="default" w:ascii="Times New Roman" w:hAnsi="Times New Roman" w:eastAsia="华文中宋" w:cs="Times New Roman"/>
                <w:szCs w:val="21"/>
                <w:lang w:val="en-US" w:eastAsia="zh-CN"/>
              </w:rPr>
            </w:pPr>
          </w:p>
        </w:tc>
        <w:tc>
          <w:tcPr>
            <w:tcW w:w="714" w:type="pct"/>
            <w:vAlign w:val="center"/>
          </w:tcPr>
          <w:p w14:paraId="5CF40209">
            <w:pPr>
              <w:spacing w:line="300" w:lineRule="exact"/>
              <w:jc w:val="center"/>
              <w:rPr>
                <w:rFonts w:hint="default" w:ascii="Times New Roman" w:hAnsi="Times New Roman" w:eastAsia="华文中宋" w:cs="Times New Roman"/>
                <w:szCs w:val="21"/>
                <w:lang w:val="en-US" w:eastAsia="zh-CN"/>
              </w:rPr>
            </w:pPr>
          </w:p>
        </w:tc>
      </w:tr>
      <w:tr w14:paraId="31303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14:paraId="45F9DA6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矿区北侧</w:t>
            </w:r>
          </w:p>
        </w:tc>
        <w:tc>
          <w:tcPr>
            <w:tcW w:w="714" w:type="pct"/>
            <w:vAlign w:val="center"/>
          </w:tcPr>
          <w:p w14:paraId="6757D054">
            <w:pPr>
              <w:spacing w:line="300" w:lineRule="exact"/>
              <w:jc w:val="center"/>
              <w:rPr>
                <w:rFonts w:hint="default" w:ascii="Times New Roman" w:hAnsi="Times New Roman" w:eastAsia="华文中宋" w:cs="Times New Roman"/>
                <w:szCs w:val="21"/>
                <w:lang w:val="en-US" w:eastAsia="zh-CN"/>
              </w:rPr>
            </w:pPr>
          </w:p>
        </w:tc>
        <w:tc>
          <w:tcPr>
            <w:tcW w:w="714" w:type="pct"/>
            <w:vAlign w:val="center"/>
          </w:tcPr>
          <w:p w14:paraId="25A47999">
            <w:pPr>
              <w:spacing w:line="300" w:lineRule="exact"/>
              <w:jc w:val="center"/>
              <w:rPr>
                <w:rFonts w:hint="default" w:ascii="Times New Roman" w:hAnsi="Times New Roman" w:eastAsia="华文中宋" w:cs="Times New Roman"/>
                <w:szCs w:val="21"/>
                <w:lang w:val="en-US" w:eastAsia="zh-CN"/>
              </w:rPr>
            </w:pPr>
          </w:p>
        </w:tc>
        <w:tc>
          <w:tcPr>
            <w:tcW w:w="714" w:type="pct"/>
            <w:vAlign w:val="center"/>
          </w:tcPr>
          <w:p w14:paraId="79B57651">
            <w:pPr>
              <w:spacing w:line="300" w:lineRule="exact"/>
              <w:jc w:val="center"/>
              <w:rPr>
                <w:rFonts w:hint="default" w:ascii="Times New Roman" w:hAnsi="Times New Roman" w:eastAsia="华文中宋" w:cs="Times New Roman"/>
                <w:szCs w:val="21"/>
                <w:lang w:val="en-US" w:eastAsia="zh-CN"/>
              </w:rPr>
            </w:pPr>
          </w:p>
        </w:tc>
        <w:tc>
          <w:tcPr>
            <w:tcW w:w="714" w:type="pct"/>
            <w:vAlign w:val="center"/>
          </w:tcPr>
          <w:p w14:paraId="5BDDEFE3">
            <w:pPr>
              <w:spacing w:line="300" w:lineRule="exact"/>
              <w:jc w:val="center"/>
              <w:rPr>
                <w:rFonts w:hint="default" w:ascii="Times New Roman" w:hAnsi="Times New Roman" w:eastAsia="华文中宋" w:cs="Times New Roman"/>
                <w:szCs w:val="21"/>
                <w:lang w:val="en-US" w:eastAsia="zh-CN"/>
              </w:rPr>
            </w:pPr>
          </w:p>
        </w:tc>
        <w:tc>
          <w:tcPr>
            <w:tcW w:w="714" w:type="pct"/>
            <w:vAlign w:val="center"/>
          </w:tcPr>
          <w:p w14:paraId="32F90042">
            <w:pPr>
              <w:spacing w:line="300" w:lineRule="exact"/>
              <w:jc w:val="center"/>
              <w:rPr>
                <w:rFonts w:hint="default" w:ascii="Times New Roman" w:hAnsi="Times New Roman" w:eastAsia="华文中宋" w:cs="Times New Roman"/>
                <w:szCs w:val="21"/>
                <w:lang w:val="en-US" w:eastAsia="zh-CN"/>
              </w:rPr>
            </w:pPr>
          </w:p>
        </w:tc>
        <w:tc>
          <w:tcPr>
            <w:tcW w:w="714" w:type="pct"/>
            <w:vAlign w:val="center"/>
          </w:tcPr>
          <w:p w14:paraId="56272F7A">
            <w:pPr>
              <w:spacing w:line="300" w:lineRule="exact"/>
              <w:jc w:val="center"/>
              <w:rPr>
                <w:rFonts w:hint="default" w:ascii="Times New Roman" w:hAnsi="Times New Roman" w:eastAsia="华文中宋" w:cs="Times New Roman"/>
                <w:szCs w:val="21"/>
                <w:lang w:val="en-US" w:eastAsia="zh-CN"/>
              </w:rPr>
            </w:pPr>
          </w:p>
        </w:tc>
      </w:tr>
    </w:tbl>
    <w:p w14:paraId="3F38B592">
      <w:pPr>
        <w:pStyle w:val="24"/>
        <w:snapToGrid w:val="0"/>
        <w:jc w:val="left"/>
        <w:rPr>
          <w:rFonts w:hint="default" w:ascii="Times New Roman" w:hAnsi="Times New Roman" w:eastAsia="华文中宋" w:cs="Times New Roman"/>
          <w:color w:val="auto"/>
          <w:lang w:val="sv-SE"/>
        </w:rPr>
      </w:pPr>
      <w:r>
        <w:rPr>
          <w:rFonts w:hint="default" w:ascii="Times New Roman" w:hAnsi="Times New Roman" w:eastAsia="华文中宋" w:cs="Times New Roman"/>
          <w:color w:val="auto"/>
          <w:lang w:val="en-US" w:eastAsia="zh-CN"/>
        </w:rPr>
        <w:t>监测结果表明：项目区场界昼间、夜间噪声值均满足《声环境质量标准》（GB3096-2008）2类标准要求。</w:t>
      </w:r>
    </w:p>
    <w:p w14:paraId="24DCBDCE">
      <w:pPr>
        <w:pStyle w:val="4"/>
        <w:spacing w:before="120" w:after="120" w:line="500" w:lineRule="exact"/>
        <w:rPr>
          <w:rFonts w:hint="default" w:ascii="Times New Roman" w:hAnsi="Times New Roman" w:eastAsia="华文中宋" w:cs="Times New Roman"/>
          <w:kern w:val="0"/>
          <w:sz w:val="24"/>
          <w:szCs w:val="24"/>
          <w:lang w:val="en-US" w:eastAsia="zh-CN"/>
        </w:rPr>
      </w:pPr>
      <w:bookmarkStart w:id="123" w:name="_Toc10825"/>
      <w:r>
        <w:rPr>
          <w:rFonts w:hint="default" w:ascii="Times New Roman" w:hAnsi="Times New Roman" w:eastAsia="华文中宋" w:cs="Times New Roman"/>
          <w:kern w:val="0"/>
          <w:sz w:val="24"/>
          <w:szCs w:val="24"/>
          <w:lang w:val="en-US" w:eastAsia="zh-CN"/>
        </w:rPr>
        <w:t>4.2.</w:t>
      </w:r>
      <w:r>
        <w:rPr>
          <w:rFonts w:hint="eastAsia" w:ascii="Times New Roman" w:hAnsi="Times New Roman" w:eastAsia="华文中宋" w:cs="Times New Roman"/>
          <w:kern w:val="0"/>
          <w:sz w:val="24"/>
          <w:szCs w:val="24"/>
          <w:lang w:val="en-US" w:eastAsia="zh-CN"/>
        </w:rPr>
        <w:t>5</w:t>
      </w:r>
      <w:r>
        <w:rPr>
          <w:rFonts w:hint="default" w:ascii="Times New Roman" w:hAnsi="Times New Roman" w:eastAsia="华文中宋" w:cs="Times New Roman"/>
          <w:kern w:val="0"/>
          <w:sz w:val="24"/>
          <w:szCs w:val="24"/>
          <w:lang w:val="en-US" w:eastAsia="zh-CN"/>
        </w:rPr>
        <w:t xml:space="preserve"> 土壤环境现状监测与评价</w:t>
      </w:r>
      <w:bookmarkEnd w:id="123"/>
    </w:p>
    <w:p w14:paraId="3C490397">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本次评价针对矿区内及周边土壤进行监测。</w:t>
      </w:r>
    </w:p>
    <w:p w14:paraId="06BD13A2">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（1）监测点位</w:t>
      </w:r>
    </w:p>
    <w:p w14:paraId="09625B4A">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本项目土壤环境评价生态影响型评价及污染影响评价均为二级。因此在项目区内及项目区外2km范围内设置了10个土壤监测点（6个项目区内，4个项目区外）</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详见下表4.2-</w:t>
      </w:r>
      <w:r>
        <w:rPr>
          <w:rFonts w:hint="eastAsia" w:ascii="Times New Roman" w:hAnsi="Times New Roman" w:cs="Times New Roman"/>
          <w:color w:val="auto"/>
          <w:lang w:val="en-US" w:eastAsia="zh-CN"/>
        </w:rPr>
        <w:t>6。</w:t>
      </w:r>
    </w:p>
    <w:p w14:paraId="2EEBCE3E">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表4.2-</w:t>
      </w:r>
      <w:r>
        <w:rPr>
          <w:rFonts w:hint="eastAsia" w:ascii="Times New Roman" w:hAnsi="Times New Roman" w:eastAsia="华文中宋" w:cs="Times New Roman"/>
          <w:b/>
          <w:szCs w:val="21"/>
          <w:lang w:val="en-US" w:eastAsia="zh-CN"/>
        </w:rPr>
        <w:t>6</w:t>
      </w:r>
      <w:r>
        <w:rPr>
          <w:rFonts w:hint="default" w:ascii="Times New Roman" w:hAnsi="Times New Roman" w:eastAsia="华文中宋" w:cs="Times New Roman"/>
          <w:b/>
          <w:szCs w:val="21"/>
          <w:lang w:val="en-US" w:eastAsia="zh-CN"/>
        </w:rPr>
        <w:t xml:space="preserve">  土壤监测布点及监测因子一览表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3"/>
        <w:gridCol w:w="3220"/>
        <w:gridCol w:w="897"/>
        <w:gridCol w:w="2075"/>
        <w:gridCol w:w="1454"/>
      </w:tblGrid>
      <w:tr w14:paraId="1D23C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512" w:type="pct"/>
            <w:vAlign w:val="center"/>
          </w:tcPr>
          <w:p w14:paraId="54C424B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监测点序号</w:t>
            </w:r>
          </w:p>
        </w:tc>
        <w:tc>
          <w:tcPr>
            <w:tcW w:w="1889" w:type="pct"/>
            <w:vAlign w:val="center"/>
          </w:tcPr>
          <w:p w14:paraId="0A972CB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监测项目</w:t>
            </w:r>
          </w:p>
        </w:tc>
        <w:tc>
          <w:tcPr>
            <w:tcW w:w="526" w:type="pct"/>
            <w:vAlign w:val="center"/>
          </w:tcPr>
          <w:p w14:paraId="0FE1C10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监测点位置</w:t>
            </w:r>
          </w:p>
        </w:tc>
        <w:tc>
          <w:tcPr>
            <w:tcW w:w="1217" w:type="pct"/>
            <w:vAlign w:val="center"/>
          </w:tcPr>
          <w:p w14:paraId="5257E65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用地类型</w:t>
            </w:r>
          </w:p>
        </w:tc>
        <w:tc>
          <w:tcPr>
            <w:tcW w:w="853" w:type="pct"/>
            <w:vAlign w:val="center"/>
          </w:tcPr>
          <w:p w14:paraId="6710566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备注</w:t>
            </w:r>
          </w:p>
        </w:tc>
      </w:tr>
      <w:tr w14:paraId="2CC3A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512" w:type="pct"/>
            <w:vAlign w:val="center"/>
          </w:tcPr>
          <w:p w14:paraId="244C35C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w:t>
            </w:r>
          </w:p>
        </w:tc>
        <w:tc>
          <w:tcPr>
            <w:tcW w:w="1889" w:type="pct"/>
            <w:vAlign w:val="center"/>
          </w:tcPr>
          <w:p w14:paraId="492A9D7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锑、铅、锌</w:t>
            </w:r>
          </w:p>
        </w:tc>
        <w:tc>
          <w:tcPr>
            <w:tcW w:w="526" w:type="pct"/>
            <w:vMerge w:val="restart"/>
            <w:vAlign w:val="center"/>
          </w:tcPr>
          <w:p w14:paraId="0185741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项目区内</w:t>
            </w:r>
          </w:p>
        </w:tc>
        <w:tc>
          <w:tcPr>
            <w:tcW w:w="1217" w:type="pct"/>
            <w:vAlign w:val="center"/>
          </w:tcPr>
          <w:p w14:paraId="509703A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建设用地</w:t>
            </w:r>
          </w:p>
        </w:tc>
        <w:tc>
          <w:tcPr>
            <w:tcW w:w="853" w:type="pct"/>
            <w:vAlign w:val="center"/>
          </w:tcPr>
          <w:p w14:paraId="432BF7C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柱状样</w:t>
            </w:r>
          </w:p>
        </w:tc>
      </w:tr>
      <w:tr w14:paraId="70FF4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512" w:type="pct"/>
            <w:vAlign w:val="center"/>
          </w:tcPr>
          <w:p w14:paraId="780E964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w:t>
            </w:r>
          </w:p>
        </w:tc>
        <w:tc>
          <w:tcPr>
            <w:tcW w:w="1889" w:type="pct"/>
            <w:vAlign w:val="center"/>
          </w:tcPr>
          <w:p w14:paraId="5B4BC26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锑、铅、锌</w:t>
            </w:r>
          </w:p>
        </w:tc>
        <w:tc>
          <w:tcPr>
            <w:tcW w:w="526" w:type="pct"/>
            <w:vMerge w:val="continue"/>
            <w:vAlign w:val="center"/>
          </w:tcPr>
          <w:p w14:paraId="41D37F0C">
            <w:pPr>
              <w:spacing w:line="300" w:lineRule="exact"/>
              <w:jc w:val="center"/>
              <w:rPr>
                <w:rFonts w:hint="default" w:ascii="Times New Roman" w:hAnsi="Times New Roman" w:eastAsia="华文中宋" w:cs="Times New Roman"/>
                <w:szCs w:val="21"/>
                <w:lang w:val="en-US" w:eastAsia="zh-CN"/>
              </w:rPr>
            </w:pPr>
          </w:p>
        </w:tc>
        <w:tc>
          <w:tcPr>
            <w:tcW w:w="1217" w:type="pct"/>
            <w:vAlign w:val="center"/>
          </w:tcPr>
          <w:p w14:paraId="46AEBE5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建设用地</w:t>
            </w:r>
          </w:p>
        </w:tc>
        <w:tc>
          <w:tcPr>
            <w:tcW w:w="853" w:type="pct"/>
            <w:vAlign w:val="center"/>
          </w:tcPr>
          <w:p w14:paraId="17A52B1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柱状样</w:t>
            </w:r>
          </w:p>
        </w:tc>
      </w:tr>
      <w:tr w14:paraId="75425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512" w:type="pct"/>
            <w:vAlign w:val="center"/>
          </w:tcPr>
          <w:p w14:paraId="446CF34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w:t>
            </w:r>
          </w:p>
        </w:tc>
        <w:tc>
          <w:tcPr>
            <w:tcW w:w="1889" w:type="pct"/>
            <w:vAlign w:val="center"/>
          </w:tcPr>
          <w:p w14:paraId="65506BE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锑、铅、锌</w:t>
            </w:r>
          </w:p>
        </w:tc>
        <w:tc>
          <w:tcPr>
            <w:tcW w:w="526" w:type="pct"/>
            <w:vMerge w:val="continue"/>
            <w:vAlign w:val="center"/>
          </w:tcPr>
          <w:p w14:paraId="784BD5B1">
            <w:pPr>
              <w:spacing w:line="300" w:lineRule="exact"/>
              <w:jc w:val="center"/>
              <w:rPr>
                <w:rFonts w:hint="default" w:ascii="Times New Roman" w:hAnsi="Times New Roman" w:eastAsia="华文中宋" w:cs="Times New Roman"/>
                <w:szCs w:val="21"/>
                <w:lang w:val="en-US" w:eastAsia="zh-CN"/>
              </w:rPr>
            </w:pPr>
          </w:p>
        </w:tc>
        <w:tc>
          <w:tcPr>
            <w:tcW w:w="1217" w:type="pct"/>
            <w:vAlign w:val="center"/>
          </w:tcPr>
          <w:p w14:paraId="091E3BC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建设用地</w:t>
            </w:r>
          </w:p>
        </w:tc>
        <w:tc>
          <w:tcPr>
            <w:tcW w:w="853" w:type="pct"/>
            <w:vAlign w:val="center"/>
          </w:tcPr>
          <w:p w14:paraId="2B03944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柱状样</w:t>
            </w:r>
          </w:p>
        </w:tc>
      </w:tr>
      <w:tr w14:paraId="1854E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512" w:type="pct"/>
            <w:vAlign w:val="center"/>
          </w:tcPr>
          <w:p w14:paraId="7FF0182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w:t>
            </w:r>
          </w:p>
        </w:tc>
        <w:tc>
          <w:tcPr>
            <w:tcW w:w="1889" w:type="pct"/>
            <w:vAlign w:val="center"/>
          </w:tcPr>
          <w:p w14:paraId="4819951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建设用地土壤质量标准45项、pH、全盐量、锑、锌。</w:t>
            </w:r>
          </w:p>
        </w:tc>
        <w:tc>
          <w:tcPr>
            <w:tcW w:w="526" w:type="pct"/>
            <w:vMerge w:val="continue"/>
            <w:vAlign w:val="center"/>
          </w:tcPr>
          <w:p w14:paraId="55143387">
            <w:pPr>
              <w:spacing w:line="300" w:lineRule="exact"/>
              <w:jc w:val="center"/>
              <w:rPr>
                <w:rFonts w:hint="default" w:ascii="Times New Roman" w:hAnsi="Times New Roman" w:eastAsia="华文中宋" w:cs="Times New Roman"/>
                <w:szCs w:val="21"/>
                <w:lang w:val="en-US" w:eastAsia="zh-CN"/>
              </w:rPr>
            </w:pPr>
          </w:p>
        </w:tc>
        <w:tc>
          <w:tcPr>
            <w:tcW w:w="1217" w:type="pct"/>
            <w:vAlign w:val="center"/>
          </w:tcPr>
          <w:p w14:paraId="422A932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建设用地</w:t>
            </w:r>
          </w:p>
        </w:tc>
        <w:tc>
          <w:tcPr>
            <w:tcW w:w="853" w:type="pct"/>
            <w:vAlign w:val="center"/>
          </w:tcPr>
          <w:p w14:paraId="4301145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表层样点</w:t>
            </w:r>
          </w:p>
        </w:tc>
      </w:tr>
      <w:tr w14:paraId="375C4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512" w:type="pct"/>
            <w:vAlign w:val="center"/>
          </w:tcPr>
          <w:p w14:paraId="05770BA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w:t>
            </w:r>
          </w:p>
        </w:tc>
        <w:tc>
          <w:tcPr>
            <w:tcW w:w="1889" w:type="pct"/>
            <w:vAlign w:val="center"/>
          </w:tcPr>
          <w:p w14:paraId="3E18216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锑、铅、锌</w:t>
            </w:r>
          </w:p>
        </w:tc>
        <w:tc>
          <w:tcPr>
            <w:tcW w:w="526" w:type="pct"/>
            <w:vMerge w:val="continue"/>
            <w:vAlign w:val="center"/>
          </w:tcPr>
          <w:p w14:paraId="58444C2D">
            <w:pPr>
              <w:spacing w:line="300" w:lineRule="exact"/>
              <w:jc w:val="center"/>
              <w:rPr>
                <w:rFonts w:hint="default" w:ascii="Times New Roman" w:hAnsi="Times New Roman" w:eastAsia="华文中宋" w:cs="Times New Roman"/>
                <w:szCs w:val="21"/>
                <w:lang w:val="en-US" w:eastAsia="zh-CN"/>
              </w:rPr>
            </w:pPr>
          </w:p>
        </w:tc>
        <w:tc>
          <w:tcPr>
            <w:tcW w:w="1217" w:type="pct"/>
            <w:vAlign w:val="center"/>
          </w:tcPr>
          <w:p w14:paraId="2BD9BFF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建设用地</w:t>
            </w:r>
          </w:p>
        </w:tc>
        <w:tc>
          <w:tcPr>
            <w:tcW w:w="853" w:type="pct"/>
            <w:vAlign w:val="center"/>
          </w:tcPr>
          <w:p w14:paraId="3E975E5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表层样点</w:t>
            </w:r>
          </w:p>
        </w:tc>
      </w:tr>
      <w:tr w14:paraId="4F52F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512" w:type="pct"/>
            <w:vAlign w:val="center"/>
          </w:tcPr>
          <w:p w14:paraId="1535CAB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w:t>
            </w:r>
          </w:p>
        </w:tc>
        <w:tc>
          <w:tcPr>
            <w:tcW w:w="1889" w:type="pct"/>
            <w:vAlign w:val="center"/>
          </w:tcPr>
          <w:p w14:paraId="3C0E30C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锑、铅、锌</w:t>
            </w:r>
          </w:p>
        </w:tc>
        <w:tc>
          <w:tcPr>
            <w:tcW w:w="526" w:type="pct"/>
            <w:vMerge w:val="continue"/>
            <w:vAlign w:val="center"/>
          </w:tcPr>
          <w:p w14:paraId="5B1A0396">
            <w:pPr>
              <w:spacing w:line="300" w:lineRule="exact"/>
              <w:jc w:val="center"/>
              <w:rPr>
                <w:rFonts w:hint="default" w:ascii="Times New Roman" w:hAnsi="Times New Roman" w:eastAsia="华文中宋" w:cs="Times New Roman"/>
                <w:szCs w:val="21"/>
                <w:lang w:val="en-US" w:eastAsia="zh-CN"/>
              </w:rPr>
            </w:pPr>
          </w:p>
        </w:tc>
        <w:tc>
          <w:tcPr>
            <w:tcW w:w="1217" w:type="pct"/>
            <w:vAlign w:val="center"/>
          </w:tcPr>
          <w:p w14:paraId="7090F8D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建设用地</w:t>
            </w:r>
          </w:p>
        </w:tc>
        <w:tc>
          <w:tcPr>
            <w:tcW w:w="853" w:type="pct"/>
            <w:vAlign w:val="center"/>
          </w:tcPr>
          <w:p w14:paraId="35F20B9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表层样点</w:t>
            </w:r>
          </w:p>
        </w:tc>
      </w:tr>
      <w:tr w14:paraId="011CB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512" w:type="pct"/>
            <w:vAlign w:val="center"/>
          </w:tcPr>
          <w:p w14:paraId="7A9E993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7#</w:t>
            </w:r>
          </w:p>
        </w:tc>
        <w:tc>
          <w:tcPr>
            <w:tcW w:w="1889" w:type="pct"/>
            <w:vAlign w:val="center"/>
          </w:tcPr>
          <w:p w14:paraId="57D26C1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锑、铅、锌</w:t>
            </w:r>
          </w:p>
        </w:tc>
        <w:tc>
          <w:tcPr>
            <w:tcW w:w="526" w:type="pct"/>
            <w:vMerge w:val="restart"/>
            <w:vAlign w:val="center"/>
          </w:tcPr>
          <w:p w14:paraId="203CE82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项目区外</w:t>
            </w:r>
          </w:p>
        </w:tc>
        <w:tc>
          <w:tcPr>
            <w:tcW w:w="1217" w:type="pct"/>
            <w:vAlign w:val="center"/>
          </w:tcPr>
          <w:p w14:paraId="2507DF6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牧草地</w:t>
            </w:r>
          </w:p>
        </w:tc>
        <w:tc>
          <w:tcPr>
            <w:tcW w:w="853" w:type="pct"/>
            <w:vAlign w:val="center"/>
          </w:tcPr>
          <w:p w14:paraId="227EDEE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表层样点</w:t>
            </w:r>
          </w:p>
        </w:tc>
      </w:tr>
      <w:tr w14:paraId="27730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512" w:type="pct"/>
            <w:vAlign w:val="center"/>
          </w:tcPr>
          <w:p w14:paraId="3EB8A18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w:t>
            </w:r>
          </w:p>
        </w:tc>
        <w:tc>
          <w:tcPr>
            <w:tcW w:w="1889" w:type="pct"/>
            <w:vAlign w:val="center"/>
          </w:tcPr>
          <w:p w14:paraId="43DDFAA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锑、铅、锌</w:t>
            </w:r>
          </w:p>
        </w:tc>
        <w:tc>
          <w:tcPr>
            <w:tcW w:w="526" w:type="pct"/>
            <w:vMerge w:val="continue"/>
            <w:vAlign w:val="center"/>
          </w:tcPr>
          <w:p w14:paraId="5A9DEB91">
            <w:pPr>
              <w:spacing w:line="300" w:lineRule="exact"/>
              <w:jc w:val="center"/>
              <w:rPr>
                <w:rFonts w:hint="default" w:ascii="Times New Roman" w:hAnsi="Times New Roman" w:eastAsia="华文中宋" w:cs="Times New Roman"/>
                <w:szCs w:val="21"/>
                <w:lang w:val="en-US" w:eastAsia="zh-CN"/>
              </w:rPr>
            </w:pPr>
          </w:p>
        </w:tc>
        <w:tc>
          <w:tcPr>
            <w:tcW w:w="1217" w:type="pct"/>
            <w:vAlign w:val="center"/>
          </w:tcPr>
          <w:p w14:paraId="64730DC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牧草地</w:t>
            </w:r>
          </w:p>
        </w:tc>
        <w:tc>
          <w:tcPr>
            <w:tcW w:w="853" w:type="pct"/>
            <w:vAlign w:val="center"/>
          </w:tcPr>
          <w:p w14:paraId="09259E3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表层样点</w:t>
            </w:r>
          </w:p>
        </w:tc>
      </w:tr>
      <w:tr w14:paraId="6DB14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512" w:type="pct"/>
            <w:vAlign w:val="center"/>
          </w:tcPr>
          <w:p w14:paraId="1DAC061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9#</w:t>
            </w:r>
          </w:p>
        </w:tc>
        <w:tc>
          <w:tcPr>
            <w:tcW w:w="1889" w:type="pct"/>
            <w:vAlign w:val="center"/>
          </w:tcPr>
          <w:p w14:paraId="57C9486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锑、铅、锌</w:t>
            </w:r>
          </w:p>
        </w:tc>
        <w:tc>
          <w:tcPr>
            <w:tcW w:w="526" w:type="pct"/>
            <w:vMerge w:val="continue"/>
            <w:vAlign w:val="center"/>
          </w:tcPr>
          <w:p w14:paraId="36B011DB">
            <w:pPr>
              <w:spacing w:line="300" w:lineRule="exact"/>
              <w:jc w:val="center"/>
              <w:rPr>
                <w:rFonts w:hint="default" w:ascii="Times New Roman" w:hAnsi="Times New Roman" w:eastAsia="华文中宋" w:cs="Times New Roman"/>
                <w:szCs w:val="21"/>
                <w:lang w:val="en-US" w:eastAsia="zh-CN"/>
              </w:rPr>
            </w:pPr>
          </w:p>
        </w:tc>
        <w:tc>
          <w:tcPr>
            <w:tcW w:w="1217" w:type="pct"/>
            <w:vAlign w:val="center"/>
          </w:tcPr>
          <w:p w14:paraId="1704590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牧草地</w:t>
            </w:r>
          </w:p>
        </w:tc>
        <w:tc>
          <w:tcPr>
            <w:tcW w:w="853" w:type="pct"/>
            <w:vAlign w:val="center"/>
          </w:tcPr>
          <w:p w14:paraId="72282DA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表层样点</w:t>
            </w:r>
          </w:p>
        </w:tc>
      </w:tr>
      <w:tr w14:paraId="1BD90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512" w:type="pct"/>
            <w:vAlign w:val="center"/>
          </w:tcPr>
          <w:p w14:paraId="234E768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w:t>
            </w:r>
          </w:p>
        </w:tc>
        <w:tc>
          <w:tcPr>
            <w:tcW w:w="1889" w:type="pct"/>
            <w:vAlign w:val="center"/>
          </w:tcPr>
          <w:p w14:paraId="4D9D63C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锑、铅、锌</w:t>
            </w:r>
          </w:p>
        </w:tc>
        <w:tc>
          <w:tcPr>
            <w:tcW w:w="526" w:type="pct"/>
            <w:vMerge w:val="continue"/>
            <w:vAlign w:val="center"/>
          </w:tcPr>
          <w:p w14:paraId="1C683FF4">
            <w:pPr>
              <w:spacing w:line="300" w:lineRule="exact"/>
              <w:jc w:val="center"/>
              <w:rPr>
                <w:rFonts w:hint="default" w:ascii="Times New Roman" w:hAnsi="Times New Roman" w:eastAsia="华文中宋" w:cs="Times New Roman"/>
                <w:szCs w:val="21"/>
                <w:lang w:val="en-US" w:eastAsia="zh-CN"/>
              </w:rPr>
            </w:pPr>
          </w:p>
        </w:tc>
        <w:tc>
          <w:tcPr>
            <w:tcW w:w="1217" w:type="pct"/>
            <w:vAlign w:val="center"/>
          </w:tcPr>
          <w:p w14:paraId="3F7C2E0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牧草地</w:t>
            </w:r>
          </w:p>
        </w:tc>
        <w:tc>
          <w:tcPr>
            <w:tcW w:w="853" w:type="pct"/>
            <w:vAlign w:val="center"/>
          </w:tcPr>
          <w:p w14:paraId="5368C49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表层样点</w:t>
            </w:r>
          </w:p>
        </w:tc>
      </w:tr>
    </w:tbl>
    <w:p w14:paraId="32E46859">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w:t>
      </w:r>
      <w:r>
        <w:rPr>
          <w:rFonts w:hint="eastAsia" w:ascii="Times New Roman" w:hAnsi="Times New Roman" w:eastAsia="华文中宋" w:cs="Times New Roman"/>
          <w:sz w:val="24"/>
          <w:lang w:val="en-US" w:eastAsia="zh-CN"/>
        </w:rPr>
        <w:t>2</w:t>
      </w:r>
      <w:r>
        <w:rPr>
          <w:rFonts w:hint="default" w:ascii="Times New Roman" w:hAnsi="Times New Roman" w:eastAsia="华文中宋" w:cs="Times New Roman"/>
          <w:sz w:val="24"/>
          <w:lang w:val="en-US" w:eastAsia="zh-CN"/>
        </w:rPr>
        <w:t>）评价标准</w:t>
      </w:r>
    </w:p>
    <w:p w14:paraId="2722FC2D">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占地范围内土壤环境质量现状评价执行《土壤环境质量 建设用地土壤污染风险管控标准（试行）》（GB36600-2018）第二类用地筛选值；</w:t>
      </w:r>
    </w:p>
    <w:p w14:paraId="3F000312">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占地范围外土壤环境质量现状评价执行《土壤环境质量 农用地土壤污染风险管控标准（试行）》（GB15618-2018）农用地土壤污染风险筛选值。</w:t>
      </w:r>
    </w:p>
    <w:p w14:paraId="3036DBAA">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w:t>
      </w:r>
      <w:r>
        <w:rPr>
          <w:rFonts w:hint="eastAsia" w:ascii="Times New Roman" w:hAnsi="Times New Roman" w:eastAsia="华文中宋" w:cs="Times New Roman"/>
          <w:sz w:val="24"/>
          <w:lang w:val="en-US" w:eastAsia="zh-CN"/>
        </w:rPr>
        <w:t>3</w:t>
      </w:r>
      <w:r>
        <w:rPr>
          <w:rFonts w:hint="default" w:ascii="Times New Roman" w:hAnsi="Times New Roman" w:eastAsia="华文中宋" w:cs="Times New Roman"/>
          <w:sz w:val="24"/>
          <w:lang w:val="en-US" w:eastAsia="zh-CN"/>
        </w:rPr>
        <w:t>）评价方法</w:t>
      </w:r>
    </w:p>
    <w:p w14:paraId="361D7D2E">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本次土壤环境质量现状评价采用单因子标准指数法，计算公式：</w:t>
      </w:r>
    </w:p>
    <w:p w14:paraId="19F634F6">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Pi=Ci/Si</w:t>
      </w:r>
    </w:p>
    <w:p w14:paraId="55B1ABA8">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式中：Pi——单因子标准指数；</w:t>
      </w:r>
    </w:p>
    <w:p w14:paraId="4EAB61B6">
      <w:pPr>
        <w:adjustRightInd w:val="0"/>
        <w:snapToGrid w:val="0"/>
        <w:spacing w:line="500" w:lineRule="exact"/>
        <w:ind w:firstLine="1200" w:firstLineChars="5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Ci——污染物实测浓度值（mg/kg，µg/kg）；</w:t>
      </w:r>
    </w:p>
    <w:p w14:paraId="206A5452">
      <w:pPr>
        <w:adjustRightInd w:val="0"/>
        <w:snapToGrid w:val="0"/>
        <w:spacing w:line="500" w:lineRule="exact"/>
        <w:ind w:firstLine="1200" w:firstLineChars="5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Si——评价标准值（mg/kg）。</w:t>
      </w:r>
    </w:p>
    <w:p w14:paraId="76A2F803">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w:t>
      </w:r>
      <w:r>
        <w:rPr>
          <w:rFonts w:hint="eastAsia" w:ascii="Times New Roman" w:hAnsi="Times New Roman" w:eastAsia="华文中宋" w:cs="Times New Roman"/>
          <w:sz w:val="24"/>
          <w:lang w:val="en-US" w:eastAsia="zh-CN"/>
        </w:rPr>
        <w:t>4</w:t>
      </w:r>
      <w:r>
        <w:rPr>
          <w:rFonts w:hint="default" w:ascii="Times New Roman" w:hAnsi="Times New Roman" w:eastAsia="华文中宋" w:cs="Times New Roman"/>
          <w:sz w:val="24"/>
          <w:lang w:val="en-US" w:eastAsia="zh-CN"/>
        </w:rPr>
        <w:t>）监测时间、频率</w:t>
      </w:r>
    </w:p>
    <w:p w14:paraId="43AAC3C4">
      <w:pPr>
        <w:adjustRightInd w:val="0"/>
        <w:snapToGrid w:val="0"/>
        <w:spacing w:line="500" w:lineRule="exact"/>
        <w:ind w:firstLine="42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color w:val="auto"/>
          <w:lang w:val="en-US" w:eastAsia="zh-CN"/>
        </w:rPr>
        <w:t>新疆</w:t>
      </w:r>
      <w:r>
        <w:rPr>
          <w:rFonts w:hint="eastAsia" w:ascii="Times New Roman" w:hAnsi="Times New Roman" w:cs="Times New Roman"/>
          <w:color w:val="auto"/>
          <w:lang w:val="en-US" w:eastAsia="zh-CN"/>
        </w:rPr>
        <w:t>精诚检测技术</w:t>
      </w:r>
      <w:r>
        <w:rPr>
          <w:rFonts w:hint="default" w:ascii="Times New Roman" w:hAnsi="Times New Roman" w:eastAsia="华文中宋" w:cs="Times New Roman"/>
          <w:color w:val="auto"/>
          <w:lang w:val="en-US" w:eastAsia="zh-CN"/>
        </w:rPr>
        <w:t>有限公司</w:t>
      </w:r>
      <w:r>
        <w:rPr>
          <w:rFonts w:hint="default" w:ascii="Times New Roman" w:hAnsi="Times New Roman" w:eastAsia="华文中宋" w:cs="Times New Roman"/>
          <w:sz w:val="24"/>
          <w:highlight w:val="none"/>
          <w:lang w:val="en-US" w:eastAsia="zh-CN"/>
        </w:rPr>
        <w:t>于202</w:t>
      </w:r>
      <w:r>
        <w:rPr>
          <w:rFonts w:hint="eastAsia" w:ascii="Times New Roman" w:hAnsi="Times New Roman" w:eastAsia="华文中宋" w:cs="Times New Roman"/>
          <w:sz w:val="24"/>
          <w:highlight w:val="none"/>
          <w:lang w:val="en-US" w:eastAsia="zh-CN"/>
        </w:rPr>
        <w:t>5</w:t>
      </w:r>
      <w:r>
        <w:rPr>
          <w:rFonts w:hint="default" w:ascii="Times New Roman" w:hAnsi="Times New Roman" w:eastAsia="华文中宋" w:cs="Times New Roman"/>
          <w:sz w:val="24"/>
          <w:highlight w:val="none"/>
          <w:lang w:val="en-US" w:eastAsia="zh-CN"/>
        </w:rPr>
        <w:t>年</w:t>
      </w:r>
      <w:r>
        <w:rPr>
          <w:rFonts w:hint="eastAsia" w:ascii="Times New Roman" w:hAnsi="Times New Roman" w:eastAsia="华文中宋" w:cs="Times New Roman"/>
          <w:sz w:val="24"/>
          <w:highlight w:val="none"/>
          <w:lang w:val="en-US" w:eastAsia="zh-CN"/>
        </w:rPr>
        <w:t>7</w:t>
      </w:r>
      <w:r>
        <w:rPr>
          <w:rFonts w:hint="default" w:ascii="Times New Roman" w:hAnsi="Times New Roman" w:eastAsia="华文中宋" w:cs="Times New Roman"/>
          <w:sz w:val="24"/>
          <w:highlight w:val="none"/>
          <w:lang w:val="en-US" w:eastAsia="zh-CN"/>
        </w:rPr>
        <w:t>月</w:t>
      </w:r>
      <w:r>
        <w:rPr>
          <w:rFonts w:hint="eastAsia" w:ascii="Times New Roman" w:hAnsi="Times New Roman" w:eastAsia="华文中宋" w:cs="Times New Roman"/>
          <w:sz w:val="24"/>
          <w:highlight w:val="none"/>
          <w:lang w:val="en-US" w:eastAsia="zh-CN"/>
        </w:rPr>
        <w:t>5</w:t>
      </w:r>
      <w:r>
        <w:rPr>
          <w:rFonts w:hint="default" w:ascii="Times New Roman" w:hAnsi="Times New Roman" w:eastAsia="华文中宋" w:cs="Times New Roman"/>
          <w:sz w:val="24"/>
          <w:highlight w:val="none"/>
          <w:lang w:val="en-US" w:eastAsia="zh-CN"/>
        </w:rPr>
        <w:t>日对项目区及附近土壤进行了一次采样。</w:t>
      </w:r>
    </w:p>
    <w:p w14:paraId="45E6C841">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w:t>
      </w:r>
      <w:r>
        <w:rPr>
          <w:rFonts w:hint="eastAsia" w:ascii="Times New Roman" w:hAnsi="Times New Roman" w:eastAsia="华文中宋" w:cs="Times New Roman"/>
          <w:sz w:val="24"/>
          <w:highlight w:val="none"/>
          <w:lang w:val="en-US" w:eastAsia="zh-CN"/>
        </w:rPr>
        <w:t>5</w:t>
      </w:r>
      <w:r>
        <w:rPr>
          <w:rFonts w:hint="default" w:ascii="Times New Roman" w:hAnsi="Times New Roman" w:eastAsia="华文中宋" w:cs="Times New Roman"/>
          <w:sz w:val="24"/>
          <w:highlight w:val="none"/>
          <w:lang w:val="en-US" w:eastAsia="zh-CN"/>
        </w:rPr>
        <w:t>）监测结果</w:t>
      </w:r>
    </w:p>
    <w:p w14:paraId="2282DC6D">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本项目</w:t>
      </w:r>
      <w:r>
        <w:rPr>
          <w:rFonts w:hint="eastAsia" w:ascii="Times New Roman" w:hAnsi="Times New Roman" w:eastAsia="华文中宋" w:cs="Times New Roman"/>
          <w:sz w:val="24"/>
          <w:highlight w:val="none"/>
          <w:lang w:val="en-US" w:eastAsia="zh-CN"/>
        </w:rPr>
        <w:t>土壤监测</w:t>
      </w:r>
      <w:r>
        <w:rPr>
          <w:rFonts w:hint="default" w:ascii="Times New Roman" w:hAnsi="Times New Roman" w:eastAsia="华文中宋" w:cs="Times New Roman"/>
          <w:sz w:val="24"/>
          <w:highlight w:val="none"/>
          <w:lang w:val="en-US" w:eastAsia="zh-CN"/>
        </w:rPr>
        <w:t>结果见下表4.2</w:t>
      </w:r>
      <w:r>
        <w:rPr>
          <w:rFonts w:hint="eastAsia" w:ascii="Times New Roman" w:hAnsi="Times New Roman" w:eastAsia="华文中宋" w:cs="Times New Roman"/>
          <w:sz w:val="24"/>
          <w:highlight w:val="none"/>
          <w:lang w:val="en-US" w:eastAsia="zh-CN"/>
        </w:rPr>
        <w:t>-7、4.2-8、4.2-9、4.2-10</w:t>
      </w:r>
      <w:r>
        <w:rPr>
          <w:rFonts w:hint="default" w:ascii="Times New Roman" w:hAnsi="Times New Roman" w:eastAsia="华文中宋" w:cs="Times New Roman"/>
          <w:sz w:val="24"/>
          <w:highlight w:val="none"/>
          <w:lang w:val="en-US" w:eastAsia="zh-CN"/>
        </w:rPr>
        <w:t>。</w:t>
      </w:r>
    </w:p>
    <w:p w14:paraId="171CEE6A">
      <w:pPr>
        <w:adjustRightInd w:val="0"/>
        <w:snapToGrid w:val="0"/>
        <w:spacing w:before="250" w:beforeLines="50"/>
        <w:ind w:firstLine="422" w:firstLineChars="200"/>
        <w:jc w:val="center"/>
        <w:rPr>
          <w:rFonts w:hint="default" w:ascii="Times New Roman" w:hAnsi="Times New Roman" w:eastAsia="华文中宋" w:cs="Times New Roman"/>
          <w:b/>
          <w:szCs w:val="21"/>
          <w:highlight w:val="none"/>
          <w:lang w:val="en-US" w:eastAsia="zh-CN"/>
        </w:rPr>
      </w:pPr>
      <w:r>
        <w:rPr>
          <w:rFonts w:hint="default" w:ascii="Times New Roman" w:hAnsi="Times New Roman" w:eastAsia="华文中宋" w:cs="Times New Roman"/>
          <w:b/>
          <w:szCs w:val="21"/>
          <w:highlight w:val="none"/>
          <w:lang w:val="en-US" w:eastAsia="zh-CN"/>
        </w:rPr>
        <w:t>表4.2</w:t>
      </w:r>
      <w:r>
        <w:rPr>
          <w:rFonts w:hint="eastAsia" w:ascii="Times New Roman" w:hAnsi="Times New Roman" w:eastAsia="华文中宋" w:cs="Times New Roman"/>
          <w:b/>
          <w:szCs w:val="21"/>
          <w:highlight w:val="none"/>
          <w:lang w:val="en-US" w:eastAsia="zh-CN"/>
        </w:rPr>
        <w:t>-7</w:t>
      </w:r>
      <w:r>
        <w:rPr>
          <w:rFonts w:hint="default" w:ascii="Times New Roman" w:hAnsi="Times New Roman" w:eastAsia="华文中宋" w:cs="Times New Roman"/>
          <w:b/>
          <w:szCs w:val="21"/>
          <w:highlight w:val="none"/>
          <w:lang w:val="en-US" w:eastAsia="zh-CN"/>
        </w:rPr>
        <w:t xml:space="preserve">  项目土壤监测情况一览表（1#、2#、3#监测点）</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3"/>
        <w:gridCol w:w="656"/>
        <w:gridCol w:w="994"/>
        <w:gridCol w:w="1049"/>
        <w:gridCol w:w="924"/>
        <w:gridCol w:w="776"/>
        <w:gridCol w:w="3170"/>
      </w:tblGrid>
      <w:tr w14:paraId="589A9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vAlign w:val="center"/>
          </w:tcPr>
          <w:p w14:paraId="1264759B">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监测项目</w:t>
            </w:r>
          </w:p>
        </w:tc>
        <w:tc>
          <w:tcPr>
            <w:tcW w:w="384" w:type="pct"/>
            <w:vAlign w:val="center"/>
          </w:tcPr>
          <w:p w14:paraId="6DCB065A">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采样点</w:t>
            </w:r>
          </w:p>
        </w:tc>
        <w:tc>
          <w:tcPr>
            <w:tcW w:w="1740" w:type="pct"/>
            <w:gridSpan w:val="3"/>
            <w:vAlign w:val="center"/>
          </w:tcPr>
          <w:p w14:paraId="6138F584">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监测结果</w:t>
            </w:r>
          </w:p>
        </w:tc>
        <w:tc>
          <w:tcPr>
            <w:tcW w:w="455" w:type="pct"/>
            <w:vMerge w:val="restart"/>
            <w:vAlign w:val="center"/>
          </w:tcPr>
          <w:p w14:paraId="2340B59D">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单位</w:t>
            </w:r>
          </w:p>
        </w:tc>
        <w:tc>
          <w:tcPr>
            <w:tcW w:w="1859" w:type="pct"/>
            <w:vMerge w:val="restart"/>
            <w:vAlign w:val="center"/>
          </w:tcPr>
          <w:p w14:paraId="1FB75578">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GB36600-2018</w:t>
            </w:r>
            <w:r>
              <w:rPr>
                <w:rFonts w:hint="eastAsia" w:ascii="Times New Roman" w:hAnsi="Times New Roman" w:eastAsia="华文中宋" w:cs="Times New Roman"/>
                <w:b w:val="0"/>
                <w:bCs w:val="0"/>
                <w:szCs w:val="21"/>
                <w:highlight w:val="none"/>
                <w:lang w:val="en-US" w:eastAsia="zh-CN"/>
              </w:rPr>
              <w:t>，</w:t>
            </w:r>
            <w:r>
              <w:rPr>
                <w:rFonts w:hint="default" w:ascii="Times New Roman" w:hAnsi="Times New Roman" w:eastAsia="华文中宋" w:cs="Times New Roman"/>
                <w:b w:val="0"/>
                <w:bCs w:val="0"/>
                <w:szCs w:val="21"/>
                <w:highlight w:val="none"/>
                <w:lang w:val="en-US" w:eastAsia="zh-CN"/>
              </w:rPr>
              <w:t>第二类用地筛选值</w:t>
            </w:r>
          </w:p>
        </w:tc>
      </w:tr>
      <w:tr w14:paraId="61946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944" w:type="pct"/>
            <w:gridSpan w:val="2"/>
            <w:vAlign w:val="center"/>
          </w:tcPr>
          <w:p w14:paraId="2D84BFB3">
            <w:pPr>
              <w:spacing w:line="300" w:lineRule="exact"/>
              <w:jc w:val="center"/>
              <w:rPr>
                <w:rFonts w:hint="eastAsia"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采样深度</w:t>
            </w:r>
            <w:r>
              <w:rPr>
                <w:rFonts w:hint="eastAsia" w:ascii="Times New Roman" w:hAnsi="Times New Roman" w:eastAsia="华文中宋" w:cs="Times New Roman"/>
                <w:b w:val="0"/>
                <w:bCs w:val="0"/>
                <w:szCs w:val="21"/>
                <w:highlight w:val="none"/>
                <w:lang w:val="en-US" w:eastAsia="zh-CN"/>
              </w:rPr>
              <w:t>（m）</w:t>
            </w:r>
          </w:p>
        </w:tc>
        <w:tc>
          <w:tcPr>
            <w:tcW w:w="583" w:type="pct"/>
            <w:vAlign w:val="center"/>
          </w:tcPr>
          <w:p w14:paraId="538D692E">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0-0.5</w:t>
            </w:r>
          </w:p>
        </w:tc>
        <w:tc>
          <w:tcPr>
            <w:tcW w:w="615" w:type="pct"/>
            <w:vAlign w:val="center"/>
          </w:tcPr>
          <w:p w14:paraId="2FD0C7D1">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0.5-1.5</w:t>
            </w:r>
          </w:p>
        </w:tc>
        <w:tc>
          <w:tcPr>
            <w:tcW w:w="542" w:type="pct"/>
            <w:vAlign w:val="center"/>
          </w:tcPr>
          <w:p w14:paraId="2CCC6529">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1.5-3</w:t>
            </w:r>
          </w:p>
        </w:tc>
        <w:tc>
          <w:tcPr>
            <w:tcW w:w="455" w:type="pct"/>
            <w:vMerge w:val="continue"/>
            <w:vAlign w:val="center"/>
          </w:tcPr>
          <w:p w14:paraId="4ECC6C68">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1859" w:type="pct"/>
            <w:vMerge w:val="continue"/>
            <w:vAlign w:val="center"/>
          </w:tcPr>
          <w:p w14:paraId="7F48D330">
            <w:pPr>
              <w:spacing w:line="300" w:lineRule="exact"/>
              <w:jc w:val="center"/>
              <w:rPr>
                <w:rFonts w:hint="default" w:ascii="Times New Roman" w:hAnsi="Times New Roman" w:eastAsia="华文中宋" w:cs="Times New Roman"/>
                <w:b w:val="0"/>
                <w:bCs w:val="0"/>
                <w:szCs w:val="21"/>
                <w:highlight w:val="none"/>
                <w:lang w:val="en-US" w:eastAsia="zh-CN"/>
              </w:rPr>
            </w:pPr>
          </w:p>
        </w:tc>
      </w:tr>
      <w:tr w14:paraId="1D896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vAlign w:val="center"/>
          </w:tcPr>
          <w:p w14:paraId="6B29102A">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锑</w:t>
            </w:r>
          </w:p>
        </w:tc>
        <w:tc>
          <w:tcPr>
            <w:tcW w:w="384" w:type="pct"/>
            <w:vMerge w:val="restart"/>
            <w:vAlign w:val="center"/>
          </w:tcPr>
          <w:p w14:paraId="3DF5D951">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1#监测点</w:t>
            </w:r>
          </w:p>
        </w:tc>
        <w:tc>
          <w:tcPr>
            <w:tcW w:w="583" w:type="pct"/>
            <w:vAlign w:val="center"/>
          </w:tcPr>
          <w:p w14:paraId="4F80A57C">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615" w:type="pct"/>
            <w:vAlign w:val="center"/>
          </w:tcPr>
          <w:p w14:paraId="6765F6A3">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542" w:type="pct"/>
            <w:vAlign w:val="center"/>
          </w:tcPr>
          <w:p w14:paraId="48C1E51F">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455" w:type="pct"/>
            <w:vAlign w:val="center"/>
          </w:tcPr>
          <w:p w14:paraId="3D3934D3">
            <w:pPr>
              <w:spacing w:line="300" w:lineRule="exact"/>
              <w:jc w:val="center"/>
              <w:rPr>
                <w:rFonts w:hint="eastAsia"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mg/kg</w:t>
            </w:r>
          </w:p>
        </w:tc>
        <w:tc>
          <w:tcPr>
            <w:tcW w:w="1859" w:type="pct"/>
            <w:vAlign w:val="center"/>
          </w:tcPr>
          <w:p w14:paraId="573FD7CD">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180</w:t>
            </w:r>
          </w:p>
        </w:tc>
      </w:tr>
      <w:tr w14:paraId="6A593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vAlign w:val="center"/>
          </w:tcPr>
          <w:p w14:paraId="640549ED">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铅</w:t>
            </w:r>
          </w:p>
        </w:tc>
        <w:tc>
          <w:tcPr>
            <w:tcW w:w="384" w:type="pct"/>
            <w:vMerge w:val="continue"/>
            <w:vAlign w:val="center"/>
          </w:tcPr>
          <w:p w14:paraId="2B76FCAB">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583" w:type="pct"/>
            <w:vAlign w:val="center"/>
          </w:tcPr>
          <w:p w14:paraId="69EA5135">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615" w:type="pct"/>
            <w:vAlign w:val="center"/>
          </w:tcPr>
          <w:p w14:paraId="6DD00BA6">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542" w:type="pct"/>
            <w:vAlign w:val="center"/>
          </w:tcPr>
          <w:p w14:paraId="30CF0B81">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455" w:type="pct"/>
            <w:vAlign w:val="center"/>
          </w:tcPr>
          <w:p w14:paraId="3DEB0335">
            <w:pPr>
              <w:spacing w:line="300" w:lineRule="exact"/>
              <w:jc w:val="center"/>
              <w:rPr>
                <w:rFonts w:hint="eastAsia"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mg/kg</w:t>
            </w:r>
          </w:p>
        </w:tc>
        <w:tc>
          <w:tcPr>
            <w:tcW w:w="1859" w:type="pct"/>
            <w:vAlign w:val="center"/>
          </w:tcPr>
          <w:p w14:paraId="5E90CD93">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800</w:t>
            </w:r>
          </w:p>
        </w:tc>
      </w:tr>
      <w:tr w14:paraId="0151B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vAlign w:val="center"/>
          </w:tcPr>
          <w:p w14:paraId="5E149982">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锌</w:t>
            </w:r>
          </w:p>
        </w:tc>
        <w:tc>
          <w:tcPr>
            <w:tcW w:w="384" w:type="pct"/>
            <w:vMerge w:val="continue"/>
            <w:vAlign w:val="center"/>
          </w:tcPr>
          <w:p w14:paraId="457C3514">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583" w:type="pct"/>
            <w:vAlign w:val="center"/>
          </w:tcPr>
          <w:p w14:paraId="198C8DB7">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615" w:type="pct"/>
            <w:vAlign w:val="center"/>
          </w:tcPr>
          <w:p w14:paraId="0108A89B">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542" w:type="pct"/>
            <w:vAlign w:val="center"/>
          </w:tcPr>
          <w:p w14:paraId="14D2371D">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455" w:type="pct"/>
            <w:vAlign w:val="center"/>
          </w:tcPr>
          <w:p w14:paraId="4F6263D8">
            <w:pPr>
              <w:spacing w:line="300" w:lineRule="exact"/>
              <w:jc w:val="center"/>
              <w:rPr>
                <w:rFonts w:hint="eastAsia"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mg/kg</w:t>
            </w:r>
          </w:p>
        </w:tc>
        <w:tc>
          <w:tcPr>
            <w:tcW w:w="1859" w:type="pct"/>
            <w:vAlign w:val="center"/>
          </w:tcPr>
          <w:p w14:paraId="74A9BD78">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w:t>
            </w:r>
          </w:p>
        </w:tc>
      </w:tr>
      <w:tr w14:paraId="6DC49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shd w:val="clear" w:color="auto" w:fill="auto"/>
            <w:vAlign w:val="center"/>
          </w:tcPr>
          <w:p w14:paraId="6CCCF672">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锑</w:t>
            </w:r>
          </w:p>
        </w:tc>
        <w:tc>
          <w:tcPr>
            <w:tcW w:w="384" w:type="pct"/>
            <w:vMerge w:val="restart"/>
            <w:vAlign w:val="center"/>
          </w:tcPr>
          <w:p w14:paraId="2109E3F6">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2#监测点</w:t>
            </w:r>
          </w:p>
        </w:tc>
        <w:tc>
          <w:tcPr>
            <w:tcW w:w="583" w:type="pct"/>
            <w:vAlign w:val="center"/>
          </w:tcPr>
          <w:p w14:paraId="3153360F">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615" w:type="pct"/>
            <w:vAlign w:val="center"/>
          </w:tcPr>
          <w:p w14:paraId="0596B4AE">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542" w:type="pct"/>
            <w:vAlign w:val="center"/>
          </w:tcPr>
          <w:p w14:paraId="5DDD6EF7">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455" w:type="pct"/>
            <w:shd w:val="clear" w:color="auto" w:fill="auto"/>
            <w:vAlign w:val="center"/>
          </w:tcPr>
          <w:p w14:paraId="49D6C8C8">
            <w:pPr>
              <w:spacing w:line="300" w:lineRule="exact"/>
              <w:jc w:val="center"/>
              <w:rPr>
                <w:rFonts w:hint="eastAsia"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mg/kg</w:t>
            </w:r>
          </w:p>
        </w:tc>
        <w:tc>
          <w:tcPr>
            <w:tcW w:w="1859" w:type="pct"/>
            <w:shd w:val="clear" w:color="auto" w:fill="auto"/>
            <w:vAlign w:val="center"/>
          </w:tcPr>
          <w:p w14:paraId="771204F9">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180</w:t>
            </w:r>
          </w:p>
        </w:tc>
      </w:tr>
      <w:tr w14:paraId="76717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shd w:val="clear" w:color="auto" w:fill="auto"/>
            <w:vAlign w:val="center"/>
          </w:tcPr>
          <w:p w14:paraId="535F2F48">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铅</w:t>
            </w:r>
          </w:p>
        </w:tc>
        <w:tc>
          <w:tcPr>
            <w:tcW w:w="384" w:type="pct"/>
            <w:vMerge w:val="continue"/>
            <w:vAlign w:val="center"/>
          </w:tcPr>
          <w:p w14:paraId="5DB58866">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583" w:type="pct"/>
            <w:vAlign w:val="center"/>
          </w:tcPr>
          <w:p w14:paraId="70E32BF9">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615" w:type="pct"/>
            <w:vAlign w:val="center"/>
          </w:tcPr>
          <w:p w14:paraId="5C950F37">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542" w:type="pct"/>
            <w:vAlign w:val="center"/>
          </w:tcPr>
          <w:p w14:paraId="60DDD977">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455" w:type="pct"/>
            <w:shd w:val="clear" w:color="auto" w:fill="auto"/>
            <w:vAlign w:val="center"/>
          </w:tcPr>
          <w:p w14:paraId="7D8477B1">
            <w:pPr>
              <w:spacing w:line="300" w:lineRule="exact"/>
              <w:jc w:val="center"/>
              <w:rPr>
                <w:rFonts w:hint="eastAsia"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mg/kg</w:t>
            </w:r>
          </w:p>
        </w:tc>
        <w:tc>
          <w:tcPr>
            <w:tcW w:w="1859" w:type="pct"/>
            <w:shd w:val="clear" w:color="auto" w:fill="auto"/>
            <w:vAlign w:val="center"/>
          </w:tcPr>
          <w:p w14:paraId="2E588D7F">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800</w:t>
            </w:r>
          </w:p>
        </w:tc>
      </w:tr>
      <w:tr w14:paraId="6BD77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shd w:val="clear" w:color="auto" w:fill="auto"/>
            <w:vAlign w:val="center"/>
          </w:tcPr>
          <w:p w14:paraId="5D5BE8ED">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锌</w:t>
            </w:r>
          </w:p>
        </w:tc>
        <w:tc>
          <w:tcPr>
            <w:tcW w:w="384" w:type="pct"/>
            <w:vMerge w:val="continue"/>
            <w:vAlign w:val="center"/>
          </w:tcPr>
          <w:p w14:paraId="0497F07A">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583" w:type="pct"/>
            <w:vAlign w:val="center"/>
          </w:tcPr>
          <w:p w14:paraId="100112B4">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615" w:type="pct"/>
            <w:vAlign w:val="center"/>
          </w:tcPr>
          <w:p w14:paraId="2D40FCAD">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542" w:type="pct"/>
            <w:vAlign w:val="center"/>
          </w:tcPr>
          <w:p w14:paraId="5B37B06A">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455" w:type="pct"/>
            <w:shd w:val="clear" w:color="auto" w:fill="auto"/>
            <w:vAlign w:val="center"/>
          </w:tcPr>
          <w:p w14:paraId="2788612E">
            <w:pPr>
              <w:spacing w:line="300" w:lineRule="exact"/>
              <w:jc w:val="center"/>
              <w:rPr>
                <w:rFonts w:hint="eastAsia"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mg/kg</w:t>
            </w:r>
          </w:p>
        </w:tc>
        <w:tc>
          <w:tcPr>
            <w:tcW w:w="1859" w:type="pct"/>
            <w:shd w:val="clear" w:color="auto" w:fill="auto"/>
            <w:vAlign w:val="center"/>
          </w:tcPr>
          <w:p w14:paraId="77D87827">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w:t>
            </w:r>
          </w:p>
        </w:tc>
      </w:tr>
      <w:tr w14:paraId="48335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shd w:val="clear" w:color="auto" w:fill="auto"/>
            <w:vAlign w:val="center"/>
          </w:tcPr>
          <w:p w14:paraId="4C255C9C">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锑</w:t>
            </w:r>
          </w:p>
        </w:tc>
        <w:tc>
          <w:tcPr>
            <w:tcW w:w="384" w:type="pct"/>
            <w:vMerge w:val="restart"/>
            <w:vAlign w:val="center"/>
          </w:tcPr>
          <w:p w14:paraId="0CC33265">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3#监测点</w:t>
            </w:r>
          </w:p>
        </w:tc>
        <w:tc>
          <w:tcPr>
            <w:tcW w:w="583" w:type="pct"/>
            <w:vAlign w:val="center"/>
          </w:tcPr>
          <w:p w14:paraId="5F449449">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615" w:type="pct"/>
            <w:vAlign w:val="center"/>
          </w:tcPr>
          <w:p w14:paraId="39E16BC6">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542" w:type="pct"/>
            <w:vAlign w:val="center"/>
          </w:tcPr>
          <w:p w14:paraId="26CD21BD">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455" w:type="pct"/>
            <w:shd w:val="clear" w:color="auto" w:fill="auto"/>
            <w:vAlign w:val="center"/>
          </w:tcPr>
          <w:p w14:paraId="3B28FC7F">
            <w:pPr>
              <w:spacing w:line="300" w:lineRule="exact"/>
              <w:jc w:val="center"/>
              <w:rPr>
                <w:rFonts w:hint="eastAsia"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mg/kg</w:t>
            </w:r>
          </w:p>
        </w:tc>
        <w:tc>
          <w:tcPr>
            <w:tcW w:w="1859" w:type="pct"/>
            <w:shd w:val="clear" w:color="auto" w:fill="auto"/>
            <w:vAlign w:val="center"/>
          </w:tcPr>
          <w:p w14:paraId="2D86E9CD">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180</w:t>
            </w:r>
          </w:p>
        </w:tc>
      </w:tr>
      <w:tr w14:paraId="4A82F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shd w:val="clear" w:color="auto" w:fill="auto"/>
            <w:vAlign w:val="center"/>
          </w:tcPr>
          <w:p w14:paraId="5B3FED85">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铅</w:t>
            </w:r>
          </w:p>
        </w:tc>
        <w:tc>
          <w:tcPr>
            <w:tcW w:w="384" w:type="pct"/>
            <w:vMerge w:val="continue"/>
            <w:vAlign w:val="center"/>
          </w:tcPr>
          <w:p w14:paraId="4EA0D5D2">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583" w:type="pct"/>
            <w:vAlign w:val="center"/>
          </w:tcPr>
          <w:p w14:paraId="05D00108">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615" w:type="pct"/>
            <w:vAlign w:val="center"/>
          </w:tcPr>
          <w:p w14:paraId="417054ED">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542" w:type="pct"/>
            <w:vAlign w:val="center"/>
          </w:tcPr>
          <w:p w14:paraId="101B66AC">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455" w:type="pct"/>
            <w:shd w:val="clear" w:color="auto" w:fill="auto"/>
            <w:vAlign w:val="center"/>
          </w:tcPr>
          <w:p w14:paraId="55CD89A4">
            <w:pPr>
              <w:spacing w:line="300" w:lineRule="exact"/>
              <w:jc w:val="center"/>
              <w:rPr>
                <w:rFonts w:hint="eastAsia"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mg/kg</w:t>
            </w:r>
          </w:p>
        </w:tc>
        <w:tc>
          <w:tcPr>
            <w:tcW w:w="1859" w:type="pct"/>
            <w:shd w:val="clear" w:color="auto" w:fill="auto"/>
            <w:vAlign w:val="center"/>
          </w:tcPr>
          <w:p w14:paraId="68BE28D6">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800</w:t>
            </w:r>
          </w:p>
        </w:tc>
      </w:tr>
      <w:tr w14:paraId="6C2D5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shd w:val="clear" w:color="auto" w:fill="auto"/>
            <w:vAlign w:val="center"/>
          </w:tcPr>
          <w:p w14:paraId="6B69194B">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锌</w:t>
            </w:r>
          </w:p>
        </w:tc>
        <w:tc>
          <w:tcPr>
            <w:tcW w:w="384" w:type="pct"/>
            <w:vMerge w:val="continue"/>
            <w:vAlign w:val="center"/>
          </w:tcPr>
          <w:p w14:paraId="7F790ACB">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583" w:type="pct"/>
            <w:vAlign w:val="center"/>
          </w:tcPr>
          <w:p w14:paraId="4E5C58D3">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615" w:type="pct"/>
            <w:vAlign w:val="center"/>
          </w:tcPr>
          <w:p w14:paraId="1FB5D792">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542" w:type="pct"/>
            <w:vAlign w:val="center"/>
          </w:tcPr>
          <w:p w14:paraId="55E1BF47">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455" w:type="pct"/>
            <w:shd w:val="clear" w:color="auto" w:fill="auto"/>
            <w:vAlign w:val="center"/>
          </w:tcPr>
          <w:p w14:paraId="57831815">
            <w:pPr>
              <w:spacing w:line="300" w:lineRule="exact"/>
              <w:jc w:val="center"/>
              <w:rPr>
                <w:rFonts w:hint="eastAsia"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mg/kg</w:t>
            </w:r>
          </w:p>
        </w:tc>
        <w:tc>
          <w:tcPr>
            <w:tcW w:w="1859" w:type="pct"/>
            <w:shd w:val="clear" w:color="auto" w:fill="auto"/>
            <w:vAlign w:val="center"/>
          </w:tcPr>
          <w:p w14:paraId="1C7D4DD3">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w:t>
            </w:r>
          </w:p>
        </w:tc>
      </w:tr>
    </w:tbl>
    <w:p w14:paraId="277D2174">
      <w:pPr>
        <w:adjustRightInd w:val="0"/>
        <w:snapToGrid w:val="0"/>
        <w:spacing w:before="250" w:beforeLines="50"/>
        <w:ind w:firstLine="422" w:firstLineChars="200"/>
        <w:jc w:val="center"/>
        <w:rPr>
          <w:rFonts w:hint="default" w:ascii="Times New Roman" w:hAnsi="Times New Roman" w:eastAsia="华文中宋" w:cs="Times New Roman"/>
          <w:b/>
          <w:szCs w:val="21"/>
          <w:highlight w:val="none"/>
          <w:lang w:val="en-US" w:eastAsia="zh-CN"/>
        </w:rPr>
      </w:pPr>
      <w:r>
        <w:rPr>
          <w:rFonts w:hint="default" w:ascii="Times New Roman" w:hAnsi="Times New Roman" w:eastAsia="华文中宋" w:cs="Times New Roman"/>
          <w:b/>
          <w:szCs w:val="21"/>
          <w:highlight w:val="none"/>
          <w:lang w:val="en-US" w:eastAsia="zh-CN"/>
        </w:rPr>
        <w:t>表4.2-</w:t>
      </w:r>
      <w:r>
        <w:rPr>
          <w:rFonts w:hint="eastAsia" w:ascii="Times New Roman" w:hAnsi="Times New Roman" w:eastAsia="华文中宋" w:cs="Times New Roman"/>
          <w:b/>
          <w:szCs w:val="21"/>
          <w:highlight w:val="none"/>
          <w:lang w:val="en-US" w:eastAsia="zh-CN"/>
        </w:rPr>
        <w:t>8</w:t>
      </w:r>
      <w:r>
        <w:rPr>
          <w:rFonts w:hint="default" w:ascii="Times New Roman" w:hAnsi="Times New Roman" w:eastAsia="华文中宋" w:cs="Times New Roman"/>
          <w:b/>
          <w:szCs w:val="21"/>
          <w:highlight w:val="none"/>
          <w:lang w:val="en-US" w:eastAsia="zh-CN"/>
        </w:rPr>
        <w:t xml:space="preserve">  项目土壤监测情况一览表</w:t>
      </w:r>
      <w:r>
        <w:rPr>
          <w:rFonts w:hint="eastAsia" w:ascii="Times New Roman" w:hAnsi="Times New Roman" w:eastAsia="华文中宋" w:cs="Times New Roman"/>
          <w:b/>
          <w:szCs w:val="21"/>
          <w:highlight w:val="none"/>
          <w:lang w:val="en-US" w:eastAsia="zh-CN"/>
        </w:rPr>
        <w:t>（4#、5#、6#监测点位）</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1003"/>
        <w:gridCol w:w="1835"/>
        <w:gridCol w:w="1052"/>
        <w:gridCol w:w="829"/>
        <w:gridCol w:w="3100"/>
      </w:tblGrid>
      <w:tr w14:paraId="387B7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14:paraId="08947350">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序号</w:t>
            </w:r>
          </w:p>
        </w:tc>
        <w:tc>
          <w:tcPr>
            <w:tcW w:w="588" w:type="pct"/>
            <w:vAlign w:val="center"/>
          </w:tcPr>
          <w:p w14:paraId="080EE308">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监测点位</w:t>
            </w:r>
          </w:p>
        </w:tc>
        <w:tc>
          <w:tcPr>
            <w:tcW w:w="1076" w:type="pct"/>
            <w:vAlign w:val="center"/>
          </w:tcPr>
          <w:p w14:paraId="6345726A">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分析项目</w:t>
            </w:r>
          </w:p>
        </w:tc>
        <w:tc>
          <w:tcPr>
            <w:tcW w:w="617" w:type="pct"/>
            <w:vAlign w:val="center"/>
          </w:tcPr>
          <w:p w14:paraId="4FF133AE">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监测结果</w:t>
            </w:r>
          </w:p>
        </w:tc>
        <w:tc>
          <w:tcPr>
            <w:tcW w:w="486" w:type="pct"/>
            <w:vAlign w:val="center"/>
          </w:tcPr>
          <w:p w14:paraId="5036A300">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单位</w:t>
            </w:r>
          </w:p>
        </w:tc>
        <w:tc>
          <w:tcPr>
            <w:tcW w:w="1818" w:type="pct"/>
            <w:vAlign w:val="center"/>
          </w:tcPr>
          <w:p w14:paraId="14231BF8">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GB36600-2018</w:t>
            </w:r>
            <w:r>
              <w:rPr>
                <w:rFonts w:hint="eastAsia" w:ascii="Times New Roman" w:hAnsi="Times New Roman" w:eastAsia="华文中宋" w:cs="Times New Roman"/>
                <w:b w:val="0"/>
                <w:bCs w:val="0"/>
                <w:szCs w:val="21"/>
                <w:highlight w:val="none"/>
                <w:lang w:val="en-US" w:eastAsia="zh-CN"/>
              </w:rPr>
              <w:t>，</w:t>
            </w:r>
            <w:r>
              <w:rPr>
                <w:rFonts w:hint="default" w:ascii="Times New Roman" w:hAnsi="Times New Roman" w:eastAsia="华文中宋" w:cs="Times New Roman"/>
                <w:b w:val="0"/>
                <w:bCs w:val="0"/>
                <w:szCs w:val="21"/>
                <w:highlight w:val="none"/>
                <w:lang w:val="en-US" w:eastAsia="zh-CN"/>
              </w:rPr>
              <w:t>第二类用地筛选值</w:t>
            </w:r>
          </w:p>
        </w:tc>
      </w:tr>
      <w:tr w14:paraId="437B9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14:paraId="62C0EEA9">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1</w:t>
            </w:r>
          </w:p>
        </w:tc>
        <w:tc>
          <w:tcPr>
            <w:tcW w:w="588" w:type="pct"/>
            <w:vMerge w:val="restart"/>
            <w:shd w:val="clear" w:color="auto" w:fill="auto"/>
            <w:vAlign w:val="center"/>
          </w:tcPr>
          <w:p w14:paraId="4BE747A5">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4#监测点位</w:t>
            </w:r>
          </w:p>
        </w:tc>
        <w:tc>
          <w:tcPr>
            <w:tcW w:w="1076" w:type="pct"/>
            <w:shd w:val="clear" w:color="auto" w:fill="auto"/>
            <w:vAlign w:val="center"/>
          </w:tcPr>
          <w:p w14:paraId="7E5F791B">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rPr>
              <w:t>砷</w:t>
            </w:r>
          </w:p>
        </w:tc>
        <w:tc>
          <w:tcPr>
            <w:tcW w:w="617" w:type="pct"/>
            <w:shd w:val="clear" w:color="auto" w:fill="auto"/>
            <w:vAlign w:val="center"/>
          </w:tcPr>
          <w:p w14:paraId="253FDBBF">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486" w:type="pct"/>
            <w:shd w:val="clear" w:color="auto" w:fill="auto"/>
            <w:vAlign w:val="center"/>
          </w:tcPr>
          <w:p w14:paraId="1D6FE4F2">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12E19C85">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60</w:t>
            </w:r>
          </w:p>
        </w:tc>
      </w:tr>
      <w:tr w14:paraId="79DA2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14:paraId="0B0BD1D4">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2</w:t>
            </w:r>
          </w:p>
        </w:tc>
        <w:tc>
          <w:tcPr>
            <w:tcW w:w="588" w:type="pct"/>
            <w:vMerge w:val="continue"/>
            <w:shd w:val="clear" w:color="auto" w:fill="auto"/>
            <w:vAlign w:val="center"/>
          </w:tcPr>
          <w:p w14:paraId="62AF18BA">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43DBDB71">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rPr>
              <w:t>镉</w:t>
            </w:r>
          </w:p>
        </w:tc>
        <w:tc>
          <w:tcPr>
            <w:tcW w:w="617" w:type="pct"/>
            <w:shd w:val="clear" w:color="auto" w:fill="auto"/>
            <w:vAlign w:val="center"/>
          </w:tcPr>
          <w:p w14:paraId="39604117">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486" w:type="pct"/>
            <w:shd w:val="clear" w:color="auto" w:fill="auto"/>
            <w:vAlign w:val="center"/>
          </w:tcPr>
          <w:p w14:paraId="0CA045CC">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2A4E0E78">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65</w:t>
            </w:r>
          </w:p>
        </w:tc>
      </w:tr>
      <w:tr w14:paraId="2448D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14:paraId="6C1FDF9D">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3</w:t>
            </w:r>
          </w:p>
        </w:tc>
        <w:tc>
          <w:tcPr>
            <w:tcW w:w="588" w:type="pct"/>
            <w:vMerge w:val="continue"/>
            <w:shd w:val="clear" w:color="auto" w:fill="auto"/>
            <w:vAlign w:val="center"/>
          </w:tcPr>
          <w:p w14:paraId="4BC88286">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2226A730">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rPr>
              <w:t>铬（六价）</w:t>
            </w:r>
          </w:p>
        </w:tc>
        <w:tc>
          <w:tcPr>
            <w:tcW w:w="617" w:type="pct"/>
            <w:shd w:val="clear" w:color="auto" w:fill="auto"/>
            <w:vAlign w:val="center"/>
          </w:tcPr>
          <w:p w14:paraId="753F4D24">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486" w:type="pct"/>
            <w:shd w:val="clear" w:color="auto" w:fill="auto"/>
            <w:vAlign w:val="center"/>
          </w:tcPr>
          <w:p w14:paraId="59675ACC">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5FB31370">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5.7</w:t>
            </w:r>
          </w:p>
        </w:tc>
      </w:tr>
      <w:tr w14:paraId="13F21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14:paraId="692BFA93">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4</w:t>
            </w:r>
          </w:p>
        </w:tc>
        <w:tc>
          <w:tcPr>
            <w:tcW w:w="588" w:type="pct"/>
            <w:vMerge w:val="continue"/>
            <w:shd w:val="clear" w:color="auto" w:fill="auto"/>
            <w:vAlign w:val="center"/>
          </w:tcPr>
          <w:p w14:paraId="4307FCC1">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1C930AC8">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rPr>
              <w:t>铜</w:t>
            </w:r>
          </w:p>
        </w:tc>
        <w:tc>
          <w:tcPr>
            <w:tcW w:w="617" w:type="pct"/>
            <w:shd w:val="clear" w:color="auto" w:fill="auto"/>
            <w:vAlign w:val="center"/>
          </w:tcPr>
          <w:p w14:paraId="461ED80C">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486" w:type="pct"/>
            <w:shd w:val="clear" w:color="auto" w:fill="auto"/>
            <w:vAlign w:val="center"/>
          </w:tcPr>
          <w:p w14:paraId="7517AD0C">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61067736">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18000</w:t>
            </w:r>
          </w:p>
        </w:tc>
      </w:tr>
      <w:tr w14:paraId="36BCB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14:paraId="3220515B">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5</w:t>
            </w:r>
          </w:p>
        </w:tc>
        <w:tc>
          <w:tcPr>
            <w:tcW w:w="588" w:type="pct"/>
            <w:vMerge w:val="continue"/>
            <w:shd w:val="clear" w:color="auto" w:fill="auto"/>
            <w:vAlign w:val="center"/>
          </w:tcPr>
          <w:p w14:paraId="1F76A365">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1B46B10C">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rPr>
              <w:t>铅</w:t>
            </w:r>
          </w:p>
        </w:tc>
        <w:tc>
          <w:tcPr>
            <w:tcW w:w="617" w:type="pct"/>
            <w:shd w:val="clear" w:color="auto" w:fill="auto"/>
            <w:vAlign w:val="center"/>
          </w:tcPr>
          <w:p w14:paraId="2B19ED52">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486" w:type="pct"/>
            <w:shd w:val="clear" w:color="auto" w:fill="auto"/>
            <w:vAlign w:val="center"/>
          </w:tcPr>
          <w:p w14:paraId="546DCC54">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21FE59C3">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800</w:t>
            </w:r>
          </w:p>
        </w:tc>
      </w:tr>
      <w:tr w14:paraId="0A7B6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14:paraId="16DCD2C8">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6</w:t>
            </w:r>
          </w:p>
        </w:tc>
        <w:tc>
          <w:tcPr>
            <w:tcW w:w="588" w:type="pct"/>
            <w:vMerge w:val="continue"/>
            <w:shd w:val="clear" w:color="auto" w:fill="auto"/>
            <w:vAlign w:val="center"/>
          </w:tcPr>
          <w:p w14:paraId="6B9A114B">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2CCBAD4D">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rPr>
              <w:t>汞</w:t>
            </w:r>
          </w:p>
        </w:tc>
        <w:tc>
          <w:tcPr>
            <w:tcW w:w="617" w:type="pct"/>
            <w:shd w:val="clear" w:color="auto" w:fill="auto"/>
            <w:vAlign w:val="center"/>
          </w:tcPr>
          <w:p w14:paraId="6FF7F896">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486" w:type="pct"/>
            <w:shd w:val="clear" w:color="auto" w:fill="auto"/>
            <w:vAlign w:val="center"/>
          </w:tcPr>
          <w:p w14:paraId="0A8F9436">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1BFEADE2">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38</w:t>
            </w:r>
          </w:p>
        </w:tc>
      </w:tr>
      <w:tr w14:paraId="02C98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14:paraId="6DC0BDF5">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7</w:t>
            </w:r>
          </w:p>
        </w:tc>
        <w:tc>
          <w:tcPr>
            <w:tcW w:w="588" w:type="pct"/>
            <w:vMerge w:val="continue"/>
            <w:shd w:val="clear" w:color="auto" w:fill="auto"/>
            <w:vAlign w:val="center"/>
          </w:tcPr>
          <w:p w14:paraId="446A7AB3">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318B2A34">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rPr>
              <w:t>镍</w:t>
            </w:r>
          </w:p>
        </w:tc>
        <w:tc>
          <w:tcPr>
            <w:tcW w:w="617" w:type="pct"/>
            <w:shd w:val="clear" w:color="auto" w:fill="auto"/>
            <w:vAlign w:val="center"/>
          </w:tcPr>
          <w:p w14:paraId="3B158F17">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486" w:type="pct"/>
            <w:shd w:val="clear" w:color="auto" w:fill="auto"/>
            <w:vAlign w:val="center"/>
          </w:tcPr>
          <w:p w14:paraId="1C3C485B">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485D66D7">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900</w:t>
            </w:r>
          </w:p>
        </w:tc>
      </w:tr>
      <w:tr w14:paraId="5689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14:paraId="0BFDE588">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8</w:t>
            </w:r>
          </w:p>
        </w:tc>
        <w:tc>
          <w:tcPr>
            <w:tcW w:w="588" w:type="pct"/>
            <w:vMerge w:val="continue"/>
            <w:shd w:val="clear" w:color="auto" w:fill="auto"/>
            <w:vAlign w:val="center"/>
          </w:tcPr>
          <w:p w14:paraId="5C0CE378">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7E469944">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rPr>
              <w:t>四氯化碳</w:t>
            </w:r>
          </w:p>
        </w:tc>
        <w:tc>
          <w:tcPr>
            <w:tcW w:w="617" w:type="pct"/>
            <w:shd w:val="clear" w:color="auto" w:fill="auto"/>
            <w:vAlign w:val="center"/>
          </w:tcPr>
          <w:p w14:paraId="52979D06">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486" w:type="pct"/>
            <w:shd w:val="clear" w:color="auto" w:fill="auto"/>
            <w:vAlign w:val="center"/>
          </w:tcPr>
          <w:p w14:paraId="2C91607D">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5C75EAEE">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0.9</w:t>
            </w:r>
          </w:p>
        </w:tc>
      </w:tr>
      <w:tr w14:paraId="7669D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14:paraId="00CFC52C">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9</w:t>
            </w:r>
          </w:p>
        </w:tc>
        <w:tc>
          <w:tcPr>
            <w:tcW w:w="588" w:type="pct"/>
            <w:vMerge w:val="continue"/>
            <w:shd w:val="clear" w:color="auto" w:fill="auto"/>
            <w:vAlign w:val="center"/>
          </w:tcPr>
          <w:p w14:paraId="4FC05B2F">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05C62E6A">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rPr>
              <w:t>氯仿</w:t>
            </w:r>
          </w:p>
        </w:tc>
        <w:tc>
          <w:tcPr>
            <w:tcW w:w="617" w:type="pct"/>
            <w:shd w:val="clear" w:color="auto" w:fill="auto"/>
            <w:vAlign w:val="center"/>
          </w:tcPr>
          <w:p w14:paraId="0394A7D6">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486" w:type="pct"/>
            <w:shd w:val="clear" w:color="auto" w:fill="auto"/>
            <w:vAlign w:val="center"/>
          </w:tcPr>
          <w:p w14:paraId="6CE32996">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57B9CF8D">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0.3</w:t>
            </w:r>
          </w:p>
        </w:tc>
      </w:tr>
      <w:tr w14:paraId="7448D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14:paraId="6242A5E0">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10</w:t>
            </w:r>
          </w:p>
        </w:tc>
        <w:tc>
          <w:tcPr>
            <w:tcW w:w="588" w:type="pct"/>
            <w:vMerge w:val="continue"/>
            <w:shd w:val="clear" w:color="auto" w:fill="auto"/>
            <w:vAlign w:val="center"/>
          </w:tcPr>
          <w:p w14:paraId="16BF87B7">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04874325">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rPr>
              <w:t>氯甲烷</w:t>
            </w:r>
          </w:p>
        </w:tc>
        <w:tc>
          <w:tcPr>
            <w:tcW w:w="617" w:type="pct"/>
            <w:shd w:val="clear" w:color="auto" w:fill="auto"/>
            <w:vAlign w:val="center"/>
          </w:tcPr>
          <w:p w14:paraId="17F4385F">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486" w:type="pct"/>
            <w:shd w:val="clear" w:color="auto" w:fill="auto"/>
            <w:vAlign w:val="center"/>
          </w:tcPr>
          <w:p w14:paraId="7766CE04">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072B4C3C">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12</w:t>
            </w:r>
          </w:p>
        </w:tc>
      </w:tr>
      <w:tr w14:paraId="48E8C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14:paraId="340A208A">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11</w:t>
            </w:r>
          </w:p>
        </w:tc>
        <w:tc>
          <w:tcPr>
            <w:tcW w:w="588" w:type="pct"/>
            <w:vMerge w:val="continue"/>
            <w:shd w:val="clear" w:color="auto" w:fill="auto"/>
            <w:vAlign w:val="center"/>
          </w:tcPr>
          <w:p w14:paraId="75C92274">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70AF4B85">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rPr>
              <w:t>1,1-二氯乙烷</w:t>
            </w:r>
          </w:p>
        </w:tc>
        <w:tc>
          <w:tcPr>
            <w:tcW w:w="617" w:type="pct"/>
            <w:shd w:val="clear" w:color="auto" w:fill="auto"/>
            <w:vAlign w:val="center"/>
          </w:tcPr>
          <w:p w14:paraId="4B99BBED">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486" w:type="pct"/>
            <w:shd w:val="clear" w:color="auto" w:fill="auto"/>
            <w:vAlign w:val="center"/>
          </w:tcPr>
          <w:p w14:paraId="4476188F">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1F8839B0">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3</w:t>
            </w:r>
          </w:p>
        </w:tc>
      </w:tr>
      <w:tr w14:paraId="6C210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14:paraId="4DE4CF41">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12</w:t>
            </w:r>
          </w:p>
        </w:tc>
        <w:tc>
          <w:tcPr>
            <w:tcW w:w="588" w:type="pct"/>
            <w:vMerge w:val="continue"/>
            <w:shd w:val="clear" w:color="auto" w:fill="auto"/>
            <w:vAlign w:val="center"/>
          </w:tcPr>
          <w:p w14:paraId="6A91A174">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3398F101">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rPr>
              <w:t>1,2-二氯乙烷</w:t>
            </w:r>
          </w:p>
        </w:tc>
        <w:tc>
          <w:tcPr>
            <w:tcW w:w="617" w:type="pct"/>
            <w:shd w:val="clear" w:color="auto" w:fill="auto"/>
            <w:vAlign w:val="center"/>
          </w:tcPr>
          <w:p w14:paraId="342082D1">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486" w:type="pct"/>
            <w:shd w:val="clear" w:color="auto" w:fill="auto"/>
            <w:vAlign w:val="center"/>
          </w:tcPr>
          <w:p w14:paraId="21FCD491">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6911AAE9">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0.52</w:t>
            </w:r>
          </w:p>
        </w:tc>
      </w:tr>
      <w:tr w14:paraId="5FC20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14:paraId="57E5073E">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13</w:t>
            </w:r>
          </w:p>
        </w:tc>
        <w:tc>
          <w:tcPr>
            <w:tcW w:w="588" w:type="pct"/>
            <w:vMerge w:val="continue"/>
            <w:shd w:val="clear" w:color="auto" w:fill="auto"/>
            <w:vAlign w:val="center"/>
          </w:tcPr>
          <w:p w14:paraId="2A3567A3">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2B70A6BB">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rPr>
              <w:t>1,1二氯乙烯</w:t>
            </w:r>
          </w:p>
        </w:tc>
        <w:tc>
          <w:tcPr>
            <w:tcW w:w="617" w:type="pct"/>
            <w:shd w:val="clear" w:color="auto" w:fill="auto"/>
            <w:vAlign w:val="center"/>
          </w:tcPr>
          <w:p w14:paraId="32FF7157">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486" w:type="pct"/>
            <w:shd w:val="clear" w:color="auto" w:fill="auto"/>
            <w:vAlign w:val="center"/>
          </w:tcPr>
          <w:p w14:paraId="05F54F4C">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0D8AE775">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12</w:t>
            </w:r>
          </w:p>
        </w:tc>
      </w:tr>
      <w:tr w14:paraId="4AC58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14:paraId="5177F4C3">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14</w:t>
            </w:r>
          </w:p>
        </w:tc>
        <w:tc>
          <w:tcPr>
            <w:tcW w:w="588" w:type="pct"/>
            <w:vMerge w:val="continue"/>
            <w:shd w:val="clear" w:color="auto" w:fill="auto"/>
            <w:vAlign w:val="center"/>
          </w:tcPr>
          <w:p w14:paraId="210144AB">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60E7C86D">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rPr>
              <w:t>顺-1,2-二氯乙烯</w:t>
            </w:r>
          </w:p>
        </w:tc>
        <w:tc>
          <w:tcPr>
            <w:tcW w:w="617" w:type="pct"/>
            <w:shd w:val="clear" w:color="auto" w:fill="auto"/>
            <w:vAlign w:val="center"/>
          </w:tcPr>
          <w:p w14:paraId="12437BB4">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486" w:type="pct"/>
            <w:shd w:val="clear" w:color="auto" w:fill="auto"/>
            <w:vAlign w:val="center"/>
          </w:tcPr>
          <w:p w14:paraId="02936E53">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5915133D">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66</w:t>
            </w:r>
          </w:p>
        </w:tc>
      </w:tr>
      <w:tr w14:paraId="7D381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14:paraId="2370B028">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15</w:t>
            </w:r>
          </w:p>
        </w:tc>
        <w:tc>
          <w:tcPr>
            <w:tcW w:w="588" w:type="pct"/>
            <w:vMerge w:val="continue"/>
            <w:shd w:val="clear" w:color="auto" w:fill="auto"/>
            <w:vAlign w:val="center"/>
          </w:tcPr>
          <w:p w14:paraId="2B15BF70">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435B3375">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rPr>
              <w:t>反</w:t>
            </w:r>
            <w:r>
              <w:rPr>
                <w:rFonts w:hint="default" w:ascii="Times New Roman" w:hAnsi="Times New Roman" w:eastAsia="华文中宋" w:cs="Times New Roman"/>
                <w:b w:val="0"/>
                <w:bCs w:val="0"/>
                <w:szCs w:val="21"/>
                <w:highlight w:val="none"/>
                <w:lang w:eastAsia="zh-CN"/>
              </w:rPr>
              <w:t>－</w:t>
            </w:r>
            <w:r>
              <w:rPr>
                <w:rFonts w:hint="default" w:ascii="Times New Roman" w:hAnsi="Times New Roman" w:eastAsia="华文中宋" w:cs="Times New Roman"/>
                <w:b w:val="0"/>
                <w:bCs w:val="0"/>
                <w:szCs w:val="21"/>
                <w:highlight w:val="none"/>
              </w:rPr>
              <w:t>-1,2-二氯乙烯</w:t>
            </w:r>
          </w:p>
        </w:tc>
        <w:tc>
          <w:tcPr>
            <w:tcW w:w="617" w:type="pct"/>
            <w:shd w:val="clear" w:color="auto" w:fill="auto"/>
            <w:vAlign w:val="center"/>
          </w:tcPr>
          <w:p w14:paraId="632D2A85">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486" w:type="pct"/>
            <w:shd w:val="clear" w:color="auto" w:fill="auto"/>
            <w:vAlign w:val="center"/>
          </w:tcPr>
          <w:p w14:paraId="0D828426">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54E4BE05">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10</w:t>
            </w:r>
          </w:p>
        </w:tc>
      </w:tr>
      <w:tr w14:paraId="1D498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14:paraId="74F36E05">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16</w:t>
            </w:r>
          </w:p>
        </w:tc>
        <w:tc>
          <w:tcPr>
            <w:tcW w:w="588" w:type="pct"/>
            <w:vMerge w:val="continue"/>
            <w:shd w:val="clear" w:color="auto" w:fill="auto"/>
            <w:vAlign w:val="center"/>
          </w:tcPr>
          <w:p w14:paraId="4FCC298D">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0F19C1DB">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rPr>
              <w:t>二氯甲烷</w:t>
            </w:r>
          </w:p>
        </w:tc>
        <w:tc>
          <w:tcPr>
            <w:tcW w:w="617" w:type="pct"/>
            <w:shd w:val="clear" w:color="auto" w:fill="auto"/>
            <w:vAlign w:val="center"/>
          </w:tcPr>
          <w:p w14:paraId="11097F7C">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486" w:type="pct"/>
            <w:shd w:val="clear" w:color="auto" w:fill="auto"/>
            <w:vAlign w:val="center"/>
          </w:tcPr>
          <w:p w14:paraId="16557BC9">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254BD7ED">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94</w:t>
            </w:r>
          </w:p>
        </w:tc>
      </w:tr>
      <w:tr w14:paraId="36569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14:paraId="52253F10">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17</w:t>
            </w:r>
          </w:p>
        </w:tc>
        <w:tc>
          <w:tcPr>
            <w:tcW w:w="588" w:type="pct"/>
            <w:vMerge w:val="continue"/>
            <w:shd w:val="clear" w:color="auto" w:fill="auto"/>
            <w:vAlign w:val="center"/>
          </w:tcPr>
          <w:p w14:paraId="60D338B5">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780DF468">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rPr>
              <w:t>1,2-二氯丙烷</w:t>
            </w:r>
          </w:p>
        </w:tc>
        <w:tc>
          <w:tcPr>
            <w:tcW w:w="617" w:type="pct"/>
            <w:shd w:val="clear" w:color="auto" w:fill="auto"/>
            <w:vAlign w:val="center"/>
          </w:tcPr>
          <w:p w14:paraId="6A5D1B3A">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486" w:type="pct"/>
            <w:shd w:val="clear" w:color="auto" w:fill="auto"/>
            <w:vAlign w:val="center"/>
          </w:tcPr>
          <w:p w14:paraId="0160A79A">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61BBD065">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1</w:t>
            </w:r>
          </w:p>
        </w:tc>
      </w:tr>
      <w:tr w14:paraId="7D47F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14:paraId="27B0BA8A">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18</w:t>
            </w:r>
          </w:p>
        </w:tc>
        <w:tc>
          <w:tcPr>
            <w:tcW w:w="588" w:type="pct"/>
            <w:vMerge w:val="continue"/>
            <w:shd w:val="clear" w:color="auto" w:fill="auto"/>
            <w:vAlign w:val="center"/>
          </w:tcPr>
          <w:p w14:paraId="01FC0CB9">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19811194">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rPr>
              <w:t>1,1,1,2-四氯乙烷</w:t>
            </w:r>
          </w:p>
        </w:tc>
        <w:tc>
          <w:tcPr>
            <w:tcW w:w="617" w:type="pct"/>
            <w:shd w:val="clear" w:color="auto" w:fill="auto"/>
            <w:vAlign w:val="center"/>
          </w:tcPr>
          <w:p w14:paraId="29E28BE0">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486" w:type="pct"/>
            <w:shd w:val="clear" w:color="auto" w:fill="auto"/>
            <w:vAlign w:val="center"/>
          </w:tcPr>
          <w:p w14:paraId="3E7E5A5C">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1D2D342E">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2.6</w:t>
            </w:r>
          </w:p>
        </w:tc>
      </w:tr>
      <w:tr w14:paraId="20C67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14:paraId="3B5C8E60">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19</w:t>
            </w:r>
          </w:p>
        </w:tc>
        <w:tc>
          <w:tcPr>
            <w:tcW w:w="588" w:type="pct"/>
            <w:vMerge w:val="continue"/>
            <w:shd w:val="clear" w:color="auto" w:fill="auto"/>
            <w:vAlign w:val="center"/>
          </w:tcPr>
          <w:p w14:paraId="6A0CA84A">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138A6FE0">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rPr>
              <w:t>1,1,2,2-四氯乙烷</w:t>
            </w:r>
          </w:p>
        </w:tc>
        <w:tc>
          <w:tcPr>
            <w:tcW w:w="617" w:type="pct"/>
            <w:shd w:val="clear" w:color="auto" w:fill="auto"/>
            <w:vAlign w:val="center"/>
          </w:tcPr>
          <w:p w14:paraId="6EFB8DE4">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486" w:type="pct"/>
            <w:shd w:val="clear" w:color="auto" w:fill="auto"/>
            <w:vAlign w:val="center"/>
          </w:tcPr>
          <w:p w14:paraId="3465D2EC">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2BD5FFD7">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1.6</w:t>
            </w:r>
          </w:p>
        </w:tc>
      </w:tr>
      <w:tr w14:paraId="4EEBA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14:paraId="72424ABA">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20</w:t>
            </w:r>
          </w:p>
        </w:tc>
        <w:tc>
          <w:tcPr>
            <w:tcW w:w="588" w:type="pct"/>
            <w:vMerge w:val="continue"/>
            <w:shd w:val="clear" w:color="auto" w:fill="auto"/>
            <w:vAlign w:val="center"/>
          </w:tcPr>
          <w:p w14:paraId="1A7055D2">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7784C439">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rPr>
              <w:t>四氯乙烯</w:t>
            </w:r>
          </w:p>
        </w:tc>
        <w:tc>
          <w:tcPr>
            <w:tcW w:w="1052" w:type="dxa"/>
            <w:shd w:val="clear" w:color="auto" w:fill="auto"/>
            <w:vAlign w:val="center"/>
          </w:tcPr>
          <w:p w14:paraId="375A00E4">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486" w:type="pct"/>
            <w:shd w:val="clear" w:color="auto" w:fill="auto"/>
            <w:vAlign w:val="center"/>
          </w:tcPr>
          <w:p w14:paraId="77BB4D99">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51696A25">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11</w:t>
            </w:r>
          </w:p>
        </w:tc>
      </w:tr>
      <w:tr w14:paraId="31BF9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14:paraId="475516D5">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21</w:t>
            </w:r>
          </w:p>
        </w:tc>
        <w:tc>
          <w:tcPr>
            <w:tcW w:w="588" w:type="pct"/>
            <w:vMerge w:val="continue"/>
            <w:shd w:val="clear" w:color="auto" w:fill="auto"/>
            <w:vAlign w:val="center"/>
          </w:tcPr>
          <w:p w14:paraId="7ADFF9CF">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1EFB6A31">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rPr>
              <w:t>1,1,1-三氯乙烷</w:t>
            </w:r>
          </w:p>
        </w:tc>
        <w:tc>
          <w:tcPr>
            <w:tcW w:w="1052" w:type="dxa"/>
            <w:shd w:val="clear" w:color="auto" w:fill="auto"/>
            <w:vAlign w:val="center"/>
          </w:tcPr>
          <w:p w14:paraId="4B16CA2B">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486" w:type="pct"/>
            <w:shd w:val="clear" w:color="auto" w:fill="auto"/>
            <w:vAlign w:val="center"/>
          </w:tcPr>
          <w:p w14:paraId="3647CB05">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34140799">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701</w:t>
            </w:r>
          </w:p>
        </w:tc>
      </w:tr>
      <w:tr w14:paraId="00DC7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14:paraId="709B4AD9">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22</w:t>
            </w:r>
          </w:p>
        </w:tc>
        <w:tc>
          <w:tcPr>
            <w:tcW w:w="588" w:type="pct"/>
            <w:vMerge w:val="continue"/>
            <w:shd w:val="clear" w:color="auto" w:fill="auto"/>
            <w:vAlign w:val="center"/>
          </w:tcPr>
          <w:p w14:paraId="54D877E6">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6EF52D9D">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rPr>
              <w:t>1,1,2-三氯乙烷</w:t>
            </w:r>
          </w:p>
        </w:tc>
        <w:tc>
          <w:tcPr>
            <w:tcW w:w="1052" w:type="dxa"/>
            <w:shd w:val="clear" w:color="auto" w:fill="auto"/>
            <w:vAlign w:val="center"/>
          </w:tcPr>
          <w:p w14:paraId="288BA2DA">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486" w:type="pct"/>
            <w:shd w:val="clear" w:color="auto" w:fill="auto"/>
            <w:vAlign w:val="center"/>
          </w:tcPr>
          <w:p w14:paraId="07928D73">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460CB611">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0.6</w:t>
            </w:r>
          </w:p>
        </w:tc>
      </w:tr>
      <w:tr w14:paraId="5FF37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14:paraId="5FF1D201">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23</w:t>
            </w:r>
          </w:p>
        </w:tc>
        <w:tc>
          <w:tcPr>
            <w:tcW w:w="588" w:type="pct"/>
            <w:vMerge w:val="continue"/>
            <w:shd w:val="clear" w:color="auto" w:fill="auto"/>
            <w:vAlign w:val="center"/>
          </w:tcPr>
          <w:p w14:paraId="6D2AA79A">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01763635">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rPr>
              <w:t>三氯乙烯</w:t>
            </w:r>
          </w:p>
        </w:tc>
        <w:tc>
          <w:tcPr>
            <w:tcW w:w="1052" w:type="dxa"/>
            <w:shd w:val="clear" w:color="auto" w:fill="auto"/>
            <w:vAlign w:val="center"/>
          </w:tcPr>
          <w:p w14:paraId="5A11A437">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486" w:type="pct"/>
            <w:shd w:val="clear" w:color="auto" w:fill="auto"/>
            <w:vAlign w:val="center"/>
          </w:tcPr>
          <w:p w14:paraId="5139B0E6">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1730F114">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0.7</w:t>
            </w:r>
          </w:p>
        </w:tc>
      </w:tr>
      <w:tr w14:paraId="245AD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14:paraId="3CF8F92B">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24</w:t>
            </w:r>
          </w:p>
        </w:tc>
        <w:tc>
          <w:tcPr>
            <w:tcW w:w="588" w:type="pct"/>
            <w:vMerge w:val="continue"/>
            <w:shd w:val="clear" w:color="auto" w:fill="auto"/>
            <w:vAlign w:val="center"/>
          </w:tcPr>
          <w:p w14:paraId="799998BA">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44A96753">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rPr>
              <w:t>1,2,3-三氯丙烷</w:t>
            </w:r>
          </w:p>
        </w:tc>
        <w:tc>
          <w:tcPr>
            <w:tcW w:w="1052" w:type="dxa"/>
            <w:shd w:val="clear" w:color="auto" w:fill="auto"/>
            <w:vAlign w:val="center"/>
          </w:tcPr>
          <w:p w14:paraId="203AEFA6">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486" w:type="pct"/>
            <w:shd w:val="clear" w:color="auto" w:fill="auto"/>
            <w:vAlign w:val="center"/>
          </w:tcPr>
          <w:p w14:paraId="3D8A8C0C">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4F558375">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0.05</w:t>
            </w:r>
          </w:p>
        </w:tc>
      </w:tr>
      <w:tr w14:paraId="588E1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shd w:val="clear" w:color="auto" w:fill="auto"/>
            <w:vAlign w:val="center"/>
          </w:tcPr>
          <w:p w14:paraId="4EE85419">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25</w:t>
            </w:r>
          </w:p>
        </w:tc>
        <w:tc>
          <w:tcPr>
            <w:tcW w:w="588" w:type="pct"/>
            <w:vMerge w:val="continue"/>
            <w:shd w:val="clear" w:color="auto" w:fill="auto"/>
            <w:vAlign w:val="center"/>
          </w:tcPr>
          <w:p w14:paraId="0AA9245F">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5C7A26DA">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rPr>
              <w:t>氯乙烯</w:t>
            </w:r>
          </w:p>
        </w:tc>
        <w:tc>
          <w:tcPr>
            <w:tcW w:w="1052" w:type="dxa"/>
            <w:shd w:val="clear" w:color="auto" w:fill="auto"/>
            <w:vAlign w:val="center"/>
          </w:tcPr>
          <w:p w14:paraId="3F344E7C">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p>
        </w:tc>
        <w:tc>
          <w:tcPr>
            <w:tcW w:w="486" w:type="pct"/>
            <w:shd w:val="clear" w:color="auto" w:fill="auto"/>
            <w:vAlign w:val="center"/>
          </w:tcPr>
          <w:p w14:paraId="3719C845">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06191F6D">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0.43</w:t>
            </w:r>
          </w:p>
        </w:tc>
      </w:tr>
      <w:tr w14:paraId="291D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shd w:val="clear" w:color="auto" w:fill="auto"/>
            <w:vAlign w:val="center"/>
          </w:tcPr>
          <w:p w14:paraId="7663B5A8">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26</w:t>
            </w:r>
          </w:p>
        </w:tc>
        <w:tc>
          <w:tcPr>
            <w:tcW w:w="588" w:type="pct"/>
            <w:vMerge w:val="continue"/>
            <w:shd w:val="clear" w:color="auto" w:fill="auto"/>
            <w:vAlign w:val="center"/>
          </w:tcPr>
          <w:p w14:paraId="75302F8A">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6E669600">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rPr>
              <w:t>苯</w:t>
            </w:r>
          </w:p>
        </w:tc>
        <w:tc>
          <w:tcPr>
            <w:tcW w:w="1052" w:type="dxa"/>
            <w:shd w:val="clear" w:color="auto" w:fill="auto"/>
            <w:vAlign w:val="center"/>
          </w:tcPr>
          <w:p w14:paraId="296BEAF0">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p>
        </w:tc>
        <w:tc>
          <w:tcPr>
            <w:tcW w:w="486" w:type="pct"/>
            <w:shd w:val="clear" w:color="auto" w:fill="auto"/>
            <w:vAlign w:val="center"/>
          </w:tcPr>
          <w:p w14:paraId="0AFA61E6">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66B8373D">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4</w:t>
            </w:r>
          </w:p>
        </w:tc>
      </w:tr>
      <w:tr w14:paraId="407AB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shd w:val="clear" w:color="auto" w:fill="auto"/>
            <w:vAlign w:val="center"/>
          </w:tcPr>
          <w:p w14:paraId="4730D3C9">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27</w:t>
            </w:r>
          </w:p>
        </w:tc>
        <w:tc>
          <w:tcPr>
            <w:tcW w:w="588" w:type="pct"/>
            <w:vMerge w:val="continue"/>
            <w:shd w:val="clear" w:color="auto" w:fill="auto"/>
            <w:vAlign w:val="center"/>
          </w:tcPr>
          <w:p w14:paraId="20D64D8E">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5ADCC0E3">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rPr>
              <w:t>氯苯</w:t>
            </w:r>
          </w:p>
        </w:tc>
        <w:tc>
          <w:tcPr>
            <w:tcW w:w="1052" w:type="dxa"/>
            <w:shd w:val="clear" w:color="auto" w:fill="auto"/>
            <w:vAlign w:val="center"/>
          </w:tcPr>
          <w:p w14:paraId="535037C8">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p>
        </w:tc>
        <w:tc>
          <w:tcPr>
            <w:tcW w:w="486" w:type="pct"/>
            <w:shd w:val="clear" w:color="auto" w:fill="auto"/>
            <w:vAlign w:val="center"/>
          </w:tcPr>
          <w:p w14:paraId="4626BB9F">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647E0C0C">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270</w:t>
            </w:r>
          </w:p>
        </w:tc>
      </w:tr>
      <w:tr w14:paraId="2194E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shd w:val="clear" w:color="auto" w:fill="auto"/>
            <w:vAlign w:val="center"/>
          </w:tcPr>
          <w:p w14:paraId="76345978">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28</w:t>
            </w:r>
          </w:p>
        </w:tc>
        <w:tc>
          <w:tcPr>
            <w:tcW w:w="588" w:type="pct"/>
            <w:vMerge w:val="continue"/>
            <w:shd w:val="clear" w:color="auto" w:fill="auto"/>
            <w:vAlign w:val="center"/>
          </w:tcPr>
          <w:p w14:paraId="2B9E8203">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67D1CC3D">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rPr>
              <w:t>1,2-二氯苯</w:t>
            </w:r>
          </w:p>
        </w:tc>
        <w:tc>
          <w:tcPr>
            <w:tcW w:w="1052" w:type="dxa"/>
            <w:shd w:val="clear" w:color="auto" w:fill="auto"/>
            <w:vAlign w:val="center"/>
          </w:tcPr>
          <w:p w14:paraId="53BD786B">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p>
        </w:tc>
        <w:tc>
          <w:tcPr>
            <w:tcW w:w="486" w:type="pct"/>
            <w:shd w:val="clear" w:color="auto" w:fill="auto"/>
            <w:vAlign w:val="center"/>
          </w:tcPr>
          <w:p w14:paraId="7C815C87">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27294B21">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560</w:t>
            </w:r>
          </w:p>
        </w:tc>
      </w:tr>
      <w:tr w14:paraId="5FD52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shd w:val="clear" w:color="auto" w:fill="auto"/>
            <w:vAlign w:val="center"/>
          </w:tcPr>
          <w:p w14:paraId="3810CB3B">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29</w:t>
            </w:r>
          </w:p>
        </w:tc>
        <w:tc>
          <w:tcPr>
            <w:tcW w:w="588" w:type="pct"/>
            <w:vMerge w:val="continue"/>
            <w:shd w:val="clear" w:color="auto" w:fill="auto"/>
            <w:vAlign w:val="center"/>
          </w:tcPr>
          <w:p w14:paraId="4ADBC8DD">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1DD55F2C">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rPr>
              <w:t>1,4-二氯苯</w:t>
            </w:r>
          </w:p>
        </w:tc>
        <w:tc>
          <w:tcPr>
            <w:tcW w:w="1052" w:type="dxa"/>
            <w:shd w:val="clear" w:color="auto" w:fill="auto"/>
            <w:vAlign w:val="center"/>
          </w:tcPr>
          <w:p w14:paraId="2D4DDBA2">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p>
        </w:tc>
        <w:tc>
          <w:tcPr>
            <w:tcW w:w="486" w:type="pct"/>
            <w:shd w:val="clear" w:color="auto" w:fill="auto"/>
            <w:vAlign w:val="center"/>
          </w:tcPr>
          <w:p w14:paraId="0CD4E9F7">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4587B763">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20</w:t>
            </w:r>
          </w:p>
        </w:tc>
      </w:tr>
      <w:tr w14:paraId="0F247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shd w:val="clear" w:color="auto" w:fill="auto"/>
            <w:vAlign w:val="center"/>
          </w:tcPr>
          <w:p w14:paraId="6F3EB0CE">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30</w:t>
            </w:r>
          </w:p>
        </w:tc>
        <w:tc>
          <w:tcPr>
            <w:tcW w:w="588" w:type="pct"/>
            <w:vMerge w:val="continue"/>
            <w:shd w:val="clear" w:color="auto" w:fill="auto"/>
            <w:vAlign w:val="center"/>
          </w:tcPr>
          <w:p w14:paraId="2278E27C">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30CD024D">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rPr>
              <w:t>乙苯</w:t>
            </w:r>
          </w:p>
        </w:tc>
        <w:tc>
          <w:tcPr>
            <w:tcW w:w="1052" w:type="dxa"/>
            <w:shd w:val="clear" w:color="auto" w:fill="auto"/>
            <w:vAlign w:val="center"/>
          </w:tcPr>
          <w:p w14:paraId="38953220">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p>
        </w:tc>
        <w:tc>
          <w:tcPr>
            <w:tcW w:w="486" w:type="pct"/>
            <w:shd w:val="clear" w:color="auto" w:fill="auto"/>
            <w:vAlign w:val="center"/>
          </w:tcPr>
          <w:p w14:paraId="3A683743">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5587777B">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28</w:t>
            </w:r>
          </w:p>
        </w:tc>
      </w:tr>
      <w:tr w14:paraId="3F458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shd w:val="clear" w:color="auto" w:fill="auto"/>
            <w:vAlign w:val="center"/>
          </w:tcPr>
          <w:p w14:paraId="4C580C1F">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31</w:t>
            </w:r>
          </w:p>
        </w:tc>
        <w:tc>
          <w:tcPr>
            <w:tcW w:w="588" w:type="pct"/>
            <w:vMerge w:val="continue"/>
            <w:shd w:val="clear" w:color="auto" w:fill="auto"/>
            <w:vAlign w:val="center"/>
          </w:tcPr>
          <w:p w14:paraId="7FD5B3D6">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7BC247E0">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rPr>
              <w:t>苯乙烯</w:t>
            </w:r>
          </w:p>
        </w:tc>
        <w:tc>
          <w:tcPr>
            <w:tcW w:w="1052" w:type="dxa"/>
            <w:shd w:val="clear" w:color="auto" w:fill="auto"/>
            <w:vAlign w:val="center"/>
          </w:tcPr>
          <w:p w14:paraId="20D8BFCE">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p>
        </w:tc>
        <w:tc>
          <w:tcPr>
            <w:tcW w:w="486" w:type="pct"/>
            <w:shd w:val="clear" w:color="auto" w:fill="auto"/>
            <w:vAlign w:val="center"/>
          </w:tcPr>
          <w:p w14:paraId="170773F6">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6D9B76A5">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1290</w:t>
            </w:r>
          </w:p>
        </w:tc>
      </w:tr>
      <w:tr w14:paraId="372D0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shd w:val="clear" w:color="auto" w:fill="auto"/>
            <w:vAlign w:val="center"/>
          </w:tcPr>
          <w:p w14:paraId="420F8F1D">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32</w:t>
            </w:r>
          </w:p>
        </w:tc>
        <w:tc>
          <w:tcPr>
            <w:tcW w:w="588" w:type="pct"/>
            <w:vMerge w:val="continue"/>
            <w:shd w:val="clear" w:color="auto" w:fill="auto"/>
            <w:vAlign w:val="center"/>
          </w:tcPr>
          <w:p w14:paraId="61433AB6">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1A3D7D5F">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rPr>
              <w:t>甲苯</w:t>
            </w:r>
          </w:p>
        </w:tc>
        <w:tc>
          <w:tcPr>
            <w:tcW w:w="1052" w:type="dxa"/>
            <w:shd w:val="clear" w:color="auto" w:fill="auto"/>
            <w:vAlign w:val="center"/>
          </w:tcPr>
          <w:p w14:paraId="5BEE7608">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p>
        </w:tc>
        <w:tc>
          <w:tcPr>
            <w:tcW w:w="486" w:type="pct"/>
            <w:shd w:val="clear" w:color="auto" w:fill="auto"/>
            <w:vAlign w:val="center"/>
          </w:tcPr>
          <w:p w14:paraId="01D2C882">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3C9CF122">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1200</w:t>
            </w:r>
          </w:p>
        </w:tc>
      </w:tr>
      <w:tr w14:paraId="4FC06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shd w:val="clear" w:color="auto" w:fill="auto"/>
            <w:vAlign w:val="center"/>
          </w:tcPr>
          <w:p w14:paraId="41A1B06C">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33</w:t>
            </w:r>
          </w:p>
        </w:tc>
        <w:tc>
          <w:tcPr>
            <w:tcW w:w="588" w:type="pct"/>
            <w:vMerge w:val="continue"/>
            <w:shd w:val="clear" w:color="auto" w:fill="auto"/>
            <w:vAlign w:val="center"/>
          </w:tcPr>
          <w:p w14:paraId="21FBE39C">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3C3FDD93">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rPr>
              <w:t>间二甲苯+对二甲苯</w:t>
            </w:r>
          </w:p>
        </w:tc>
        <w:tc>
          <w:tcPr>
            <w:tcW w:w="1052" w:type="dxa"/>
            <w:shd w:val="clear" w:color="auto" w:fill="auto"/>
            <w:vAlign w:val="center"/>
          </w:tcPr>
          <w:p w14:paraId="69F9DDFA">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p>
        </w:tc>
        <w:tc>
          <w:tcPr>
            <w:tcW w:w="486" w:type="pct"/>
            <w:shd w:val="clear" w:color="auto" w:fill="auto"/>
            <w:vAlign w:val="center"/>
          </w:tcPr>
          <w:p w14:paraId="1FA3CD09">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70BCD2AE">
            <w:pPr>
              <w:spacing w:line="300" w:lineRule="exact"/>
              <w:jc w:val="center"/>
              <w:rPr>
                <w:rFonts w:hint="default" w:ascii="Times New Roman" w:hAnsi="Times New Roman" w:eastAsia="华文中宋" w:cs="Times New Roman"/>
                <w:b w:val="0"/>
                <w:bCs w:val="0"/>
                <w:szCs w:val="21"/>
                <w:highlight w:val="none"/>
                <w:lang w:eastAsia="zh-CN"/>
              </w:rPr>
            </w:pPr>
            <w:r>
              <w:rPr>
                <w:rFonts w:hint="default" w:ascii="Times New Roman" w:hAnsi="Times New Roman" w:eastAsia="华文中宋" w:cs="Times New Roman"/>
                <w:b w:val="0"/>
                <w:bCs w:val="0"/>
                <w:szCs w:val="21"/>
                <w:highlight w:val="none"/>
                <w:lang w:eastAsia="zh-CN"/>
              </w:rPr>
              <w:t>570</w:t>
            </w:r>
          </w:p>
        </w:tc>
      </w:tr>
      <w:tr w14:paraId="425C8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shd w:val="clear" w:color="auto" w:fill="auto"/>
            <w:vAlign w:val="center"/>
          </w:tcPr>
          <w:p w14:paraId="1712FCF0">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34</w:t>
            </w:r>
          </w:p>
        </w:tc>
        <w:tc>
          <w:tcPr>
            <w:tcW w:w="588" w:type="pct"/>
            <w:vMerge w:val="continue"/>
            <w:shd w:val="clear" w:color="auto" w:fill="auto"/>
            <w:vAlign w:val="center"/>
          </w:tcPr>
          <w:p w14:paraId="3B362D9E">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13FA344A">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rPr>
              <w:t>邻二甲苯</w:t>
            </w:r>
          </w:p>
        </w:tc>
        <w:tc>
          <w:tcPr>
            <w:tcW w:w="1052" w:type="dxa"/>
            <w:shd w:val="clear" w:color="auto" w:fill="auto"/>
            <w:vAlign w:val="center"/>
          </w:tcPr>
          <w:p w14:paraId="38A94BB7">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p>
        </w:tc>
        <w:tc>
          <w:tcPr>
            <w:tcW w:w="486" w:type="pct"/>
            <w:shd w:val="clear" w:color="auto" w:fill="auto"/>
            <w:vAlign w:val="center"/>
          </w:tcPr>
          <w:p w14:paraId="6108C97F">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18AF45FE">
            <w:pPr>
              <w:spacing w:line="300" w:lineRule="exact"/>
              <w:jc w:val="center"/>
              <w:rPr>
                <w:rFonts w:hint="default" w:ascii="Times New Roman" w:hAnsi="Times New Roman" w:eastAsia="华文中宋" w:cs="Times New Roman"/>
                <w:b w:val="0"/>
                <w:bCs w:val="0"/>
                <w:szCs w:val="21"/>
                <w:highlight w:val="none"/>
                <w:lang w:eastAsia="zh-CN"/>
              </w:rPr>
            </w:pPr>
            <w:r>
              <w:rPr>
                <w:rFonts w:hint="default" w:ascii="Times New Roman" w:hAnsi="Times New Roman" w:eastAsia="华文中宋" w:cs="Times New Roman"/>
                <w:b w:val="0"/>
                <w:bCs w:val="0"/>
                <w:szCs w:val="21"/>
                <w:highlight w:val="none"/>
                <w:lang w:eastAsia="zh-CN"/>
              </w:rPr>
              <w:t>640</w:t>
            </w:r>
          </w:p>
        </w:tc>
      </w:tr>
      <w:tr w14:paraId="5809D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shd w:val="clear" w:color="auto" w:fill="auto"/>
            <w:vAlign w:val="center"/>
          </w:tcPr>
          <w:p w14:paraId="48C7EFE1">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35</w:t>
            </w:r>
          </w:p>
        </w:tc>
        <w:tc>
          <w:tcPr>
            <w:tcW w:w="588" w:type="pct"/>
            <w:vMerge w:val="continue"/>
            <w:shd w:val="clear" w:color="auto" w:fill="auto"/>
            <w:vAlign w:val="center"/>
          </w:tcPr>
          <w:p w14:paraId="72D147FB">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29DA0B70">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rPr>
              <w:t>硝基苯</w:t>
            </w:r>
          </w:p>
        </w:tc>
        <w:tc>
          <w:tcPr>
            <w:tcW w:w="1052" w:type="dxa"/>
            <w:shd w:val="clear" w:color="auto" w:fill="auto"/>
            <w:vAlign w:val="center"/>
          </w:tcPr>
          <w:p w14:paraId="2C9F4188">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p>
        </w:tc>
        <w:tc>
          <w:tcPr>
            <w:tcW w:w="486" w:type="pct"/>
            <w:shd w:val="clear" w:color="auto" w:fill="auto"/>
            <w:vAlign w:val="center"/>
          </w:tcPr>
          <w:p w14:paraId="17608515">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4964D7EA">
            <w:pPr>
              <w:spacing w:line="300" w:lineRule="exact"/>
              <w:jc w:val="center"/>
              <w:rPr>
                <w:rFonts w:hint="default" w:ascii="Times New Roman" w:hAnsi="Times New Roman" w:eastAsia="华文中宋" w:cs="Times New Roman"/>
                <w:b w:val="0"/>
                <w:bCs w:val="0"/>
                <w:szCs w:val="21"/>
                <w:highlight w:val="none"/>
                <w:lang w:eastAsia="zh-CN"/>
              </w:rPr>
            </w:pPr>
            <w:r>
              <w:rPr>
                <w:rFonts w:hint="default" w:ascii="Times New Roman" w:hAnsi="Times New Roman" w:eastAsia="华文中宋" w:cs="Times New Roman"/>
                <w:b w:val="0"/>
                <w:bCs w:val="0"/>
                <w:szCs w:val="21"/>
                <w:highlight w:val="none"/>
                <w:lang w:eastAsia="zh-CN"/>
              </w:rPr>
              <w:t>76</w:t>
            </w:r>
          </w:p>
        </w:tc>
      </w:tr>
      <w:tr w14:paraId="6E6D9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shd w:val="clear" w:color="auto" w:fill="auto"/>
            <w:vAlign w:val="center"/>
          </w:tcPr>
          <w:p w14:paraId="00D62FA5">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36</w:t>
            </w:r>
          </w:p>
        </w:tc>
        <w:tc>
          <w:tcPr>
            <w:tcW w:w="588" w:type="pct"/>
            <w:vMerge w:val="continue"/>
            <w:shd w:val="clear" w:color="auto" w:fill="auto"/>
            <w:vAlign w:val="center"/>
          </w:tcPr>
          <w:p w14:paraId="2BCB7FD2">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25E156B4">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rPr>
              <w:t>苯胺</w:t>
            </w:r>
          </w:p>
        </w:tc>
        <w:tc>
          <w:tcPr>
            <w:tcW w:w="1052" w:type="dxa"/>
            <w:shd w:val="clear" w:color="auto" w:fill="auto"/>
            <w:vAlign w:val="center"/>
          </w:tcPr>
          <w:p w14:paraId="24CF9797">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p>
        </w:tc>
        <w:tc>
          <w:tcPr>
            <w:tcW w:w="486" w:type="pct"/>
            <w:shd w:val="clear" w:color="auto" w:fill="auto"/>
            <w:vAlign w:val="center"/>
          </w:tcPr>
          <w:p w14:paraId="1116A2DD">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64A274C3">
            <w:pPr>
              <w:spacing w:line="300" w:lineRule="exact"/>
              <w:jc w:val="center"/>
              <w:rPr>
                <w:rFonts w:hint="default" w:ascii="Times New Roman" w:hAnsi="Times New Roman" w:eastAsia="华文中宋" w:cs="Times New Roman"/>
                <w:b w:val="0"/>
                <w:bCs w:val="0"/>
                <w:szCs w:val="21"/>
                <w:highlight w:val="none"/>
                <w:lang w:eastAsia="zh-CN"/>
              </w:rPr>
            </w:pPr>
            <w:r>
              <w:rPr>
                <w:rFonts w:hint="default" w:ascii="Times New Roman" w:hAnsi="Times New Roman" w:eastAsia="华文中宋" w:cs="Times New Roman"/>
                <w:b w:val="0"/>
                <w:bCs w:val="0"/>
                <w:szCs w:val="21"/>
                <w:highlight w:val="none"/>
                <w:lang w:eastAsia="zh-CN"/>
              </w:rPr>
              <w:t>260</w:t>
            </w:r>
          </w:p>
        </w:tc>
      </w:tr>
      <w:tr w14:paraId="122D8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412" w:type="pct"/>
            <w:shd w:val="clear" w:color="auto" w:fill="auto"/>
            <w:vAlign w:val="center"/>
          </w:tcPr>
          <w:p w14:paraId="3A8CD8DC">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37</w:t>
            </w:r>
          </w:p>
        </w:tc>
        <w:tc>
          <w:tcPr>
            <w:tcW w:w="588" w:type="pct"/>
            <w:vMerge w:val="continue"/>
            <w:shd w:val="clear" w:color="auto" w:fill="auto"/>
            <w:vAlign w:val="center"/>
          </w:tcPr>
          <w:p w14:paraId="4F5F5A72">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2C619F5C">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rPr>
              <w:t>2-氯酚</w:t>
            </w:r>
          </w:p>
        </w:tc>
        <w:tc>
          <w:tcPr>
            <w:tcW w:w="1052" w:type="dxa"/>
            <w:shd w:val="clear" w:color="auto" w:fill="auto"/>
            <w:vAlign w:val="center"/>
          </w:tcPr>
          <w:p w14:paraId="159F3A1B">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p>
        </w:tc>
        <w:tc>
          <w:tcPr>
            <w:tcW w:w="486" w:type="pct"/>
            <w:shd w:val="clear" w:color="auto" w:fill="auto"/>
            <w:vAlign w:val="center"/>
          </w:tcPr>
          <w:p w14:paraId="50E28565">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489B9562">
            <w:pPr>
              <w:spacing w:line="300" w:lineRule="exact"/>
              <w:jc w:val="center"/>
              <w:rPr>
                <w:rFonts w:hint="default" w:ascii="Times New Roman" w:hAnsi="Times New Roman" w:eastAsia="华文中宋" w:cs="Times New Roman"/>
                <w:b w:val="0"/>
                <w:bCs w:val="0"/>
                <w:szCs w:val="21"/>
                <w:highlight w:val="none"/>
                <w:lang w:eastAsia="zh-CN"/>
              </w:rPr>
            </w:pPr>
            <w:r>
              <w:rPr>
                <w:rFonts w:hint="default" w:ascii="Times New Roman" w:hAnsi="Times New Roman" w:eastAsia="华文中宋" w:cs="Times New Roman"/>
                <w:b w:val="0"/>
                <w:bCs w:val="0"/>
                <w:szCs w:val="21"/>
                <w:highlight w:val="none"/>
                <w:lang w:eastAsia="zh-CN"/>
              </w:rPr>
              <w:t>2256</w:t>
            </w:r>
          </w:p>
        </w:tc>
      </w:tr>
      <w:tr w14:paraId="51FB1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shd w:val="clear" w:color="auto" w:fill="auto"/>
            <w:vAlign w:val="center"/>
          </w:tcPr>
          <w:p w14:paraId="0FB2EF96">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38</w:t>
            </w:r>
          </w:p>
        </w:tc>
        <w:tc>
          <w:tcPr>
            <w:tcW w:w="588" w:type="pct"/>
            <w:vMerge w:val="continue"/>
            <w:shd w:val="clear" w:color="auto" w:fill="auto"/>
            <w:vAlign w:val="center"/>
          </w:tcPr>
          <w:p w14:paraId="14ECC65A">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54477D1F">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rPr>
              <w:t>苯并[a]蒽</w:t>
            </w:r>
          </w:p>
        </w:tc>
        <w:tc>
          <w:tcPr>
            <w:tcW w:w="1052" w:type="dxa"/>
            <w:shd w:val="clear" w:color="auto" w:fill="auto"/>
            <w:vAlign w:val="center"/>
          </w:tcPr>
          <w:p w14:paraId="3E0D03FB">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p>
        </w:tc>
        <w:tc>
          <w:tcPr>
            <w:tcW w:w="486" w:type="pct"/>
            <w:shd w:val="clear" w:color="auto" w:fill="auto"/>
            <w:vAlign w:val="center"/>
          </w:tcPr>
          <w:p w14:paraId="67AA27D0">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2E35A400">
            <w:pPr>
              <w:spacing w:line="300" w:lineRule="exact"/>
              <w:jc w:val="center"/>
              <w:rPr>
                <w:rFonts w:hint="default" w:ascii="Times New Roman" w:hAnsi="Times New Roman" w:eastAsia="华文中宋" w:cs="Times New Roman"/>
                <w:b w:val="0"/>
                <w:bCs w:val="0"/>
                <w:szCs w:val="21"/>
                <w:highlight w:val="none"/>
                <w:lang w:eastAsia="zh-CN"/>
              </w:rPr>
            </w:pPr>
            <w:r>
              <w:rPr>
                <w:rFonts w:hint="default" w:ascii="Times New Roman" w:hAnsi="Times New Roman" w:eastAsia="华文中宋" w:cs="Times New Roman"/>
                <w:b w:val="0"/>
                <w:bCs w:val="0"/>
                <w:szCs w:val="21"/>
                <w:highlight w:val="none"/>
                <w:lang w:eastAsia="zh-CN"/>
              </w:rPr>
              <w:t>15</w:t>
            </w:r>
          </w:p>
        </w:tc>
      </w:tr>
      <w:tr w14:paraId="1694D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shd w:val="clear" w:color="auto" w:fill="auto"/>
            <w:vAlign w:val="center"/>
          </w:tcPr>
          <w:p w14:paraId="2C6A032A">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39</w:t>
            </w:r>
          </w:p>
        </w:tc>
        <w:tc>
          <w:tcPr>
            <w:tcW w:w="588" w:type="pct"/>
            <w:vMerge w:val="continue"/>
            <w:shd w:val="clear" w:color="auto" w:fill="auto"/>
            <w:vAlign w:val="center"/>
          </w:tcPr>
          <w:p w14:paraId="306D559F">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7CC83983">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rPr>
              <w:t>苯并[a]芘</w:t>
            </w:r>
          </w:p>
        </w:tc>
        <w:tc>
          <w:tcPr>
            <w:tcW w:w="1052" w:type="dxa"/>
            <w:shd w:val="clear" w:color="auto" w:fill="auto"/>
            <w:vAlign w:val="center"/>
          </w:tcPr>
          <w:p w14:paraId="660958ED">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p>
        </w:tc>
        <w:tc>
          <w:tcPr>
            <w:tcW w:w="486" w:type="pct"/>
            <w:shd w:val="clear" w:color="auto" w:fill="auto"/>
            <w:vAlign w:val="center"/>
          </w:tcPr>
          <w:p w14:paraId="0CDEA628">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38E845BD">
            <w:pPr>
              <w:spacing w:line="300" w:lineRule="exact"/>
              <w:jc w:val="center"/>
              <w:rPr>
                <w:rFonts w:hint="default" w:ascii="Times New Roman" w:hAnsi="Times New Roman" w:eastAsia="华文中宋" w:cs="Times New Roman"/>
                <w:b w:val="0"/>
                <w:bCs w:val="0"/>
                <w:szCs w:val="21"/>
                <w:highlight w:val="none"/>
                <w:lang w:eastAsia="zh-CN"/>
              </w:rPr>
            </w:pPr>
            <w:r>
              <w:rPr>
                <w:rFonts w:hint="default" w:ascii="Times New Roman" w:hAnsi="Times New Roman" w:eastAsia="华文中宋" w:cs="Times New Roman"/>
                <w:b w:val="0"/>
                <w:bCs w:val="0"/>
                <w:szCs w:val="21"/>
                <w:highlight w:val="none"/>
                <w:lang w:eastAsia="zh-CN"/>
              </w:rPr>
              <w:t>1.5</w:t>
            </w:r>
          </w:p>
        </w:tc>
      </w:tr>
      <w:tr w14:paraId="0E8AB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shd w:val="clear" w:color="auto" w:fill="auto"/>
            <w:vAlign w:val="center"/>
          </w:tcPr>
          <w:p w14:paraId="276BBE62">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40</w:t>
            </w:r>
          </w:p>
        </w:tc>
        <w:tc>
          <w:tcPr>
            <w:tcW w:w="588" w:type="pct"/>
            <w:vMerge w:val="continue"/>
            <w:shd w:val="clear" w:color="auto" w:fill="auto"/>
            <w:vAlign w:val="center"/>
          </w:tcPr>
          <w:p w14:paraId="62EB3657">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3F0168D1">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rPr>
              <w:t>苯并[b]荧蒽</w:t>
            </w:r>
          </w:p>
        </w:tc>
        <w:tc>
          <w:tcPr>
            <w:tcW w:w="1052" w:type="dxa"/>
            <w:shd w:val="clear" w:color="auto" w:fill="auto"/>
            <w:vAlign w:val="center"/>
          </w:tcPr>
          <w:p w14:paraId="58CFB289">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p>
        </w:tc>
        <w:tc>
          <w:tcPr>
            <w:tcW w:w="486" w:type="pct"/>
            <w:shd w:val="clear" w:color="auto" w:fill="auto"/>
            <w:vAlign w:val="center"/>
          </w:tcPr>
          <w:p w14:paraId="145D0CDD">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0828E71B">
            <w:pPr>
              <w:spacing w:line="300" w:lineRule="exact"/>
              <w:jc w:val="center"/>
              <w:rPr>
                <w:rFonts w:hint="default" w:ascii="Times New Roman" w:hAnsi="Times New Roman" w:eastAsia="华文中宋" w:cs="Times New Roman"/>
                <w:b w:val="0"/>
                <w:bCs w:val="0"/>
                <w:szCs w:val="21"/>
                <w:highlight w:val="none"/>
                <w:lang w:eastAsia="zh-CN"/>
              </w:rPr>
            </w:pPr>
            <w:r>
              <w:rPr>
                <w:rFonts w:hint="default" w:ascii="Times New Roman" w:hAnsi="Times New Roman" w:eastAsia="华文中宋" w:cs="Times New Roman"/>
                <w:b w:val="0"/>
                <w:bCs w:val="0"/>
                <w:szCs w:val="21"/>
                <w:highlight w:val="none"/>
                <w:lang w:eastAsia="zh-CN"/>
              </w:rPr>
              <w:t>15</w:t>
            </w:r>
          </w:p>
        </w:tc>
      </w:tr>
      <w:tr w14:paraId="7D785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shd w:val="clear" w:color="auto" w:fill="auto"/>
            <w:vAlign w:val="center"/>
          </w:tcPr>
          <w:p w14:paraId="23EED220">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41</w:t>
            </w:r>
          </w:p>
        </w:tc>
        <w:tc>
          <w:tcPr>
            <w:tcW w:w="588" w:type="pct"/>
            <w:vMerge w:val="continue"/>
            <w:shd w:val="clear" w:color="auto" w:fill="auto"/>
            <w:vAlign w:val="center"/>
          </w:tcPr>
          <w:p w14:paraId="15E292DA">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782176C9">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rPr>
              <w:t>苯并[k]荧蒽</w:t>
            </w:r>
          </w:p>
        </w:tc>
        <w:tc>
          <w:tcPr>
            <w:tcW w:w="1052" w:type="dxa"/>
            <w:shd w:val="clear" w:color="auto" w:fill="auto"/>
            <w:vAlign w:val="center"/>
          </w:tcPr>
          <w:p w14:paraId="7B858402">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p>
        </w:tc>
        <w:tc>
          <w:tcPr>
            <w:tcW w:w="486" w:type="pct"/>
            <w:shd w:val="clear" w:color="auto" w:fill="auto"/>
            <w:vAlign w:val="center"/>
          </w:tcPr>
          <w:p w14:paraId="239EF4E5">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3B9C3F72">
            <w:pPr>
              <w:spacing w:line="300" w:lineRule="exact"/>
              <w:jc w:val="center"/>
              <w:rPr>
                <w:rFonts w:hint="default" w:ascii="Times New Roman" w:hAnsi="Times New Roman" w:eastAsia="华文中宋" w:cs="Times New Roman"/>
                <w:b w:val="0"/>
                <w:bCs w:val="0"/>
                <w:szCs w:val="21"/>
                <w:highlight w:val="none"/>
                <w:lang w:eastAsia="zh-CN"/>
              </w:rPr>
            </w:pPr>
            <w:r>
              <w:rPr>
                <w:rFonts w:hint="default" w:ascii="Times New Roman" w:hAnsi="Times New Roman" w:eastAsia="华文中宋" w:cs="Times New Roman"/>
                <w:b w:val="0"/>
                <w:bCs w:val="0"/>
                <w:szCs w:val="21"/>
                <w:highlight w:val="none"/>
                <w:lang w:eastAsia="zh-CN"/>
              </w:rPr>
              <w:t>151</w:t>
            </w:r>
          </w:p>
        </w:tc>
      </w:tr>
      <w:tr w14:paraId="326AC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shd w:val="clear" w:color="auto" w:fill="auto"/>
            <w:vAlign w:val="center"/>
          </w:tcPr>
          <w:p w14:paraId="24320E78">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42</w:t>
            </w:r>
          </w:p>
        </w:tc>
        <w:tc>
          <w:tcPr>
            <w:tcW w:w="588" w:type="pct"/>
            <w:vMerge w:val="continue"/>
            <w:shd w:val="clear" w:color="auto" w:fill="auto"/>
            <w:vAlign w:val="center"/>
          </w:tcPr>
          <w:p w14:paraId="57EFF7B6">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1FDA1C3F">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rPr>
              <w:t>䓛</w:t>
            </w:r>
          </w:p>
        </w:tc>
        <w:tc>
          <w:tcPr>
            <w:tcW w:w="617" w:type="pct"/>
            <w:shd w:val="clear" w:color="auto" w:fill="auto"/>
            <w:vAlign w:val="center"/>
          </w:tcPr>
          <w:p w14:paraId="66BEB12B">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p>
        </w:tc>
        <w:tc>
          <w:tcPr>
            <w:tcW w:w="486" w:type="pct"/>
            <w:shd w:val="clear" w:color="auto" w:fill="auto"/>
            <w:vAlign w:val="center"/>
          </w:tcPr>
          <w:p w14:paraId="7F512F95">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7724EC93">
            <w:pPr>
              <w:spacing w:line="300" w:lineRule="exact"/>
              <w:jc w:val="center"/>
              <w:rPr>
                <w:rFonts w:hint="default" w:ascii="Times New Roman" w:hAnsi="Times New Roman" w:eastAsia="华文中宋" w:cs="Times New Roman"/>
                <w:b w:val="0"/>
                <w:bCs w:val="0"/>
                <w:szCs w:val="21"/>
                <w:highlight w:val="none"/>
                <w:lang w:eastAsia="zh-CN"/>
              </w:rPr>
            </w:pPr>
            <w:r>
              <w:rPr>
                <w:rFonts w:hint="default" w:ascii="Times New Roman" w:hAnsi="Times New Roman" w:eastAsia="华文中宋" w:cs="Times New Roman"/>
                <w:b w:val="0"/>
                <w:bCs w:val="0"/>
                <w:szCs w:val="21"/>
                <w:highlight w:val="none"/>
                <w:lang w:eastAsia="zh-CN"/>
              </w:rPr>
              <w:t>1293</w:t>
            </w:r>
          </w:p>
        </w:tc>
      </w:tr>
      <w:tr w14:paraId="29FEA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shd w:val="clear" w:color="auto" w:fill="auto"/>
            <w:vAlign w:val="center"/>
          </w:tcPr>
          <w:p w14:paraId="23F31AF7">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43</w:t>
            </w:r>
          </w:p>
        </w:tc>
        <w:tc>
          <w:tcPr>
            <w:tcW w:w="588" w:type="pct"/>
            <w:vMerge w:val="continue"/>
            <w:shd w:val="clear" w:color="auto" w:fill="auto"/>
            <w:vAlign w:val="center"/>
          </w:tcPr>
          <w:p w14:paraId="2EE1A449">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62E9AE75">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rPr>
              <w:t>二苯并[a,h]蒽</w:t>
            </w:r>
          </w:p>
        </w:tc>
        <w:tc>
          <w:tcPr>
            <w:tcW w:w="617" w:type="pct"/>
            <w:shd w:val="clear" w:color="auto" w:fill="auto"/>
            <w:vAlign w:val="center"/>
          </w:tcPr>
          <w:p w14:paraId="2A8CE2D0">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p>
        </w:tc>
        <w:tc>
          <w:tcPr>
            <w:tcW w:w="486" w:type="pct"/>
            <w:shd w:val="clear" w:color="auto" w:fill="auto"/>
            <w:vAlign w:val="center"/>
          </w:tcPr>
          <w:p w14:paraId="0B68767D">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0C168BAC">
            <w:pPr>
              <w:spacing w:line="300" w:lineRule="exact"/>
              <w:jc w:val="center"/>
              <w:rPr>
                <w:rFonts w:hint="default" w:ascii="Times New Roman" w:hAnsi="Times New Roman" w:eastAsia="华文中宋" w:cs="Times New Roman"/>
                <w:b w:val="0"/>
                <w:bCs w:val="0"/>
                <w:szCs w:val="21"/>
                <w:highlight w:val="none"/>
                <w:lang w:eastAsia="zh-CN"/>
              </w:rPr>
            </w:pPr>
            <w:r>
              <w:rPr>
                <w:rFonts w:hint="default" w:ascii="Times New Roman" w:hAnsi="Times New Roman" w:eastAsia="华文中宋" w:cs="Times New Roman"/>
                <w:b w:val="0"/>
                <w:bCs w:val="0"/>
                <w:szCs w:val="21"/>
                <w:highlight w:val="none"/>
                <w:lang w:eastAsia="zh-CN"/>
              </w:rPr>
              <w:t>1.5</w:t>
            </w:r>
          </w:p>
        </w:tc>
      </w:tr>
      <w:tr w14:paraId="4295D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2" w:type="pct"/>
            <w:shd w:val="clear" w:color="auto" w:fill="auto"/>
            <w:vAlign w:val="center"/>
          </w:tcPr>
          <w:p w14:paraId="458AEFD8">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44</w:t>
            </w:r>
          </w:p>
        </w:tc>
        <w:tc>
          <w:tcPr>
            <w:tcW w:w="588" w:type="pct"/>
            <w:vMerge w:val="continue"/>
            <w:shd w:val="clear" w:color="auto" w:fill="auto"/>
            <w:vAlign w:val="center"/>
          </w:tcPr>
          <w:p w14:paraId="41B57DA2">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1EBF0604">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rPr>
              <w:t>茚[1,2,3-cd]并芘</w:t>
            </w:r>
          </w:p>
        </w:tc>
        <w:tc>
          <w:tcPr>
            <w:tcW w:w="617" w:type="pct"/>
            <w:shd w:val="clear" w:color="auto" w:fill="auto"/>
            <w:vAlign w:val="center"/>
          </w:tcPr>
          <w:p w14:paraId="0F9E6DB4">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p>
        </w:tc>
        <w:tc>
          <w:tcPr>
            <w:tcW w:w="486" w:type="pct"/>
            <w:shd w:val="clear" w:color="auto" w:fill="auto"/>
            <w:vAlign w:val="center"/>
          </w:tcPr>
          <w:p w14:paraId="2D7E9025">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62FD4837">
            <w:pPr>
              <w:spacing w:line="300" w:lineRule="exact"/>
              <w:jc w:val="center"/>
              <w:rPr>
                <w:rFonts w:hint="default" w:ascii="Times New Roman" w:hAnsi="Times New Roman" w:eastAsia="华文中宋" w:cs="Times New Roman"/>
                <w:b w:val="0"/>
                <w:bCs w:val="0"/>
                <w:szCs w:val="21"/>
                <w:highlight w:val="none"/>
                <w:lang w:eastAsia="zh-CN"/>
              </w:rPr>
            </w:pPr>
            <w:r>
              <w:rPr>
                <w:rFonts w:hint="default" w:ascii="Times New Roman" w:hAnsi="Times New Roman" w:eastAsia="华文中宋" w:cs="Times New Roman"/>
                <w:b w:val="0"/>
                <w:bCs w:val="0"/>
                <w:szCs w:val="21"/>
                <w:highlight w:val="none"/>
                <w:lang w:eastAsia="zh-CN"/>
              </w:rPr>
              <w:t>15</w:t>
            </w:r>
          </w:p>
        </w:tc>
      </w:tr>
      <w:tr w14:paraId="0F2F2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shd w:val="clear" w:color="auto" w:fill="auto"/>
            <w:vAlign w:val="center"/>
          </w:tcPr>
          <w:p w14:paraId="01BF6E4E">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45</w:t>
            </w:r>
          </w:p>
        </w:tc>
        <w:tc>
          <w:tcPr>
            <w:tcW w:w="588" w:type="pct"/>
            <w:vMerge w:val="continue"/>
            <w:shd w:val="clear" w:color="auto" w:fill="auto"/>
            <w:vAlign w:val="center"/>
          </w:tcPr>
          <w:p w14:paraId="3CDF45D3">
            <w:pPr>
              <w:spacing w:line="300" w:lineRule="exact"/>
              <w:jc w:val="center"/>
              <w:rPr>
                <w:rFonts w:hint="default" w:ascii="Times New Roman" w:hAnsi="Times New Roman" w:eastAsia="华文中宋" w:cs="Times New Roman"/>
                <w:b w:val="0"/>
                <w:bCs w:val="0"/>
                <w:szCs w:val="21"/>
                <w:highlight w:val="none"/>
              </w:rPr>
            </w:pPr>
          </w:p>
        </w:tc>
        <w:tc>
          <w:tcPr>
            <w:tcW w:w="1076" w:type="pct"/>
            <w:shd w:val="clear" w:color="auto" w:fill="auto"/>
            <w:vAlign w:val="center"/>
          </w:tcPr>
          <w:p w14:paraId="04F25C51">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rPr>
              <w:t>萘</w:t>
            </w:r>
          </w:p>
        </w:tc>
        <w:tc>
          <w:tcPr>
            <w:tcW w:w="617" w:type="pct"/>
            <w:shd w:val="clear" w:color="auto" w:fill="auto"/>
            <w:vAlign w:val="center"/>
          </w:tcPr>
          <w:p w14:paraId="50381548">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p>
        </w:tc>
        <w:tc>
          <w:tcPr>
            <w:tcW w:w="486" w:type="pct"/>
            <w:shd w:val="clear" w:color="auto" w:fill="auto"/>
            <w:vAlign w:val="center"/>
          </w:tcPr>
          <w:p w14:paraId="23BD860C">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12B52DBF">
            <w:pPr>
              <w:spacing w:line="300" w:lineRule="exact"/>
              <w:jc w:val="center"/>
              <w:rPr>
                <w:rFonts w:hint="default" w:ascii="Times New Roman" w:hAnsi="Times New Roman" w:eastAsia="华文中宋" w:cs="Times New Roman"/>
                <w:b w:val="0"/>
                <w:bCs w:val="0"/>
                <w:szCs w:val="21"/>
                <w:highlight w:val="none"/>
                <w:lang w:eastAsia="zh-CN"/>
              </w:rPr>
            </w:pPr>
            <w:r>
              <w:rPr>
                <w:rFonts w:hint="default" w:ascii="Times New Roman" w:hAnsi="Times New Roman" w:eastAsia="华文中宋" w:cs="Times New Roman"/>
                <w:b w:val="0"/>
                <w:bCs w:val="0"/>
                <w:szCs w:val="21"/>
                <w:highlight w:val="none"/>
                <w:lang w:eastAsia="zh-CN"/>
              </w:rPr>
              <w:t>70</w:t>
            </w:r>
          </w:p>
        </w:tc>
      </w:tr>
      <w:tr w14:paraId="105E0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shd w:val="clear" w:color="auto" w:fill="auto"/>
            <w:vAlign w:val="center"/>
          </w:tcPr>
          <w:p w14:paraId="69CA8477">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47</w:t>
            </w:r>
          </w:p>
        </w:tc>
        <w:tc>
          <w:tcPr>
            <w:tcW w:w="588" w:type="pct"/>
            <w:vMerge w:val="continue"/>
            <w:shd w:val="clear" w:color="auto" w:fill="auto"/>
            <w:vAlign w:val="center"/>
          </w:tcPr>
          <w:p w14:paraId="3E9DD9FA">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1076" w:type="pct"/>
            <w:shd w:val="clear" w:color="auto" w:fill="auto"/>
            <w:vAlign w:val="center"/>
          </w:tcPr>
          <w:p w14:paraId="4120FA18">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pH</w:t>
            </w:r>
          </w:p>
        </w:tc>
        <w:tc>
          <w:tcPr>
            <w:tcW w:w="617" w:type="pct"/>
            <w:shd w:val="clear" w:color="auto" w:fill="auto"/>
            <w:vAlign w:val="center"/>
          </w:tcPr>
          <w:p w14:paraId="73AA21CA">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p>
        </w:tc>
        <w:tc>
          <w:tcPr>
            <w:tcW w:w="486" w:type="pct"/>
            <w:shd w:val="clear" w:color="auto" w:fill="auto"/>
            <w:vAlign w:val="center"/>
          </w:tcPr>
          <w:p w14:paraId="568841EB">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eastAsia" w:ascii="Times New Roman" w:hAnsi="Times New Roman" w:eastAsia="华文中宋" w:cs="Times New Roman"/>
                <w:b w:val="0"/>
                <w:bCs w:val="0"/>
                <w:szCs w:val="21"/>
                <w:highlight w:val="none"/>
                <w:lang w:val="en-US" w:eastAsia="zh-CN"/>
              </w:rPr>
              <w:t>无量纲</w:t>
            </w:r>
          </w:p>
        </w:tc>
        <w:tc>
          <w:tcPr>
            <w:tcW w:w="1818" w:type="pct"/>
            <w:shd w:val="clear" w:color="auto" w:fill="auto"/>
            <w:vAlign w:val="center"/>
          </w:tcPr>
          <w:p w14:paraId="14DA95DE">
            <w:pPr>
              <w:spacing w:line="300" w:lineRule="exact"/>
              <w:jc w:val="center"/>
              <w:rPr>
                <w:rFonts w:hint="default" w:ascii="Times New Roman" w:hAnsi="Times New Roman" w:eastAsia="华文中宋" w:cs="Times New Roman"/>
                <w:b w:val="0"/>
                <w:bCs w:val="0"/>
                <w:szCs w:val="21"/>
                <w:highlight w:val="none"/>
                <w:lang w:eastAsia="zh-CN"/>
              </w:rPr>
            </w:pPr>
            <w:r>
              <w:rPr>
                <w:rFonts w:hint="default" w:ascii="Times New Roman" w:hAnsi="Times New Roman" w:eastAsia="华文中宋" w:cs="Times New Roman"/>
                <w:b w:val="0"/>
                <w:bCs w:val="0"/>
                <w:szCs w:val="21"/>
                <w:highlight w:val="none"/>
                <w:lang w:eastAsia="zh-CN"/>
              </w:rPr>
              <w:t>/</w:t>
            </w:r>
          </w:p>
        </w:tc>
      </w:tr>
      <w:tr w14:paraId="6BB02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shd w:val="clear" w:color="auto" w:fill="auto"/>
            <w:vAlign w:val="center"/>
          </w:tcPr>
          <w:p w14:paraId="591E28A6">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48</w:t>
            </w:r>
          </w:p>
        </w:tc>
        <w:tc>
          <w:tcPr>
            <w:tcW w:w="588" w:type="pct"/>
            <w:vMerge w:val="continue"/>
            <w:shd w:val="clear" w:color="auto" w:fill="auto"/>
            <w:vAlign w:val="center"/>
          </w:tcPr>
          <w:p w14:paraId="48EB1330">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1076" w:type="pct"/>
            <w:shd w:val="clear" w:color="auto" w:fill="auto"/>
            <w:vAlign w:val="center"/>
          </w:tcPr>
          <w:p w14:paraId="3D36CB56">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锑</w:t>
            </w:r>
          </w:p>
        </w:tc>
        <w:tc>
          <w:tcPr>
            <w:tcW w:w="617" w:type="pct"/>
            <w:shd w:val="clear" w:color="auto" w:fill="auto"/>
            <w:vAlign w:val="center"/>
          </w:tcPr>
          <w:p w14:paraId="6E4039A5">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p>
        </w:tc>
        <w:tc>
          <w:tcPr>
            <w:tcW w:w="486" w:type="pct"/>
            <w:shd w:val="clear" w:color="auto" w:fill="auto"/>
            <w:vAlign w:val="center"/>
          </w:tcPr>
          <w:p w14:paraId="282A4C4D">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74D25948">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180</w:t>
            </w:r>
          </w:p>
        </w:tc>
      </w:tr>
      <w:tr w14:paraId="4F498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shd w:val="clear" w:color="auto" w:fill="auto"/>
            <w:vAlign w:val="center"/>
          </w:tcPr>
          <w:p w14:paraId="1F793DD6">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49</w:t>
            </w:r>
          </w:p>
        </w:tc>
        <w:tc>
          <w:tcPr>
            <w:tcW w:w="588" w:type="pct"/>
            <w:vMerge w:val="continue"/>
            <w:shd w:val="clear" w:color="auto" w:fill="auto"/>
            <w:vAlign w:val="center"/>
          </w:tcPr>
          <w:p w14:paraId="66B7F79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p>
        </w:tc>
        <w:tc>
          <w:tcPr>
            <w:tcW w:w="1076" w:type="pct"/>
            <w:shd w:val="clear" w:color="auto" w:fill="auto"/>
            <w:vAlign w:val="center"/>
          </w:tcPr>
          <w:p w14:paraId="21F3721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vertAlign w:val="baseline"/>
                <w:lang w:val="en-US" w:eastAsia="zh-CN"/>
              </w:rPr>
              <w:t>锌</w:t>
            </w:r>
          </w:p>
        </w:tc>
        <w:tc>
          <w:tcPr>
            <w:tcW w:w="617" w:type="pct"/>
            <w:shd w:val="clear" w:color="auto" w:fill="auto"/>
            <w:vAlign w:val="center"/>
          </w:tcPr>
          <w:p w14:paraId="1572B40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华文中宋" w:cs="Times New Roman"/>
                <w:b w:val="0"/>
                <w:bCs w:val="0"/>
                <w:kern w:val="2"/>
                <w:sz w:val="21"/>
                <w:szCs w:val="21"/>
                <w:highlight w:val="none"/>
                <w:lang w:val="en-US" w:eastAsia="zh-CN" w:bidi="ar-SA"/>
              </w:rPr>
            </w:pPr>
          </w:p>
        </w:tc>
        <w:tc>
          <w:tcPr>
            <w:tcW w:w="486" w:type="pct"/>
            <w:shd w:val="clear" w:color="auto" w:fill="auto"/>
            <w:vAlign w:val="center"/>
          </w:tcPr>
          <w:p w14:paraId="6F6531F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default" w:ascii="Times New Roman" w:hAnsi="Times New Roman" w:eastAsia="华文中宋" w:cs="Times New Roman"/>
                <w:b w:val="0"/>
                <w:bCs w:val="0"/>
                <w:szCs w:val="21"/>
                <w:highlight w:val="none"/>
                <w:lang w:val="en-US" w:eastAsia="zh-CN"/>
              </w:rPr>
              <w:t>mg/kg</w:t>
            </w:r>
          </w:p>
        </w:tc>
        <w:tc>
          <w:tcPr>
            <w:tcW w:w="1818" w:type="pct"/>
            <w:shd w:val="clear" w:color="auto" w:fill="auto"/>
            <w:vAlign w:val="center"/>
          </w:tcPr>
          <w:p w14:paraId="1AD6DA3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eastAsia="zh-CN"/>
              </w:rPr>
            </w:pPr>
            <w:r>
              <w:rPr>
                <w:rFonts w:hint="default" w:ascii="Times New Roman" w:hAnsi="Times New Roman" w:cs="Times New Roman"/>
                <w:b w:val="0"/>
                <w:bCs w:val="0"/>
                <w:color w:val="auto"/>
                <w:sz w:val="21"/>
                <w:szCs w:val="21"/>
                <w:highlight w:val="none"/>
                <w:vertAlign w:val="baseline"/>
                <w:lang w:eastAsia="zh-CN"/>
              </w:rPr>
              <w:t>/</w:t>
            </w:r>
          </w:p>
        </w:tc>
      </w:tr>
      <w:tr w14:paraId="70A76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shd w:val="clear" w:color="auto" w:fill="auto"/>
            <w:vAlign w:val="center"/>
          </w:tcPr>
          <w:p w14:paraId="04EE4D58">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eastAsia="华文中宋" w:cs="Times New Roman"/>
                <w:b w:val="0"/>
                <w:bCs w:val="0"/>
                <w:szCs w:val="21"/>
                <w:highlight w:val="none"/>
                <w:lang w:val="en-US" w:eastAsia="zh-CN"/>
              </w:rPr>
              <w:t>50</w:t>
            </w:r>
          </w:p>
        </w:tc>
        <w:tc>
          <w:tcPr>
            <w:tcW w:w="588" w:type="pct"/>
            <w:vMerge w:val="continue"/>
            <w:shd w:val="clear" w:color="auto" w:fill="auto"/>
            <w:vAlign w:val="center"/>
          </w:tcPr>
          <w:p w14:paraId="3D62C73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p>
        </w:tc>
        <w:tc>
          <w:tcPr>
            <w:tcW w:w="1076" w:type="pct"/>
            <w:shd w:val="clear" w:color="auto" w:fill="auto"/>
            <w:vAlign w:val="center"/>
          </w:tcPr>
          <w:p w14:paraId="4B85A7E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华文中宋" w:cs="Times New Roman"/>
                <w:b w:val="0"/>
                <w:bCs w:val="0"/>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vertAlign w:val="baseline"/>
                <w:lang w:val="en-US" w:eastAsia="zh-CN"/>
              </w:rPr>
              <w:t>全盐量</w:t>
            </w:r>
          </w:p>
        </w:tc>
        <w:tc>
          <w:tcPr>
            <w:tcW w:w="617" w:type="pct"/>
            <w:shd w:val="clear" w:color="auto" w:fill="auto"/>
            <w:vAlign w:val="center"/>
          </w:tcPr>
          <w:p w14:paraId="41ECEC2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华文中宋" w:cs="Times New Roman"/>
                <w:b w:val="0"/>
                <w:bCs w:val="0"/>
                <w:kern w:val="2"/>
                <w:sz w:val="21"/>
                <w:szCs w:val="21"/>
                <w:highlight w:val="none"/>
                <w:lang w:val="en-US" w:eastAsia="zh-CN" w:bidi="ar-SA"/>
              </w:rPr>
            </w:pPr>
          </w:p>
        </w:tc>
        <w:tc>
          <w:tcPr>
            <w:tcW w:w="486" w:type="pct"/>
            <w:shd w:val="clear" w:color="auto" w:fill="auto"/>
            <w:vAlign w:val="center"/>
          </w:tcPr>
          <w:p w14:paraId="35DA07E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default" w:ascii="Times New Roman" w:hAnsi="Times New Roman" w:eastAsia="华文中宋" w:cs="Times New Roman"/>
                <w:b w:val="0"/>
                <w:bCs w:val="0"/>
                <w:szCs w:val="21"/>
                <w:highlight w:val="none"/>
                <w:lang w:val="en-US" w:eastAsia="zh-CN"/>
              </w:rPr>
              <w:t>g/kg</w:t>
            </w:r>
          </w:p>
        </w:tc>
        <w:tc>
          <w:tcPr>
            <w:tcW w:w="1818" w:type="pct"/>
            <w:shd w:val="clear" w:color="auto" w:fill="auto"/>
            <w:vAlign w:val="center"/>
          </w:tcPr>
          <w:p w14:paraId="03F8859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eastAsia="zh-CN"/>
              </w:rPr>
            </w:pPr>
            <w:r>
              <w:rPr>
                <w:rFonts w:hint="default" w:ascii="Times New Roman" w:hAnsi="Times New Roman" w:cs="Times New Roman"/>
                <w:b w:val="0"/>
                <w:bCs w:val="0"/>
                <w:color w:val="auto"/>
                <w:sz w:val="21"/>
                <w:szCs w:val="21"/>
                <w:highlight w:val="none"/>
                <w:vertAlign w:val="baseline"/>
                <w:lang w:eastAsia="zh-CN"/>
              </w:rPr>
              <w:t>/</w:t>
            </w:r>
          </w:p>
        </w:tc>
      </w:tr>
      <w:tr w14:paraId="24382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shd w:val="clear" w:color="auto" w:fill="auto"/>
            <w:vAlign w:val="center"/>
          </w:tcPr>
          <w:p w14:paraId="7E69585A">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51</w:t>
            </w:r>
          </w:p>
        </w:tc>
        <w:tc>
          <w:tcPr>
            <w:tcW w:w="588" w:type="pct"/>
            <w:vMerge w:val="restart"/>
            <w:shd w:val="clear" w:color="auto" w:fill="auto"/>
            <w:vAlign w:val="center"/>
          </w:tcPr>
          <w:p w14:paraId="45EE4AC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5#监测点位</w:t>
            </w:r>
          </w:p>
        </w:tc>
        <w:tc>
          <w:tcPr>
            <w:tcW w:w="1076" w:type="pct"/>
            <w:shd w:val="clear" w:color="auto" w:fill="auto"/>
            <w:vAlign w:val="center"/>
          </w:tcPr>
          <w:p w14:paraId="29D7F2B6">
            <w:pPr>
              <w:spacing w:line="300" w:lineRule="exact"/>
              <w:jc w:val="center"/>
              <w:rPr>
                <w:rFonts w:hint="default" w:ascii="Times New Roman" w:hAnsi="Times New Roman" w:eastAsia="华文中宋" w:cs="Times New Roman"/>
                <w:kern w:val="2"/>
                <w:sz w:val="21"/>
                <w:szCs w:val="21"/>
                <w:highlight w:val="none"/>
                <w:lang w:val="en-US" w:eastAsia="zh-CN" w:bidi="ar-SA"/>
              </w:rPr>
            </w:pPr>
            <w:r>
              <w:rPr>
                <w:rFonts w:hint="default" w:ascii="Times New Roman" w:hAnsi="Times New Roman" w:eastAsia="华文中宋" w:cs="Times New Roman"/>
                <w:szCs w:val="21"/>
                <w:highlight w:val="none"/>
                <w:lang w:val="en-US" w:eastAsia="zh-CN"/>
              </w:rPr>
              <w:t>锑</w:t>
            </w:r>
          </w:p>
        </w:tc>
        <w:tc>
          <w:tcPr>
            <w:tcW w:w="617" w:type="pct"/>
            <w:shd w:val="clear" w:color="auto" w:fill="auto"/>
            <w:vAlign w:val="center"/>
          </w:tcPr>
          <w:p w14:paraId="0337F1A4">
            <w:pPr>
              <w:spacing w:line="300" w:lineRule="exact"/>
              <w:jc w:val="center"/>
              <w:rPr>
                <w:rFonts w:hint="default" w:ascii="Times New Roman" w:hAnsi="Times New Roman" w:eastAsia="华文中宋" w:cs="Times New Roman"/>
                <w:kern w:val="2"/>
                <w:sz w:val="21"/>
                <w:szCs w:val="21"/>
                <w:highlight w:val="none"/>
                <w:lang w:val="en-US" w:eastAsia="zh-CN" w:bidi="ar-SA"/>
              </w:rPr>
            </w:pPr>
          </w:p>
        </w:tc>
        <w:tc>
          <w:tcPr>
            <w:tcW w:w="486" w:type="pct"/>
            <w:shd w:val="clear" w:color="auto" w:fill="auto"/>
            <w:vAlign w:val="center"/>
          </w:tcPr>
          <w:p w14:paraId="42EAF89F">
            <w:pPr>
              <w:jc w:val="center"/>
              <w:rPr>
                <w:rFonts w:hint="default" w:asciiTheme="minorHAnsi" w:hAnsiTheme="minorHAnsi" w:eastAsiaTheme="minorEastAsia" w:cstheme="minorBidi"/>
                <w:b w:val="0"/>
                <w:bCs/>
                <w:kern w:val="2"/>
                <w:sz w:val="21"/>
                <w:szCs w:val="24"/>
                <w:highlight w:val="none"/>
                <w:vertAlign w:val="baseline"/>
                <w:lang w:val="en-US" w:eastAsia="zh-CN" w:bidi="ar-SA"/>
              </w:rPr>
            </w:pPr>
            <w:r>
              <w:rPr>
                <w:rFonts w:hint="default" w:ascii="Times New Roman" w:hAnsi="Times New Roman" w:eastAsia="华文中宋" w:cs="Times New Roman"/>
                <w:b w:val="0"/>
                <w:bCs/>
                <w:szCs w:val="21"/>
                <w:highlight w:val="none"/>
                <w:lang w:val="en-US" w:eastAsia="zh-CN"/>
              </w:rPr>
              <w:t>mg/kg</w:t>
            </w:r>
          </w:p>
        </w:tc>
        <w:tc>
          <w:tcPr>
            <w:tcW w:w="1818" w:type="pct"/>
            <w:shd w:val="clear" w:color="auto" w:fill="auto"/>
            <w:vAlign w:val="center"/>
          </w:tcPr>
          <w:p w14:paraId="723625B4">
            <w:pPr>
              <w:spacing w:line="300" w:lineRule="exact"/>
              <w:jc w:val="center"/>
              <w:rPr>
                <w:rFonts w:hint="default" w:ascii="Times New Roman" w:hAnsi="Times New Roman" w:eastAsia="华文中宋" w:cs="Times New Roman"/>
                <w:b w:val="0"/>
                <w:bCs w:val="0"/>
                <w:kern w:val="2"/>
                <w:sz w:val="21"/>
                <w:szCs w:val="21"/>
                <w:highlight w:val="none"/>
                <w:lang w:eastAsia="zh-CN" w:bidi="ar-SA"/>
              </w:rPr>
            </w:pPr>
            <w:r>
              <w:rPr>
                <w:rFonts w:hint="eastAsia" w:ascii="Times New Roman" w:hAnsi="Times New Roman" w:eastAsia="华文中宋" w:cs="Times New Roman"/>
                <w:b w:val="0"/>
                <w:bCs w:val="0"/>
                <w:szCs w:val="21"/>
                <w:highlight w:val="none"/>
                <w:lang w:val="en-US" w:eastAsia="zh-CN"/>
              </w:rPr>
              <w:t>180</w:t>
            </w:r>
          </w:p>
        </w:tc>
      </w:tr>
      <w:tr w14:paraId="36F77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shd w:val="clear" w:color="auto" w:fill="auto"/>
            <w:vAlign w:val="center"/>
          </w:tcPr>
          <w:p w14:paraId="3CBF0DE4">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52</w:t>
            </w:r>
          </w:p>
        </w:tc>
        <w:tc>
          <w:tcPr>
            <w:tcW w:w="588" w:type="pct"/>
            <w:vMerge w:val="continue"/>
            <w:shd w:val="clear" w:color="auto" w:fill="auto"/>
            <w:vAlign w:val="center"/>
          </w:tcPr>
          <w:p w14:paraId="0511E94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p>
        </w:tc>
        <w:tc>
          <w:tcPr>
            <w:tcW w:w="1076" w:type="pct"/>
            <w:shd w:val="clear" w:color="auto" w:fill="auto"/>
            <w:vAlign w:val="center"/>
          </w:tcPr>
          <w:p w14:paraId="1B00B919">
            <w:pPr>
              <w:spacing w:line="300" w:lineRule="exact"/>
              <w:jc w:val="center"/>
              <w:rPr>
                <w:rFonts w:hint="default" w:ascii="Times New Roman" w:hAnsi="Times New Roman" w:eastAsia="华文中宋" w:cs="Times New Roman"/>
                <w:kern w:val="2"/>
                <w:sz w:val="21"/>
                <w:szCs w:val="21"/>
                <w:highlight w:val="none"/>
                <w:lang w:val="en-US" w:eastAsia="zh-CN" w:bidi="ar-SA"/>
              </w:rPr>
            </w:pPr>
            <w:r>
              <w:rPr>
                <w:rFonts w:hint="default" w:ascii="Times New Roman" w:hAnsi="Times New Roman" w:eastAsia="华文中宋" w:cs="Times New Roman"/>
                <w:szCs w:val="21"/>
                <w:highlight w:val="none"/>
                <w:lang w:val="en-US" w:eastAsia="zh-CN"/>
              </w:rPr>
              <w:t>铅</w:t>
            </w:r>
          </w:p>
        </w:tc>
        <w:tc>
          <w:tcPr>
            <w:tcW w:w="617" w:type="pct"/>
            <w:shd w:val="clear" w:color="auto" w:fill="auto"/>
            <w:vAlign w:val="center"/>
          </w:tcPr>
          <w:p w14:paraId="46399B6B">
            <w:pPr>
              <w:spacing w:line="300" w:lineRule="exact"/>
              <w:jc w:val="center"/>
              <w:rPr>
                <w:rFonts w:hint="default" w:ascii="Times New Roman" w:hAnsi="Times New Roman" w:eastAsia="华文中宋" w:cs="Times New Roman"/>
                <w:kern w:val="2"/>
                <w:sz w:val="21"/>
                <w:szCs w:val="21"/>
                <w:highlight w:val="none"/>
                <w:lang w:val="en-US" w:eastAsia="zh-CN" w:bidi="ar-SA"/>
              </w:rPr>
            </w:pPr>
          </w:p>
        </w:tc>
        <w:tc>
          <w:tcPr>
            <w:tcW w:w="486" w:type="pct"/>
            <w:shd w:val="clear" w:color="auto" w:fill="auto"/>
            <w:vAlign w:val="center"/>
          </w:tcPr>
          <w:p w14:paraId="06BF529B">
            <w:pPr>
              <w:jc w:val="center"/>
              <w:rPr>
                <w:rFonts w:hint="default" w:asciiTheme="minorHAnsi" w:hAnsiTheme="minorHAnsi" w:eastAsiaTheme="minorEastAsia" w:cstheme="minorBidi"/>
                <w:b w:val="0"/>
                <w:bCs/>
                <w:kern w:val="2"/>
                <w:sz w:val="21"/>
                <w:szCs w:val="24"/>
                <w:highlight w:val="none"/>
                <w:vertAlign w:val="baseline"/>
                <w:lang w:val="en-US" w:eastAsia="zh-CN" w:bidi="ar-SA"/>
              </w:rPr>
            </w:pPr>
            <w:r>
              <w:rPr>
                <w:rFonts w:hint="default" w:ascii="Times New Roman" w:hAnsi="Times New Roman" w:eastAsia="华文中宋" w:cs="Times New Roman"/>
                <w:b w:val="0"/>
                <w:bCs/>
                <w:szCs w:val="21"/>
                <w:highlight w:val="none"/>
                <w:lang w:val="en-US" w:eastAsia="zh-CN"/>
              </w:rPr>
              <w:t>mg/kg</w:t>
            </w:r>
          </w:p>
        </w:tc>
        <w:tc>
          <w:tcPr>
            <w:tcW w:w="1818" w:type="pct"/>
            <w:shd w:val="clear" w:color="auto" w:fill="auto"/>
            <w:vAlign w:val="center"/>
          </w:tcPr>
          <w:p w14:paraId="0F9D94B3">
            <w:pPr>
              <w:spacing w:line="300" w:lineRule="exact"/>
              <w:jc w:val="center"/>
              <w:rPr>
                <w:rFonts w:hint="default" w:ascii="Times New Roman" w:hAnsi="Times New Roman" w:eastAsia="华文中宋" w:cs="Times New Roman"/>
                <w:b w:val="0"/>
                <w:bCs w:val="0"/>
                <w:kern w:val="2"/>
                <w:sz w:val="21"/>
                <w:szCs w:val="21"/>
                <w:highlight w:val="none"/>
                <w:lang w:val="en-US" w:eastAsia="zh-CN" w:bidi="ar-SA"/>
              </w:rPr>
            </w:pPr>
            <w:r>
              <w:rPr>
                <w:rFonts w:hint="eastAsia" w:ascii="Times New Roman" w:hAnsi="Times New Roman" w:eastAsia="华文中宋" w:cs="Times New Roman"/>
                <w:b w:val="0"/>
                <w:bCs w:val="0"/>
                <w:szCs w:val="21"/>
                <w:highlight w:val="none"/>
                <w:lang w:val="en-US" w:eastAsia="zh-CN"/>
              </w:rPr>
              <w:t>800</w:t>
            </w:r>
          </w:p>
        </w:tc>
      </w:tr>
      <w:tr w14:paraId="60BF8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shd w:val="clear" w:color="auto" w:fill="auto"/>
            <w:vAlign w:val="center"/>
          </w:tcPr>
          <w:p w14:paraId="43496348">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53</w:t>
            </w:r>
          </w:p>
        </w:tc>
        <w:tc>
          <w:tcPr>
            <w:tcW w:w="588" w:type="pct"/>
            <w:vMerge w:val="continue"/>
            <w:shd w:val="clear" w:color="auto" w:fill="auto"/>
            <w:vAlign w:val="center"/>
          </w:tcPr>
          <w:p w14:paraId="1079752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p>
        </w:tc>
        <w:tc>
          <w:tcPr>
            <w:tcW w:w="1076" w:type="pct"/>
            <w:shd w:val="clear" w:color="auto" w:fill="auto"/>
            <w:vAlign w:val="center"/>
          </w:tcPr>
          <w:p w14:paraId="75BE030B">
            <w:pPr>
              <w:spacing w:line="300" w:lineRule="exact"/>
              <w:jc w:val="center"/>
              <w:rPr>
                <w:rFonts w:hint="default" w:ascii="Times New Roman" w:hAnsi="Times New Roman" w:eastAsia="华文中宋" w:cs="Times New Roman"/>
                <w:kern w:val="2"/>
                <w:sz w:val="21"/>
                <w:szCs w:val="21"/>
                <w:highlight w:val="none"/>
                <w:lang w:val="en-US" w:eastAsia="zh-CN" w:bidi="ar-SA"/>
              </w:rPr>
            </w:pPr>
            <w:r>
              <w:rPr>
                <w:rFonts w:hint="default" w:ascii="Times New Roman" w:hAnsi="Times New Roman" w:eastAsia="华文中宋" w:cs="Times New Roman"/>
                <w:szCs w:val="21"/>
                <w:highlight w:val="none"/>
                <w:lang w:val="en-US" w:eastAsia="zh-CN"/>
              </w:rPr>
              <w:t>锌</w:t>
            </w:r>
          </w:p>
        </w:tc>
        <w:tc>
          <w:tcPr>
            <w:tcW w:w="617" w:type="pct"/>
            <w:shd w:val="clear" w:color="auto" w:fill="auto"/>
            <w:vAlign w:val="center"/>
          </w:tcPr>
          <w:p w14:paraId="43847691">
            <w:pPr>
              <w:spacing w:line="300" w:lineRule="exact"/>
              <w:jc w:val="center"/>
              <w:rPr>
                <w:rFonts w:hint="default" w:ascii="Times New Roman" w:hAnsi="Times New Roman" w:eastAsia="华文中宋" w:cs="Times New Roman"/>
                <w:kern w:val="2"/>
                <w:sz w:val="21"/>
                <w:szCs w:val="21"/>
                <w:highlight w:val="none"/>
                <w:lang w:val="en-US" w:eastAsia="zh-CN" w:bidi="ar-SA"/>
              </w:rPr>
            </w:pPr>
          </w:p>
        </w:tc>
        <w:tc>
          <w:tcPr>
            <w:tcW w:w="486" w:type="pct"/>
            <w:shd w:val="clear" w:color="auto" w:fill="auto"/>
            <w:vAlign w:val="center"/>
          </w:tcPr>
          <w:p w14:paraId="3B1994B4">
            <w:pPr>
              <w:jc w:val="center"/>
              <w:rPr>
                <w:rFonts w:hint="default" w:asciiTheme="minorHAnsi" w:hAnsiTheme="minorHAnsi" w:eastAsiaTheme="minorEastAsia" w:cstheme="minorBidi"/>
                <w:b w:val="0"/>
                <w:bCs/>
                <w:kern w:val="2"/>
                <w:sz w:val="21"/>
                <w:szCs w:val="24"/>
                <w:highlight w:val="none"/>
                <w:vertAlign w:val="baseline"/>
                <w:lang w:val="en-US" w:eastAsia="zh-CN" w:bidi="ar-SA"/>
              </w:rPr>
            </w:pPr>
            <w:r>
              <w:rPr>
                <w:rFonts w:hint="default" w:ascii="Times New Roman" w:hAnsi="Times New Roman" w:eastAsia="华文中宋" w:cs="Times New Roman"/>
                <w:b w:val="0"/>
                <w:bCs/>
                <w:szCs w:val="21"/>
                <w:highlight w:val="none"/>
                <w:lang w:val="en-US" w:eastAsia="zh-CN"/>
              </w:rPr>
              <w:t>mg/kg</w:t>
            </w:r>
          </w:p>
        </w:tc>
        <w:tc>
          <w:tcPr>
            <w:tcW w:w="1818" w:type="pct"/>
            <w:shd w:val="clear" w:color="auto" w:fill="auto"/>
            <w:vAlign w:val="center"/>
          </w:tcPr>
          <w:p w14:paraId="51553575">
            <w:pPr>
              <w:spacing w:line="300" w:lineRule="exact"/>
              <w:jc w:val="center"/>
              <w:rPr>
                <w:rFonts w:hint="default" w:ascii="Times New Roman" w:hAnsi="Times New Roman" w:eastAsia="华文中宋" w:cs="Times New Roman"/>
                <w:b w:val="0"/>
                <w:bCs w:val="0"/>
                <w:kern w:val="2"/>
                <w:sz w:val="21"/>
                <w:szCs w:val="21"/>
                <w:highlight w:val="none"/>
                <w:lang w:eastAsia="zh-CN" w:bidi="ar-SA"/>
              </w:rPr>
            </w:pPr>
            <w:r>
              <w:rPr>
                <w:rFonts w:hint="eastAsia" w:ascii="Times New Roman" w:hAnsi="Times New Roman" w:eastAsia="华文中宋" w:cs="Times New Roman"/>
                <w:b w:val="0"/>
                <w:bCs w:val="0"/>
                <w:szCs w:val="21"/>
                <w:highlight w:val="none"/>
                <w:lang w:val="en-US" w:eastAsia="zh-CN"/>
              </w:rPr>
              <w:t>/</w:t>
            </w:r>
          </w:p>
        </w:tc>
      </w:tr>
      <w:tr w14:paraId="7A8C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shd w:val="clear" w:color="auto" w:fill="auto"/>
            <w:vAlign w:val="center"/>
          </w:tcPr>
          <w:p w14:paraId="1C02A3AC">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54</w:t>
            </w:r>
          </w:p>
        </w:tc>
        <w:tc>
          <w:tcPr>
            <w:tcW w:w="588" w:type="pct"/>
            <w:vMerge w:val="restart"/>
            <w:shd w:val="clear" w:color="auto" w:fill="auto"/>
            <w:vAlign w:val="center"/>
          </w:tcPr>
          <w:p w14:paraId="5D657622">
            <w:pPr>
              <w:spacing w:line="300" w:lineRule="exact"/>
              <w:jc w:val="center"/>
              <w:rPr>
                <w:rFonts w:hint="eastAsia" w:ascii="Times New Roman" w:hAnsi="Times New Roman" w:cs="Times New Roman" w:eastAsiaTheme="minorEastAsia"/>
                <w:b w:val="0"/>
                <w:bCs w:val="0"/>
                <w:color w:val="auto"/>
                <w:sz w:val="21"/>
                <w:szCs w:val="21"/>
                <w:highlight w:val="none"/>
                <w:vertAlign w:val="baseline"/>
                <w:lang w:val="en-US" w:eastAsia="zh-CN"/>
              </w:rPr>
            </w:pPr>
            <w:r>
              <w:rPr>
                <w:rFonts w:hint="default" w:ascii="Times New Roman" w:hAnsi="Times New Roman" w:eastAsia="华文中宋" w:cs="Times New Roman"/>
                <w:szCs w:val="21"/>
                <w:highlight w:val="none"/>
                <w:lang w:val="en-US" w:eastAsia="zh-CN"/>
              </w:rPr>
              <w:t>6#监测点</w:t>
            </w:r>
            <w:r>
              <w:rPr>
                <w:rFonts w:hint="eastAsia"/>
                <w:highlight w:val="none"/>
                <w:lang w:val="en-US" w:eastAsia="zh-CN"/>
              </w:rPr>
              <w:t>位</w:t>
            </w:r>
          </w:p>
        </w:tc>
        <w:tc>
          <w:tcPr>
            <w:tcW w:w="1076" w:type="pct"/>
            <w:shd w:val="clear" w:color="auto" w:fill="auto"/>
            <w:vAlign w:val="center"/>
          </w:tcPr>
          <w:p w14:paraId="3CBB2432">
            <w:pPr>
              <w:spacing w:line="300" w:lineRule="exact"/>
              <w:jc w:val="center"/>
              <w:rPr>
                <w:rFonts w:hint="default" w:ascii="Times New Roman" w:hAnsi="Times New Roman" w:eastAsia="华文中宋" w:cs="Times New Roman"/>
                <w:kern w:val="2"/>
                <w:sz w:val="21"/>
                <w:szCs w:val="21"/>
                <w:highlight w:val="none"/>
                <w:lang w:val="en-US" w:eastAsia="zh-CN" w:bidi="ar-SA"/>
              </w:rPr>
            </w:pPr>
            <w:r>
              <w:rPr>
                <w:rFonts w:hint="default" w:ascii="Times New Roman" w:hAnsi="Times New Roman" w:eastAsia="华文中宋" w:cs="Times New Roman"/>
                <w:szCs w:val="21"/>
                <w:highlight w:val="none"/>
                <w:lang w:val="en-US" w:eastAsia="zh-CN"/>
              </w:rPr>
              <w:t>锑</w:t>
            </w:r>
          </w:p>
        </w:tc>
        <w:tc>
          <w:tcPr>
            <w:tcW w:w="617" w:type="pct"/>
            <w:shd w:val="clear" w:color="auto" w:fill="auto"/>
            <w:vAlign w:val="center"/>
          </w:tcPr>
          <w:p w14:paraId="567D2EB9">
            <w:pPr>
              <w:spacing w:line="300" w:lineRule="exact"/>
              <w:jc w:val="center"/>
              <w:rPr>
                <w:rFonts w:hint="default" w:ascii="Times New Roman" w:hAnsi="Times New Roman" w:eastAsia="华文中宋" w:cs="Times New Roman"/>
                <w:kern w:val="2"/>
                <w:sz w:val="21"/>
                <w:szCs w:val="21"/>
                <w:highlight w:val="none"/>
                <w:lang w:val="en-US" w:eastAsia="zh-CN" w:bidi="ar-SA"/>
              </w:rPr>
            </w:pPr>
          </w:p>
        </w:tc>
        <w:tc>
          <w:tcPr>
            <w:tcW w:w="486" w:type="pct"/>
            <w:shd w:val="clear" w:color="auto" w:fill="auto"/>
            <w:vAlign w:val="center"/>
          </w:tcPr>
          <w:p w14:paraId="217D2625">
            <w:pPr>
              <w:jc w:val="center"/>
              <w:rPr>
                <w:rFonts w:hint="default" w:asciiTheme="minorHAnsi" w:hAnsiTheme="minorHAnsi" w:eastAsiaTheme="minorEastAsia" w:cstheme="minorBidi"/>
                <w:b w:val="0"/>
                <w:bCs/>
                <w:kern w:val="2"/>
                <w:sz w:val="21"/>
                <w:szCs w:val="24"/>
                <w:highlight w:val="none"/>
                <w:vertAlign w:val="baseline"/>
                <w:lang w:val="en-US" w:eastAsia="zh-CN" w:bidi="ar-SA"/>
              </w:rPr>
            </w:pPr>
            <w:r>
              <w:rPr>
                <w:rFonts w:hint="default" w:ascii="Times New Roman" w:hAnsi="Times New Roman" w:eastAsia="华文中宋" w:cs="Times New Roman"/>
                <w:b w:val="0"/>
                <w:bCs/>
                <w:szCs w:val="21"/>
                <w:highlight w:val="none"/>
                <w:lang w:val="en-US" w:eastAsia="zh-CN"/>
              </w:rPr>
              <w:t>mg/kg</w:t>
            </w:r>
          </w:p>
        </w:tc>
        <w:tc>
          <w:tcPr>
            <w:tcW w:w="1818" w:type="pct"/>
            <w:shd w:val="clear" w:color="auto" w:fill="auto"/>
            <w:vAlign w:val="center"/>
          </w:tcPr>
          <w:p w14:paraId="5876304C">
            <w:pPr>
              <w:jc w:val="center"/>
              <w:rPr>
                <w:rFonts w:hint="default" w:asciiTheme="minorHAnsi" w:hAnsiTheme="minorHAnsi" w:eastAsiaTheme="minorEastAsia" w:cstheme="minorBidi"/>
                <w:kern w:val="2"/>
                <w:sz w:val="21"/>
                <w:szCs w:val="24"/>
                <w:highlight w:val="none"/>
                <w:vertAlign w:val="baseline"/>
                <w:lang w:val="en-US" w:eastAsia="zh-CN" w:bidi="ar-SA"/>
              </w:rPr>
            </w:pPr>
            <w:r>
              <w:rPr>
                <w:rFonts w:hint="eastAsia"/>
                <w:highlight w:val="none"/>
                <w:vertAlign w:val="baseline"/>
                <w:lang w:val="en-US" w:eastAsia="zh-CN"/>
              </w:rPr>
              <w:t>180</w:t>
            </w:r>
          </w:p>
        </w:tc>
      </w:tr>
      <w:tr w14:paraId="22692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shd w:val="clear" w:color="auto" w:fill="auto"/>
            <w:vAlign w:val="center"/>
          </w:tcPr>
          <w:p w14:paraId="1F3AB625">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55</w:t>
            </w:r>
          </w:p>
        </w:tc>
        <w:tc>
          <w:tcPr>
            <w:tcW w:w="588" w:type="pct"/>
            <w:vMerge w:val="continue"/>
            <w:shd w:val="clear" w:color="auto" w:fill="auto"/>
            <w:vAlign w:val="center"/>
          </w:tcPr>
          <w:p w14:paraId="0A884FE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p>
        </w:tc>
        <w:tc>
          <w:tcPr>
            <w:tcW w:w="1076" w:type="pct"/>
            <w:shd w:val="clear" w:color="auto" w:fill="auto"/>
            <w:vAlign w:val="center"/>
          </w:tcPr>
          <w:p w14:paraId="06262CBA">
            <w:pPr>
              <w:spacing w:line="300" w:lineRule="exact"/>
              <w:jc w:val="center"/>
              <w:rPr>
                <w:rFonts w:hint="default" w:ascii="Times New Roman" w:hAnsi="Times New Roman" w:eastAsia="华文中宋" w:cs="Times New Roman"/>
                <w:kern w:val="2"/>
                <w:sz w:val="21"/>
                <w:szCs w:val="21"/>
                <w:highlight w:val="none"/>
                <w:lang w:val="en-US" w:eastAsia="zh-CN" w:bidi="ar-SA"/>
              </w:rPr>
            </w:pPr>
            <w:r>
              <w:rPr>
                <w:rFonts w:hint="default" w:ascii="Times New Roman" w:hAnsi="Times New Roman" w:eastAsia="华文中宋" w:cs="Times New Roman"/>
                <w:szCs w:val="21"/>
                <w:highlight w:val="none"/>
                <w:lang w:val="en-US" w:eastAsia="zh-CN"/>
              </w:rPr>
              <w:t>铅</w:t>
            </w:r>
          </w:p>
        </w:tc>
        <w:tc>
          <w:tcPr>
            <w:tcW w:w="617" w:type="pct"/>
            <w:shd w:val="clear" w:color="auto" w:fill="auto"/>
            <w:vAlign w:val="center"/>
          </w:tcPr>
          <w:p w14:paraId="2B9A0656">
            <w:pPr>
              <w:spacing w:line="300" w:lineRule="exact"/>
              <w:jc w:val="center"/>
              <w:rPr>
                <w:rFonts w:hint="default" w:ascii="Times New Roman" w:hAnsi="Times New Roman" w:eastAsia="华文中宋" w:cs="Times New Roman"/>
                <w:kern w:val="2"/>
                <w:sz w:val="21"/>
                <w:szCs w:val="21"/>
                <w:highlight w:val="none"/>
                <w:lang w:val="en-US" w:eastAsia="zh-CN" w:bidi="ar-SA"/>
              </w:rPr>
            </w:pPr>
          </w:p>
        </w:tc>
        <w:tc>
          <w:tcPr>
            <w:tcW w:w="486" w:type="pct"/>
            <w:shd w:val="clear" w:color="auto" w:fill="auto"/>
            <w:vAlign w:val="center"/>
          </w:tcPr>
          <w:p w14:paraId="699BE50A">
            <w:pPr>
              <w:jc w:val="center"/>
              <w:rPr>
                <w:rFonts w:hint="default" w:asciiTheme="minorHAnsi" w:hAnsiTheme="minorHAnsi" w:eastAsiaTheme="minorEastAsia" w:cstheme="minorBidi"/>
                <w:b w:val="0"/>
                <w:bCs/>
                <w:kern w:val="2"/>
                <w:sz w:val="21"/>
                <w:szCs w:val="24"/>
                <w:highlight w:val="none"/>
                <w:vertAlign w:val="baseline"/>
                <w:lang w:val="en-US" w:eastAsia="zh-CN" w:bidi="ar-SA"/>
              </w:rPr>
            </w:pPr>
            <w:r>
              <w:rPr>
                <w:rFonts w:hint="default" w:ascii="Times New Roman" w:hAnsi="Times New Roman" w:eastAsia="华文中宋" w:cs="Times New Roman"/>
                <w:b w:val="0"/>
                <w:bCs/>
                <w:szCs w:val="21"/>
                <w:highlight w:val="none"/>
                <w:lang w:val="en-US" w:eastAsia="zh-CN"/>
              </w:rPr>
              <w:t>mg/kg</w:t>
            </w:r>
          </w:p>
        </w:tc>
        <w:tc>
          <w:tcPr>
            <w:tcW w:w="1818" w:type="pct"/>
            <w:shd w:val="clear" w:color="auto" w:fill="auto"/>
            <w:vAlign w:val="center"/>
          </w:tcPr>
          <w:p w14:paraId="75A76891">
            <w:pPr>
              <w:jc w:val="center"/>
              <w:rPr>
                <w:rFonts w:hint="default" w:asciiTheme="minorHAnsi" w:hAnsiTheme="minorHAnsi" w:eastAsiaTheme="minorEastAsia" w:cstheme="minorBidi"/>
                <w:kern w:val="2"/>
                <w:sz w:val="21"/>
                <w:szCs w:val="24"/>
                <w:highlight w:val="none"/>
                <w:vertAlign w:val="baseline"/>
                <w:lang w:val="en-US" w:eastAsia="zh-CN" w:bidi="ar-SA"/>
              </w:rPr>
            </w:pPr>
            <w:r>
              <w:rPr>
                <w:rFonts w:hint="eastAsia"/>
                <w:highlight w:val="none"/>
                <w:vertAlign w:val="baseline"/>
                <w:lang w:val="en-US" w:eastAsia="zh-CN"/>
              </w:rPr>
              <w:t>800</w:t>
            </w:r>
          </w:p>
        </w:tc>
      </w:tr>
      <w:tr w14:paraId="30519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shd w:val="clear" w:color="auto" w:fill="auto"/>
            <w:vAlign w:val="center"/>
          </w:tcPr>
          <w:p w14:paraId="278B1EDC">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56</w:t>
            </w:r>
          </w:p>
        </w:tc>
        <w:tc>
          <w:tcPr>
            <w:tcW w:w="588" w:type="pct"/>
            <w:vMerge w:val="continue"/>
            <w:shd w:val="clear" w:color="auto" w:fill="auto"/>
            <w:vAlign w:val="center"/>
          </w:tcPr>
          <w:p w14:paraId="69EB445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sz w:val="21"/>
                <w:szCs w:val="21"/>
                <w:highlight w:val="none"/>
                <w:vertAlign w:val="baseline"/>
                <w:lang w:val="en-US" w:eastAsia="zh-CN"/>
              </w:rPr>
            </w:pPr>
          </w:p>
        </w:tc>
        <w:tc>
          <w:tcPr>
            <w:tcW w:w="1076" w:type="pct"/>
            <w:shd w:val="clear" w:color="auto" w:fill="auto"/>
            <w:vAlign w:val="center"/>
          </w:tcPr>
          <w:p w14:paraId="20C9D0F0">
            <w:pPr>
              <w:spacing w:line="300" w:lineRule="exact"/>
              <w:jc w:val="center"/>
              <w:rPr>
                <w:rFonts w:hint="default" w:ascii="Times New Roman" w:hAnsi="Times New Roman" w:eastAsia="华文中宋" w:cs="Times New Roman"/>
                <w:kern w:val="2"/>
                <w:sz w:val="21"/>
                <w:szCs w:val="21"/>
                <w:highlight w:val="none"/>
                <w:lang w:val="en-US" w:eastAsia="zh-CN" w:bidi="ar-SA"/>
              </w:rPr>
            </w:pPr>
            <w:r>
              <w:rPr>
                <w:rFonts w:hint="default" w:ascii="Times New Roman" w:hAnsi="Times New Roman" w:eastAsia="华文中宋" w:cs="Times New Roman"/>
                <w:szCs w:val="21"/>
                <w:highlight w:val="none"/>
                <w:lang w:val="en-US" w:eastAsia="zh-CN"/>
              </w:rPr>
              <w:t>锌</w:t>
            </w:r>
          </w:p>
        </w:tc>
        <w:tc>
          <w:tcPr>
            <w:tcW w:w="617" w:type="pct"/>
            <w:shd w:val="clear" w:color="auto" w:fill="auto"/>
            <w:vAlign w:val="center"/>
          </w:tcPr>
          <w:p w14:paraId="7907729B">
            <w:pPr>
              <w:spacing w:line="300" w:lineRule="exact"/>
              <w:jc w:val="center"/>
              <w:rPr>
                <w:rFonts w:hint="default" w:ascii="Times New Roman" w:hAnsi="Times New Roman" w:eastAsia="华文中宋" w:cs="Times New Roman"/>
                <w:kern w:val="2"/>
                <w:sz w:val="21"/>
                <w:szCs w:val="21"/>
                <w:highlight w:val="none"/>
                <w:lang w:val="en-US" w:eastAsia="zh-CN" w:bidi="ar-SA"/>
              </w:rPr>
            </w:pPr>
          </w:p>
        </w:tc>
        <w:tc>
          <w:tcPr>
            <w:tcW w:w="486" w:type="pct"/>
            <w:shd w:val="clear" w:color="auto" w:fill="auto"/>
            <w:vAlign w:val="center"/>
          </w:tcPr>
          <w:p w14:paraId="331DD0EE">
            <w:pPr>
              <w:jc w:val="center"/>
              <w:rPr>
                <w:rFonts w:hint="default" w:asciiTheme="minorHAnsi" w:hAnsiTheme="minorHAnsi" w:eastAsiaTheme="minorEastAsia" w:cstheme="minorBidi"/>
                <w:b w:val="0"/>
                <w:bCs/>
                <w:kern w:val="2"/>
                <w:sz w:val="21"/>
                <w:szCs w:val="24"/>
                <w:highlight w:val="none"/>
                <w:vertAlign w:val="baseline"/>
                <w:lang w:val="en-US" w:eastAsia="zh-CN" w:bidi="ar-SA"/>
              </w:rPr>
            </w:pPr>
            <w:r>
              <w:rPr>
                <w:rFonts w:hint="default" w:ascii="Times New Roman" w:hAnsi="Times New Roman" w:eastAsia="华文中宋" w:cs="Times New Roman"/>
                <w:b w:val="0"/>
                <w:bCs/>
                <w:szCs w:val="21"/>
                <w:highlight w:val="none"/>
                <w:lang w:val="en-US" w:eastAsia="zh-CN"/>
              </w:rPr>
              <w:t>mg/kg</w:t>
            </w:r>
          </w:p>
        </w:tc>
        <w:tc>
          <w:tcPr>
            <w:tcW w:w="1818" w:type="pct"/>
            <w:shd w:val="clear" w:color="auto" w:fill="auto"/>
            <w:vAlign w:val="center"/>
          </w:tcPr>
          <w:p w14:paraId="2AD22CC6">
            <w:pPr>
              <w:jc w:val="center"/>
              <w:rPr>
                <w:rFonts w:hint="default" w:asciiTheme="minorHAnsi" w:hAnsiTheme="minorHAnsi" w:eastAsiaTheme="minorEastAsia" w:cstheme="minorBidi"/>
                <w:kern w:val="2"/>
                <w:sz w:val="21"/>
                <w:szCs w:val="24"/>
                <w:highlight w:val="none"/>
                <w:vertAlign w:val="baseline"/>
                <w:lang w:val="en-US" w:eastAsia="zh-CN" w:bidi="ar-SA"/>
              </w:rPr>
            </w:pPr>
            <w:r>
              <w:rPr>
                <w:rFonts w:hint="eastAsia"/>
                <w:highlight w:val="none"/>
                <w:vertAlign w:val="baseline"/>
                <w:lang w:val="en-US" w:eastAsia="zh-CN"/>
              </w:rPr>
              <w:t>/</w:t>
            </w:r>
          </w:p>
        </w:tc>
      </w:tr>
    </w:tbl>
    <w:p w14:paraId="4E47C9D8">
      <w:pPr>
        <w:adjustRightInd w:val="0"/>
        <w:snapToGrid w:val="0"/>
        <w:spacing w:before="250" w:beforeLines="50"/>
        <w:ind w:firstLine="422" w:firstLineChars="200"/>
        <w:jc w:val="center"/>
        <w:rPr>
          <w:rFonts w:hint="default" w:ascii="Times New Roman" w:hAnsi="Times New Roman" w:eastAsia="华文中宋" w:cs="Times New Roman"/>
          <w:b/>
          <w:szCs w:val="21"/>
          <w:highlight w:val="none"/>
          <w:lang w:val="en-US" w:eastAsia="zh-CN"/>
        </w:rPr>
      </w:pPr>
      <w:r>
        <w:rPr>
          <w:rFonts w:hint="default" w:ascii="Times New Roman" w:hAnsi="Times New Roman" w:eastAsia="华文中宋" w:cs="Times New Roman"/>
          <w:b/>
          <w:szCs w:val="21"/>
          <w:highlight w:val="none"/>
          <w:lang w:val="en-US" w:eastAsia="zh-CN"/>
        </w:rPr>
        <w:t>表4.2-</w:t>
      </w:r>
      <w:r>
        <w:rPr>
          <w:rFonts w:hint="eastAsia" w:ascii="Times New Roman" w:hAnsi="Times New Roman" w:eastAsia="华文中宋" w:cs="Times New Roman"/>
          <w:b/>
          <w:szCs w:val="21"/>
          <w:highlight w:val="none"/>
          <w:lang w:val="en-US" w:eastAsia="zh-CN"/>
        </w:rPr>
        <w:t>9</w:t>
      </w:r>
      <w:r>
        <w:rPr>
          <w:rFonts w:hint="default" w:ascii="Times New Roman" w:hAnsi="Times New Roman" w:eastAsia="华文中宋" w:cs="Times New Roman"/>
          <w:b/>
          <w:szCs w:val="21"/>
          <w:highlight w:val="none"/>
          <w:lang w:val="en-US" w:eastAsia="zh-CN"/>
        </w:rPr>
        <w:t xml:space="preserve">  项目</w:t>
      </w:r>
      <w:r>
        <w:rPr>
          <w:rFonts w:hint="eastAsia" w:ascii="Times New Roman" w:hAnsi="Times New Roman" w:eastAsia="华文中宋" w:cs="Times New Roman"/>
          <w:b/>
          <w:szCs w:val="21"/>
          <w:highlight w:val="none"/>
          <w:lang w:val="en-US" w:eastAsia="zh-CN"/>
        </w:rPr>
        <w:t>区外</w:t>
      </w:r>
      <w:r>
        <w:rPr>
          <w:rFonts w:hint="default" w:ascii="Times New Roman" w:hAnsi="Times New Roman" w:eastAsia="华文中宋" w:cs="Times New Roman"/>
          <w:b/>
          <w:szCs w:val="21"/>
          <w:highlight w:val="none"/>
          <w:lang w:val="en-US" w:eastAsia="zh-CN"/>
        </w:rPr>
        <w:t>土壤监测情况一览表（7#、8#、9#、10#监测点）</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309"/>
        <w:gridCol w:w="1391"/>
        <w:gridCol w:w="1718"/>
        <w:gridCol w:w="2398"/>
      </w:tblGrid>
      <w:tr w14:paraId="5C471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14:paraId="7852269C">
            <w:pPr>
              <w:jc w:val="center"/>
              <w:rPr>
                <w:rFonts w:hint="default" w:eastAsiaTheme="minorEastAsia"/>
                <w:highlight w:val="none"/>
                <w:vertAlign w:val="baseline"/>
                <w:lang w:val="en-US" w:eastAsia="zh-CN"/>
              </w:rPr>
            </w:pPr>
            <w:r>
              <w:rPr>
                <w:rFonts w:hint="eastAsia"/>
                <w:highlight w:val="none"/>
                <w:vertAlign w:val="baseline"/>
                <w:lang w:val="en-US" w:eastAsia="zh-CN"/>
              </w:rPr>
              <w:t>监测点位序号</w:t>
            </w:r>
          </w:p>
        </w:tc>
        <w:tc>
          <w:tcPr>
            <w:tcW w:w="1309" w:type="dxa"/>
            <w:vAlign w:val="center"/>
          </w:tcPr>
          <w:p w14:paraId="29814BDE">
            <w:pPr>
              <w:jc w:val="center"/>
              <w:rPr>
                <w:rFonts w:hint="default" w:eastAsiaTheme="minorEastAsia"/>
                <w:highlight w:val="none"/>
                <w:vertAlign w:val="baseline"/>
                <w:lang w:val="en-US" w:eastAsia="zh-CN"/>
              </w:rPr>
            </w:pPr>
            <w:r>
              <w:rPr>
                <w:rFonts w:hint="eastAsia"/>
                <w:highlight w:val="none"/>
                <w:vertAlign w:val="baseline"/>
                <w:lang w:val="en-US" w:eastAsia="zh-CN"/>
              </w:rPr>
              <w:t>监测项目</w:t>
            </w:r>
          </w:p>
        </w:tc>
        <w:tc>
          <w:tcPr>
            <w:tcW w:w="1391" w:type="dxa"/>
            <w:vAlign w:val="center"/>
          </w:tcPr>
          <w:p w14:paraId="03FA4CF1">
            <w:pPr>
              <w:jc w:val="center"/>
              <w:rPr>
                <w:rFonts w:hint="default" w:eastAsiaTheme="minorEastAsia"/>
                <w:highlight w:val="none"/>
                <w:vertAlign w:val="baseline"/>
                <w:lang w:val="en-US" w:eastAsia="zh-CN"/>
              </w:rPr>
            </w:pPr>
            <w:r>
              <w:rPr>
                <w:rFonts w:hint="eastAsia"/>
                <w:highlight w:val="none"/>
                <w:vertAlign w:val="baseline"/>
                <w:lang w:val="en-US" w:eastAsia="zh-CN"/>
              </w:rPr>
              <w:t>监测数据</w:t>
            </w:r>
          </w:p>
        </w:tc>
        <w:tc>
          <w:tcPr>
            <w:tcW w:w="1718" w:type="dxa"/>
            <w:vAlign w:val="center"/>
          </w:tcPr>
          <w:p w14:paraId="720DD27E">
            <w:pPr>
              <w:jc w:val="center"/>
              <w:rPr>
                <w:rFonts w:hint="default"/>
                <w:highlight w:val="none"/>
                <w:vertAlign w:val="baseline"/>
                <w:lang w:val="en-US" w:eastAsia="zh-CN"/>
              </w:rPr>
            </w:pPr>
            <w:r>
              <w:rPr>
                <w:rFonts w:hint="eastAsia"/>
                <w:highlight w:val="none"/>
                <w:vertAlign w:val="baseline"/>
                <w:lang w:val="en-US" w:eastAsia="zh-CN"/>
              </w:rPr>
              <w:t>单位</w:t>
            </w:r>
          </w:p>
        </w:tc>
        <w:tc>
          <w:tcPr>
            <w:tcW w:w="2398" w:type="dxa"/>
            <w:vAlign w:val="center"/>
          </w:tcPr>
          <w:p w14:paraId="1E573A91">
            <w:pPr>
              <w:jc w:val="center"/>
              <w:rPr>
                <w:rFonts w:hint="default"/>
                <w:highlight w:val="none"/>
                <w:vertAlign w:val="baseline"/>
                <w:lang w:val="en-US" w:eastAsia="zh-CN"/>
              </w:rPr>
            </w:pPr>
            <w:r>
              <w:rPr>
                <w:rFonts w:hint="eastAsia"/>
                <w:highlight w:val="none"/>
                <w:vertAlign w:val="baseline"/>
                <w:lang w:val="en-US" w:eastAsia="zh-CN"/>
              </w:rPr>
              <w:t>GB 15618—2018，风险筛选值（pH＞7.5）</w:t>
            </w:r>
          </w:p>
        </w:tc>
      </w:tr>
      <w:tr w14:paraId="196BB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vMerge w:val="restart"/>
            <w:vAlign w:val="center"/>
          </w:tcPr>
          <w:p w14:paraId="4C288F56">
            <w:pPr>
              <w:spacing w:line="300" w:lineRule="exact"/>
              <w:jc w:val="center"/>
              <w:rPr>
                <w:rFonts w:hint="default"/>
                <w:highlight w:val="none"/>
                <w:vertAlign w:val="baseline"/>
                <w:lang w:val="en-US"/>
              </w:rPr>
            </w:pPr>
            <w:r>
              <w:rPr>
                <w:rFonts w:hint="eastAsia" w:ascii="Times New Roman" w:hAnsi="Times New Roman" w:eastAsia="华文中宋" w:cs="Times New Roman"/>
                <w:szCs w:val="21"/>
                <w:highlight w:val="none"/>
                <w:lang w:val="en-US" w:eastAsia="zh-CN"/>
              </w:rPr>
              <w:t>7</w:t>
            </w:r>
            <w:r>
              <w:rPr>
                <w:rFonts w:hint="default" w:ascii="Times New Roman" w:hAnsi="Times New Roman" w:eastAsia="华文中宋" w:cs="Times New Roman"/>
                <w:szCs w:val="21"/>
                <w:highlight w:val="none"/>
                <w:lang w:val="en-US" w:eastAsia="zh-CN"/>
              </w:rPr>
              <w:t>#监测点</w:t>
            </w:r>
            <w:r>
              <w:rPr>
                <w:rFonts w:hint="eastAsia" w:ascii="Times New Roman" w:hAnsi="Times New Roman" w:eastAsia="华文中宋" w:cs="Times New Roman"/>
                <w:szCs w:val="21"/>
                <w:highlight w:val="none"/>
                <w:lang w:val="en-US" w:eastAsia="zh-CN"/>
              </w:rPr>
              <w:t>位</w:t>
            </w:r>
          </w:p>
        </w:tc>
        <w:tc>
          <w:tcPr>
            <w:tcW w:w="1309" w:type="dxa"/>
            <w:shd w:val="clear" w:color="auto" w:fill="auto"/>
            <w:vAlign w:val="center"/>
          </w:tcPr>
          <w:p w14:paraId="50C3DA7B">
            <w:pPr>
              <w:spacing w:line="300" w:lineRule="exact"/>
              <w:jc w:val="center"/>
              <w:rPr>
                <w:rFonts w:hint="default" w:ascii="Times New Roman" w:hAnsi="Times New Roman" w:eastAsia="华文中宋" w:cs="Times New Roman"/>
                <w:kern w:val="2"/>
                <w:sz w:val="21"/>
                <w:szCs w:val="21"/>
                <w:highlight w:val="none"/>
                <w:lang w:val="en-US" w:eastAsia="zh-CN" w:bidi="ar-SA"/>
              </w:rPr>
            </w:pPr>
            <w:r>
              <w:rPr>
                <w:rFonts w:hint="default" w:ascii="Times New Roman" w:hAnsi="Times New Roman" w:eastAsia="华文中宋" w:cs="Times New Roman"/>
                <w:szCs w:val="21"/>
                <w:highlight w:val="none"/>
                <w:lang w:val="en-US" w:eastAsia="zh-CN"/>
              </w:rPr>
              <w:t>锑</w:t>
            </w:r>
          </w:p>
        </w:tc>
        <w:tc>
          <w:tcPr>
            <w:tcW w:w="1391" w:type="dxa"/>
            <w:shd w:val="clear" w:color="auto" w:fill="auto"/>
            <w:vAlign w:val="center"/>
          </w:tcPr>
          <w:p w14:paraId="61632FCC">
            <w:pPr>
              <w:spacing w:line="300" w:lineRule="exact"/>
              <w:jc w:val="center"/>
              <w:rPr>
                <w:rFonts w:hint="default" w:ascii="Times New Roman" w:hAnsi="Times New Roman" w:eastAsia="华文中宋" w:cs="Times New Roman"/>
                <w:kern w:val="2"/>
                <w:sz w:val="21"/>
                <w:szCs w:val="21"/>
                <w:highlight w:val="none"/>
                <w:lang w:val="en-US" w:eastAsia="zh-CN" w:bidi="ar-SA"/>
              </w:rPr>
            </w:pPr>
          </w:p>
        </w:tc>
        <w:tc>
          <w:tcPr>
            <w:tcW w:w="1718" w:type="dxa"/>
            <w:vAlign w:val="center"/>
          </w:tcPr>
          <w:p w14:paraId="56EAB448">
            <w:pPr>
              <w:jc w:val="center"/>
              <w:rPr>
                <w:b w:val="0"/>
                <w:bCs/>
                <w:highlight w:val="none"/>
                <w:vertAlign w:val="baseline"/>
              </w:rPr>
            </w:pPr>
            <w:r>
              <w:rPr>
                <w:rFonts w:hint="default" w:ascii="Times New Roman" w:hAnsi="Times New Roman" w:eastAsia="华文中宋" w:cs="Times New Roman"/>
                <w:b w:val="0"/>
                <w:bCs/>
                <w:szCs w:val="21"/>
                <w:highlight w:val="none"/>
                <w:lang w:val="en-US" w:eastAsia="zh-CN"/>
              </w:rPr>
              <w:t>mg/kg</w:t>
            </w:r>
          </w:p>
        </w:tc>
        <w:tc>
          <w:tcPr>
            <w:tcW w:w="2398" w:type="dxa"/>
            <w:vAlign w:val="center"/>
          </w:tcPr>
          <w:p w14:paraId="62F1D670">
            <w:pPr>
              <w:jc w:val="center"/>
              <w:rPr>
                <w:highlight w:val="none"/>
                <w:vertAlign w:val="baseline"/>
              </w:rPr>
            </w:pPr>
            <w:r>
              <w:rPr>
                <w:rFonts w:hint="eastAsia"/>
                <w:highlight w:val="none"/>
                <w:vertAlign w:val="baseline"/>
                <w:lang w:val="en-US" w:eastAsia="zh-CN"/>
              </w:rPr>
              <w:t>/</w:t>
            </w:r>
          </w:p>
        </w:tc>
      </w:tr>
      <w:tr w14:paraId="46B36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vMerge w:val="continue"/>
            <w:vAlign w:val="center"/>
          </w:tcPr>
          <w:p w14:paraId="432875DA">
            <w:pPr>
              <w:spacing w:line="300" w:lineRule="exact"/>
              <w:jc w:val="center"/>
              <w:rPr>
                <w:rFonts w:hint="eastAsia" w:ascii="Times New Roman" w:hAnsi="Times New Roman" w:eastAsia="华文中宋" w:cs="Times New Roman"/>
                <w:szCs w:val="21"/>
                <w:highlight w:val="none"/>
                <w:lang w:val="en-US" w:eastAsia="zh-CN"/>
              </w:rPr>
            </w:pPr>
          </w:p>
        </w:tc>
        <w:tc>
          <w:tcPr>
            <w:tcW w:w="1309" w:type="dxa"/>
            <w:shd w:val="clear" w:color="auto" w:fill="auto"/>
            <w:vAlign w:val="center"/>
          </w:tcPr>
          <w:p w14:paraId="4F70D21D">
            <w:pPr>
              <w:spacing w:line="300" w:lineRule="exact"/>
              <w:jc w:val="center"/>
              <w:rPr>
                <w:rFonts w:hint="default" w:ascii="Times New Roman" w:hAnsi="Times New Roman" w:eastAsia="华文中宋" w:cs="Times New Roman"/>
                <w:kern w:val="2"/>
                <w:sz w:val="21"/>
                <w:szCs w:val="21"/>
                <w:highlight w:val="none"/>
                <w:lang w:val="en-US" w:eastAsia="zh-CN" w:bidi="ar-SA"/>
              </w:rPr>
            </w:pPr>
            <w:r>
              <w:rPr>
                <w:rFonts w:hint="default" w:ascii="Times New Roman" w:hAnsi="Times New Roman" w:eastAsia="华文中宋" w:cs="Times New Roman"/>
                <w:szCs w:val="21"/>
                <w:highlight w:val="none"/>
                <w:lang w:val="en-US" w:eastAsia="zh-CN"/>
              </w:rPr>
              <w:t>铅</w:t>
            </w:r>
          </w:p>
        </w:tc>
        <w:tc>
          <w:tcPr>
            <w:tcW w:w="1391" w:type="dxa"/>
            <w:shd w:val="clear" w:color="auto" w:fill="auto"/>
            <w:vAlign w:val="center"/>
          </w:tcPr>
          <w:p w14:paraId="5385A51A">
            <w:pPr>
              <w:spacing w:line="300" w:lineRule="exact"/>
              <w:jc w:val="center"/>
              <w:rPr>
                <w:rFonts w:hint="default" w:ascii="Times New Roman" w:hAnsi="Times New Roman" w:eastAsia="华文中宋" w:cs="Times New Roman"/>
                <w:kern w:val="2"/>
                <w:sz w:val="21"/>
                <w:szCs w:val="21"/>
                <w:highlight w:val="none"/>
                <w:lang w:val="en-US" w:eastAsia="zh-CN" w:bidi="ar-SA"/>
              </w:rPr>
            </w:pPr>
          </w:p>
        </w:tc>
        <w:tc>
          <w:tcPr>
            <w:tcW w:w="1718" w:type="dxa"/>
            <w:vAlign w:val="center"/>
          </w:tcPr>
          <w:p w14:paraId="6AA82D19">
            <w:pPr>
              <w:jc w:val="center"/>
              <w:rPr>
                <w:b w:val="0"/>
                <w:bCs/>
                <w:highlight w:val="none"/>
                <w:vertAlign w:val="baseline"/>
              </w:rPr>
            </w:pPr>
            <w:r>
              <w:rPr>
                <w:rFonts w:hint="default" w:ascii="Times New Roman" w:hAnsi="Times New Roman" w:eastAsia="华文中宋" w:cs="Times New Roman"/>
                <w:b w:val="0"/>
                <w:bCs/>
                <w:szCs w:val="21"/>
                <w:highlight w:val="none"/>
                <w:lang w:val="en-US" w:eastAsia="zh-CN"/>
              </w:rPr>
              <w:t>mg/kg</w:t>
            </w:r>
          </w:p>
        </w:tc>
        <w:tc>
          <w:tcPr>
            <w:tcW w:w="2398" w:type="dxa"/>
            <w:vAlign w:val="center"/>
          </w:tcPr>
          <w:p w14:paraId="68917F5D">
            <w:pPr>
              <w:jc w:val="center"/>
              <w:rPr>
                <w:highlight w:val="none"/>
                <w:vertAlign w:val="baseline"/>
              </w:rPr>
            </w:pPr>
            <w:r>
              <w:rPr>
                <w:rFonts w:hint="eastAsia"/>
                <w:highlight w:val="none"/>
                <w:vertAlign w:val="baseline"/>
                <w:lang w:val="en-US" w:eastAsia="zh-CN"/>
              </w:rPr>
              <w:t>170</w:t>
            </w:r>
          </w:p>
        </w:tc>
      </w:tr>
      <w:tr w14:paraId="11E59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vMerge w:val="continue"/>
            <w:vAlign w:val="center"/>
          </w:tcPr>
          <w:p w14:paraId="2BE51018">
            <w:pPr>
              <w:spacing w:line="300" w:lineRule="exact"/>
              <w:jc w:val="center"/>
              <w:rPr>
                <w:rFonts w:hint="eastAsia" w:ascii="Times New Roman" w:hAnsi="Times New Roman" w:eastAsia="华文中宋" w:cs="Times New Roman"/>
                <w:szCs w:val="21"/>
                <w:highlight w:val="none"/>
                <w:lang w:val="en-US" w:eastAsia="zh-CN"/>
              </w:rPr>
            </w:pPr>
          </w:p>
        </w:tc>
        <w:tc>
          <w:tcPr>
            <w:tcW w:w="1309" w:type="dxa"/>
            <w:shd w:val="clear" w:color="auto" w:fill="auto"/>
            <w:vAlign w:val="center"/>
          </w:tcPr>
          <w:p w14:paraId="592B4D51">
            <w:pPr>
              <w:spacing w:line="300" w:lineRule="exact"/>
              <w:jc w:val="center"/>
              <w:rPr>
                <w:rFonts w:hint="default" w:ascii="Times New Roman" w:hAnsi="Times New Roman" w:eastAsia="华文中宋" w:cs="Times New Roman"/>
                <w:kern w:val="2"/>
                <w:sz w:val="21"/>
                <w:szCs w:val="21"/>
                <w:highlight w:val="none"/>
                <w:lang w:val="en-US" w:eastAsia="zh-CN" w:bidi="ar-SA"/>
              </w:rPr>
            </w:pPr>
            <w:r>
              <w:rPr>
                <w:rFonts w:hint="default" w:ascii="Times New Roman" w:hAnsi="Times New Roman" w:eastAsia="华文中宋" w:cs="Times New Roman"/>
                <w:szCs w:val="21"/>
                <w:highlight w:val="none"/>
                <w:lang w:val="en-US" w:eastAsia="zh-CN"/>
              </w:rPr>
              <w:t>锌</w:t>
            </w:r>
          </w:p>
        </w:tc>
        <w:tc>
          <w:tcPr>
            <w:tcW w:w="1391" w:type="dxa"/>
            <w:shd w:val="clear" w:color="auto" w:fill="auto"/>
            <w:vAlign w:val="center"/>
          </w:tcPr>
          <w:p w14:paraId="08D0920F">
            <w:pPr>
              <w:spacing w:line="300" w:lineRule="exact"/>
              <w:jc w:val="center"/>
              <w:rPr>
                <w:rFonts w:hint="default" w:ascii="Times New Roman" w:hAnsi="Times New Roman" w:eastAsia="华文中宋" w:cs="Times New Roman"/>
                <w:kern w:val="2"/>
                <w:sz w:val="21"/>
                <w:szCs w:val="21"/>
                <w:highlight w:val="none"/>
                <w:lang w:val="en-US" w:eastAsia="zh-CN" w:bidi="ar-SA"/>
              </w:rPr>
            </w:pPr>
          </w:p>
        </w:tc>
        <w:tc>
          <w:tcPr>
            <w:tcW w:w="1718" w:type="dxa"/>
            <w:vAlign w:val="center"/>
          </w:tcPr>
          <w:p w14:paraId="227C041B">
            <w:pPr>
              <w:jc w:val="center"/>
              <w:rPr>
                <w:b w:val="0"/>
                <w:bCs/>
                <w:highlight w:val="none"/>
                <w:vertAlign w:val="baseline"/>
              </w:rPr>
            </w:pPr>
            <w:r>
              <w:rPr>
                <w:rFonts w:hint="default" w:ascii="Times New Roman" w:hAnsi="Times New Roman" w:eastAsia="华文中宋" w:cs="Times New Roman"/>
                <w:b w:val="0"/>
                <w:bCs/>
                <w:szCs w:val="21"/>
                <w:highlight w:val="none"/>
                <w:lang w:val="en-US" w:eastAsia="zh-CN"/>
              </w:rPr>
              <w:t>mg/kg</w:t>
            </w:r>
          </w:p>
        </w:tc>
        <w:tc>
          <w:tcPr>
            <w:tcW w:w="2398" w:type="dxa"/>
            <w:vAlign w:val="center"/>
          </w:tcPr>
          <w:p w14:paraId="741BA068">
            <w:pPr>
              <w:jc w:val="center"/>
              <w:rPr>
                <w:rFonts w:hint="default" w:eastAsiaTheme="minorEastAsia"/>
                <w:highlight w:val="none"/>
                <w:vertAlign w:val="baseline"/>
                <w:lang w:val="en-US" w:eastAsia="zh-CN"/>
              </w:rPr>
            </w:pPr>
            <w:r>
              <w:rPr>
                <w:rFonts w:hint="eastAsia"/>
                <w:highlight w:val="none"/>
                <w:vertAlign w:val="baseline"/>
                <w:lang w:val="en-US" w:eastAsia="zh-CN"/>
              </w:rPr>
              <w:t>300</w:t>
            </w:r>
          </w:p>
        </w:tc>
      </w:tr>
      <w:tr w14:paraId="5D3F7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vMerge w:val="continue"/>
            <w:vAlign w:val="center"/>
          </w:tcPr>
          <w:p w14:paraId="4F312487">
            <w:pPr>
              <w:spacing w:line="300" w:lineRule="exact"/>
              <w:jc w:val="center"/>
              <w:rPr>
                <w:rFonts w:hint="eastAsia" w:ascii="Times New Roman" w:hAnsi="Times New Roman" w:eastAsia="华文中宋" w:cs="Times New Roman"/>
                <w:szCs w:val="21"/>
                <w:highlight w:val="none"/>
                <w:lang w:val="en-US" w:eastAsia="zh-CN"/>
              </w:rPr>
            </w:pPr>
          </w:p>
        </w:tc>
        <w:tc>
          <w:tcPr>
            <w:tcW w:w="1309" w:type="dxa"/>
            <w:shd w:val="clear" w:color="auto" w:fill="auto"/>
            <w:vAlign w:val="center"/>
          </w:tcPr>
          <w:p w14:paraId="546ABCD8">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镉</w:t>
            </w:r>
          </w:p>
        </w:tc>
        <w:tc>
          <w:tcPr>
            <w:tcW w:w="1391" w:type="dxa"/>
            <w:shd w:val="clear" w:color="auto" w:fill="auto"/>
            <w:vAlign w:val="center"/>
          </w:tcPr>
          <w:p w14:paraId="59DFBCC5">
            <w:pPr>
              <w:spacing w:line="300" w:lineRule="exact"/>
              <w:jc w:val="center"/>
              <w:rPr>
                <w:rFonts w:hint="default" w:ascii="Times New Roman" w:hAnsi="Times New Roman" w:eastAsia="华文中宋" w:cs="Times New Roman"/>
                <w:szCs w:val="21"/>
                <w:highlight w:val="none"/>
                <w:lang w:val="en-US" w:eastAsia="zh-CN"/>
              </w:rPr>
            </w:pPr>
          </w:p>
        </w:tc>
        <w:tc>
          <w:tcPr>
            <w:tcW w:w="1718" w:type="dxa"/>
            <w:vAlign w:val="center"/>
          </w:tcPr>
          <w:p w14:paraId="0382479F">
            <w:pPr>
              <w:jc w:val="center"/>
              <w:rPr>
                <w:rFonts w:hint="default" w:ascii="Times New Roman" w:hAnsi="Times New Roman" w:eastAsia="华文中宋" w:cs="Times New Roman"/>
                <w:b w:val="0"/>
                <w:bCs/>
                <w:szCs w:val="21"/>
                <w:highlight w:val="none"/>
                <w:lang w:val="en-US" w:eastAsia="zh-CN"/>
              </w:rPr>
            </w:pPr>
            <w:r>
              <w:rPr>
                <w:rFonts w:hint="default" w:ascii="Times New Roman" w:hAnsi="Times New Roman" w:eastAsia="华文中宋" w:cs="Times New Roman"/>
                <w:b w:val="0"/>
                <w:bCs/>
                <w:szCs w:val="21"/>
                <w:highlight w:val="none"/>
                <w:lang w:val="en-US" w:eastAsia="zh-CN"/>
              </w:rPr>
              <w:t>mg/kg</w:t>
            </w:r>
          </w:p>
        </w:tc>
        <w:tc>
          <w:tcPr>
            <w:tcW w:w="2398" w:type="dxa"/>
            <w:vAlign w:val="center"/>
          </w:tcPr>
          <w:p w14:paraId="5C66C6F4">
            <w:pPr>
              <w:jc w:val="center"/>
              <w:rPr>
                <w:rFonts w:hint="default"/>
                <w:highlight w:val="none"/>
                <w:vertAlign w:val="baseline"/>
                <w:lang w:val="en-US" w:eastAsia="zh-CN"/>
              </w:rPr>
            </w:pPr>
            <w:r>
              <w:rPr>
                <w:rFonts w:hint="eastAsia"/>
                <w:highlight w:val="none"/>
                <w:vertAlign w:val="baseline"/>
                <w:lang w:val="en-US" w:eastAsia="zh-CN"/>
              </w:rPr>
              <w:t>0.6</w:t>
            </w:r>
          </w:p>
        </w:tc>
      </w:tr>
      <w:tr w14:paraId="61EE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vMerge w:val="continue"/>
            <w:vAlign w:val="center"/>
          </w:tcPr>
          <w:p w14:paraId="05F57831">
            <w:pPr>
              <w:spacing w:line="300" w:lineRule="exact"/>
              <w:jc w:val="center"/>
              <w:rPr>
                <w:rFonts w:hint="eastAsia" w:ascii="Times New Roman" w:hAnsi="Times New Roman" w:eastAsia="华文中宋" w:cs="Times New Roman"/>
                <w:szCs w:val="21"/>
                <w:highlight w:val="none"/>
                <w:lang w:val="en-US" w:eastAsia="zh-CN"/>
              </w:rPr>
            </w:pPr>
          </w:p>
        </w:tc>
        <w:tc>
          <w:tcPr>
            <w:tcW w:w="1309" w:type="dxa"/>
            <w:shd w:val="clear" w:color="auto" w:fill="auto"/>
            <w:vAlign w:val="center"/>
          </w:tcPr>
          <w:p w14:paraId="67D4C5E9">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汞</w:t>
            </w:r>
          </w:p>
        </w:tc>
        <w:tc>
          <w:tcPr>
            <w:tcW w:w="1391" w:type="dxa"/>
            <w:shd w:val="clear" w:color="auto" w:fill="auto"/>
            <w:vAlign w:val="center"/>
          </w:tcPr>
          <w:p w14:paraId="12FCB3E1">
            <w:pPr>
              <w:spacing w:line="300" w:lineRule="exact"/>
              <w:jc w:val="center"/>
              <w:rPr>
                <w:rFonts w:hint="default" w:ascii="Times New Roman" w:hAnsi="Times New Roman" w:eastAsia="华文中宋" w:cs="Times New Roman"/>
                <w:szCs w:val="21"/>
                <w:highlight w:val="none"/>
                <w:lang w:val="en-US" w:eastAsia="zh-CN"/>
              </w:rPr>
            </w:pPr>
          </w:p>
        </w:tc>
        <w:tc>
          <w:tcPr>
            <w:tcW w:w="1718" w:type="dxa"/>
            <w:vAlign w:val="center"/>
          </w:tcPr>
          <w:p w14:paraId="02E27E2D">
            <w:pPr>
              <w:jc w:val="center"/>
              <w:rPr>
                <w:rFonts w:hint="default" w:ascii="Times New Roman" w:hAnsi="Times New Roman" w:eastAsia="华文中宋" w:cs="Times New Roman"/>
                <w:b w:val="0"/>
                <w:bCs/>
                <w:szCs w:val="21"/>
                <w:highlight w:val="none"/>
                <w:lang w:val="en-US" w:eastAsia="zh-CN"/>
              </w:rPr>
            </w:pPr>
            <w:r>
              <w:rPr>
                <w:rFonts w:hint="default" w:ascii="Times New Roman" w:hAnsi="Times New Roman" w:eastAsia="华文中宋" w:cs="Times New Roman"/>
                <w:b w:val="0"/>
                <w:bCs/>
                <w:szCs w:val="21"/>
                <w:highlight w:val="none"/>
                <w:lang w:val="en-US" w:eastAsia="zh-CN"/>
              </w:rPr>
              <w:t>mg/kg</w:t>
            </w:r>
          </w:p>
        </w:tc>
        <w:tc>
          <w:tcPr>
            <w:tcW w:w="2398" w:type="dxa"/>
            <w:vAlign w:val="center"/>
          </w:tcPr>
          <w:p w14:paraId="77990A72">
            <w:pPr>
              <w:jc w:val="center"/>
              <w:rPr>
                <w:rFonts w:hint="default"/>
                <w:highlight w:val="none"/>
                <w:vertAlign w:val="baseline"/>
                <w:lang w:val="en-US" w:eastAsia="zh-CN"/>
              </w:rPr>
            </w:pPr>
            <w:r>
              <w:rPr>
                <w:rFonts w:hint="eastAsia"/>
                <w:highlight w:val="none"/>
                <w:vertAlign w:val="baseline"/>
                <w:lang w:val="en-US" w:eastAsia="zh-CN"/>
              </w:rPr>
              <w:t>3.4</w:t>
            </w:r>
          </w:p>
        </w:tc>
      </w:tr>
      <w:tr w14:paraId="5663C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vMerge w:val="continue"/>
            <w:vAlign w:val="center"/>
          </w:tcPr>
          <w:p w14:paraId="7145C09D">
            <w:pPr>
              <w:spacing w:line="300" w:lineRule="exact"/>
              <w:jc w:val="center"/>
              <w:rPr>
                <w:rFonts w:hint="eastAsia" w:ascii="Times New Roman" w:hAnsi="Times New Roman" w:eastAsia="华文中宋" w:cs="Times New Roman"/>
                <w:szCs w:val="21"/>
                <w:highlight w:val="none"/>
                <w:lang w:val="en-US" w:eastAsia="zh-CN"/>
              </w:rPr>
            </w:pPr>
          </w:p>
        </w:tc>
        <w:tc>
          <w:tcPr>
            <w:tcW w:w="1309" w:type="dxa"/>
            <w:shd w:val="clear" w:color="auto" w:fill="auto"/>
            <w:vAlign w:val="center"/>
          </w:tcPr>
          <w:p w14:paraId="21B371BE">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砷</w:t>
            </w:r>
          </w:p>
        </w:tc>
        <w:tc>
          <w:tcPr>
            <w:tcW w:w="1391" w:type="dxa"/>
            <w:shd w:val="clear" w:color="auto" w:fill="auto"/>
            <w:vAlign w:val="center"/>
          </w:tcPr>
          <w:p w14:paraId="6D67FB65">
            <w:pPr>
              <w:spacing w:line="300" w:lineRule="exact"/>
              <w:jc w:val="center"/>
              <w:rPr>
                <w:rFonts w:hint="default" w:ascii="Times New Roman" w:hAnsi="Times New Roman" w:eastAsia="华文中宋" w:cs="Times New Roman"/>
                <w:szCs w:val="21"/>
                <w:highlight w:val="none"/>
                <w:lang w:val="en-US" w:eastAsia="zh-CN"/>
              </w:rPr>
            </w:pPr>
          </w:p>
        </w:tc>
        <w:tc>
          <w:tcPr>
            <w:tcW w:w="1718" w:type="dxa"/>
            <w:vAlign w:val="center"/>
          </w:tcPr>
          <w:p w14:paraId="3B16B5FF">
            <w:pPr>
              <w:jc w:val="center"/>
              <w:rPr>
                <w:rFonts w:hint="default" w:ascii="Times New Roman" w:hAnsi="Times New Roman" w:eastAsia="华文中宋" w:cs="Times New Roman"/>
                <w:b w:val="0"/>
                <w:bCs/>
                <w:szCs w:val="21"/>
                <w:highlight w:val="none"/>
                <w:lang w:val="en-US" w:eastAsia="zh-CN"/>
              </w:rPr>
            </w:pPr>
            <w:r>
              <w:rPr>
                <w:rFonts w:hint="default" w:ascii="Times New Roman" w:hAnsi="Times New Roman" w:eastAsia="华文中宋" w:cs="Times New Roman"/>
                <w:b w:val="0"/>
                <w:bCs/>
                <w:szCs w:val="21"/>
                <w:highlight w:val="none"/>
                <w:lang w:val="en-US" w:eastAsia="zh-CN"/>
              </w:rPr>
              <w:t>mg/kg</w:t>
            </w:r>
          </w:p>
        </w:tc>
        <w:tc>
          <w:tcPr>
            <w:tcW w:w="2398" w:type="dxa"/>
            <w:vAlign w:val="center"/>
          </w:tcPr>
          <w:p w14:paraId="6BFD597F">
            <w:pPr>
              <w:jc w:val="center"/>
              <w:rPr>
                <w:rFonts w:hint="default"/>
                <w:highlight w:val="none"/>
                <w:vertAlign w:val="baseline"/>
                <w:lang w:val="en-US" w:eastAsia="zh-CN"/>
              </w:rPr>
            </w:pPr>
            <w:r>
              <w:rPr>
                <w:rFonts w:hint="eastAsia"/>
                <w:highlight w:val="none"/>
                <w:vertAlign w:val="baseline"/>
                <w:lang w:val="en-US" w:eastAsia="zh-CN"/>
              </w:rPr>
              <w:t>25</w:t>
            </w:r>
          </w:p>
        </w:tc>
      </w:tr>
      <w:tr w14:paraId="22824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vMerge w:val="continue"/>
            <w:vAlign w:val="center"/>
          </w:tcPr>
          <w:p w14:paraId="26563246">
            <w:pPr>
              <w:spacing w:line="300" w:lineRule="exact"/>
              <w:jc w:val="center"/>
              <w:rPr>
                <w:rFonts w:hint="eastAsia" w:ascii="Times New Roman" w:hAnsi="Times New Roman" w:eastAsia="华文中宋" w:cs="Times New Roman"/>
                <w:szCs w:val="21"/>
                <w:highlight w:val="none"/>
                <w:lang w:val="en-US" w:eastAsia="zh-CN"/>
              </w:rPr>
            </w:pPr>
          </w:p>
        </w:tc>
        <w:tc>
          <w:tcPr>
            <w:tcW w:w="1309" w:type="dxa"/>
            <w:shd w:val="clear" w:color="auto" w:fill="auto"/>
            <w:vAlign w:val="center"/>
          </w:tcPr>
          <w:p w14:paraId="2A178B85">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铬</w:t>
            </w:r>
          </w:p>
        </w:tc>
        <w:tc>
          <w:tcPr>
            <w:tcW w:w="1391" w:type="dxa"/>
            <w:shd w:val="clear" w:color="auto" w:fill="auto"/>
            <w:vAlign w:val="center"/>
          </w:tcPr>
          <w:p w14:paraId="6B1608CA">
            <w:pPr>
              <w:spacing w:line="300" w:lineRule="exact"/>
              <w:jc w:val="center"/>
              <w:rPr>
                <w:rFonts w:hint="default" w:ascii="Times New Roman" w:hAnsi="Times New Roman" w:eastAsia="华文中宋" w:cs="Times New Roman"/>
                <w:szCs w:val="21"/>
                <w:highlight w:val="none"/>
                <w:lang w:val="en-US" w:eastAsia="zh-CN"/>
              </w:rPr>
            </w:pPr>
          </w:p>
        </w:tc>
        <w:tc>
          <w:tcPr>
            <w:tcW w:w="1718" w:type="dxa"/>
            <w:vAlign w:val="center"/>
          </w:tcPr>
          <w:p w14:paraId="7634B567">
            <w:pPr>
              <w:jc w:val="center"/>
              <w:rPr>
                <w:rFonts w:hint="default" w:ascii="Times New Roman" w:hAnsi="Times New Roman" w:eastAsia="华文中宋" w:cs="Times New Roman"/>
                <w:b w:val="0"/>
                <w:bCs/>
                <w:szCs w:val="21"/>
                <w:highlight w:val="none"/>
                <w:lang w:val="en-US" w:eastAsia="zh-CN"/>
              </w:rPr>
            </w:pPr>
            <w:r>
              <w:rPr>
                <w:rFonts w:hint="default" w:ascii="Times New Roman" w:hAnsi="Times New Roman" w:eastAsia="华文中宋" w:cs="Times New Roman"/>
                <w:b w:val="0"/>
                <w:bCs/>
                <w:szCs w:val="21"/>
                <w:highlight w:val="none"/>
                <w:lang w:val="en-US" w:eastAsia="zh-CN"/>
              </w:rPr>
              <w:t>mg/kg</w:t>
            </w:r>
          </w:p>
        </w:tc>
        <w:tc>
          <w:tcPr>
            <w:tcW w:w="2398" w:type="dxa"/>
            <w:vAlign w:val="center"/>
          </w:tcPr>
          <w:p w14:paraId="48FBBC59">
            <w:pPr>
              <w:jc w:val="center"/>
              <w:rPr>
                <w:rFonts w:hint="default"/>
                <w:highlight w:val="none"/>
                <w:vertAlign w:val="baseline"/>
                <w:lang w:val="en-US" w:eastAsia="zh-CN"/>
              </w:rPr>
            </w:pPr>
            <w:r>
              <w:rPr>
                <w:rFonts w:hint="eastAsia"/>
                <w:highlight w:val="none"/>
                <w:vertAlign w:val="baseline"/>
                <w:lang w:val="en-US" w:eastAsia="zh-CN"/>
              </w:rPr>
              <w:t>250</w:t>
            </w:r>
          </w:p>
        </w:tc>
      </w:tr>
      <w:tr w14:paraId="65C97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vMerge w:val="continue"/>
            <w:vAlign w:val="center"/>
          </w:tcPr>
          <w:p w14:paraId="014A22C3">
            <w:pPr>
              <w:spacing w:line="300" w:lineRule="exact"/>
              <w:jc w:val="center"/>
              <w:rPr>
                <w:rFonts w:hint="eastAsia" w:ascii="Times New Roman" w:hAnsi="Times New Roman" w:eastAsia="华文中宋" w:cs="Times New Roman"/>
                <w:szCs w:val="21"/>
                <w:highlight w:val="none"/>
                <w:lang w:val="en-US" w:eastAsia="zh-CN"/>
              </w:rPr>
            </w:pPr>
          </w:p>
        </w:tc>
        <w:tc>
          <w:tcPr>
            <w:tcW w:w="1309" w:type="dxa"/>
            <w:shd w:val="clear" w:color="auto" w:fill="auto"/>
            <w:vAlign w:val="center"/>
          </w:tcPr>
          <w:p w14:paraId="4F9EB0C2">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铜</w:t>
            </w:r>
          </w:p>
        </w:tc>
        <w:tc>
          <w:tcPr>
            <w:tcW w:w="1391" w:type="dxa"/>
            <w:shd w:val="clear" w:color="auto" w:fill="auto"/>
            <w:vAlign w:val="center"/>
          </w:tcPr>
          <w:p w14:paraId="2F1D17BD">
            <w:pPr>
              <w:spacing w:line="300" w:lineRule="exact"/>
              <w:jc w:val="center"/>
              <w:rPr>
                <w:rFonts w:hint="default" w:ascii="Times New Roman" w:hAnsi="Times New Roman" w:eastAsia="华文中宋" w:cs="Times New Roman"/>
                <w:szCs w:val="21"/>
                <w:highlight w:val="none"/>
                <w:lang w:val="en-US" w:eastAsia="zh-CN"/>
              </w:rPr>
            </w:pPr>
          </w:p>
        </w:tc>
        <w:tc>
          <w:tcPr>
            <w:tcW w:w="1718" w:type="dxa"/>
            <w:vAlign w:val="center"/>
          </w:tcPr>
          <w:p w14:paraId="118E464D">
            <w:pPr>
              <w:jc w:val="center"/>
              <w:rPr>
                <w:rFonts w:hint="default" w:ascii="Times New Roman" w:hAnsi="Times New Roman" w:eastAsia="华文中宋" w:cs="Times New Roman"/>
                <w:b w:val="0"/>
                <w:bCs/>
                <w:szCs w:val="21"/>
                <w:highlight w:val="none"/>
                <w:lang w:val="en-US" w:eastAsia="zh-CN"/>
              </w:rPr>
            </w:pPr>
            <w:r>
              <w:rPr>
                <w:rFonts w:hint="default" w:ascii="Times New Roman" w:hAnsi="Times New Roman" w:eastAsia="华文中宋" w:cs="Times New Roman"/>
                <w:b w:val="0"/>
                <w:bCs/>
                <w:szCs w:val="21"/>
                <w:highlight w:val="none"/>
                <w:lang w:val="en-US" w:eastAsia="zh-CN"/>
              </w:rPr>
              <w:t>mg/kg</w:t>
            </w:r>
          </w:p>
        </w:tc>
        <w:tc>
          <w:tcPr>
            <w:tcW w:w="2398" w:type="dxa"/>
            <w:vAlign w:val="center"/>
          </w:tcPr>
          <w:p w14:paraId="069E3C5E">
            <w:pPr>
              <w:jc w:val="center"/>
              <w:rPr>
                <w:rFonts w:hint="default"/>
                <w:highlight w:val="none"/>
                <w:vertAlign w:val="baseline"/>
                <w:lang w:val="en-US" w:eastAsia="zh-CN"/>
              </w:rPr>
            </w:pPr>
            <w:r>
              <w:rPr>
                <w:rFonts w:hint="eastAsia"/>
                <w:highlight w:val="none"/>
                <w:vertAlign w:val="baseline"/>
                <w:lang w:val="en-US" w:eastAsia="zh-CN"/>
              </w:rPr>
              <w:t>100</w:t>
            </w:r>
          </w:p>
        </w:tc>
      </w:tr>
      <w:tr w14:paraId="1E464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vMerge w:val="continue"/>
            <w:vAlign w:val="center"/>
          </w:tcPr>
          <w:p w14:paraId="7E7AC74A">
            <w:pPr>
              <w:spacing w:line="300" w:lineRule="exact"/>
              <w:jc w:val="center"/>
              <w:rPr>
                <w:rFonts w:hint="eastAsia" w:ascii="Times New Roman" w:hAnsi="Times New Roman" w:eastAsia="华文中宋" w:cs="Times New Roman"/>
                <w:szCs w:val="21"/>
                <w:highlight w:val="none"/>
                <w:lang w:val="en-US" w:eastAsia="zh-CN"/>
              </w:rPr>
            </w:pPr>
          </w:p>
        </w:tc>
        <w:tc>
          <w:tcPr>
            <w:tcW w:w="1309" w:type="dxa"/>
            <w:shd w:val="clear" w:color="auto" w:fill="auto"/>
            <w:vAlign w:val="center"/>
          </w:tcPr>
          <w:p w14:paraId="7089FD98">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镍</w:t>
            </w:r>
          </w:p>
        </w:tc>
        <w:tc>
          <w:tcPr>
            <w:tcW w:w="1391" w:type="dxa"/>
            <w:shd w:val="clear" w:color="auto" w:fill="auto"/>
            <w:vAlign w:val="center"/>
          </w:tcPr>
          <w:p w14:paraId="0A2F5F82">
            <w:pPr>
              <w:spacing w:line="300" w:lineRule="exact"/>
              <w:jc w:val="center"/>
              <w:rPr>
                <w:rFonts w:hint="default" w:ascii="Times New Roman" w:hAnsi="Times New Roman" w:eastAsia="华文中宋" w:cs="Times New Roman"/>
                <w:szCs w:val="21"/>
                <w:highlight w:val="none"/>
                <w:lang w:val="en-US" w:eastAsia="zh-CN"/>
              </w:rPr>
            </w:pPr>
          </w:p>
        </w:tc>
        <w:tc>
          <w:tcPr>
            <w:tcW w:w="1718" w:type="dxa"/>
            <w:vAlign w:val="center"/>
          </w:tcPr>
          <w:p w14:paraId="21EA11E6">
            <w:pPr>
              <w:jc w:val="center"/>
              <w:rPr>
                <w:rFonts w:hint="default" w:ascii="Times New Roman" w:hAnsi="Times New Roman" w:eastAsia="华文中宋" w:cs="Times New Roman"/>
                <w:b w:val="0"/>
                <w:bCs/>
                <w:szCs w:val="21"/>
                <w:highlight w:val="none"/>
                <w:lang w:val="en-US" w:eastAsia="zh-CN"/>
              </w:rPr>
            </w:pPr>
            <w:r>
              <w:rPr>
                <w:rFonts w:hint="default" w:ascii="Times New Roman" w:hAnsi="Times New Roman" w:eastAsia="华文中宋" w:cs="Times New Roman"/>
                <w:b w:val="0"/>
                <w:bCs/>
                <w:szCs w:val="21"/>
                <w:highlight w:val="none"/>
                <w:lang w:val="en-US" w:eastAsia="zh-CN"/>
              </w:rPr>
              <w:t>mg/kg</w:t>
            </w:r>
          </w:p>
        </w:tc>
        <w:tc>
          <w:tcPr>
            <w:tcW w:w="2398" w:type="dxa"/>
            <w:vAlign w:val="center"/>
          </w:tcPr>
          <w:p w14:paraId="5DEBBB48">
            <w:pPr>
              <w:jc w:val="center"/>
              <w:rPr>
                <w:rFonts w:hint="default"/>
                <w:highlight w:val="none"/>
                <w:vertAlign w:val="baseline"/>
                <w:lang w:val="en-US" w:eastAsia="zh-CN"/>
              </w:rPr>
            </w:pPr>
            <w:r>
              <w:rPr>
                <w:rFonts w:hint="eastAsia"/>
                <w:highlight w:val="none"/>
                <w:vertAlign w:val="baseline"/>
                <w:lang w:val="en-US" w:eastAsia="zh-CN"/>
              </w:rPr>
              <w:t>190</w:t>
            </w:r>
          </w:p>
        </w:tc>
      </w:tr>
      <w:tr w14:paraId="04083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3" w:type="dxa"/>
            <w:vMerge w:val="continue"/>
            <w:vAlign w:val="center"/>
          </w:tcPr>
          <w:p w14:paraId="31885A83">
            <w:pPr>
              <w:spacing w:line="300" w:lineRule="exact"/>
              <w:jc w:val="center"/>
              <w:rPr>
                <w:rFonts w:hint="eastAsia" w:ascii="Times New Roman" w:hAnsi="Times New Roman" w:eastAsia="华文中宋" w:cs="Times New Roman"/>
                <w:szCs w:val="21"/>
                <w:highlight w:val="none"/>
                <w:lang w:val="en-US" w:eastAsia="zh-CN"/>
              </w:rPr>
            </w:pPr>
          </w:p>
        </w:tc>
        <w:tc>
          <w:tcPr>
            <w:tcW w:w="1309" w:type="dxa"/>
            <w:shd w:val="clear" w:color="auto" w:fill="auto"/>
            <w:vAlign w:val="center"/>
          </w:tcPr>
          <w:p w14:paraId="26AF463E">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pH值</w:t>
            </w:r>
          </w:p>
        </w:tc>
        <w:tc>
          <w:tcPr>
            <w:tcW w:w="1391" w:type="dxa"/>
            <w:shd w:val="clear" w:color="auto" w:fill="auto"/>
            <w:vAlign w:val="center"/>
          </w:tcPr>
          <w:p w14:paraId="44ABC445">
            <w:pPr>
              <w:spacing w:line="300" w:lineRule="exact"/>
              <w:jc w:val="center"/>
              <w:rPr>
                <w:rFonts w:hint="default" w:ascii="Times New Roman" w:hAnsi="Times New Roman" w:eastAsia="华文中宋" w:cs="Times New Roman"/>
                <w:szCs w:val="21"/>
                <w:highlight w:val="none"/>
                <w:lang w:val="en-US" w:eastAsia="zh-CN"/>
              </w:rPr>
            </w:pPr>
          </w:p>
        </w:tc>
        <w:tc>
          <w:tcPr>
            <w:tcW w:w="1718" w:type="dxa"/>
            <w:vAlign w:val="center"/>
          </w:tcPr>
          <w:p w14:paraId="068B017E">
            <w:pPr>
              <w:jc w:val="center"/>
              <w:rPr>
                <w:rFonts w:hint="default" w:ascii="Times New Roman" w:hAnsi="Times New Roman" w:eastAsia="华文中宋" w:cs="Times New Roman"/>
                <w:b w:val="0"/>
                <w:bCs/>
                <w:szCs w:val="21"/>
                <w:highlight w:val="none"/>
                <w:lang w:val="en-US" w:eastAsia="zh-CN"/>
              </w:rPr>
            </w:pPr>
            <w:r>
              <w:rPr>
                <w:rFonts w:hint="eastAsia" w:ascii="Times New Roman" w:hAnsi="Times New Roman" w:eastAsia="华文中宋" w:cs="Times New Roman"/>
                <w:b w:val="0"/>
                <w:bCs/>
                <w:szCs w:val="21"/>
                <w:highlight w:val="none"/>
                <w:lang w:val="en-US" w:eastAsia="zh-CN"/>
              </w:rPr>
              <w:t>无量纲</w:t>
            </w:r>
          </w:p>
        </w:tc>
        <w:tc>
          <w:tcPr>
            <w:tcW w:w="2398" w:type="dxa"/>
            <w:vAlign w:val="center"/>
          </w:tcPr>
          <w:p w14:paraId="4CCDBB47">
            <w:pPr>
              <w:jc w:val="center"/>
              <w:rPr>
                <w:rFonts w:hint="default"/>
                <w:highlight w:val="none"/>
                <w:vertAlign w:val="baseline"/>
                <w:lang w:val="en-US" w:eastAsia="zh-CN"/>
              </w:rPr>
            </w:pPr>
            <w:r>
              <w:rPr>
                <w:rFonts w:hint="eastAsia"/>
                <w:highlight w:val="none"/>
                <w:vertAlign w:val="baseline"/>
                <w:lang w:val="en-US" w:eastAsia="zh-CN"/>
              </w:rPr>
              <w:t>/</w:t>
            </w:r>
          </w:p>
        </w:tc>
      </w:tr>
      <w:tr w14:paraId="4AB89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vMerge w:val="continue"/>
            <w:vAlign w:val="center"/>
          </w:tcPr>
          <w:p w14:paraId="0D6C0778">
            <w:pPr>
              <w:spacing w:line="300" w:lineRule="exact"/>
              <w:jc w:val="center"/>
              <w:rPr>
                <w:rFonts w:hint="eastAsia" w:ascii="Times New Roman" w:hAnsi="Times New Roman" w:eastAsia="华文中宋" w:cs="Times New Roman"/>
                <w:szCs w:val="21"/>
                <w:highlight w:val="none"/>
                <w:lang w:val="en-US" w:eastAsia="zh-CN"/>
              </w:rPr>
            </w:pPr>
          </w:p>
        </w:tc>
        <w:tc>
          <w:tcPr>
            <w:tcW w:w="1309" w:type="dxa"/>
            <w:shd w:val="clear" w:color="auto" w:fill="auto"/>
            <w:vAlign w:val="center"/>
          </w:tcPr>
          <w:p w14:paraId="7BECB9E4">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全盐量</w:t>
            </w:r>
          </w:p>
        </w:tc>
        <w:tc>
          <w:tcPr>
            <w:tcW w:w="1391" w:type="dxa"/>
            <w:shd w:val="clear" w:color="auto" w:fill="auto"/>
            <w:vAlign w:val="center"/>
          </w:tcPr>
          <w:p w14:paraId="701E2CC3">
            <w:pPr>
              <w:spacing w:line="300" w:lineRule="exact"/>
              <w:jc w:val="center"/>
              <w:rPr>
                <w:rFonts w:hint="default" w:ascii="Times New Roman" w:hAnsi="Times New Roman" w:eastAsia="华文中宋" w:cs="Times New Roman"/>
                <w:szCs w:val="21"/>
                <w:highlight w:val="none"/>
                <w:lang w:val="en-US" w:eastAsia="zh-CN"/>
              </w:rPr>
            </w:pPr>
          </w:p>
        </w:tc>
        <w:tc>
          <w:tcPr>
            <w:tcW w:w="1718" w:type="dxa"/>
            <w:vAlign w:val="center"/>
          </w:tcPr>
          <w:p w14:paraId="2C1767A2">
            <w:pPr>
              <w:jc w:val="center"/>
              <w:rPr>
                <w:rFonts w:hint="default" w:ascii="Times New Roman" w:hAnsi="Times New Roman" w:eastAsia="华文中宋" w:cs="Times New Roman"/>
                <w:b w:val="0"/>
                <w:bCs/>
                <w:szCs w:val="21"/>
                <w:highlight w:val="none"/>
                <w:lang w:val="en-US" w:eastAsia="zh-CN"/>
              </w:rPr>
            </w:pPr>
            <w:r>
              <w:rPr>
                <w:rFonts w:hint="eastAsia" w:ascii="Times New Roman" w:hAnsi="Times New Roman" w:eastAsia="华文中宋" w:cs="Times New Roman"/>
                <w:b w:val="0"/>
                <w:bCs/>
                <w:szCs w:val="21"/>
                <w:highlight w:val="none"/>
                <w:lang w:val="en-US" w:eastAsia="zh-CN"/>
              </w:rPr>
              <w:t>g/kg</w:t>
            </w:r>
          </w:p>
        </w:tc>
        <w:tc>
          <w:tcPr>
            <w:tcW w:w="2398" w:type="dxa"/>
            <w:vAlign w:val="center"/>
          </w:tcPr>
          <w:p w14:paraId="0A5962AA">
            <w:pPr>
              <w:jc w:val="center"/>
              <w:rPr>
                <w:rFonts w:hint="default"/>
                <w:highlight w:val="none"/>
                <w:vertAlign w:val="baseline"/>
                <w:lang w:val="en-US" w:eastAsia="zh-CN"/>
              </w:rPr>
            </w:pPr>
            <w:r>
              <w:rPr>
                <w:rFonts w:hint="eastAsia"/>
                <w:highlight w:val="none"/>
                <w:vertAlign w:val="baseline"/>
                <w:lang w:val="en-US" w:eastAsia="zh-CN"/>
              </w:rPr>
              <w:t>/</w:t>
            </w:r>
          </w:p>
        </w:tc>
      </w:tr>
      <w:tr w14:paraId="79D46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vMerge w:val="restart"/>
            <w:vAlign w:val="center"/>
          </w:tcPr>
          <w:p w14:paraId="39CD8D44">
            <w:pPr>
              <w:spacing w:line="300" w:lineRule="exact"/>
              <w:jc w:val="center"/>
              <w:rPr>
                <w:rFonts w:hint="default"/>
                <w:highlight w:val="none"/>
                <w:vertAlign w:val="baseline"/>
                <w:lang w:val="en-US"/>
              </w:rPr>
            </w:pPr>
            <w:r>
              <w:rPr>
                <w:rFonts w:hint="eastAsia" w:ascii="Times New Roman" w:hAnsi="Times New Roman" w:eastAsia="华文中宋" w:cs="Times New Roman"/>
                <w:szCs w:val="21"/>
                <w:highlight w:val="none"/>
                <w:lang w:val="en-US" w:eastAsia="zh-CN"/>
              </w:rPr>
              <w:t>8</w:t>
            </w:r>
            <w:r>
              <w:rPr>
                <w:rFonts w:hint="default" w:ascii="Times New Roman" w:hAnsi="Times New Roman" w:eastAsia="华文中宋" w:cs="Times New Roman"/>
                <w:szCs w:val="21"/>
                <w:highlight w:val="none"/>
                <w:lang w:val="en-US" w:eastAsia="zh-CN"/>
              </w:rPr>
              <w:t>#监测点</w:t>
            </w:r>
            <w:r>
              <w:rPr>
                <w:rFonts w:hint="eastAsia" w:ascii="Times New Roman" w:hAnsi="Times New Roman" w:eastAsia="华文中宋" w:cs="Times New Roman"/>
                <w:szCs w:val="21"/>
                <w:highlight w:val="none"/>
                <w:lang w:val="en-US" w:eastAsia="zh-CN"/>
              </w:rPr>
              <w:t>位</w:t>
            </w:r>
          </w:p>
        </w:tc>
        <w:tc>
          <w:tcPr>
            <w:tcW w:w="1309" w:type="dxa"/>
            <w:shd w:val="clear" w:color="auto" w:fill="auto"/>
            <w:vAlign w:val="center"/>
          </w:tcPr>
          <w:p w14:paraId="5B3BB024">
            <w:pPr>
              <w:spacing w:line="300" w:lineRule="exact"/>
              <w:jc w:val="center"/>
              <w:rPr>
                <w:rFonts w:hint="default" w:ascii="Times New Roman" w:hAnsi="Times New Roman" w:eastAsia="华文中宋" w:cs="Times New Roman"/>
                <w:kern w:val="2"/>
                <w:sz w:val="21"/>
                <w:szCs w:val="21"/>
                <w:highlight w:val="none"/>
                <w:lang w:val="en-US" w:eastAsia="zh-CN" w:bidi="ar-SA"/>
              </w:rPr>
            </w:pPr>
            <w:r>
              <w:rPr>
                <w:rFonts w:hint="default" w:ascii="Times New Roman" w:hAnsi="Times New Roman" w:eastAsia="华文中宋" w:cs="Times New Roman"/>
                <w:szCs w:val="21"/>
                <w:highlight w:val="none"/>
                <w:lang w:val="en-US" w:eastAsia="zh-CN"/>
              </w:rPr>
              <w:t>锑</w:t>
            </w:r>
          </w:p>
        </w:tc>
        <w:tc>
          <w:tcPr>
            <w:tcW w:w="1391" w:type="dxa"/>
            <w:shd w:val="clear" w:color="auto" w:fill="auto"/>
            <w:vAlign w:val="center"/>
          </w:tcPr>
          <w:p w14:paraId="7898B1C4">
            <w:pPr>
              <w:spacing w:line="300" w:lineRule="exact"/>
              <w:jc w:val="center"/>
              <w:rPr>
                <w:rFonts w:hint="default" w:ascii="Times New Roman" w:hAnsi="Times New Roman" w:eastAsia="华文中宋" w:cs="Times New Roman"/>
                <w:kern w:val="2"/>
                <w:sz w:val="21"/>
                <w:szCs w:val="21"/>
                <w:highlight w:val="none"/>
                <w:lang w:val="en-US" w:eastAsia="zh-CN" w:bidi="ar-SA"/>
              </w:rPr>
            </w:pPr>
          </w:p>
        </w:tc>
        <w:tc>
          <w:tcPr>
            <w:tcW w:w="1718" w:type="dxa"/>
            <w:vAlign w:val="center"/>
          </w:tcPr>
          <w:p w14:paraId="3030740E">
            <w:pPr>
              <w:jc w:val="center"/>
              <w:rPr>
                <w:b w:val="0"/>
                <w:bCs/>
                <w:highlight w:val="none"/>
                <w:vertAlign w:val="baseline"/>
              </w:rPr>
            </w:pPr>
            <w:r>
              <w:rPr>
                <w:rFonts w:hint="default" w:ascii="Times New Roman" w:hAnsi="Times New Roman" w:eastAsia="华文中宋" w:cs="Times New Roman"/>
                <w:b w:val="0"/>
                <w:bCs/>
                <w:szCs w:val="21"/>
                <w:highlight w:val="none"/>
                <w:lang w:val="en-US" w:eastAsia="zh-CN"/>
              </w:rPr>
              <w:t>mg/kg</w:t>
            </w:r>
          </w:p>
        </w:tc>
        <w:tc>
          <w:tcPr>
            <w:tcW w:w="2398" w:type="dxa"/>
            <w:vAlign w:val="center"/>
          </w:tcPr>
          <w:p w14:paraId="4735F51D">
            <w:pPr>
              <w:jc w:val="center"/>
              <w:rPr>
                <w:highlight w:val="none"/>
                <w:vertAlign w:val="baseline"/>
              </w:rPr>
            </w:pPr>
            <w:r>
              <w:rPr>
                <w:rFonts w:hint="eastAsia"/>
                <w:highlight w:val="none"/>
                <w:vertAlign w:val="baseline"/>
                <w:lang w:val="en-US" w:eastAsia="zh-CN"/>
              </w:rPr>
              <w:t>/</w:t>
            </w:r>
          </w:p>
        </w:tc>
      </w:tr>
      <w:tr w14:paraId="2B56A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vMerge w:val="continue"/>
            <w:vAlign w:val="center"/>
          </w:tcPr>
          <w:p w14:paraId="74737F24">
            <w:pPr>
              <w:spacing w:line="300" w:lineRule="exact"/>
              <w:jc w:val="center"/>
              <w:rPr>
                <w:rFonts w:hint="eastAsia" w:ascii="Times New Roman" w:hAnsi="Times New Roman" w:eastAsia="华文中宋" w:cs="Times New Roman"/>
                <w:szCs w:val="21"/>
                <w:highlight w:val="none"/>
                <w:lang w:val="en-US" w:eastAsia="zh-CN"/>
              </w:rPr>
            </w:pPr>
          </w:p>
        </w:tc>
        <w:tc>
          <w:tcPr>
            <w:tcW w:w="1309" w:type="dxa"/>
            <w:shd w:val="clear" w:color="auto" w:fill="auto"/>
            <w:vAlign w:val="center"/>
          </w:tcPr>
          <w:p w14:paraId="14529CEE">
            <w:pPr>
              <w:spacing w:line="300" w:lineRule="exact"/>
              <w:jc w:val="center"/>
              <w:rPr>
                <w:rFonts w:hint="default" w:ascii="Times New Roman" w:hAnsi="Times New Roman" w:eastAsia="华文中宋" w:cs="Times New Roman"/>
                <w:kern w:val="2"/>
                <w:sz w:val="21"/>
                <w:szCs w:val="21"/>
                <w:highlight w:val="none"/>
                <w:lang w:val="en-US" w:eastAsia="zh-CN" w:bidi="ar-SA"/>
              </w:rPr>
            </w:pPr>
            <w:r>
              <w:rPr>
                <w:rFonts w:hint="default" w:ascii="Times New Roman" w:hAnsi="Times New Roman" w:eastAsia="华文中宋" w:cs="Times New Roman"/>
                <w:szCs w:val="21"/>
                <w:highlight w:val="none"/>
                <w:lang w:val="en-US" w:eastAsia="zh-CN"/>
              </w:rPr>
              <w:t>铅</w:t>
            </w:r>
          </w:p>
        </w:tc>
        <w:tc>
          <w:tcPr>
            <w:tcW w:w="1391" w:type="dxa"/>
            <w:shd w:val="clear" w:color="auto" w:fill="auto"/>
            <w:vAlign w:val="center"/>
          </w:tcPr>
          <w:p w14:paraId="7204EC6F">
            <w:pPr>
              <w:spacing w:line="300" w:lineRule="exact"/>
              <w:jc w:val="center"/>
              <w:rPr>
                <w:rFonts w:hint="default" w:ascii="Times New Roman" w:hAnsi="Times New Roman" w:eastAsia="华文中宋" w:cs="Times New Roman"/>
                <w:kern w:val="2"/>
                <w:sz w:val="21"/>
                <w:szCs w:val="21"/>
                <w:highlight w:val="none"/>
                <w:lang w:val="en-US" w:eastAsia="zh-CN" w:bidi="ar-SA"/>
              </w:rPr>
            </w:pPr>
          </w:p>
        </w:tc>
        <w:tc>
          <w:tcPr>
            <w:tcW w:w="1718" w:type="dxa"/>
            <w:vAlign w:val="center"/>
          </w:tcPr>
          <w:p w14:paraId="0BA4F4AE">
            <w:pPr>
              <w:jc w:val="center"/>
              <w:rPr>
                <w:b w:val="0"/>
                <w:bCs/>
                <w:highlight w:val="none"/>
                <w:vertAlign w:val="baseline"/>
              </w:rPr>
            </w:pPr>
            <w:r>
              <w:rPr>
                <w:rFonts w:hint="default" w:ascii="Times New Roman" w:hAnsi="Times New Roman" w:eastAsia="华文中宋" w:cs="Times New Roman"/>
                <w:b w:val="0"/>
                <w:bCs/>
                <w:szCs w:val="21"/>
                <w:highlight w:val="none"/>
                <w:lang w:val="en-US" w:eastAsia="zh-CN"/>
              </w:rPr>
              <w:t>mg/kg</w:t>
            </w:r>
          </w:p>
        </w:tc>
        <w:tc>
          <w:tcPr>
            <w:tcW w:w="2398" w:type="dxa"/>
            <w:vAlign w:val="center"/>
          </w:tcPr>
          <w:p w14:paraId="0AF8100A">
            <w:pPr>
              <w:jc w:val="center"/>
              <w:rPr>
                <w:highlight w:val="none"/>
                <w:vertAlign w:val="baseline"/>
              </w:rPr>
            </w:pPr>
            <w:r>
              <w:rPr>
                <w:rFonts w:hint="eastAsia"/>
                <w:highlight w:val="none"/>
                <w:vertAlign w:val="baseline"/>
                <w:lang w:val="en-US" w:eastAsia="zh-CN"/>
              </w:rPr>
              <w:t>170</w:t>
            </w:r>
          </w:p>
        </w:tc>
      </w:tr>
      <w:tr w14:paraId="1D7BA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3" w:type="dxa"/>
            <w:vMerge w:val="continue"/>
            <w:vAlign w:val="center"/>
          </w:tcPr>
          <w:p w14:paraId="0A253F17">
            <w:pPr>
              <w:spacing w:line="300" w:lineRule="exact"/>
              <w:jc w:val="center"/>
              <w:rPr>
                <w:rFonts w:hint="eastAsia" w:ascii="Times New Roman" w:hAnsi="Times New Roman" w:eastAsia="华文中宋" w:cs="Times New Roman"/>
                <w:szCs w:val="21"/>
                <w:highlight w:val="none"/>
                <w:lang w:val="en-US" w:eastAsia="zh-CN"/>
              </w:rPr>
            </w:pPr>
          </w:p>
        </w:tc>
        <w:tc>
          <w:tcPr>
            <w:tcW w:w="1309" w:type="dxa"/>
            <w:shd w:val="clear" w:color="auto" w:fill="auto"/>
            <w:vAlign w:val="center"/>
          </w:tcPr>
          <w:p w14:paraId="6CADB8B4">
            <w:pPr>
              <w:spacing w:line="300" w:lineRule="exact"/>
              <w:jc w:val="center"/>
              <w:rPr>
                <w:rFonts w:hint="default" w:ascii="Times New Roman" w:hAnsi="Times New Roman" w:eastAsia="华文中宋" w:cs="Times New Roman"/>
                <w:kern w:val="2"/>
                <w:sz w:val="21"/>
                <w:szCs w:val="21"/>
                <w:highlight w:val="none"/>
                <w:lang w:val="en-US" w:eastAsia="zh-CN" w:bidi="ar-SA"/>
              </w:rPr>
            </w:pPr>
            <w:r>
              <w:rPr>
                <w:rFonts w:hint="default" w:ascii="Times New Roman" w:hAnsi="Times New Roman" w:eastAsia="华文中宋" w:cs="Times New Roman"/>
                <w:szCs w:val="21"/>
                <w:highlight w:val="none"/>
                <w:lang w:val="en-US" w:eastAsia="zh-CN"/>
              </w:rPr>
              <w:t>锌</w:t>
            </w:r>
          </w:p>
        </w:tc>
        <w:tc>
          <w:tcPr>
            <w:tcW w:w="1391" w:type="dxa"/>
            <w:shd w:val="clear" w:color="auto" w:fill="auto"/>
            <w:vAlign w:val="center"/>
          </w:tcPr>
          <w:p w14:paraId="7C79D2C7">
            <w:pPr>
              <w:spacing w:line="300" w:lineRule="exact"/>
              <w:jc w:val="center"/>
              <w:rPr>
                <w:rFonts w:hint="default" w:ascii="Times New Roman" w:hAnsi="Times New Roman" w:eastAsia="华文中宋" w:cs="Times New Roman"/>
                <w:kern w:val="2"/>
                <w:sz w:val="21"/>
                <w:szCs w:val="21"/>
                <w:highlight w:val="none"/>
                <w:lang w:val="en-US" w:eastAsia="zh-CN" w:bidi="ar-SA"/>
              </w:rPr>
            </w:pPr>
          </w:p>
        </w:tc>
        <w:tc>
          <w:tcPr>
            <w:tcW w:w="1718" w:type="dxa"/>
            <w:vAlign w:val="center"/>
          </w:tcPr>
          <w:p w14:paraId="6CF1D56B">
            <w:pPr>
              <w:jc w:val="center"/>
              <w:rPr>
                <w:b w:val="0"/>
                <w:bCs/>
                <w:highlight w:val="none"/>
                <w:vertAlign w:val="baseline"/>
              </w:rPr>
            </w:pPr>
            <w:r>
              <w:rPr>
                <w:rFonts w:hint="default" w:ascii="Times New Roman" w:hAnsi="Times New Roman" w:eastAsia="华文中宋" w:cs="Times New Roman"/>
                <w:b w:val="0"/>
                <w:bCs/>
                <w:szCs w:val="21"/>
                <w:highlight w:val="none"/>
                <w:lang w:val="en-US" w:eastAsia="zh-CN"/>
              </w:rPr>
              <w:t>mg/kg</w:t>
            </w:r>
          </w:p>
        </w:tc>
        <w:tc>
          <w:tcPr>
            <w:tcW w:w="2398" w:type="dxa"/>
            <w:vAlign w:val="center"/>
          </w:tcPr>
          <w:p w14:paraId="1FE1A178">
            <w:pPr>
              <w:jc w:val="center"/>
              <w:rPr>
                <w:highlight w:val="none"/>
                <w:vertAlign w:val="baseline"/>
              </w:rPr>
            </w:pPr>
            <w:r>
              <w:rPr>
                <w:rFonts w:hint="eastAsia"/>
                <w:highlight w:val="none"/>
                <w:vertAlign w:val="baseline"/>
                <w:lang w:val="en-US" w:eastAsia="zh-CN"/>
              </w:rPr>
              <w:t>300</w:t>
            </w:r>
          </w:p>
        </w:tc>
      </w:tr>
      <w:tr w14:paraId="17D67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3" w:type="dxa"/>
            <w:vMerge w:val="continue"/>
            <w:vAlign w:val="center"/>
          </w:tcPr>
          <w:p w14:paraId="0DA92112">
            <w:pPr>
              <w:spacing w:line="300" w:lineRule="exact"/>
              <w:jc w:val="center"/>
              <w:rPr>
                <w:rFonts w:hint="eastAsia" w:ascii="Times New Roman" w:hAnsi="Times New Roman" w:eastAsia="华文中宋" w:cs="Times New Roman"/>
                <w:szCs w:val="21"/>
                <w:highlight w:val="none"/>
                <w:lang w:val="en-US" w:eastAsia="zh-CN"/>
              </w:rPr>
            </w:pPr>
          </w:p>
        </w:tc>
        <w:tc>
          <w:tcPr>
            <w:tcW w:w="1309" w:type="dxa"/>
            <w:shd w:val="clear" w:color="auto" w:fill="auto"/>
            <w:vAlign w:val="center"/>
          </w:tcPr>
          <w:p w14:paraId="685B7E56">
            <w:pPr>
              <w:spacing w:line="300" w:lineRule="exact"/>
              <w:jc w:val="center"/>
              <w:rPr>
                <w:rFonts w:hint="default" w:ascii="Times New Roman" w:hAnsi="Times New Roman" w:eastAsia="华文中宋" w:cs="Times New Roman"/>
                <w:kern w:val="2"/>
                <w:sz w:val="21"/>
                <w:szCs w:val="21"/>
                <w:highlight w:val="none"/>
                <w:lang w:val="en-US" w:eastAsia="zh-CN" w:bidi="ar-SA"/>
              </w:rPr>
            </w:pPr>
            <w:r>
              <w:rPr>
                <w:rFonts w:hint="eastAsia" w:ascii="Times New Roman" w:hAnsi="Times New Roman" w:eastAsia="华文中宋" w:cs="Times New Roman"/>
                <w:szCs w:val="21"/>
                <w:highlight w:val="none"/>
                <w:lang w:val="en-US" w:eastAsia="zh-CN"/>
              </w:rPr>
              <w:t>pH值</w:t>
            </w:r>
          </w:p>
        </w:tc>
        <w:tc>
          <w:tcPr>
            <w:tcW w:w="1391" w:type="dxa"/>
            <w:shd w:val="clear" w:color="auto" w:fill="auto"/>
            <w:vAlign w:val="center"/>
          </w:tcPr>
          <w:p w14:paraId="47FB21F5">
            <w:pPr>
              <w:spacing w:line="300" w:lineRule="exact"/>
              <w:jc w:val="center"/>
              <w:rPr>
                <w:rFonts w:hint="default" w:ascii="Times New Roman" w:hAnsi="Times New Roman" w:eastAsia="华文中宋" w:cs="Times New Roman"/>
                <w:szCs w:val="21"/>
                <w:highlight w:val="none"/>
                <w:lang w:val="en-US" w:eastAsia="zh-CN"/>
              </w:rPr>
            </w:pPr>
          </w:p>
        </w:tc>
        <w:tc>
          <w:tcPr>
            <w:tcW w:w="1718" w:type="dxa"/>
            <w:shd w:val="clear" w:color="auto" w:fill="auto"/>
            <w:vAlign w:val="center"/>
          </w:tcPr>
          <w:p w14:paraId="778FF841">
            <w:pPr>
              <w:jc w:val="center"/>
              <w:rPr>
                <w:rFonts w:hint="default" w:ascii="Times New Roman" w:hAnsi="Times New Roman" w:eastAsia="华文中宋" w:cs="Times New Roman"/>
                <w:b w:val="0"/>
                <w:bCs/>
                <w:kern w:val="2"/>
                <w:sz w:val="21"/>
                <w:szCs w:val="21"/>
                <w:highlight w:val="none"/>
                <w:lang w:val="en-US" w:eastAsia="zh-CN" w:bidi="ar-SA"/>
              </w:rPr>
            </w:pPr>
            <w:r>
              <w:rPr>
                <w:rFonts w:hint="eastAsia" w:ascii="Times New Roman" w:hAnsi="Times New Roman" w:eastAsia="华文中宋" w:cs="Times New Roman"/>
                <w:b w:val="0"/>
                <w:bCs/>
                <w:szCs w:val="21"/>
                <w:highlight w:val="none"/>
                <w:lang w:val="en-US" w:eastAsia="zh-CN"/>
              </w:rPr>
              <w:t>无量纲</w:t>
            </w:r>
          </w:p>
        </w:tc>
        <w:tc>
          <w:tcPr>
            <w:tcW w:w="2398" w:type="dxa"/>
            <w:vAlign w:val="center"/>
          </w:tcPr>
          <w:p w14:paraId="5426909F">
            <w:pPr>
              <w:jc w:val="center"/>
              <w:rPr>
                <w:rFonts w:hint="default"/>
                <w:highlight w:val="none"/>
                <w:vertAlign w:val="baseline"/>
                <w:lang w:val="en-US" w:eastAsia="zh-CN"/>
              </w:rPr>
            </w:pPr>
            <w:r>
              <w:rPr>
                <w:rFonts w:hint="eastAsia"/>
                <w:highlight w:val="none"/>
                <w:vertAlign w:val="baseline"/>
                <w:lang w:val="en-US" w:eastAsia="zh-CN"/>
              </w:rPr>
              <w:t>/</w:t>
            </w:r>
          </w:p>
        </w:tc>
      </w:tr>
      <w:tr w14:paraId="1165E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3" w:type="dxa"/>
            <w:vMerge w:val="continue"/>
            <w:vAlign w:val="center"/>
          </w:tcPr>
          <w:p w14:paraId="6D523967">
            <w:pPr>
              <w:spacing w:line="300" w:lineRule="exact"/>
              <w:jc w:val="center"/>
              <w:rPr>
                <w:rFonts w:hint="eastAsia" w:ascii="Times New Roman" w:hAnsi="Times New Roman" w:eastAsia="华文中宋" w:cs="Times New Roman"/>
                <w:szCs w:val="21"/>
                <w:highlight w:val="none"/>
                <w:lang w:val="en-US" w:eastAsia="zh-CN"/>
              </w:rPr>
            </w:pPr>
          </w:p>
        </w:tc>
        <w:tc>
          <w:tcPr>
            <w:tcW w:w="1309" w:type="dxa"/>
            <w:shd w:val="clear" w:color="auto" w:fill="auto"/>
            <w:vAlign w:val="center"/>
          </w:tcPr>
          <w:p w14:paraId="336691B4">
            <w:pPr>
              <w:spacing w:line="300" w:lineRule="exact"/>
              <w:jc w:val="center"/>
              <w:rPr>
                <w:rFonts w:hint="default" w:ascii="Times New Roman" w:hAnsi="Times New Roman" w:eastAsia="华文中宋" w:cs="Times New Roman"/>
                <w:kern w:val="2"/>
                <w:sz w:val="21"/>
                <w:szCs w:val="21"/>
                <w:highlight w:val="none"/>
                <w:lang w:val="en-US" w:eastAsia="zh-CN" w:bidi="ar-SA"/>
              </w:rPr>
            </w:pPr>
            <w:r>
              <w:rPr>
                <w:rFonts w:hint="eastAsia" w:ascii="Times New Roman" w:hAnsi="Times New Roman" w:eastAsia="华文中宋" w:cs="Times New Roman"/>
                <w:szCs w:val="21"/>
                <w:highlight w:val="none"/>
                <w:lang w:val="en-US" w:eastAsia="zh-CN"/>
              </w:rPr>
              <w:t>全盐量</w:t>
            </w:r>
          </w:p>
        </w:tc>
        <w:tc>
          <w:tcPr>
            <w:tcW w:w="1391" w:type="dxa"/>
            <w:shd w:val="clear" w:color="auto" w:fill="auto"/>
            <w:vAlign w:val="center"/>
          </w:tcPr>
          <w:p w14:paraId="44667FF4">
            <w:pPr>
              <w:spacing w:line="300" w:lineRule="exact"/>
              <w:jc w:val="center"/>
              <w:rPr>
                <w:rFonts w:hint="default" w:ascii="Times New Roman" w:hAnsi="Times New Roman" w:eastAsia="华文中宋" w:cs="Times New Roman"/>
                <w:szCs w:val="21"/>
                <w:highlight w:val="none"/>
                <w:lang w:val="en-US" w:eastAsia="zh-CN"/>
              </w:rPr>
            </w:pPr>
          </w:p>
        </w:tc>
        <w:tc>
          <w:tcPr>
            <w:tcW w:w="1718" w:type="dxa"/>
            <w:shd w:val="clear" w:color="auto" w:fill="auto"/>
            <w:vAlign w:val="center"/>
          </w:tcPr>
          <w:p w14:paraId="3EF51486">
            <w:pPr>
              <w:jc w:val="center"/>
              <w:rPr>
                <w:rFonts w:hint="default" w:ascii="Times New Roman" w:hAnsi="Times New Roman" w:eastAsia="华文中宋" w:cs="Times New Roman"/>
                <w:b w:val="0"/>
                <w:bCs/>
                <w:kern w:val="2"/>
                <w:sz w:val="21"/>
                <w:szCs w:val="21"/>
                <w:highlight w:val="none"/>
                <w:lang w:val="en-US" w:eastAsia="zh-CN" w:bidi="ar-SA"/>
              </w:rPr>
            </w:pPr>
            <w:r>
              <w:rPr>
                <w:rFonts w:hint="eastAsia" w:ascii="Times New Roman" w:hAnsi="Times New Roman" w:eastAsia="华文中宋" w:cs="Times New Roman"/>
                <w:b w:val="0"/>
                <w:bCs/>
                <w:szCs w:val="21"/>
                <w:highlight w:val="none"/>
                <w:lang w:val="en-US" w:eastAsia="zh-CN"/>
              </w:rPr>
              <w:t>g/kg</w:t>
            </w:r>
          </w:p>
        </w:tc>
        <w:tc>
          <w:tcPr>
            <w:tcW w:w="2398" w:type="dxa"/>
            <w:vAlign w:val="center"/>
          </w:tcPr>
          <w:p w14:paraId="2B68C0C8">
            <w:pPr>
              <w:jc w:val="center"/>
              <w:rPr>
                <w:rFonts w:hint="default"/>
                <w:highlight w:val="none"/>
                <w:vertAlign w:val="baseline"/>
                <w:lang w:val="en-US" w:eastAsia="zh-CN"/>
              </w:rPr>
            </w:pPr>
            <w:r>
              <w:rPr>
                <w:rFonts w:hint="eastAsia"/>
                <w:highlight w:val="none"/>
                <w:vertAlign w:val="baseline"/>
                <w:lang w:val="en-US" w:eastAsia="zh-CN"/>
              </w:rPr>
              <w:t>/</w:t>
            </w:r>
          </w:p>
        </w:tc>
      </w:tr>
      <w:tr w14:paraId="58202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vMerge w:val="restart"/>
            <w:vAlign w:val="center"/>
          </w:tcPr>
          <w:p w14:paraId="72F2CC12">
            <w:pPr>
              <w:spacing w:line="300" w:lineRule="exact"/>
              <w:jc w:val="center"/>
              <w:rPr>
                <w:rFonts w:hint="default"/>
                <w:highlight w:val="none"/>
                <w:vertAlign w:val="baseline"/>
                <w:lang w:val="en-US"/>
              </w:rPr>
            </w:pPr>
            <w:r>
              <w:rPr>
                <w:rFonts w:hint="eastAsia" w:ascii="Times New Roman" w:hAnsi="Times New Roman" w:eastAsia="华文中宋" w:cs="Times New Roman"/>
                <w:szCs w:val="21"/>
                <w:highlight w:val="none"/>
                <w:lang w:val="en-US" w:eastAsia="zh-CN"/>
              </w:rPr>
              <w:t>9</w:t>
            </w:r>
            <w:r>
              <w:rPr>
                <w:rFonts w:hint="default" w:ascii="Times New Roman" w:hAnsi="Times New Roman" w:eastAsia="华文中宋" w:cs="Times New Roman"/>
                <w:szCs w:val="21"/>
                <w:highlight w:val="none"/>
                <w:lang w:val="en-US" w:eastAsia="zh-CN"/>
              </w:rPr>
              <w:t>#监测点</w:t>
            </w:r>
            <w:r>
              <w:rPr>
                <w:rFonts w:hint="eastAsia" w:ascii="Times New Roman" w:hAnsi="Times New Roman" w:eastAsia="华文中宋" w:cs="Times New Roman"/>
                <w:szCs w:val="21"/>
                <w:highlight w:val="none"/>
                <w:lang w:val="en-US" w:eastAsia="zh-CN"/>
              </w:rPr>
              <w:t>位</w:t>
            </w:r>
          </w:p>
        </w:tc>
        <w:tc>
          <w:tcPr>
            <w:tcW w:w="1309" w:type="dxa"/>
            <w:shd w:val="clear" w:color="auto" w:fill="auto"/>
            <w:vAlign w:val="center"/>
          </w:tcPr>
          <w:p w14:paraId="4AF2C9DA">
            <w:pPr>
              <w:spacing w:line="300" w:lineRule="exact"/>
              <w:jc w:val="center"/>
              <w:rPr>
                <w:rFonts w:hint="default" w:ascii="Times New Roman" w:hAnsi="Times New Roman" w:eastAsia="华文中宋" w:cs="Times New Roman"/>
                <w:kern w:val="2"/>
                <w:sz w:val="21"/>
                <w:szCs w:val="21"/>
                <w:highlight w:val="none"/>
                <w:lang w:val="en-US" w:eastAsia="zh-CN" w:bidi="ar-SA"/>
              </w:rPr>
            </w:pPr>
            <w:r>
              <w:rPr>
                <w:rFonts w:hint="default" w:ascii="Times New Roman" w:hAnsi="Times New Roman" w:eastAsia="华文中宋" w:cs="Times New Roman"/>
                <w:szCs w:val="21"/>
                <w:highlight w:val="none"/>
                <w:lang w:val="en-US" w:eastAsia="zh-CN"/>
              </w:rPr>
              <w:t>锑</w:t>
            </w:r>
          </w:p>
        </w:tc>
        <w:tc>
          <w:tcPr>
            <w:tcW w:w="1391" w:type="dxa"/>
            <w:shd w:val="clear" w:color="auto" w:fill="auto"/>
            <w:vAlign w:val="center"/>
          </w:tcPr>
          <w:p w14:paraId="1D0F31D2">
            <w:pPr>
              <w:spacing w:line="300" w:lineRule="exact"/>
              <w:jc w:val="center"/>
              <w:rPr>
                <w:rFonts w:hint="default" w:ascii="Times New Roman" w:hAnsi="Times New Roman" w:eastAsia="华文中宋" w:cs="Times New Roman"/>
                <w:kern w:val="2"/>
                <w:sz w:val="21"/>
                <w:szCs w:val="21"/>
                <w:highlight w:val="none"/>
                <w:lang w:val="en-US" w:eastAsia="zh-CN" w:bidi="ar-SA"/>
              </w:rPr>
            </w:pPr>
          </w:p>
        </w:tc>
        <w:tc>
          <w:tcPr>
            <w:tcW w:w="1718" w:type="dxa"/>
            <w:vAlign w:val="center"/>
          </w:tcPr>
          <w:p w14:paraId="37E062F1">
            <w:pPr>
              <w:jc w:val="center"/>
              <w:rPr>
                <w:b w:val="0"/>
                <w:bCs/>
                <w:highlight w:val="none"/>
                <w:vertAlign w:val="baseline"/>
              </w:rPr>
            </w:pPr>
            <w:r>
              <w:rPr>
                <w:rFonts w:hint="default" w:ascii="Times New Roman" w:hAnsi="Times New Roman" w:eastAsia="华文中宋" w:cs="Times New Roman"/>
                <w:b w:val="0"/>
                <w:bCs/>
                <w:szCs w:val="21"/>
                <w:highlight w:val="none"/>
                <w:lang w:val="en-US" w:eastAsia="zh-CN"/>
              </w:rPr>
              <w:t>mg/kg</w:t>
            </w:r>
          </w:p>
        </w:tc>
        <w:tc>
          <w:tcPr>
            <w:tcW w:w="2398" w:type="dxa"/>
            <w:vAlign w:val="center"/>
          </w:tcPr>
          <w:p w14:paraId="720817B9">
            <w:pPr>
              <w:jc w:val="center"/>
              <w:rPr>
                <w:highlight w:val="none"/>
                <w:vertAlign w:val="baseline"/>
              </w:rPr>
            </w:pPr>
            <w:r>
              <w:rPr>
                <w:rFonts w:hint="eastAsia"/>
                <w:highlight w:val="none"/>
                <w:vertAlign w:val="baseline"/>
                <w:lang w:val="en-US" w:eastAsia="zh-CN"/>
              </w:rPr>
              <w:t>/</w:t>
            </w:r>
          </w:p>
        </w:tc>
      </w:tr>
      <w:tr w14:paraId="7324C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vMerge w:val="continue"/>
            <w:vAlign w:val="center"/>
          </w:tcPr>
          <w:p w14:paraId="5510DB8C">
            <w:pPr>
              <w:spacing w:line="300" w:lineRule="exact"/>
              <w:jc w:val="center"/>
              <w:rPr>
                <w:rFonts w:hint="eastAsia" w:ascii="Times New Roman" w:hAnsi="Times New Roman" w:eastAsia="华文中宋" w:cs="Times New Roman"/>
                <w:szCs w:val="21"/>
                <w:highlight w:val="none"/>
                <w:lang w:val="en-US" w:eastAsia="zh-CN"/>
              </w:rPr>
            </w:pPr>
          </w:p>
        </w:tc>
        <w:tc>
          <w:tcPr>
            <w:tcW w:w="1309" w:type="dxa"/>
            <w:shd w:val="clear" w:color="auto" w:fill="auto"/>
            <w:vAlign w:val="center"/>
          </w:tcPr>
          <w:p w14:paraId="2EAA6044">
            <w:pPr>
              <w:spacing w:line="300" w:lineRule="exact"/>
              <w:jc w:val="center"/>
              <w:rPr>
                <w:rFonts w:hint="default" w:ascii="Times New Roman" w:hAnsi="Times New Roman" w:eastAsia="华文中宋" w:cs="Times New Roman"/>
                <w:kern w:val="2"/>
                <w:sz w:val="21"/>
                <w:szCs w:val="21"/>
                <w:highlight w:val="none"/>
                <w:lang w:val="en-US" w:eastAsia="zh-CN" w:bidi="ar-SA"/>
              </w:rPr>
            </w:pPr>
            <w:r>
              <w:rPr>
                <w:rFonts w:hint="default" w:ascii="Times New Roman" w:hAnsi="Times New Roman" w:eastAsia="华文中宋" w:cs="Times New Roman"/>
                <w:szCs w:val="21"/>
                <w:highlight w:val="none"/>
                <w:lang w:val="en-US" w:eastAsia="zh-CN"/>
              </w:rPr>
              <w:t>铅</w:t>
            </w:r>
          </w:p>
        </w:tc>
        <w:tc>
          <w:tcPr>
            <w:tcW w:w="1391" w:type="dxa"/>
            <w:shd w:val="clear" w:color="auto" w:fill="auto"/>
            <w:vAlign w:val="center"/>
          </w:tcPr>
          <w:p w14:paraId="7C80313E">
            <w:pPr>
              <w:spacing w:line="300" w:lineRule="exact"/>
              <w:jc w:val="center"/>
              <w:rPr>
                <w:rFonts w:hint="default" w:ascii="Times New Roman" w:hAnsi="Times New Roman" w:eastAsia="华文中宋" w:cs="Times New Roman"/>
                <w:kern w:val="2"/>
                <w:sz w:val="21"/>
                <w:szCs w:val="21"/>
                <w:highlight w:val="none"/>
                <w:lang w:val="en-US" w:eastAsia="zh-CN" w:bidi="ar-SA"/>
              </w:rPr>
            </w:pPr>
          </w:p>
        </w:tc>
        <w:tc>
          <w:tcPr>
            <w:tcW w:w="1718" w:type="dxa"/>
            <w:vAlign w:val="center"/>
          </w:tcPr>
          <w:p w14:paraId="682AAC0A">
            <w:pPr>
              <w:jc w:val="center"/>
              <w:rPr>
                <w:b w:val="0"/>
                <w:bCs/>
                <w:highlight w:val="none"/>
                <w:vertAlign w:val="baseline"/>
              </w:rPr>
            </w:pPr>
            <w:r>
              <w:rPr>
                <w:rFonts w:hint="default" w:ascii="Times New Roman" w:hAnsi="Times New Roman" w:eastAsia="华文中宋" w:cs="Times New Roman"/>
                <w:b w:val="0"/>
                <w:bCs/>
                <w:szCs w:val="21"/>
                <w:highlight w:val="none"/>
                <w:lang w:val="en-US" w:eastAsia="zh-CN"/>
              </w:rPr>
              <w:t>mg/kg</w:t>
            </w:r>
          </w:p>
        </w:tc>
        <w:tc>
          <w:tcPr>
            <w:tcW w:w="2398" w:type="dxa"/>
            <w:vAlign w:val="center"/>
          </w:tcPr>
          <w:p w14:paraId="40A8D133">
            <w:pPr>
              <w:jc w:val="center"/>
              <w:rPr>
                <w:highlight w:val="none"/>
                <w:vertAlign w:val="baseline"/>
              </w:rPr>
            </w:pPr>
            <w:r>
              <w:rPr>
                <w:rFonts w:hint="eastAsia"/>
                <w:highlight w:val="none"/>
                <w:vertAlign w:val="baseline"/>
                <w:lang w:val="en-US" w:eastAsia="zh-CN"/>
              </w:rPr>
              <w:t>170</w:t>
            </w:r>
          </w:p>
        </w:tc>
      </w:tr>
      <w:tr w14:paraId="1D1E1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vMerge w:val="continue"/>
            <w:vAlign w:val="center"/>
          </w:tcPr>
          <w:p w14:paraId="02D2AE5E">
            <w:pPr>
              <w:spacing w:line="300" w:lineRule="exact"/>
              <w:jc w:val="center"/>
              <w:rPr>
                <w:rFonts w:hint="eastAsia" w:ascii="Times New Roman" w:hAnsi="Times New Roman" w:eastAsia="华文中宋" w:cs="Times New Roman"/>
                <w:szCs w:val="21"/>
                <w:highlight w:val="none"/>
                <w:lang w:val="en-US" w:eastAsia="zh-CN"/>
              </w:rPr>
            </w:pPr>
          </w:p>
        </w:tc>
        <w:tc>
          <w:tcPr>
            <w:tcW w:w="1309" w:type="dxa"/>
            <w:shd w:val="clear" w:color="auto" w:fill="auto"/>
            <w:vAlign w:val="center"/>
          </w:tcPr>
          <w:p w14:paraId="425460C5">
            <w:pPr>
              <w:spacing w:line="300" w:lineRule="exact"/>
              <w:jc w:val="center"/>
              <w:rPr>
                <w:rFonts w:hint="default" w:ascii="Times New Roman" w:hAnsi="Times New Roman" w:eastAsia="华文中宋" w:cs="Times New Roman"/>
                <w:kern w:val="2"/>
                <w:sz w:val="21"/>
                <w:szCs w:val="21"/>
                <w:highlight w:val="none"/>
                <w:lang w:val="en-US" w:eastAsia="zh-CN" w:bidi="ar-SA"/>
              </w:rPr>
            </w:pPr>
            <w:r>
              <w:rPr>
                <w:rFonts w:hint="default" w:ascii="Times New Roman" w:hAnsi="Times New Roman" w:eastAsia="华文中宋" w:cs="Times New Roman"/>
                <w:szCs w:val="21"/>
                <w:highlight w:val="none"/>
                <w:lang w:val="en-US" w:eastAsia="zh-CN"/>
              </w:rPr>
              <w:t>锌</w:t>
            </w:r>
          </w:p>
        </w:tc>
        <w:tc>
          <w:tcPr>
            <w:tcW w:w="1391" w:type="dxa"/>
            <w:shd w:val="clear" w:color="auto" w:fill="auto"/>
            <w:vAlign w:val="center"/>
          </w:tcPr>
          <w:p w14:paraId="254A1F42">
            <w:pPr>
              <w:spacing w:line="300" w:lineRule="exact"/>
              <w:jc w:val="center"/>
              <w:rPr>
                <w:rFonts w:hint="default" w:ascii="Times New Roman" w:hAnsi="Times New Roman" w:eastAsia="华文中宋" w:cs="Times New Roman"/>
                <w:kern w:val="2"/>
                <w:sz w:val="21"/>
                <w:szCs w:val="21"/>
                <w:highlight w:val="none"/>
                <w:lang w:val="en-US" w:eastAsia="zh-CN" w:bidi="ar-SA"/>
              </w:rPr>
            </w:pPr>
          </w:p>
        </w:tc>
        <w:tc>
          <w:tcPr>
            <w:tcW w:w="1718" w:type="dxa"/>
            <w:vAlign w:val="center"/>
          </w:tcPr>
          <w:p w14:paraId="4A867EDE">
            <w:pPr>
              <w:jc w:val="center"/>
              <w:rPr>
                <w:b w:val="0"/>
                <w:bCs/>
                <w:highlight w:val="none"/>
                <w:vertAlign w:val="baseline"/>
              </w:rPr>
            </w:pPr>
            <w:r>
              <w:rPr>
                <w:rFonts w:hint="default" w:ascii="Times New Roman" w:hAnsi="Times New Roman" w:eastAsia="华文中宋" w:cs="Times New Roman"/>
                <w:b w:val="0"/>
                <w:bCs/>
                <w:szCs w:val="21"/>
                <w:highlight w:val="none"/>
                <w:lang w:val="en-US" w:eastAsia="zh-CN"/>
              </w:rPr>
              <w:t>mg/kg</w:t>
            </w:r>
          </w:p>
        </w:tc>
        <w:tc>
          <w:tcPr>
            <w:tcW w:w="2398" w:type="dxa"/>
            <w:vAlign w:val="center"/>
          </w:tcPr>
          <w:p w14:paraId="225E403C">
            <w:pPr>
              <w:jc w:val="center"/>
              <w:rPr>
                <w:highlight w:val="none"/>
                <w:vertAlign w:val="baseline"/>
              </w:rPr>
            </w:pPr>
            <w:r>
              <w:rPr>
                <w:rFonts w:hint="eastAsia"/>
                <w:highlight w:val="none"/>
                <w:vertAlign w:val="baseline"/>
                <w:lang w:val="en-US" w:eastAsia="zh-CN"/>
              </w:rPr>
              <w:t>300</w:t>
            </w:r>
          </w:p>
        </w:tc>
      </w:tr>
      <w:tr w14:paraId="5978B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vMerge w:val="continue"/>
            <w:vAlign w:val="center"/>
          </w:tcPr>
          <w:p w14:paraId="76350093">
            <w:pPr>
              <w:spacing w:line="300" w:lineRule="exact"/>
              <w:jc w:val="center"/>
              <w:rPr>
                <w:rFonts w:hint="eastAsia" w:ascii="Times New Roman" w:hAnsi="Times New Roman" w:eastAsia="华文中宋" w:cs="Times New Roman"/>
                <w:szCs w:val="21"/>
                <w:highlight w:val="none"/>
                <w:lang w:val="en-US" w:eastAsia="zh-CN"/>
              </w:rPr>
            </w:pPr>
          </w:p>
        </w:tc>
        <w:tc>
          <w:tcPr>
            <w:tcW w:w="1309" w:type="dxa"/>
            <w:shd w:val="clear" w:color="auto" w:fill="auto"/>
            <w:vAlign w:val="center"/>
          </w:tcPr>
          <w:p w14:paraId="396B4531">
            <w:pPr>
              <w:spacing w:line="300" w:lineRule="exact"/>
              <w:jc w:val="center"/>
              <w:rPr>
                <w:rFonts w:hint="default" w:ascii="Times New Roman" w:hAnsi="Times New Roman" w:eastAsia="华文中宋" w:cs="Times New Roman"/>
                <w:kern w:val="2"/>
                <w:sz w:val="21"/>
                <w:szCs w:val="21"/>
                <w:highlight w:val="none"/>
                <w:lang w:val="en-US" w:eastAsia="zh-CN" w:bidi="ar-SA"/>
              </w:rPr>
            </w:pPr>
            <w:r>
              <w:rPr>
                <w:rFonts w:hint="eastAsia" w:ascii="Times New Roman" w:hAnsi="Times New Roman" w:eastAsia="华文中宋" w:cs="Times New Roman"/>
                <w:szCs w:val="21"/>
                <w:highlight w:val="none"/>
                <w:lang w:val="en-US" w:eastAsia="zh-CN"/>
              </w:rPr>
              <w:t>pH值</w:t>
            </w:r>
          </w:p>
        </w:tc>
        <w:tc>
          <w:tcPr>
            <w:tcW w:w="1391" w:type="dxa"/>
            <w:shd w:val="clear" w:color="auto" w:fill="auto"/>
            <w:vAlign w:val="center"/>
          </w:tcPr>
          <w:p w14:paraId="66A78901">
            <w:pPr>
              <w:spacing w:line="300" w:lineRule="exact"/>
              <w:jc w:val="center"/>
              <w:rPr>
                <w:rFonts w:hint="default" w:ascii="Times New Roman" w:hAnsi="Times New Roman" w:eastAsia="华文中宋" w:cs="Times New Roman"/>
                <w:szCs w:val="21"/>
                <w:highlight w:val="none"/>
                <w:lang w:val="en-US" w:eastAsia="zh-CN"/>
              </w:rPr>
            </w:pPr>
          </w:p>
        </w:tc>
        <w:tc>
          <w:tcPr>
            <w:tcW w:w="1718" w:type="dxa"/>
            <w:shd w:val="clear" w:color="auto" w:fill="auto"/>
            <w:vAlign w:val="center"/>
          </w:tcPr>
          <w:p w14:paraId="16BE2F00">
            <w:pPr>
              <w:jc w:val="center"/>
              <w:rPr>
                <w:rFonts w:hint="default" w:ascii="Times New Roman" w:hAnsi="Times New Roman" w:eastAsia="华文中宋" w:cs="Times New Roman"/>
                <w:b w:val="0"/>
                <w:bCs/>
                <w:kern w:val="2"/>
                <w:sz w:val="21"/>
                <w:szCs w:val="21"/>
                <w:highlight w:val="none"/>
                <w:lang w:val="en-US" w:eastAsia="zh-CN" w:bidi="ar-SA"/>
              </w:rPr>
            </w:pPr>
            <w:r>
              <w:rPr>
                <w:rFonts w:hint="eastAsia" w:ascii="Times New Roman" w:hAnsi="Times New Roman" w:eastAsia="华文中宋" w:cs="Times New Roman"/>
                <w:b w:val="0"/>
                <w:bCs/>
                <w:szCs w:val="21"/>
                <w:highlight w:val="none"/>
                <w:lang w:val="en-US" w:eastAsia="zh-CN"/>
              </w:rPr>
              <w:t>无量纲</w:t>
            </w:r>
          </w:p>
        </w:tc>
        <w:tc>
          <w:tcPr>
            <w:tcW w:w="2398" w:type="dxa"/>
            <w:vAlign w:val="center"/>
          </w:tcPr>
          <w:p w14:paraId="4ABFD59F">
            <w:pPr>
              <w:jc w:val="center"/>
              <w:rPr>
                <w:rFonts w:hint="default"/>
                <w:highlight w:val="none"/>
                <w:vertAlign w:val="baseline"/>
                <w:lang w:val="en-US" w:eastAsia="zh-CN"/>
              </w:rPr>
            </w:pPr>
            <w:r>
              <w:rPr>
                <w:rFonts w:hint="eastAsia"/>
                <w:highlight w:val="none"/>
                <w:vertAlign w:val="baseline"/>
                <w:lang w:val="en-US" w:eastAsia="zh-CN"/>
              </w:rPr>
              <w:t>/</w:t>
            </w:r>
          </w:p>
        </w:tc>
      </w:tr>
      <w:tr w14:paraId="560E1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vMerge w:val="continue"/>
            <w:vAlign w:val="center"/>
          </w:tcPr>
          <w:p w14:paraId="4169CDC9">
            <w:pPr>
              <w:spacing w:line="300" w:lineRule="exact"/>
              <w:jc w:val="center"/>
              <w:rPr>
                <w:rFonts w:hint="eastAsia" w:ascii="Times New Roman" w:hAnsi="Times New Roman" w:eastAsia="华文中宋" w:cs="Times New Roman"/>
                <w:szCs w:val="21"/>
                <w:highlight w:val="none"/>
                <w:lang w:val="en-US" w:eastAsia="zh-CN"/>
              </w:rPr>
            </w:pPr>
          </w:p>
        </w:tc>
        <w:tc>
          <w:tcPr>
            <w:tcW w:w="1309" w:type="dxa"/>
            <w:shd w:val="clear" w:color="auto" w:fill="auto"/>
            <w:vAlign w:val="center"/>
          </w:tcPr>
          <w:p w14:paraId="7387BE43">
            <w:pPr>
              <w:spacing w:line="300" w:lineRule="exact"/>
              <w:jc w:val="center"/>
              <w:rPr>
                <w:rFonts w:hint="default" w:ascii="Times New Roman" w:hAnsi="Times New Roman" w:eastAsia="华文中宋" w:cs="Times New Roman"/>
                <w:kern w:val="2"/>
                <w:sz w:val="21"/>
                <w:szCs w:val="21"/>
                <w:highlight w:val="none"/>
                <w:lang w:val="en-US" w:eastAsia="zh-CN" w:bidi="ar-SA"/>
              </w:rPr>
            </w:pPr>
            <w:r>
              <w:rPr>
                <w:rFonts w:hint="eastAsia" w:ascii="Times New Roman" w:hAnsi="Times New Roman" w:eastAsia="华文中宋" w:cs="Times New Roman"/>
                <w:szCs w:val="21"/>
                <w:highlight w:val="none"/>
                <w:lang w:val="en-US" w:eastAsia="zh-CN"/>
              </w:rPr>
              <w:t>全盐量</w:t>
            </w:r>
          </w:p>
        </w:tc>
        <w:tc>
          <w:tcPr>
            <w:tcW w:w="1391" w:type="dxa"/>
            <w:shd w:val="clear" w:color="auto" w:fill="auto"/>
            <w:vAlign w:val="center"/>
          </w:tcPr>
          <w:p w14:paraId="3329ED12">
            <w:pPr>
              <w:spacing w:line="300" w:lineRule="exact"/>
              <w:jc w:val="center"/>
              <w:rPr>
                <w:rFonts w:hint="default" w:ascii="Times New Roman" w:hAnsi="Times New Roman" w:eastAsia="华文中宋" w:cs="Times New Roman"/>
                <w:szCs w:val="21"/>
                <w:highlight w:val="none"/>
                <w:lang w:val="en-US" w:eastAsia="zh-CN"/>
              </w:rPr>
            </w:pPr>
          </w:p>
        </w:tc>
        <w:tc>
          <w:tcPr>
            <w:tcW w:w="1718" w:type="dxa"/>
            <w:shd w:val="clear" w:color="auto" w:fill="auto"/>
            <w:vAlign w:val="center"/>
          </w:tcPr>
          <w:p w14:paraId="1428865E">
            <w:pPr>
              <w:jc w:val="center"/>
              <w:rPr>
                <w:rFonts w:hint="default" w:ascii="Times New Roman" w:hAnsi="Times New Roman" w:eastAsia="华文中宋" w:cs="Times New Roman"/>
                <w:b w:val="0"/>
                <w:bCs/>
                <w:kern w:val="2"/>
                <w:sz w:val="21"/>
                <w:szCs w:val="21"/>
                <w:highlight w:val="none"/>
                <w:lang w:val="en-US" w:eastAsia="zh-CN" w:bidi="ar-SA"/>
              </w:rPr>
            </w:pPr>
            <w:r>
              <w:rPr>
                <w:rFonts w:hint="eastAsia" w:ascii="Times New Roman" w:hAnsi="Times New Roman" w:eastAsia="华文中宋" w:cs="Times New Roman"/>
                <w:b w:val="0"/>
                <w:bCs/>
                <w:szCs w:val="21"/>
                <w:highlight w:val="none"/>
                <w:lang w:val="en-US" w:eastAsia="zh-CN"/>
              </w:rPr>
              <w:t>g/kg</w:t>
            </w:r>
          </w:p>
        </w:tc>
        <w:tc>
          <w:tcPr>
            <w:tcW w:w="2398" w:type="dxa"/>
            <w:vAlign w:val="center"/>
          </w:tcPr>
          <w:p w14:paraId="0CC05B67">
            <w:pPr>
              <w:jc w:val="center"/>
              <w:rPr>
                <w:rFonts w:hint="default"/>
                <w:highlight w:val="none"/>
                <w:vertAlign w:val="baseline"/>
                <w:lang w:val="en-US" w:eastAsia="zh-CN"/>
              </w:rPr>
            </w:pPr>
            <w:r>
              <w:rPr>
                <w:rFonts w:hint="eastAsia"/>
                <w:highlight w:val="none"/>
                <w:vertAlign w:val="baseline"/>
                <w:lang w:val="en-US" w:eastAsia="zh-CN"/>
              </w:rPr>
              <w:t>/</w:t>
            </w:r>
          </w:p>
        </w:tc>
      </w:tr>
      <w:tr w14:paraId="181F6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vMerge w:val="restart"/>
            <w:vAlign w:val="center"/>
          </w:tcPr>
          <w:p w14:paraId="19ADC4F8">
            <w:pPr>
              <w:spacing w:line="300" w:lineRule="exact"/>
              <w:jc w:val="center"/>
              <w:rPr>
                <w:rFonts w:hint="default"/>
                <w:highlight w:val="none"/>
                <w:vertAlign w:val="baseline"/>
                <w:lang w:val="en-US"/>
              </w:rPr>
            </w:pPr>
            <w:r>
              <w:rPr>
                <w:rFonts w:hint="eastAsia" w:ascii="Times New Roman" w:hAnsi="Times New Roman" w:eastAsia="华文中宋" w:cs="Times New Roman"/>
                <w:szCs w:val="21"/>
                <w:highlight w:val="none"/>
                <w:lang w:val="en-US" w:eastAsia="zh-CN"/>
              </w:rPr>
              <w:t>10</w:t>
            </w:r>
            <w:r>
              <w:rPr>
                <w:rFonts w:hint="default" w:ascii="Times New Roman" w:hAnsi="Times New Roman" w:eastAsia="华文中宋" w:cs="Times New Roman"/>
                <w:szCs w:val="21"/>
                <w:highlight w:val="none"/>
                <w:lang w:val="en-US" w:eastAsia="zh-CN"/>
              </w:rPr>
              <w:t>#监测点</w:t>
            </w:r>
            <w:r>
              <w:rPr>
                <w:rFonts w:hint="eastAsia" w:ascii="Times New Roman" w:hAnsi="Times New Roman" w:eastAsia="华文中宋" w:cs="Times New Roman"/>
                <w:szCs w:val="21"/>
                <w:highlight w:val="none"/>
                <w:lang w:val="en-US" w:eastAsia="zh-CN"/>
              </w:rPr>
              <w:t>位</w:t>
            </w:r>
          </w:p>
        </w:tc>
        <w:tc>
          <w:tcPr>
            <w:tcW w:w="1309" w:type="dxa"/>
            <w:shd w:val="clear" w:color="auto" w:fill="auto"/>
            <w:vAlign w:val="center"/>
          </w:tcPr>
          <w:p w14:paraId="0AD07434">
            <w:pPr>
              <w:spacing w:line="300" w:lineRule="exact"/>
              <w:jc w:val="center"/>
              <w:rPr>
                <w:rFonts w:hint="default" w:ascii="Times New Roman" w:hAnsi="Times New Roman" w:eastAsia="华文中宋" w:cs="Times New Roman"/>
                <w:kern w:val="2"/>
                <w:sz w:val="21"/>
                <w:szCs w:val="21"/>
                <w:highlight w:val="none"/>
                <w:lang w:val="en-US" w:eastAsia="zh-CN" w:bidi="ar-SA"/>
              </w:rPr>
            </w:pPr>
            <w:r>
              <w:rPr>
                <w:rFonts w:hint="default" w:ascii="Times New Roman" w:hAnsi="Times New Roman" w:eastAsia="华文中宋" w:cs="Times New Roman"/>
                <w:szCs w:val="21"/>
                <w:highlight w:val="none"/>
                <w:lang w:val="en-US" w:eastAsia="zh-CN"/>
              </w:rPr>
              <w:t>锑</w:t>
            </w:r>
          </w:p>
        </w:tc>
        <w:tc>
          <w:tcPr>
            <w:tcW w:w="1391" w:type="dxa"/>
            <w:shd w:val="clear" w:color="auto" w:fill="auto"/>
            <w:vAlign w:val="center"/>
          </w:tcPr>
          <w:p w14:paraId="17CB8296">
            <w:pPr>
              <w:spacing w:line="300" w:lineRule="exact"/>
              <w:jc w:val="center"/>
              <w:rPr>
                <w:rFonts w:hint="default" w:ascii="Times New Roman" w:hAnsi="Times New Roman" w:eastAsia="华文中宋" w:cs="Times New Roman"/>
                <w:kern w:val="2"/>
                <w:sz w:val="21"/>
                <w:szCs w:val="21"/>
                <w:highlight w:val="none"/>
                <w:lang w:val="en-US" w:eastAsia="zh-CN" w:bidi="ar-SA"/>
              </w:rPr>
            </w:pPr>
          </w:p>
        </w:tc>
        <w:tc>
          <w:tcPr>
            <w:tcW w:w="1718" w:type="dxa"/>
            <w:vAlign w:val="center"/>
          </w:tcPr>
          <w:p w14:paraId="17E1E71F">
            <w:pPr>
              <w:jc w:val="center"/>
              <w:rPr>
                <w:b w:val="0"/>
                <w:bCs/>
                <w:highlight w:val="none"/>
                <w:vertAlign w:val="baseline"/>
              </w:rPr>
            </w:pPr>
            <w:r>
              <w:rPr>
                <w:rFonts w:hint="default" w:ascii="Times New Roman" w:hAnsi="Times New Roman" w:eastAsia="华文中宋" w:cs="Times New Roman"/>
                <w:b w:val="0"/>
                <w:bCs/>
                <w:szCs w:val="21"/>
                <w:highlight w:val="none"/>
                <w:lang w:val="en-US" w:eastAsia="zh-CN"/>
              </w:rPr>
              <w:t>mg/kg</w:t>
            </w:r>
          </w:p>
        </w:tc>
        <w:tc>
          <w:tcPr>
            <w:tcW w:w="2398" w:type="dxa"/>
            <w:vAlign w:val="center"/>
          </w:tcPr>
          <w:p w14:paraId="1941B6EA">
            <w:pPr>
              <w:jc w:val="center"/>
              <w:rPr>
                <w:highlight w:val="none"/>
                <w:vertAlign w:val="baseline"/>
              </w:rPr>
            </w:pPr>
            <w:r>
              <w:rPr>
                <w:rFonts w:hint="eastAsia"/>
                <w:highlight w:val="none"/>
                <w:vertAlign w:val="baseline"/>
                <w:lang w:val="en-US" w:eastAsia="zh-CN"/>
              </w:rPr>
              <w:t>/</w:t>
            </w:r>
          </w:p>
        </w:tc>
      </w:tr>
      <w:tr w14:paraId="01F4A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vMerge w:val="continue"/>
            <w:vAlign w:val="center"/>
          </w:tcPr>
          <w:p w14:paraId="7A409104">
            <w:pPr>
              <w:spacing w:line="300" w:lineRule="exact"/>
              <w:jc w:val="center"/>
              <w:rPr>
                <w:rFonts w:hint="eastAsia" w:ascii="Times New Roman" w:hAnsi="Times New Roman" w:eastAsia="华文中宋" w:cs="Times New Roman"/>
                <w:szCs w:val="21"/>
                <w:highlight w:val="none"/>
                <w:lang w:val="en-US" w:eastAsia="zh-CN"/>
              </w:rPr>
            </w:pPr>
          </w:p>
        </w:tc>
        <w:tc>
          <w:tcPr>
            <w:tcW w:w="1309" w:type="dxa"/>
            <w:shd w:val="clear" w:color="auto" w:fill="auto"/>
            <w:vAlign w:val="center"/>
          </w:tcPr>
          <w:p w14:paraId="191EE6FE">
            <w:pPr>
              <w:spacing w:line="300" w:lineRule="exact"/>
              <w:jc w:val="center"/>
              <w:rPr>
                <w:rFonts w:hint="default" w:ascii="Times New Roman" w:hAnsi="Times New Roman" w:eastAsia="华文中宋" w:cs="Times New Roman"/>
                <w:kern w:val="2"/>
                <w:sz w:val="21"/>
                <w:szCs w:val="21"/>
                <w:highlight w:val="none"/>
                <w:lang w:val="en-US" w:eastAsia="zh-CN" w:bidi="ar-SA"/>
              </w:rPr>
            </w:pPr>
            <w:r>
              <w:rPr>
                <w:rFonts w:hint="default" w:ascii="Times New Roman" w:hAnsi="Times New Roman" w:eastAsia="华文中宋" w:cs="Times New Roman"/>
                <w:szCs w:val="21"/>
                <w:highlight w:val="none"/>
                <w:lang w:val="en-US" w:eastAsia="zh-CN"/>
              </w:rPr>
              <w:t>铅</w:t>
            </w:r>
          </w:p>
        </w:tc>
        <w:tc>
          <w:tcPr>
            <w:tcW w:w="1391" w:type="dxa"/>
            <w:shd w:val="clear" w:color="auto" w:fill="auto"/>
            <w:vAlign w:val="center"/>
          </w:tcPr>
          <w:p w14:paraId="5C780B8A">
            <w:pPr>
              <w:spacing w:line="300" w:lineRule="exact"/>
              <w:jc w:val="center"/>
              <w:rPr>
                <w:rFonts w:hint="default" w:ascii="Times New Roman" w:hAnsi="Times New Roman" w:eastAsia="华文中宋" w:cs="Times New Roman"/>
                <w:kern w:val="2"/>
                <w:sz w:val="21"/>
                <w:szCs w:val="21"/>
                <w:highlight w:val="none"/>
                <w:lang w:val="en-US" w:eastAsia="zh-CN" w:bidi="ar-SA"/>
              </w:rPr>
            </w:pPr>
          </w:p>
        </w:tc>
        <w:tc>
          <w:tcPr>
            <w:tcW w:w="1718" w:type="dxa"/>
            <w:vAlign w:val="center"/>
          </w:tcPr>
          <w:p w14:paraId="0DC91593">
            <w:pPr>
              <w:jc w:val="center"/>
              <w:rPr>
                <w:b w:val="0"/>
                <w:bCs/>
                <w:highlight w:val="none"/>
                <w:vertAlign w:val="baseline"/>
              </w:rPr>
            </w:pPr>
            <w:r>
              <w:rPr>
                <w:rFonts w:hint="default" w:ascii="Times New Roman" w:hAnsi="Times New Roman" w:eastAsia="华文中宋" w:cs="Times New Roman"/>
                <w:b w:val="0"/>
                <w:bCs/>
                <w:szCs w:val="21"/>
                <w:highlight w:val="none"/>
                <w:lang w:val="en-US" w:eastAsia="zh-CN"/>
              </w:rPr>
              <w:t>mg/kg</w:t>
            </w:r>
          </w:p>
        </w:tc>
        <w:tc>
          <w:tcPr>
            <w:tcW w:w="2398" w:type="dxa"/>
            <w:vAlign w:val="center"/>
          </w:tcPr>
          <w:p w14:paraId="61F92FA2">
            <w:pPr>
              <w:jc w:val="center"/>
              <w:rPr>
                <w:highlight w:val="none"/>
                <w:vertAlign w:val="baseline"/>
              </w:rPr>
            </w:pPr>
            <w:r>
              <w:rPr>
                <w:rFonts w:hint="eastAsia"/>
                <w:highlight w:val="none"/>
                <w:vertAlign w:val="baseline"/>
                <w:lang w:val="en-US" w:eastAsia="zh-CN"/>
              </w:rPr>
              <w:t>170</w:t>
            </w:r>
          </w:p>
        </w:tc>
      </w:tr>
      <w:tr w14:paraId="44633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vMerge w:val="continue"/>
            <w:vAlign w:val="center"/>
          </w:tcPr>
          <w:p w14:paraId="1FD793C4">
            <w:pPr>
              <w:spacing w:line="300" w:lineRule="exact"/>
              <w:jc w:val="center"/>
              <w:rPr>
                <w:rFonts w:hint="eastAsia" w:ascii="Times New Roman" w:hAnsi="Times New Roman" w:eastAsia="华文中宋" w:cs="Times New Roman"/>
                <w:szCs w:val="21"/>
                <w:highlight w:val="none"/>
                <w:lang w:val="en-US" w:eastAsia="zh-CN"/>
              </w:rPr>
            </w:pPr>
          </w:p>
        </w:tc>
        <w:tc>
          <w:tcPr>
            <w:tcW w:w="1309" w:type="dxa"/>
            <w:shd w:val="clear" w:color="auto" w:fill="auto"/>
            <w:vAlign w:val="center"/>
          </w:tcPr>
          <w:p w14:paraId="1CAA848B">
            <w:pPr>
              <w:spacing w:line="300" w:lineRule="exact"/>
              <w:jc w:val="center"/>
              <w:rPr>
                <w:rFonts w:hint="default" w:ascii="Times New Roman" w:hAnsi="Times New Roman" w:eastAsia="华文中宋" w:cs="Times New Roman"/>
                <w:kern w:val="2"/>
                <w:sz w:val="21"/>
                <w:szCs w:val="21"/>
                <w:highlight w:val="none"/>
                <w:lang w:val="en-US" w:eastAsia="zh-CN" w:bidi="ar-SA"/>
              </w:rPr>
            </w:pPr>
            <w:r>
              <w:rPr>
                <w:rFonts w:hint="default" w:ascii="Times New Roman" w:hAnsi="Times New Roman" w:eastAsia="华文中宋" w:cs="Times New Roman"/>
                <w:szCs w:val="21"/>
                <w:highlight w:val="none"/>
                <w:lang w:val="en-US" w:eastAsia="zh-CN"/>
              </w:rPr>
              <w:t>锌</w:t>
            </w:r>
          </w:p>
        </w:tc>
        <w:tc>
          <w:tcPr>
            <w:tcW w:w="1391" w:type="dxa"/>
            <w:shd w:val="clear" w:color="auto" w:fill="auto"/>
            <w:vAlign w:val="center"/>
          </w:tcPr>
          <w:p w14:paraId="0421CDCD">
            <w:pPr>
              <w:spacing w:line="300" w:lineRule="exact"/>
              <w:jc w:val="center"/>
              <w:rPr>
                <w:rFonts w:hint="default" w:ascii="Times New Roman" w:hAnsi="Times New Roman" w:eastAsia="华文中宋" w:cs="Times New Roman"/>
                <w:kern w:val="2"/>
                <w:sz w:val="21"/>
                <w:szCs w:val="21"/>
                <w:highlight w:val="none"/>
                <w:lang w:val="en-US" w:eastAsia="zh-CN" w:bidi="ar-SA"/>
              </w:rPr>
            </w:pPr>
          </w:p>
        </w:tc>
        <w:tc>
          <w:tcPr>
            <w:tcW w:w="1718" w:type="dxa"/>
            <w:vAlign w:val="center"/>
          </w:tcPr>
          <w:p w14:paraId="04F2748C">
            <w:pPr>
              <w:jc w:val="center"/>
              <w:rPr>
                <w:b w:val="0"/>
                <w:bCs/>
                <w:highlight w:val="none"/>
                <w:vertAlign w:val="baseline"/>
              </w:rPr>
            </w:pPr>
            <w:r>
              <w:rPr>
                <w:rFonts w:hint="default" w:ascii="Times New Roman" w:hAnsi="Times New Roman" w:eastAsia="华文中宋" w:cs="Times New Roman"/>
                <w:b w:val="0"/>
                <w:bCs/>
                <w:szCs w:val="21"/>
                <w:highlight w:val="none"/>
                <w:lang w:val="en-US" w:eastAsia="zh-CN"/>
              </w:rPr>
              <w:t>mg/kg</w:t>
            </w:r>
          </w:p>
        </w:tc>
        <w:tc>
          <w:tcPr>
            <w:tcW w:w="2398" w:type="dxa"/>
            <w:vAlign w:val="center"/>
          </w:tcPr>
          <w:p w14:paraId="532D372F">
            <w:pPr>
              <w:jc w:val="center"/>
              <w:rPr>
                <w:highlight w:val="none"/>
                <w:vertAlign w:val="baseline"/>
              </w:rPr>
            </w:pPr>
            <w:r>
              <w:rPr>
                <w:rFonts w:hint="eastAsia"/>
                <w:highlight w:val="none"/>
                <w:vertAlign w:val="baseline"/>
                <w:lang w:val="en-US" w:eastAsia="zh-CN"/>
              </w:rPr>
              <w:t>300</w:t>
            </w:r>
          </w:p>
        </w:tc>
      </w:tr>
      <w:tr w14:paraId="6197F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vMerge w:val="continue"/>
            <w:vAlign w:val="center"/>
          </w:tcPr>
          <w:p w14:paraId="12FCECBC">
            <w:pPr>
              <w:spacing w:line="300" w:lineRule="exact"/>
              <w:jc w:val="center"/>
              <w:rPr>
                <w:rFonts w:hint="eastAsia" w:ascii="Times New Roman" w:hAnsi="Times New Roman" w:eastAsia="华文中宋" w:cs="Times New Roman"/>
                <w:szCs w:val="21"/>
                <w:highlight w:val="none"/>
                <w:lang w:val="en-US" w:eastAsia="zh-CN"/>
              </w:rPr>
            </w:pPr>
          </w:p>
        </w:tc>
        <w:tc>
          <w:tcPr>
            <w:tcW w:w="1309" w:type="dxa"/>
            <w:shd w:val="clear" w:color="auto" w:fill="auto"/>
            <w:vAlign w:val="center"/>
          </w:tcPr>
          <w:p w14:paraId="52CC2B09">
            <w:pPr>
              <w:spacing w:line="300" w:lineRule="exact"/>
              <w:jc w:val="center"/>
              <w:rPr>
                <w:rFonts w:hint="default" w:ascii="Times New Roman" w:hAnsi="Times New Roman" w:eastAsia="华文中宋" w:cs="Times New Roman"/>
                <w:kern w:val="2"/>
                <w:sz w:val="21"/>
                <w:szCs w:val="21"/>
                <w:highlight w:val="none"/>
                <w:lang w:val="en-US" w:eastAsia="zh-CN" w:bidi="ar-SA"/>
              </w:rPr>
            </w:pPr>
            <w:r>
              <w:rPr>
                <w:rFonts w:hint="eastAsia" w:ascii="Times New Roman" w:hAnsi="Times New Roman" w:eastAsia="华文中宋" w:cs="Times New Roman"/>
                <w:szCs w:val="21"/>
                <w:highlight w:val="none"/>
                <w:lang w:val="en-US" w:eastAsia="zh-CN"/>
              </w:rPr>
              <w:t>pH值</w:t>
            </w:r>
          </w:p>
        </w:tc>
        <w:tc>
          <w:tcPr>
            <w:tcW w:w="1391" w:type="dxa"/>
            <w:shd w:val="clear" w:color="auto" w:fill="auto"/>
            <w:vAlign w:val="center"/>
          </w:tcPr>
          <w:p w14:paraId="1D6A0CAE">
            <w:pPr>
              <w:spacing w:line="300" w:lineRule="exact"/>
              <w:jc w:val="center"/>
              <w:rPr>
                <w:rFonts w:hint="default" w:ascii="Times New Roman" w:hAnsi="Times New Roman" w:eastAsia="华文中宋" w:cs="Times New Roman"/>
                <w:szCs w:val="21"/>
                <w:highlight w:val="none"/>
                <w:lang w:val="en-US" w:eastAsia="zh-CN"/>
              </w:rPr>
            </w:pPr>
          </w:p>
        </w:tc>
        <w:tc>
          <w:tcPr>
            <w:tcW w:w="1718" w:type="dxa"/>
            <w:shd w:val="clear" w:color="auto" w:fill="auto"/>
            <w:vAlign w:val="center"/>
          </w:tcPr>
          <w:p w14:paraId="5D448E59">
            <w:pPr>
              <w:jc w:val="center"/>
              <w:rPr>
                <w:rFonts w:hint="default" w:ascii="Times New Roman" w:hAnsi="Times New Roman" w:eastAsia="华文中宋" w:cs="Times New Roman"/>
                <w:b w:val="0"/>
                <w:bCs/>
                <w:kern w:val="2"/>
                <w:sz w:val="21"/>
                <w:szCs w:val="21"/>
                <w:highlight w:val="none"/>
                <w:lang w:val="en-US" w:eastAsia="zh-CN" w:bidi="ar-SA"/>
              </w:rPr>
            </w:pPr>
            <w:r>
              <w:rPr>
                <w:rFonts w:hint="eastAsia" w:ascii="Times New Roman" w:hAnsi="Times New Roman" w:eastAsia="华文中宋" w:cs="Times New Roman"/>
                <w:b w:val="0"/>
                <w:bCs/>
                <w:szCs w:val="21"/>
                <w:highlight w:val="none"/>
                <w:lang w:val="en-US" w:eastAsia="zh-CN"/>
              </w:rPr>
              <w:t>无量纲</w:t>
            </w:r>
          </w:p>
        </w:tc>
        <w:tc>
          <w:tcPr>
            <w:tcW w:w="2398" w:type="dxa"/>
            <w:vAlign w:val="center"/>
          </w:tcPr>
          <w:p w14:paraId="07ECD20C">
            <w:pPr>
              <w:jc w:val="center"/>
              <w:rPr>
                <w:rFonts w:hint="default"/>
                <w:highlight w:val="none"/>
                <w:vertAlign w:val="baseline"/>
                <w:lang w:val="en-US" w:eastAsia="zh-CN"/>
              </w:rPr>
            </w:pPr>
            <w:r>
              <w:rPr>
                <w:rFonts w:hint="eastAsia"/>
                <w:highlight w:val="none"/>
                <w:vertAlign w:val="baseline"/>
                <w:lang w:val="en-US" w:eastAsia="zh-CN"/>
              </w:rPr>
              <w:t>/</w:t>
            </w:r>
          </w:p>
        </w:tc>
      </w:tr>
      <w:tr w14:paraId="5E06A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vMerge w:val="continue"/>
            <w:vAlign w:val="center"/>
          </w:tcPr>
          <w:p w14:paraId="7B93778B">
            <w:pPr>
              <w:spacing w:line="300" w:lineRule="exact"/>
              <w:jc w:val="center"/>
              <w:rPr>
                <w:rFonts w:hint="eastAsia" w:ascii="Times New Roman" w:hAnsi="Times New Roman" w:eastAsia="华文中宋" w:cs="Times New Roman"/>
                <w:szCs w:val="21"/>
                <w:highlight w:val="none"/>
                <w:lang w:val="en-US" w:eastAsia="zh-CN"/>
              </w:rPr>
            </w:pPr>
          </w:p>
        </w:tc>
        <w:tc>
          <w:tcPr>
            <w:tcW w:w="1309" w:type="dxa"/>
            <w:shd w:val="clear" w:color="auto" w:fill="auto"/>
            <w:vAlign w:val="center"/>
          </w:tcPr>
          <w:p w14:paraId="6D3FF3FF">
            <w:pPr>
              <w:spacing w:line="300" w:lineRule="exact"/>
              <w:jc w:val="center"/>
              <w:rPr>
                <w:rFonts w:hint="default" w:ascii="Times New Roman" w:hAnsi="Times New Roman" w:eastAsia="华文中宋" w:cs="Times New Roman"/>
                <w:kern w:val="2"/>
                <w:sz w:val="21"/>
                <w:szCs w:val="21"/>
                <w:highlight w:val="none"/>
                <w:lang w:val="en-US" w:eastAsia="zh-CN" w:bidi="ar-SA"/>
              </w:rPr>
            </w:pPr>
            <w:r>
              <w:rPr>
                <w:rFonts w:hint="eastAsia" w:ascii="Times New Roman" w:hAnsi="Times New Roman" w:eastAsia="华文中宋" w:cs="Times New Roman"/>
                <w:szCs w:val="21"/>
                <w:highlight w:val="none"/>
                <w:lang w:val="en-US" w:eastAsia="zh-CN"/>
              </w:rPr>
              <w:t>全盐量</w:t>
            </w:r>
          </w:p>
        </w:tc>
        <w:tc>
          <w:tcPr>
            <w:tcW w:w="1391" w:type="dxa"/>
            <w:shd w:val="clear" w:color="auto" w:fill="auto"/>
            <w:vAlign w:val="center"/>
          </w:tcPr>
          <w:p w14:paraId="45958301">
            <w:pPr>
              <w:spacing w:line="300" w:lineRule="exact"/>
              <w:jc w:val="center"/>
              <w:rPr>
                <w:rFonts w:hint="default" w:ascii="Times New Roman" w:hAnsi="Times New Roman" w:eastAsia="华文中宋" w:cs="Times New Roman"/>
                <w:szCs w:val="21"/>
                <w:highlight w:val="none"/>
                <w:lang w:val="en-US" w:eastAsia="zh-CN"/>
              </w:rPr>
            </w:pPr>
          </w:p>
        </w:tc>
        <w:tc>
          <w:tcPr>
            <w:tcW w:w="1718" w:type="dxa"/>
            <w:shd w:val="clear" w:color="auto" w:fill="auto"/>
            <w:vAlign w:val="center"/>
          </w:tcPr>
          <w:p w14:paraId="3290D91A">
            <w:pPr>
              <w:jc w:val="center"/>
              <w:rPr>
                <w:rFonts w:hint="default" w:ascii="Times New Roman" w:hAnsi="Times New Roman" w:eastAsia="华文中宋" w:cs="Times New Roman"/>
                <w:b w:val="0"/>
                <w:bCs/>
                <w:kern w:val="2"/>
                <w:sz w:val="21"/>
                <w:szCs w:val="21"/>
                <w:highlight w:val="none"/>
                <w:lang w:val="en-US" w:eastAsia="zh-CN" w:bidi="ar-SA"/>
              </w:rPr>
            </w:pPr>
            <w:r>
              <w:rPr>
                <w:rFonts w:hint="eastAsia" w:ascii="Times New Roman" w:hAnsi="Times New Roman" w:eastAsia="华文中宋" w:cs="Times New Roman"/>
                <w:b w:val="0"/>
                <w:bCs/>
                <w:szCs w:val="21"/>
                <w:highlight w:val="none"/>
                <w:lang w:val="en-US" w:eastAsia="zh-CN"/>
              </w:rPr>
              <w:t>g/kg</w:t>
            </w:r>
          </w:p>
        </w:tc>
        <w:tc>
          <w:tcPr>
            <w:tcW w:w="2398" w:type="dxa"/>
            <w:vAlign w:val="center"/>
          </w:tcPr>
          <w:p w14:paraId="750008C4">
            <w:pPr>
              <w:jc w:val="center"/>
              <w:rPr>
                <w:rFonts w:hint="default"/>
                <w:highlight w:val="none"/>
                <w:vertAlign w:val="baseline"/>
                <w:lang w:val="en-US" w:eastAsia="zh-CN"/>
              </w:rPr>
            </w:pPr>
            <w:r>
              <w:rPr>
                <w:rFonts w:hint="eastAsia"/>
                <w:highlight w:val="none"/>
                <w:vertAlign w:val="baseline"/>
                <w:lang w:val="en-US" w:eastAsia="zh-CN"/>
              </w:rPr>
              <w:t>/</w:t>
            </w:r>
          </w:p>
        </w:tc>
      </w:tr>
    </w:tbl>
    <w:p w14:paraId="3CBB2385">
      <w:pPr>
        <w:adjustRightInd w:val="0"/>
        <w:snapToGrid w:val="0"/>
        <w:spacing w:before="250" w:beforeLines="50"/>
        <w:ind w:firstLine="422" w:firstLineChars="200"/>
        <w:jc w:val="center"/>
        <w:rPr>
          <w:rFonts w:hint="eastAsia" w:ascii="Times New Roman" w:hAnsi="Times New Roman" w:eastAsia="华文中宋" w:cs="Times New Roman"/>
          <w:b/>
          <w:szCs w:val="21"/>
          <w:highlight w:val="none"/>
          <w:lang w:val="en-US" w:eastAsia="zh-CN"/>
        </w:rPr>
      </w:pPr>
      <w:r>
        <w:rPr>
          <w:rFonts w:hint="eastAsia" w:ascii="Times New Roman" w:hAnsi="Times New Roman" w:eastAsia="华文中宋" w:cs="Times New Roman"/>
          <w:b/>
          <w:szCs w:val="21"/>
          <w:highlight w:val="none"/>
          <w:lang w:val="en-US" w:eastAsia="zh-CN"/>
        </w:rPr>
        <w:t>表4.2-10  土壤理化性质调查表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7"/>
        <w:gridCol w:w="2237"/>
        <w:gridCol w:w="2141"/>
        <w:gridCol w:w="1704"/>
        <w:gridCol w:w="2053"/>
      </w:tblGrid>
      <w:tr w14:paraId="59D74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vAlign w:val="center"/>
          </w:tcPr>
          <w:p w14:paraId="17F2069A">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检测结果</w:t>
            </w:r>
          </w:p>
        </w:tc>
      </w:tr>
      <w:tr w14:paraId="6BFF5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4" w:type="dxa"/>
            <w:gridSpan w:val="2"/>
            <w:vAlign w:val="center"/>
          </w:tcPr>
          <w:p w14:paraId="7DFDFD74">
            <w:pPr>
              <w:spacing w:line="300" w:lineRule="exact"/>
              <w:jc w:val="center"/>
              <w:rPr>
                <w:rFonts w:hint="eastAsia"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点号</w:t>
            </w:r>
          </w:p>
        </w:tc>
        <w:tc>
          <w:tcPr>
            <w:tcW w:w="2141" w:type="dxa"/>
            <w:vAlign w:val="center"/>
          </w:tcPr>
          <w:p w14:paraId="6CBC7ACE">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w:t>
            </w:r>
          </w:p>
        </w:tc>
        <w:tc>
          <w:tcPr>
            <w:tcW w:w="1704" w:type="dxa"/>
            <w:vAlign w:val="center"/>
          </w:tcPr>
          <w:p w14:paraId="1DF8833D">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时间</w:t>
            </w:r>
          </w:p>
        </w:tc>
        <w:tc>
          <w:tcPr>
            <w:tcW w:w="2053" w:type="dxa"/>
            <w:vAlign w:val="center"/>
          </w:tcPr>
          <w:p w14:paraId="57855405">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2024.10.31</w:t>
            </w:r>
          </w:p>
        </w:tc>
      </w:tr>
      <w:tr w14:paraId="6F0F7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624" w:type="dxa"/>
            <w:gridSpan w:val="2"/>
            <w:vAlign w:val="center"/>
          </w:tcPr>
          <w:p w14:paraId="4FDAEA77">
            <w:pPr>
              <w:spacing w:line="300" w:lineRule="exact"/>
              <w:jc w:val="center"/>
              <w:rPr>
                <w:rFonts w:hint="eastAsia"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经度</w:t>
            </w:r>
          </w:p>
        </w:tc>
        <w:tc>
          <w:tcPr>
            <w:tcW w:w="2141" w:type="dxa"/>
            <w:vAlign w:val="center"/>
          </w:tcPr>
          <w:p w14:paraId="7D418EE9">
            <w:pPr>
              <w:spacing w:line="300" w:lineRule="exact"/>
              <w:jc w:val="center"/>
              <w:rPr>
                <w:rFonts w:hint="default" w:ascii="Times New Roman" w:hAnsi="Times New Roman" w:eastAsia="华文中宋" w:cs="Times New Roman"/>
                <w:szCs w:val="21"/>
                <w:highlight w:val="none"/>
                <w:lang w:val="en-US" w:eastAsia="zh-CN"/>
              </w:rPr>
            </w:pPr>
          </w:p>
        </w:tc>
        <w:tc>
          <w:tcPr>
            <w:tcW w:w="1704" w:type="dxa"/>
            <w:vAlign w:val="center"/>
          </w:tcPr>
          <w:p w14:paraId="75FB5627">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纬度</w:t>
            </w:r>
          </w:p>
        </w:tc>
        <w:tc>
          <w:tcPr>
            <w:tcW w:w="2053" w:type="dxa"/>
            <w:vAlign w:val="center"/>
          </w:tcPr>
          <w:p w14:paraId="34FCE1FA">
            <w:pPr>
              <w:spacing w:line="300" w:lineRule="exact"/>
              <w:jc w:val="center"/>
              <w:rPr>
                <w:rFonts w:hint="default" w:ascii="Times New Roman" w:hAnsi="Times New Roman" w:eastAsia="华文中宋" w:cs="Times New Roman"/>
                <w:szCs w:val="21"/>
                <w:highlight w:val="none"/>
                <w:lang w:val="en-US" w:eastAsia="zh-CN"/>
              </w:rPr>
            </w:pPr>
          </w:p>
        </w:tc>
      </w:tr>
      <w:tr w14:paraId="11381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4" w:type="dxa"/>
            <w:gridSpan w:val="2"/>
            <w:vAlign w:val="center"/>
          </w:tcPr>
          <w:p w14:paraId="11AD6408">
            <w:pPr>
              <w:spacing w:line="300" w:lineRule="exact"/>
              <w:jc w:val="center"/>
              <w:rPr>
                <w:rFonts w:hint="eastAsia"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层次</w:t>
            </w:r>
          </w:p>
        </w:tc>
        <w:tc>
          <w:tcPr>
            <w:tcW w:w="2141" w:type="dxa"/>
            <w:vAlign w:val="center"/>
          </w:tcPr>
          <w:p w14:paraId="1F13439A">
            <w:pPr>
              <w:spacing w:line="300" w:lineRule="exact"/>
              <w:jc w:val="center"/>
              <w:rPr>
                <w:rFonts w:hint="default" w:ascii="Times New Roman" w:hAnsi="Times New Roman" w:eastAsia="华文中宋" w:cs="Times New Roman"/>
                <w:szCs w:val="21"/>
                <w:highlight w:val="none"/>
                <w:lang w:val="en-US" w:eastAsia="zh-CN"/>
              </w:rPr>
            </w:pPr>
          </w:p>
        </w:tc>
        <w:tc>
          <w:tcPr>
            <w:tcW w:w="1704" w:type="dxa"/>
            <w:vAlign w:val="center"/>
          </w:tcPr>
          <w:p w14:paraId="439032E5">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w:t>
            </w:r>
          </w:p>
        </w:tc>
        <w:tc>
          <w:tcPr>
            <w:tcW w:w="2053" w:type="dxa"/>
            <w:vAlign w:val="center"/>
          </w:tcPr>
          <w:p w14:paraId="51C23F1A">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w:t>
            </w:r>
          </w:p>
        </w:tc>
      </w:tr>
      <w:tr w14:paraId="02CA1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dxa"/>
            <w:vMerge w:val="restart"/>
            <w:vAlign w:val="center"/>
          </w:tcPr>
          <w:p w14:paraId="2D287664">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现场记录</w:t>
            </w:r>
          </w:p>
        </w:tc>
        <w:tc>
          <w:tcPr>
            <w:tcW w:w="2237" w:type="dxa"/>
            <w:vAlign w:val="center"/>
          </w:tcPr>
          <w:p w14:paraId="3A477A5C">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颜色</w:t>
            </w:r>
          </w:p>
        </w:tc>
        <w:tc>
          <w:tcPr>
            <w:tcW w:w="2141" w:type="dxa"/>
            <w:vAlign w:val="center"/>
          </w:tcPr>
          <w:p w14:paraId="319FBAC0">
            <w:pPr>
              <w:spacing w:line="300" w:lineRule="exact"/>
              <w:jc w:val="center"/>
              <w:rPr>
                <w:rFonts w:hint="default" w:ascii="Times New Roman" w:hAnsi="Times New Roman" w:eastAsia="华文中宋" w:cs="Times New Roman"/>
                <w:szCs w:val="21"/>
                <w:highlight w:val="none"/>
                <w:lang w:val="en-US" w:eastAsia="zh-CN"/>
              </w:rPr>
            </w:pPr>
          </w:p>
        </w:tc>
        <w:tc>
          <w:tcPr>
            <w:tcW w:w="1704" w:type="dxa"/>
            <w:vAlign w:val="center"/>
          </w:tcPr>
          <w:p w14:paraId="258B1C4D">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w:t>
            </w:r>
          </w:p>
        </w:tc>
        <w:tc>
          <w:tcPr>
            <w:tcW w:w="2053" w:type="dxa"/>
            <w:vAlign w:val="center"/>
          </w:tcPr>
          <w:p w14:paraId="5AD50CA6">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w:t>
            </w:r>
          </w:p>
        </w:tc>
      </w:tr>
      <w:tr w14:paraId="72786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dxa"/>
            <w:vMerge w:val="continue"/>
            <w:vAlign w:val="center"/>
          </w:tcPr>
          <w:p w14:paraId="0A9E9CAB">
            <w:pPr>
              <w:spacing w:line="300" w:lineRule="exact"/>
              <w:jc w:val="center"/>
              <w:rPr>
                <w:rFonts w:hint="default" w:ascii="Times New Roman" w:hAnsi="Times New Roman" w:eastAsia="华文中宋" w:cs="Times New Roman"/>
                <w:szCs w:val="21"/>
                <w:highlight w:val="none"/>
                <w:lang w:val="en-US" w:eastAsia="zh-CN"/>
              </w:rPr>
            </w:pPr>
          </w:p>
        </w:tc>
        <w:tc>
          <w:tcPr>
            <w:tcW w:w="2237" w:type="dxa"/>
            <w:vAlign w:val="center"/>
          </w:tcPr>
          <w:p w14:paraId="3F2CD93A">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结构</w:t>
            </w:r>
          </w:p>
        </w:tc>
        <w:tc>
          <w:tcPr>
            <w:tcW w:w="2141" w:type="dxa"/>
            <w:vAlign w:val="center"/>
          </w:tcPr>
          <w:p w14:paraId="6DF83FDD">
            <w:pPr>
              <w:spacing w:line="300" w:lineRule="exact"/>
              <w:jc w:val="center"/>
              <w:rPr>
                <w:rFonts w:hint="default" w:ascii="Times New Roman" w:hAnsi="Times New Roman" w:eastAsia="华文中宋" w:cs="Times New Roman"/>
                <w:szCs w:val="21"/>
                <w:highlight w:val="none"/>
                <w:lang w:val="en-US" w:eastAsia="zh-CN"/>
              </w:rPr>
            </w:pPr>
          </w:p>
        </w:tc>
        <w:tc>
          <w:tcPr>
            <w:tcW w:w="1704" w:type="dxa"/>
            <w:vAlign w:val="center"/>
          </w:tcPr>
          <w:p w14:paraId="58BA9D2F">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w:t>
            </w:r>
          </w:p>
        </w:tc>
        <w:tc>
          <w:tcPr>
            <w:tcW w:w="2053" w:type="dxa"/>
            <w:vAlign w:val="center"/>
          </w:tcPr>
          <w:p w14:paraId="3DD29CF6">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w:t>
            </w:r>
          </w:p>
        </w:tc>
      </w:tr>
      <w:tr w14:paraId="1B0F0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dxa"/>
            <w:vMerge w:val="continue"/>
            <w:vAlign w:val="center"/>
          </w:tcPr>
          <w:p w14:paraId="548A03CF">
            <w:pPr>
              <w:spacing w:line="300" w:lineRule="exact"/>
              <w:jc w:val="center"/>
              <w:rPr>
                <w:rFonts w:hint="default" w:ascii="Times New Roman" w:hAnsi="Times New Roman" w:eastAsia="华文中宋" w:cs="Times New Roman"/>
                <w:szCs w:val="21"/>
                <w:highlight w:val="none"/>
                <w:lang w:val="en-US" w:eastAsia="zh-CN"/>
              </w:rPr>
            </w:pPr>
          </w:p>
        </w:tc>
        <w:tc>
          <w:tcPr>
            <w:tcW w:w="2237" w:type="dxa"/>
            <w:vAlign w:val="center"/>
          </w:tcPr>
          <w:p w14:paraId="1A676A9A">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质地</w:t>
            </w:r>
          </w:p>
        </w:tc>
        <w:tc>
          <w:tcPr>
            <w:tcW w:w="2141" w:type="dxa"/>
            <w:vAlign w:val="center"/>
          </w:tcPr>
          <w:p w14:paraId="5C048CCE">
            <w:pPr>
              <w:spacing w:line="300" w:lineRule="exact"/>
              <w:jc w:val="center"/>
              <w:rPr>
                <w:rFonts w:hint="default" w:ascii="Times New Roman" w:hAnsi="Times New Roman" w:eastAsia="华文中宋" w:cs="Times New Roman"/>
                <w:szCs w:val="21"/>
                <w:highlight w:val="none"/>
                <w:lang w:val="en-US" w:eastAsia="zh-CN"/>
              </w:rPr>
            </w:pPr>
          </w:p>
        </w:tc>
        <w:tc>
          <w:tcPr>
            <w:tcW w:w="1704" w:type="dxa"/>
            <w:vAlign w:val="center"/>
          </w:tcPr>
          <w:p w14:paraId="0CF15C3A">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w:t>
            </w:r>
          </w:p>
        </w:tc>
        <w:tc>
          <w:tcPr>
            <w:tcW w:w="2053" w:type="dxa"/>
            <w:vAlign w:val="center"/>
          </w:tcPr>
          <w:p w14:paraId="430E9F43">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w:t>
            </w:r>
          </w:p>
        </w:tc>
      </w:tr>
      <w:tr w14:paraId="3D547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dxa"/>
            <w:vMerge w:val="continue"/>
            <w:vAlign w:val="center"/>
          </w:tcPr>
          <w:p w14:paraId="76E2BC0A">
            <w:pPr>
              <w:spacing w:line="300" w:lineRule="exact"/>
              <w:jc w:val="center"/>
              <w:rPr>
                <w:rFonts w:hint="default" w:ascii="Times New Roman" w:hAnsi="Times New Roman" w:eastAsia="华文中宋" w:cs="Times New Roman"/>
                <w:szCs w:val="21"/>
                <w:highlight w:val="none"/>
                <w:lang w:val="en-US" w:eastAsia="zh-CN"/>
              </w:rPr>
            </w:pPr>
          </w:p>
        </w:tc>
        <w:tc>
          <w:tcPr>
            <w:tcW w:w="2237" w:type="dxa"/>
            <w:vAlign w:val="center"/>
          </w:tcPr>
          <w:p w14:paraId="11F28736">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砂砾含量（%）</w:t>
            </w:r>
          </w:p>
        </w:tc>
        <w:tc>
          <w:tcPr>
            <w:tcW w:w="2141" w:type="dxa"/>
            <w:vAlign w:val="center"/>
          </w:tcPr>
          <w:p w14:paraId="10D4525C">
            <w:pPr>
              <w:spacing w:line="300" w:lineRule="exact"/>
              <w:jc w:val="center"/>
              <w:rPr>
                <w:rFonts w:hint="default" w:ascii="Times New Roman" w:hAnsi="Times New Roman" w:eastAsia="华文中宋" w:cs="Times New Roman"/>
                <w:szCs w:val="21"/>
                <w:highlight w:val="none"/>
                <w:lang w:val="en-US" w:eastAsia="zh-CN"/>
              </w:rPr>
            </w:pPr>
          </w:p>
        </w:tc>
        <w:tc>
          <w:tcPr>
            <w:tcW w:w="1704" w:type="dxa"/>
            <w:vAlign w:val="center"/>
          </w:tcPr>
          <w:p w14:paraId="0B0FE585">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w:t>
            </w:r>
          </w:p>
        </w:tc>
        <w:tc>
          <w:tcPr>
            <w:tcW w:w="2053" w:type="dxa"/>
            <w:vAlign w:val="center"/>
          </w:tcPr>
          <w:p w14:paraId="630E9CCC">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w:t>
            </w:r>
          </w:p>
        </w:tc>
      </w:tr>
      <w:tr w14:paraId="1A508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dxa"/>
            <w:vMerge w:val="continue"/>
            <w:vAlign w:val="center"/>
          </w:tcPr>
          <w:p w14:paraId="60D18251">
            <w:pPr>
              <w:spacing w:line="300" w:lineRule="exact"/>
              <w:jc w:val="center"/>
              <w:rPr>
                <w:rFonts w:hint="default" w:ascii="Times New Roman" w:hAnsi="Times New Roman" w:eastAsia="华文中宋" w:cs="Times New Roman"/>
                <w:szCs w:val="21"/>
                <w:highlight w:val="none"/>
                <w:lang w:val="en-US" w:eastAsia="zh-CN"/>
              </w:rPr>
            </w:pPr>
          </w:p>
        </w:tc>
        <w:tc>
          <w:tcPr>
            <w:tcW w:w="2237" w:type="dxa"/>
            <w:vAlign w:val="center"/>
          </w:tcPr>
          <w:p w14:paraId="6D612CCF">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其他异物</w:t>
            </w:r>
          </w:p>
        </w:tc>
        <w:tc>
          <w:tcPr>
            <w:tcW w:w="2141" w:type="dxa"/>
            <w:vAlign w:val="center"/>
          </w:tcPr>
          <w:p w14:paraId="5615A718">
            <w:pPr>
              <w:spacing w:line="300" w:lineRule="exact"/>
              <w:jc w:val="center"/>
              <w:rPr>
                <w:rFonts w:hint="default" w:ascii="Times New Roman" w:hAnsi="Times New Roman" w:eastAsia="华文中宋" w:cs="Times New Roman"/>
                <w:szCs w:val="21"/>
                <w:highlight w:val="none"/>
                <w:lang w:val="en-US" w:eastAsia="zh-CN"/>
              </w:rPr>
            </w:pPr>
          </w:p>
        </w:tc>
        <w:tc>
          <w:tcPr>
            <w:tcW w:w="1704" w:type="dxa"/>
            <w:vAlign w:val="center"/>
          </w:tcPr>
          <w:p w14:paraId="574255E9">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w:t>
            </w:r>
          </w:p>
        </w:tc>
        <w:tc>
          <w:tcPr>
            <w:tcW w:w="2053" w:type="dxa"/>
            <w:vAlign w:val="center"/>
          </w:tcPr>
          <w:p w14:paraId="4B9D20D1">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w:t>
            </w:r>
          </w:p>
        </w:tc>
      </w:tr>
      <w:tr w14:paraId="43B96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dxa"/>
            <w:vMerge w:val="restart"/>
            <w:vAlign w:val="center"/>
          </w:tcPr>
          <w:p w14:paraId="3FB89EE6">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实验室测定</w:t>
            </w:r>
          </w:p>
        </w:tc>
        <w:tc>
          <w:tcPr>
            <w:tcW w:w="2237" w:type="dxa"/>
            <w:vAlign w:val="center"/>
          </w:tcPr>
          <w:p w14:paraId="13E975CB">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pH（无量纲）</w:t>
            </w:r>
          </w:p>
        </w:tc>
        <w:tc>
          <w:tcPr>
            <w:tcW w:w="2141" w:type="dxa"/>
            <w:vAlign w:val="center"/>
          </w:tcPr>
          <w:p w14:paraId="387E8421">
            <w:pPr>
              <w:spacing w:line="300" w:lineRule="exact"/>
              <w:jc w:val="center"/>
              <w:rPr>
                <w:rFonts w:hint="default" w:ascii="Times New Roman" w:hAnsi="Times New Roman" w:eastAsia="华文中宋" w:cs="Times New Roman"/>
                <w:szCs w:val="21"/>
                <w:highlight w:val="none"/>
                <w:lang w:val="en-US" w:eastAsia="zh-CN"/>
              </w:rPr>
            </w:pPr>
          </w:p>
        </w:tc>
        <w:tc>
          <w:tcPr>
            <w:tcW w:w="1704" w:type="dxa"/>
            <w:vAlign w:val="center"/>
          </w:tcPr>
          <w:p w14:paraId="24D9DB72">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w:t>
            </w:r>
          </w:p>
        </w:tc>
        <w:tc>
          <w:tcPr>
            <w:tcW w:w="2053" w:type="dxa"/>
            <w:vAlign w:val="center"/>
          </w:tcPr>
          <w:p w14:paraId="152CC55B">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w:t>
            </w:r>
          </w:p>
        </w:tc>
      </w:tr>
      <w:tr w14:paraId="18D77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dxa"/>
            <w:vMerge w:val="continue"/>
            <w:vAlign w:val="center"/>
          </w:tcPr>
          <w:p w14:paraId="51F5EFC4">
            <w:pPr>
              <w:spacing w:line="300" w:lineRule="exact"/>
              <w:jc w:val="center"/>
              <w:rPr>
                <w:rFonts w:hint="default" w:ascii="Times New Roman" w:hAnsi="Times New Roman" w:eastAsia="华文中宋" w:cs="Times New Roman"/>
                <w:szCs w:val="21"/>
                <w:highlight w:val="none"/>
                <w:lang w:val="en-US" w:eastAsia="zh-CN"/>
              </w:rPr>
            </w:pPr>
          </w:p>
        </w:tc>
        <w:tc>
          <w:tcPr>
            <w:tcW w:w="2237" w:type="dxa"/>
            <w:vAlign w:val="center"/>
          </w:tcPr>
          <w:p w14:paraId="53825E33">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阳离子交换量（cmol+/kg）</w:t>
            </w:r>
          </w:p>
        </w:tc>
        <w:tc>
          <w:tcPr>
            <w:tcW w:w="2141" w:type="dxa"/>
            <w:vAlign w:val="center"/>
          </w:tcPr>
          <w:p w14:paraId="6C695C9E">
            <w:pPr>
              <w:spacing w:line="300" w:lineRule="exact"/>
              <w:jc w:val="center"/>
              <w:rPr>
                <w:rFonts w:hint="default" w:ascii="Times New Roman" w:hAnsi="Times New Roman" w:eastAsia="华文中宋" w:cs="Times New Roman"/>
                <w:szCs w:val="21"/>
                <w:highlight w:val="none"/>
                <w:lang w:val="en-US" w:eastAsia="zh-CN"/>
              </w:rPr>
            </w:pPr>
          </w:p>
        </w:tc>
        <w:tc>
          <w:tcPr>
            <w:tcW w:w="1704" w:type="dxa"/>
            <w:vAlign w:val="center"/>
          </w:tcPr>
          <w:p w14:paraId="59999920">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w:t>
            </w:r>
          </w:p>
        </w:tc>
        <w:tc>
          <w:tcPr>
            <w:tcW w:w="2053" w:type="dxa"/>
            <w:vAlign w:val="center"/>
          </w:tcPr>
          <w:p w14:paraId="30E474C6">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w:t>
            </w:r>
          </w:p>
        </w:tc>
      </w:tr>
      <w:tr w14:paraId="15848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dxa"/>
            <w:vMerge w:val="continue"/>
            <w:vAlign w:val="center"/>
          </w:tcPr>
          <w:p w14:paraId="154C0E52">
            <w:pPr>
              <w:spacing w:line="300" w:lineRule="exact"/>
              <w:jc w:val="center"/>
              <w:rPr>
                <w:rFonts w:hint="default" w:ascii="Times New Roman" w:hAnsi="Times New Roman" w:eastAsia="华文中宋" w:cs="Times New Roman"/>
                <w:szCs w:val="21"/>
                <w:highlight w:val="none"/>
                <w:lang w:val="en-US" w:eastAsia="zh-CN"/>
              </w:rPr>
            </w:pPr>
          </w:p>
        </w:tc>
        <w:tc>
          <w:tcPr>
            <w:tcW w:w="2237" w:type="dxa"/>
            <w:vAlign w:val="center"/>
          </w:tcPr>
          <w:p w14:paraId="46AE9984">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渗滤率（mm/min）</w:t>
            </w:r>
          </w:p>
        </w:tc>
        <w:tc>
          <w:tcPr>
            <w:tcW w:w="2141" w:type="dxa"/>
            <w:vAlign w:val="center"/>
          </w:tcPr>
          <w:p w14:paraId="3EE74FFA">
            <w:pPr>
              <w:spacing w:line="300" w:lineRule="exact"/>
              <w:jc w:val="center"/>
              <w:rPr>
                <w:rFonts w:hint="default" w:ascii="Times New Roman" w:hAnsi="Times New Roman" w:eastAsia="华文中宋" w:cs="Times New Roman"/>
                <w:szCs w:val="21"/>
                <w:highlight w:val="none"/>
                <w:lang w:val="en-US" w:eastAsia="zh-CN"/>
              </w:rPr>
            </w:pPr>
          </w:p>
        </w:tc>
        <w:tc>
          <w:tcPr>
            <w:tcW w:w="1704" w:type="dxa"/>
            <w:vAlign w:val="center"/>
          </w:tcPr>
          <w:p w14:paraId="36DBCC6F">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w:t>
            </w:r>
          </w:p>
        </w:tc>
        <w:tc>
          <w:tcPr>
            <w:tcW w:w="2053" w:type="dxa"/>
            <w:vAlign w:val="center"/>
          </w:tcPr>
          <w:p w14:paraId="4075C9EE">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w:t>
            </w:r>
          </w:p>
        </w:tc>
      </w:tr>
      <w:tr w14:paraId="42F70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dxa"/>
            <w:vMerge w:val="continue"/>
            <w:vAlign w:val="center"/>
          </w:tcPr>
          <w:p w14:paraId="10715FE1">
            <w:pPr>
              <w:spacing w:line="300" w:lineRule="exact"/>
              <w:jc w:val="center"/>
              <w:rPr>
                <w:rFonts w:hint="default" w:ascii="Times New Roman" w:hAnsi="Times New Roman" w:eastAsia="华文中宋" w:cs="Times New Roman"/>
                <w:szCs w:val="21"/>
                <w:highlight w:val="none"/>
                <w:lang w:val="en-US" w:eastAsia="zh-CN"/>
              </w:rPr>
            </w:pPr>
          </w:p>
        </w:tc>
        <w:tc>
          <w:tcPr>
            <w:tcW w:w="2237" w:type="dxa"/>
            <w:vAlign w:val="center"/>
          </w:tcPr>
          <w:p w14:paraId="3FF6738D">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土壤容重（g/cm</w:t>
            </w:r>
            <w:r>
              <w:rPr>
                <w:rFonts w:hint="eastAsia" w:ascii="Times New Roman" w:hAnsi="Times New Roman" w:eastAsia="华文中宋" w:cs="Times New Roman"/>
                <w:szCs w:val="21"/>
                <w:highlight w:val="none"/>
                <w:vertAlign w:val="superscript"/>
                <w:lang w:val="en-US" w:eastAsia="zh-CN"/>
              </w:rPr>
              <w:t>3</w:t>
            </w:r>
            <w:r>
              <w:rPr>
                <w:rFonts w:hint="eastAsia" w:ascii="Times New Roman" w:hAnsi="Times New Roman" w:eastAsia="华文中宋" w:cs="Times New Roman"/>
                <w:szCs w:val="21"/>
                <w:highlight w:val="none"/>
                <w:lang w:val="en-US" w:eastAsia="zh-CN"/>
              </w:rPr>
              <w:t>）</w:t>
            </w:r>
          </w:p>
        </w:tc>
        <w:tc>
          <w:tcPr>
            <w:tcW w:w="2141" w:type="dxa"/>
            <w:vAlign w:val="center"/>
          </w:tcPr>
          <w:p w14:paraId="57D6B99F">
            <w:pPr>
              <w:spacing w:line="300" w:lineRule="exact"/>
              <w:jc w:val="center"/>
              <w:rPr>
                <w:rFonts w:hint="default" w:ascii="Times New Roman" w:hAnsi="Times New Roman" w:eastAsia="华文中宋" w:cs="Times New Roman"/>
                <w:szCs w:val="21"/>
                <w:highlight w:val="none"/>
                <w:lang w:val="en-US" w:eastAsia="zh-CN"/>
              </w:rPr>
            </w:pPr>
          </w:p>
        </w:tc>
        <w:tc>
          <w:tcPr>
            <w:tcW w:w="1704" w:type="dxa"/>
            <w:vAlign w:val="center"/>
          </w:tcPr>
          <w:p w14:paraId="4BEADF9F">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w:t>
            </w:r>
          </w:p>
        </w:tc>
        <w:tc>
          <w:tcPr>
            <w:tcW w:w="2053" w:type="dxa"/>
            <w:vAlign w:val="center"/>
          </w:tcPr>
          <w:p w14:paraId="0AC768CB">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w:t>
            </w:r>
          </w:p>
        </w:tc>
      </w:tr>
      <w:tr w14:paraId="748A3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dxa"/>
            <w:vMerge w:val="continue"/>
            <w:vAlign w:val="center"/>
          </w:tcPr>
          <w:p w14:paraId="78A30A20">
            <w:pPr>
              <w:spacing w:line="300" w:lineRule="exact"/>
              <w:jc w:val="center"/>
              <w:rPr>
                <w:rFonts w:hint="default" w:ascii="Times New Roman" w:hAnsi="Times New Roman" w:eastAsia="华文中宋" w:cs="Times New Roman"/>
                <w:szCs w:val="21"/>
                <w:highlight w:val="none"/>
                <w:lang w:val="en-US" w:eastAsia="zh-CN"/>
              </w:rPr>
            </w:pPr>
          </w:p>
        </w:tc>
        <w:tc>
          <w:tcPr>
            <w:tcW w:w="2237" w:type="dxa"/>
            <w:vAlign w:val="center"/>
          </w:tcPr>
          <w:p w14:paraId="75E5520D">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总孔隙度（%）</w:t>
            </w:r>
          </w:p>
        </w:tc>
        <w:tc>
          <w:tcPr>
            <w:tcW w:w="2141" w:type="dxa"/>
            <w:vAlign w:val="center"/>
          </w:tcPr>
          <w:p w14:paraId="53CFB176">
            <w:pPr>
              <w:spacing w:line="300" w:lineRule="exact"/>
              <w:jc w:val="center"/>
              <w:rPr>
                <w:rFonts w:hint="default" w:ascii="Times New Roman" w:hAnsi="Times New Roman" w:eastAsia="华文中宋" w:cs="Times New Roman"/>
                <w:szCs w:val="21"/>
                <w:highlight w:val="none"/>
                <w:lang w:val="en-US" w:eastAsia="zh-CN"/>
              </w:rPr>
            </w:pPr>
          </w:p>
        </w:tc>
        <w:tc>
          <w:tcPr>
            <w:tcW w:w="1704" w:type="dxa"/>
            <w:vAlign w:val="center"/>
          </w:tcPr>
          <w:p w14:paraId="0A99F53E">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w:t>
            </w:r>
          </w:p>
        </w:tc>
        <w:tc>
          <w:tcPr>
            <w:tcW w:w="2053" w:type="dxa"/>
            <w:vAlign w:val="center"/>
          </w:tcPr>
          <w:p w14:paraId="6507440A">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w:t>
            </w:r>
          </w:p>
        </w:tc>
      </w:tr>
    </w:tbl>
    <w:p w14:paraId="0D62283A">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根据评价结果，土壤含盐量</w:t>
      </w:r>
      <w:r>
        <w:rPr>
          <w:rFonts w:hint="eastAsia" w:ascii="Times New Roman" w:hAnsi="Times New Roman" w:eastAsia="华文中宋" w:cs="Times New Roman"/>
          <w:sz w:val="24"/>
          <w:highlight w:val="none"/>
          <w:lang w:val="en-US" w:eastAsia="zh-CN"/>
        </w:rPr>
        <w:t>在1.32～1.65</w:t>
      </w:r>
      <w:r>
        <w:rPr>
          <w:rFonts w:hint="default" w:ascii="Times New Roman" w:hAnsi="Times New Roman" w:eastAsia="华文中宋" w:cs="Times New Roman"/>
          <w:sz w:val="24"/>
          <w:highlight w:val="none"/>
          <w:lang w:val="en-US" w:eastAsia="zh-CN"/>
        </w:rPr>
        <w:t>g/kg</w:t>
      </w:r>
      <w:r>
        <w:rPr>
          <w:rFonts w:hint="eastAsia" w:ascii="Times New Roman" w:hAnsi="Times New Roman" w:eastAsia="华文中宋" w:cs="Times New Roman"/>
          <w:sz w:val="24"/>
          <w:highlight w:val="none"/>
          <w:lang w:val="en-US" w:eastAsia="zh-CN"/>
        </w:rPr>
        <w:t>之间</w:t>
      </w:r>
      <w:r>
        <w:rPr>
          <w:rFonts w:hint="default" w:ascii="Times New Roman" w:hAnsi="Times New Roman" w:eastAsia="华文中宋" w:cs="Times New Roman"/>
          <w:sz w:val="24"/>
          <w:highlight w:val="none"/>
          <w:lang w:val="en-US" w:eastAsia="zh-CN"/>
        </w:rPr>
        <w:t>，未盐化，pH</w:t>
      </w:r>
      <w:r>
        <w:rPr>
          <w:rFonts w:hint="eastAsia" w:ascii="Times New Roman" w:hAnsi="Times New Roman" w:eastAsia="华文中宋" w:cs="Times New Roman"/>
          <w:sz w:val="24"/>
          <w:highlight w:val="none"/>
          <w:lang w:val="en-US" w:eastAsia="zh-CN"/>
        </w:rPr>
        <w:t>在8.01～9.21之间</w:t>
      </w:r>
      <w:r>
        <w:rPr>
          <w:rFonts w:hint="default" w:ascii="Times New Roman" w:hAnsi="Times New Roman" w:eastAsia="华文中宋" w:cs="Times New Roman"/>
          <w:sz w:val="24"/>
          <w:highlight w:val="none"/>
          <w:lang w:val="en-US" w:eastAsia="zh-CN"/>
        </w:rPr>
        <w:t>，属于轻度碱化</w:t>
      </w:r>
      <w:r>
        <w:rPr>
          <w:rFonts w:hint="eastAsia" w:ascii="Times New Roman" w:hAnsi="Times New Roman" w:eastAsia="华文中宋" w:cs="Times New Roman"/>
          <w:sz w:val="24"/>
          <w:highlight w:val="none"/>
          <w:lang w:val="en-US" w:eastAsia="zh-CN"/>
        </w:rPr>
        <w:t>或中度碱化</w:t>
      </w:r>
      <w:r>
        <w:rPr>
          <w:rFonts w:hint="default" w:ascii="Times New Roman" w:hAnsi="Times New Roman" w:eastAsia="华文中宋" w:cs="Times New Roman"/>
          <w:sz w:val="24"/>
          <w:highlight w:val="none"/>
          <w:lang w:val="en-US" w:eastAsia="zh-CN"/>
        </w:rPr>
        <w:t>。</w:t>
      </w:r>
      <w:r>
        <w:rPr>
          <w:rFonts w:hint="eastAsia" w:ascii="Times New Roman" w:hAnsi="Times New Roman" w:eastAsia="华文中宋" w:cs="Times New Roman"/>
          <w:sz w:val="24"/>
          <w:highlight w:val="none"/>
          <w:lang w:val="en-US" w:eastAsia="zh-CN"/>
        </w:rPr>
        <w:t>根据监测结果，</w:t>
      </w:r>
      <w:r>
        <w:rPr>
          <w:rFonts w:hint="default" w:ascii="Times New Roman" w:hAnsi="Times New Roman" w:eastAsia="华文中宋" w:cs="Times New Roman"/>
          <w:sz w:val="24"/>
          <w:highlight w:val="none"/>
          <w:lang w:val="en-US" w:eastAsia="zh-CN"/>
        </w:rPr>
        <w:t>占地范围内土壤各监测点（1#、2#、3#、4#、5#、6#）监测结果均能达到《土壤环境质量 建设用地土壤污染风险管控标准（试行）》（GB36600-2018）第二类用地筛选值要求；占地范围外（</w:t>
      </w:r>
      <w:r>
        <w:rPr>
          <w:rFonts w:hint="eastAsia" w:ascii="Times New Roman" w:hAnsi="Times New Roman" w:eastAsia="华文中宋" w:cs="Times New Roman"/>
          <w:sz w:val="24"/>
          <w:highlight w:val="none"/>
          <w:lang w:val="en-US" w:eastAsia="zh-CN"/>
        </w:rPr>
        <w:t>7</w:t>
      </w:r>
      <w:r>
        <w:rPr>
          <w:rFonts w:hint="default" w:ascii="Times New Roman" w:hAnsi="Times New Roman" w:eastAsia="华文中宋" w:cs="Times New Roman"/>
          <w:sz w:val="24"/>
          <w:highlight w:val="none"/>
          <w:lang w:val="en-US" w:eastAsia="zh-CN"/>
        </w:rPr>
        <w:t>#、</w:t>
      </w:r>
      <w:r>
        <w:rPr>
          <w:rFonts w:hint="eastAsia" w:ascii="Times New Roman" w:hAnsi="Times New Roman" w:eastAsia="华文中宋" w:cs="Times New Roman"/>
          <w:sz w:val="24"/>
          <w:highlight w:val="none"/>
          <w:lang w:val="en-US" w:eastAsia="zh-CN"/>
        </w:rPr>
        <w:t>8</w:t>
      </w:r>
      <w:r>
        <w:rPr>
          <w:rFonts w:hint="default" w:ascii="Times New Roman" w:hAnsi="Times New Roman" w:eastAsia="华文中宋" w:cs="Times New Roman"/>
          <w:sz w:val="24"/>
          <w:highlight w:val="none"/>
          <w:lang w:val="en-US" w:eastAsia="zh-CN"/>
        </w:rPr>
        <w:t>#</w:t>
      </w:r>
      <w:r>
        <w:rPr>
          <w:rFonts w:hint="eastAsia" w:ascii="Times New Roman" w:hAnsi="Times New Roman" w:eastAsia="华文中宋" w:cs="Times New Roman"/>
          <w:sz w:val="24"/>
          <w:highlight w:val="none"/>
          <w:lang w:val="en-US" w:eastAsia="zh-CN"/>
        </w:rPr>
        <w:t>、9#、10#</w:t>
      </w:r>
      <w:r>
        <w:rPr>
          <w:rFonts w:hint="default" w:ascii="Times New Roman" w:hAnsi="Times New Roman" w:eastAsia="华文中宋" w:cs="Times New Roman"/>
          <w:sz w:val="24"/>
          <w:highlight w:val="none"/>
          <w:lang w:val="en-US" w:eastAsia="zh-CN"/>
        </w:rPr>
        <w:t>）土壤监测结果均能达到《土壤环境质量 农用地土壤污染风险管控标准（试行）》（GB15618-2018）农用地土壤污染风险筛选值，</w:t>
      </w:r>
      <w:r>
        <w:rPr>
          <w:rFonts w:hint="eastAsia" w:ascii="Times New Roman" w:hAnsi="Times New Roman" w:eastAsia="华文中宋" w:cs="Times New Roman"/>
          <w:sz w:val="24"/>
          <w:highlight w:val="none"/>
          <w:lang w:val="en-US" w:eastAsia="zh-CN"/>
        </w:rPr>
        <w:t>满足本项目建设相关要求</w:t>
      </w:r>
      <w:r>
        <w:rPr>
          <w:rFonts w:hint="default" w:ascii="Times New Roman" w:hAnsi="Times New Roman" w:eastAsia="华文中宋" w:cs="Times New Roman"/>
          <w:sz w:val="24"/>
          <w:highlight w:val="none"/>
          <w:lang w:val="en-US" w:eastAsia="zh-CN"/>
        </w:rPr>
        <w:t>。</w:t>
      </w:r>
    </w:p>
    <w:p w14:paraId="7959F630">
      <w:pPr>
        <w:pStyle w:val="4"/>
        <w:spacing w:before="120" w:after="120" w:line="500" w:lineRule="exact"/>
        <w:rPr>
          <w:rFonts w:hint="eastAsia" w:ascii="Times New Roman" w:hAnsi="Times New Roman" w:eastAsia="华文中宋" w:cs="Times New Roman"/>
          <w:kern w:val="0"/>
          <w:sz w:val="24"/>
          <w:szCs w:val="24"/>
          <w:highlight w:val="none"/>
          <w:lang w:val="en-US" w:eastAsia="zh-CN"/>
        </w:rPr>
      </w:pPr>
      <w:bookmarkStart w:id="124" w:name="_Toc13397"/>
      <w:r>
        <w:rPr>
          <w:rFonts w:hint="eastAsia" w:ascii="Times New Roman" w:hAnsi="Times New Roman" w:eastAsia="华文中宋" w:cs="Times New Roman"/>
          <w:kern w:val="0"/>
          <w:sz w:val="24"/>
          <w:szCs w:val="24"/>
          <w:highlight w:val="none"/>
          <w:lang w:val="en-US" w:eastAsia="zh-CN"/>
        </w:rPr>
        <w:t>4.2.6 其他监测内容</w:t>
      </w:r>
      <w:bookmarkEnd w:id="124"/>
    </w:p>
    <w:p w14:paraId="15D3E5D4">
      <w:pPr>
        <w:adjustRightInd w:val="0"/>
        <w:snapToGrid w:val="0"/>
        <w:spacing w:line="500" w:lineRule="exact"/>
        <w:ind w:firstLine="480" w:firstLineChars="200"/>
        <w:jc w:val="left"/>
        <w:rPr>
          <w:rFonts w:hint="eastAsia" w:ascii="Times New Roman" w:hAnsi="Times New Roman" w:eastAsia="华文中宋" w:cs="Times New Roman"/>
          <w:sz w:val="24"/>
          <w:highlight w:val="none"/>
          <w:lang w:val="en-US" w:eastAsia="zh-CN"/>
        </w:rPr>
      </w:pPr>
      <w:r>
        <w:rPr>
          <w:rFonts w:hint="eastAsia" w:ascii="Times New Roman" w:hAnsi="Times New Roman" w:eastAsia="华文中宋" w:cs="Times New Roman"/>
          <w:sz w:val="24"/>
          <w:highlight w:val="none"/>
          <w:lang w:val="en-US" w:eastAsia="zh-CN"/>
        </w:rPr>
        <w:t>（1）项目废石毒性实验</w:t>
      </w:r>
    </w:p>
    <w:p w14:paraId="50C069BE">
      <w:pPr>
        <w:adjustRightInd w:val="0"/>
        <w:snapToGrid w:val="0"/>
        <w:spacing w:line="500" w:lineRule="exact"/>
        <w:ind w:firstLine="480" w:firstLineChars="200"/>
        <w:jc w:val="left"/>
        <w:rPr>
          <w:rFonts w:hint="eastAsia" w:ascii="Times New Roman" w:hAnsi="Times New Roman" w:eastAsia="华文中宋" w:cs="Times New Roman"/>
          <w:sz w:val="24"/>
          <w:highlight w:val="none"/>
          <w:lang w:val="en-US" w:eastAsia="zh-CN"/>
        </w:rPr>
      </w:pPr>
      <w:r>
        <w:rPr>
          <w:rFonts w:hint="eastAsia" w:ascii="Times New Roman" w:hAnsi="Times New Roman" w:eastAsia="华文中宋" w:cs="Times New Roman"/>
          <w:sz w:val="24"/>
          <w:highlight w:val="none"/>
          <w:lang w:val="en-US" w:eastAsia="zh-CN"/>
        </w:rPr>
        <w:t>本项目委托</w:t>
      </w:r>
      <w:r>
        <w:rPr>
          <w:rFonts w:hint="default" w:ascii="Times New Roman" w:hAnsi="Times New Roman" w:eastAsia="华文中宋" w:cs="Times New Roman"/>
          <w:sz w:val="24"/>
          <w:highlight w:val="none"/>
          <w:lang w:val="en-US" w:eastAsia="zh-CN"/>
        </w:rPr>
        <w:t>江苏微谱监测技术有限公司对本工程矿石进行浸出试验</w:t>
      </w:r>
      <w:r>
        <w:rPr>
          <w:rFonts w:hint="eastAsia" w:ascii="Times New Roman" w:hAnsi="Times New Roman" w:eastAsia="华文中宋" w:cs="Times New Roman"/>
          <w:sz w:val="24"/>
          <w:highlight w:val="none"/>
          <w:lang w:val="en-US" w:eastAsia="zh-CN"/>
        </w:rPr>
        <w:t>，</w:t>
      </w:r>
      <w:r>
        <w:rPr>
          <w:rFonts w:hint="default" w:ascii="Times New Roman" w:hAnsi="Times New Roman" w:eastAsia="华文中宋" w:cs="Times New Roman"/>
          <w:sz w:val="24"/>
          <w:highlight w:val="none"/>
          <w:lang w:val="en-US" w:eastAsia="zh-CN"/>
        </w:rPr>
        <w:t>根据</w:t>
      </w:r>
      <w:r>
        <w:rPr>
          <w:rFonts w:hint="eastAsia" w:ascii="Times New Roman" w:hAnsi="Times New Roman" w:eastAsia="华文中宋" w:cs="Times New Roman"/>
          <w:sz w:val="24"/>
          <w:highlight w:val="none"/>
          <w:lang w:val="en-US" w:eastAsia="zh-CN"/>
        </w:rPr>
        <w:t>实验结果，</w:t>
      </w:r>
      <w:r>
        <w:rPr>
          <w:rFonts w:hint="default" w:ascii="Times New Roman" w:hAnsi="Times New Roman" w:eastAsia="华文中宋" w:cs="Times New Roman"/>
          <w:sz w:val="24"/>
          <w:highlight w:val="none"/>
          <w:lang w:val="en-US" w:eastAsia="zh-CN"/>
        </w:rPr>
        <w:t>对照《危险废物鉴别标准</w:t>
      </w:r>
      <w:r>
        <w:rPr>
          <w:rFonts w:hint="eastAsia" w:ascii="Times New Roman" w:hAnsi="Times New Roman" w:eastAsia="华文中宋" w:cs="Times New Roman"/>
          <w:sz w:val="24"/>
          <w:highlight w:val="none"/>
          <w:lang w:val="en-US" w:eastAsia="zh-CN"/>
        </w:rPr>
        <w:t xml:space="preserve"> </w:t>
      </w:r>
      <w:r>
        <w:rPr>
          <w:rFonts w:hint="default" w:ascii="Times New Roman" w:hAnsi="Times New Roman" w:eastAsia="华文中宋" w:cs="Times New Roman"/>
          <w:sz w:val="24"/>
          <w:highlight w:val="none"/>
          <w:lang w:val="en-US" w:eastAsia="zh-CN"/>
        </w:rPr>
        <w:t>浸出毒性鉴别》（GB5085.3-2007）及《</w:t>
      </w:r>
      <w:r>
        <w:rPr>
          <w:rFonts w:hint="eastAsia" w:ascii="Times New Roman" w:hAnsi="Times New Roman" w:eastAsia="华文中宋" w:cs="Times New Roman"/>
          <w:sz w:val="24"/>
          <w:highlight w:val="none"/>
          <w:lang w:val="en-US" w:eastAsia="zh-CN"/>
        </w:rPr>
        <w:t>固体废物 浸出毒性浸出方法 翻转法</w:t>
      </w:r>
      <w:r>
        <w:rPr>
          <w:rFonts w:hint="default" w:ascii="Times New Roman" w:hAnsi="Times New Roman" w:eastAsia="华文中宋" w:cs="Times New Roman"/>
          <w:sz w:val="24"/>
          <w:highlight w:val="none"/>
          <w:lang w:val="en-US" w:eastAsia="zh-CN"/>
        </w:rPr>
        <w:t>》（GB5086.1-1997）中鉴别标准分析判断本项目废石性质，对照《污水综合排放标准》（GB8978-1996）中最高允许排放浓度中的标准要求，因此本工程废石不具有危险特性，为一般I类固体废物。</w:t>
      </w:r>
      <w:r>
        <w:rPr>
          <w:rFonts w:hint="eastAsia" w:ascii="Times New Roman" w:hAnsi="Times New Roman" w:eastAsia="华文中宋" w:cs="Times New Roman"/>
          <w:sz w:val="24"/>
          <w:highlight w:val="none"/>
          <w:lang w:val="en-US" w:eastAsia="zh-CN"/>
        </w:rPr>
        <w:t>浸出毒性实验结果见下表。</w:t>
      </w:r>
    </w:p>
    <w:p w14:paraId="54594639">
      <w:pPr>
        <w:adjustRightInd w:val="0"/>
        <w:snapToGrid w:val="0"/>
        <w:spacing w:line="500" w:lineRule="exact"/>
        <w:ind w:firstLine="422" w:firstLineChars="200"/>
        <w:jc w:val="center"/>
        <w:rPr>
          <w:rFonts w:hint="default" w:ascii="Times New Roman" w:hAnsi="Times New Roman" w:eastAsia="华文中宋" w:cs="Times New Roman"/>
          <w:b/>
          <w:szCs w:val="21"/>
          <w:highlight w:val="none"/>
          <w:lang w:val="en-US" w:eastAsia="zh-CN"/>
        </w:rPr>
      </w:pPr>
      <w:r>
        <w:rPr>
          <w:rFonts w:hint="default" w:ascii="Times New Roman" w:hAnsi="Times New Roman" w:eastAsia="华文中宋" w:cs="Times New Roman"/>
          <w:b/>
          <w:szCs w:val="21"/>
          <w:highlight w:val="none"/>
          <w:lang w:val="en-US" w:eastAsia="zh-CN"/>
        </w:rPr>
        <w:t>表4.2-1</w:t>
      </w:r>
      <w:r>
        <w:rPr>
          <w:rFonts w:hint="eastAsia" w:ascii="Times New Roman" w:hAnsi="Times New Roman" w:eastAsia="华文中宋" w:cs="Times New Roman"/>
          <w:b/>
          <w:szCs w:val="21"/>
          <w:highlight w:val="none"/>
          <w:lang w:val="en-US" w:eastAsia="zh-CN"/>
        </w:rPr>
        <w:t xml:space="preserve">1 </w:t>
      </w:r>
      <w:r>
        <w:rPr>
          <w:rFonts w:hint="default" w:ascii="Times New Roman" w:hAnsi="Times New Roman" w:eastAsia="华文中宋" w:cs="Times New Roman"/>
          <w:b/>
          <w:szCs w:val="21"/>
          <w:highlight w:val="none"/>
          <w:lang w:val="en-US" w:eastAsia="zh-CN"/>
        </w:rPr>
        <w:t xml:space="preserve"> 废石浸出实验结果统计</w:t>
      </w:r>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4"/>
        <w:gridCol w:w="1464"/>
        <w:gridCol w:w="929"/>
        <w:gridCol w:w="2908"/>
        <w:gridCol w:w="1755"/>
      </w:tblGrid>
      <w:tr w14:paraId="092A5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9" w:type="pct"/>
            <w:vAlign w:val="center"/>
          </w:tcPr>
          <w:p w14:paraId="0AA12F8B">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因子</w:t>
            </w:r>
          </w:p>
        </w:tc>
        <w:tc>
          <w:tcPr>
            <w:tcW w:w="859" w:type="pct"/>
            <w:vAlign w:val="center"/>
          </w:tcPr>
          <w:p w14:paraId="7272795D">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检测结果</w:t>
            </w:r>
          </w:p>
        </w:tc>
        <w:tc>
          <w:tcPr>
            <w:tcW w:w="545" w:type="pct"/>
            <w:vAlign w:val="center"/>
          </w:tcPr>
          <w:p w14:paraId="5D827317">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单位</w:t>
            </w:r>
          </w:p>
        </w:tc>
        <w:tc>
          <w:tcPr>
            <w:tcW w:w="1706" w:type="pct"/>
            <w:vAlign w:val="center"/>
          </w:tcPr>
          <w:p w14:paraId="6C892887">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《污水综合排放标准》（GB8978-1996）</w:t>
            </w:r>
          </w:p>
        </w:tc>
        <w:tc>
          <w:tcPr>
            <w:tcW w:w="1029" w:type="pct"/>
            <w:vAlign w:val="center"/>
          </w:tcPr>
          <w:p w14:paraId="595AC717">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最大占标率</w:t>
            </w:r>
          </w:p>
        </w:tc>
      </w:tr>
      <w:tr w14:paraId="17B2D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pct"/>
            <w:vAlign w:val="center"/>
          </w:tcPr>
          <w:p w14:paraId="32A2673C">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砷</w:t>
            </w:r>
          </w:p>
        </w:tc>
        <w:tc>
          <w:tcPr>
            <w:tcW w:w="859" w:type="pct"/>
            <w:vAlign w:val="center"/>
          </w:tcPr>
          <w:p w14:paraId="63EF58B1">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545" w:type="pct"/>
            <w:vAlign w:val="center"/>
          </w:tcPr>
          <w:p w14:paraId="43429EAD">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mg/L</w:t>
            </w:r>
          </w:p>
        </w:tc>
        <w:tc>
          <w:tcPr>
            <w:tcW w:w="1706" w:type="pct"/>
            <w:vAlign w:val="center"/>
          </w:tcPr>
          <w:p w14:paraId="6E57D8DE">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0.5</w:t>
            </w:r>
          </w:p>
        </w:tc>
        <w:tc>
          <w:tcPr>
            <w:tcW w:w="1029" w:type="pct"/>
            <w:vAlign w:val="center"/>
          </w:tcPr>
          <w:p w14:paraId="2E26826D">
            <w:pPr>
              <w:spacing w:line="300" w:lineRule="exact"/>
              <w:jc w:val="center"/>
              <w:rPr>
                <w:rFonts w:hint="default" w:ascii="Times New Roman" w:hAnsi="Times New Roman" w:eastAsia="华文中宋" w:cs="Times New Roman"/>
                <w:b w:val="0"/>
                <w:bCs w:val="0"/>
                <w:szCs w:val="21"/>
                <w:highlight w:val="none"/>
                <w:lang w:val="en-US" w:eastAsia="zh-CN"/>
              </w:rPr>
            </w:pPr>
          </w:p>
        </w:tc>
      </w:tr>
      <w:tr w14:paraId="3730A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pct"/>
            <w:vAlign w:val="center"/>
          </w:tcPr>
          <w:p w14:paraId="0F4A1B2E">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硒</w:t>
            </w:r>
          </w:p>
        </w:tc>
        <w:tc>
          <w:tcPr>
            <w:tcW w:w="859" w:type="pct"/>
            <w:vAlign w:val="center"/>
          </w:tcPr>
          <w:p w14:paraId="3E468632">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545" w:type="pct"/>
            <w:vAlign w:val="center"/>
          </w:tcPr>
          <w:p w14:paraId="6BAC1339">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mg/L</w:t>
            </w:r>
          </w:p>
        </w:tc>
        <w:tc>
          <w:tcPr>
            <w:tcW w:w="1706" w:type="pct"/>
            <w:vAlign w:val="center"/>
          </w:tcPr>
          <w:p w14:paraId="4EE021EC">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0.5</w:t>
            </w:r>
          </w:p>
        </w:tc>
        <w:tc>
          <w:tcPr>
            <w:tcW w:w="1029" w:type="pct"/>
            <w:vAlign w:val="center"/>
          </w:tcPr>
          <w:p w14:paraId="00EFF0EE">
            <w:pPr>
              <w:spacing w:line="300" w:lineRule="exact"/>
              <w:jc w:val="center"/>
              <w:rPr>
                <w:rFonts w:hint="default" w:ascii="Times New Roman" w:hAnsi="Times New Roman" w:eastAsia="华文中宋" w:cs="Times New Roman"/>
                <w:b w:val="0"/>
                <w:bCs w:val="0"/>
                <w:szCs w:val="21"/>
                <w:highlight w:val="none"/>
                <w:lang w:val="en-US" w:eastAsia="zh-CN"/>
              </w:rPr>
            </w:pPr>
          </w:p>
        </w:tc>
      </w:tr>
      <w:tr w14:paraId="44BE4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pct"/>
            <w:vAlign w:val="center"/>
          </w:tcPr>
          <w:p w14:paraId="0898B5DE">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氟化物</w:t>
            </w:r>
          </w:p>
        </w:tc>
        <w:tc>
          <w:tcPr>
            <w:tcW w:w="859" w:type="pct"/>
            <w:vAlign w:val="center"/>
          </w:tcPr>
          <w:p w14:paraId="5030AF21">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545" w:type="pct"/>
            <w:vAlign w:val="center"/>
          </w:tcPr>
          <w:p w14:paraId="40FE0433">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mg/L</w:t>
            </w:r>
          </w:p>
        </w:tc>
        <w:tc>
          <w:tcPr>
            <w:tcW w:w="1706" w:type="pct"/>
            <w:vAlign w:val="center"/>
          </w:tcPr>
          <w:p w14:paraId="698D3217">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10</w:t>
            </w:r>
          </w:p>
        </w:tc>
        <w:tc>
          <w:tcPr>
            <w:tcW w:w="1029" w:type="pct"/>
            <w:vAlign w:val="center"/>
          </w:tcPr>
          <w:p w14:paraId="723B0085">
            <w:pPr>
              <w:spacing w:line="300" w:lineRule="exact"/>
              <w:jc w:val="center"/>
              <w:rPr>
                <w:rFonts w:hint="default" w:ascii="Times New Roman" w:hAnsi="Times New Roman" w:eastAsia="华文中宋" w:cs="Times New Roman"/>
                <w:b w:val="0"/>
                <w:bCs w:val="0"/>
                <w:szCs w:val="21"/>
                <w:highlight w:val="none"/>
                <w:lang w:val="en-US" w:eastAsia="zh-CN"/>
              </w:rPr>
            </w:pPr>
          </w:p>
        </w:tc>
      </w:tr>
      <w:tr w14:paraId="63008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pct"/>
            <w:vAlign w:val="center"/>
          </w:tcPr>
          <w:p w14:paraId="0A9044C2">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氰根离子</w:t>
            </w:r>
          </w:p>
        </w:tc>
        <w:tc>
          <w:tcPr>
            <w:tcW w:w="859" w:type="pct"/>
            <w:vAlign w:val="center"/>
          </w:tcPr>
          <w:p w14:paraId="2D4FAE07">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545" w:type="pct"/>
            <w:vAlign w:val="center"/>
          </w:tcPr>
          <w:p w14:paraId="2B62B436">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mg/L</w:t>
            </w:r>
          </w:p>
        </w:tc>
        <w:tc>
          <w:tcPr>
            <w:tcW w:w="1706" w:type="pct"/>
            <w:vAlign w:val="center"/>
          </w:tcPr>
          <w:p w14:paraId="74F335E1">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w:t>
            </w:r>
          </w:p>
        </w:tc>
        <w:tc>
          <w:tcPr>
            <w:tcW w:w="1029" w:type="pct"/>
            <w:vAlign w:val="center"/>
          </w:tcPr>
          <w:p w14:paraId="301D66EE">
            <w:pPr>
              <w:spacing w:line="300" w:lineRule="exact"/>
              <w:jc w:val="center"/>
              <w:rPr>
                <w:rFonts w:hint="default" w:ascii="Times New Roman" w:hAnsi="Times New Roman" w:eastAsia="华文中宋" w:cs="Times New Roman"/>
                <w:b w:val="0"/>
                <w:bCs w:val="0"/>
                <w:szCs w:val="21"/>
                <w:highlight w:val="none"/>
                <w:lang w:val="en-US" w:eastAsia="zh-CN"/>
              </w:rPr>
            </w:pPr>
          </w:p>
        </w:tc>
      </w:tr>
      <w:tr w14:paraId="75B9E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pct"/>
            <w:vAlign w:val="center"/>
          </w:tcPr>
          <w:p w14:paraId="77701820">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烷基汞</w:t>
            </w:r>
          </w:p>
        </w:tc>
        <w:tc>
          <w:tcPr>
            <w:tcW w:w="859" w:type="pct"/>
            <w:vAlign w:val="center"/>
          </w:tcPr>
          <w:p w14:paraId="54F72C67">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545" w:type="pct"/>
            <w:vAlign w:val="center"/>
          </w:tcPr>
          <w:p w14:paraId="5A881103">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mg/L</w:t>
            </w:r>
          </w:p>
        </w:tc>
        <w:tc>
          <w:tcPr>
            <w:tcW w:w="1706" w:type="pct"/>
            <w:vAlign w:val="center"/>
          </w:tcPr>
          <w:p w14:paraId="620337F8">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不得检出</w:t>
            </w:r>
          </w:p>
        </w:tc>
        <w:tc>
          <w:tcPr>
            <w:tcW w:w="1029" w:type="pct"/>
            <w:vAlign w:val="center"/>
          </w:tcPr>
          <w:p w14:paraId="5EED905C">
            <w:pPr>
              <w:spacing w:line="300" w:lineRule="exact"/>
              <w:jc w:val="center"/>
              <w:rPr>
                <w:rFonts w:hint="default" w:ascii="Times New Roman" w:hAnsi="Times New Roman" w:eastAsia="华文中宋" w:cs="Times New Roman"/>
                <w:b w:val="0"/>
                <w:bCs w:val="0"/>
                <w:szCs w:val="21"/>
                <w:highlight w:val="none"/>
                <w:lang w:val="en-US" w:eastAsia="zh-CN"/>
              </w:rPr>
            </w:pPr>
          </w:p>
        </w:tc>
      </w:tr>
      <w:tr w14:paraId="653D1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pct"/>
            <w:vAlign w:val="center"/>
          </w:tcPr>
          <w:p w14:paraId="5BAD3833">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铜</w:t>
            </w:r>
          </w:p>
        </w:tc>
        <w:tc>
          <w:tcPr>
            <w:tcW w:w="859" w:type="pct"/>
            <w:vAlign w:val="center"/>
          </w:tcPr>
          <w:p w14:paraId="2B2A5F38">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545" w:type="pct"/>
            <w:vAlign w:val="center"/>
          </w:tcPr>
          <w:p w14:paraId="0716C30D">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mg/L</w:t>
            </w:r>
          </w:p>
        </w:tc>
        <w:tc>
          <w:tcPr>
            <w:tcW w:w="1706" w:type="pct"/>
            <w:vAlign w:val="center"/>
          </w:tcPr>
          <w:p w14:paraId="4EBE8ED6">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0.5</w:t>
            </w:r>
          </w:p>
        </w:tc>
        <w:tc>
          <w:tcPr>
            <w:tcW w:w="1029" w:type="pct"/>
            <w:vAlign w:val="center"/>
          </w:tcPr>
          <w:p w14:paraId="3222E4BC">
            <w:pPr>
              <w:spacing w:line="300" w:lineRule="exact"/>
              <w:jc w:val="center"/>
              <w:rPr>
                <w:rFonts w:hint="default" w:ascii="Times New Roman" w:hAnsi="Times New Roman" w:eastAsia="华文中宋" w:cs="Times New Roman"/>
                <w:b w:val="0"/>
                <w:bCs w:val="0"/>
                <w:szCs w:val="21"/>
                <w:highlight w:val="none"/>
                <w:lang w:val="en-US" w:eastAsia="zh-CN"/>
              </w:rPr>
            </w:pPr>
          </w:p>
        </w:tc>
      </w:tr>
      <w:tr w14:paraId="36BF9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pct"/>
            <w:vAlign w:val="center"/>
          </w:tcPr>
          <w:p w14:paraId="7542DAE6">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锌</w:t>
            </w:r>
          </w:p>
        </w:tc>
        <w:tc>
          <w:tcPr>
            <w:tcW w:w="859" w:type="pct"/>
            <w:vAlign w:val="center"/>
          </w:tcPr>
          <w:p w14:paraId="2BCAF46C">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545" w:type="pct"/>
            <w:vAlign w:val="center"/>
          </w:tcPr>
          <w:p w14:paraId="3E132D10">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mg/L</w:t>
            </w:r>
          </w:p>
        </w:tc>
        <w:tc>
          <w:tcPr>
            <w:tcW w:w="1706" w:type="pct"/>
            <w:vAlign w:val="center"/>
          </w:tcPr>
          <w:p w14:paraId="73AE7CD4">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2.0</w:t>
            </w:r>
          </w:p>
        </w:tc>
        <w:tc>
          <w:tcPr>
            <w:tcW w:w="1029" w:type="pct"/>
            <w:vAlign w:val="center"/>
          </w:tcPr>
          <w:p w14:paraId="25909529">
            <w:pPr>
              <w:spacing w:line="300" w:lineRule="exact"/>
              <w:jc w:val="center"/>
              <w:rPr>
                <w:rFonts w:hint="default" w:ascii="Times New Roman" w:hAnsi="Times New Roman" w:eastAsia="华文中宋" w:cs="Times New Roman"/>
                <w:b w:val="0"/>
                <w:bCs w:val="0"/>
                <w:szCs w:val="21"/>
                <w:highlight w:val="none"/>
                <w:lang w:val="en-US" w:eastAsia="zh-CN"/>
              </w:rPr>
            </w:pPr>
          </w:p>
        </w:tc>
      </w:tr>
      <w:tr w14:paraId="107EC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pct"/>
            <w:vAlign w:val="center"/>
          </w:tcPr>
          <w:p w14:paraId="1B6E9137">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镉</w:t>
            </w:r>
          </w:p>
        </w:tc>
        <w:tc>
          <w:tcPr>
            <w:tcW w:w="859" w:type="pct"/>
            <w:vAlign w:val="center"/>
          </w:tcPr>
          <w:p w14:paraId="6C2463CD">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545" w:type="pct"/>
            <w:vAlign w:val="center"/>
          </w:tcPr>
          <w:p w14:paraId="7BD644CD">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mg/L</w:t>
            </w:r>
          </w:p>
        </w:tc>
        <w:tc>
          <w:tcPr>
            <w:tcW w:w="1706" w:type="pct"/>
            <w:vAlign w:val="center"/>
          </w:tcPr>
          <w:p w14:paraId="20607B64">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0.1</w:t>
            </w:r>
          </w:p>
        </w:tc>
        <w:tc>
          <w:tcPr>
            <w:tcW w:w="1029" w:type="pct"/>
            <w:vAlign w:val="center"/>
          </w:tcPr>
          <w:p w14:paraId="614C29BC">
            <w:pPr>
              <w:spacing w:line="300" w:lineRule="exact"/>
              <w:jc w:val="center"/>
              <w:rPr>
                <w:rFonts w:hint="default" w:ascii="Times New Roman" w:hAnsi="Times New Roman" w:eastAsia="华文中宋" w:cs="Times New Roman"/>
                <w:b w:val="0"/>
                <w:bCs w:val="0"/>
                <w:szCs w:val="21"/>
                <w:highlight w:val="none"/>
                <w:lang w:val="en-US" w:eastAsia="zh-CN"/>
              </w:rPr>
            </w:pPr>
          </w:p>
        </w:tc>
      </w:tr>
      <w:tr w14:paraId="6D5ED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pct"/>
            <w:vAlign w:val="center"/>
          </w:tcPr>
          <w:p w14:paraId="77AFC90B">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铅</w:t>
            </w:r>
          </w:p>
        </w:tc>
        <w:tc>
          <w:tcPr>
            <w:tcW w:w="859" w:type="pct"/>
            <w:vAlign w:val="center"/>
          </w:tcPr>
          <w:p w14:paraId="026BFCFE">
            <w:pPr>
              <w:spacing w:line="300" w:lineRule="exact"/>
              <w:jc w:val="center"/>
              <w:rPr>
                <w:rFonts w:hint="default" w:ascii="Times New Roman" w:hAnsi="Times New Roman" w:eastAsia="华文中宋" w:cs="Times New Roman"/>
                <w:b w:val="0"/>
                <w:bCs w:val="0"/>
                <w:szCs w:val="21"/>
                <w:lang w:val="en-US" w:eastAsia="zh-CN"/>
              </w:rPr>
            </w:pPr>
          </w:p>
        </w:tc>
        <w:tc>
          <w:tcPr>
            <w:tcW w:w="545" w:type="pct"/>
            <w:vAlign w:val="center"/>
          </w:tcPr>
          <w:p w14:paraId="611EEE95">
            <w:pPr>
              <w:spacing w:line="300" w:lineRule="exact"/>
              <w:jc w:val="center"/>
              <w:rPr>
                <w:rFonts w:hint="default" w:ascii="Times New Roman" w:hAnsi="Times New Roman" w:eastAsia="华文中宋" w:cs="Times New Roman"/>
                <w:b w:val="0"/>
                <w:bCs w:val="0"/>
                <w:szCs w:val="21"/>
                <w:lang w:val="en-US" w:eastAsia="zh-CN"/>
              </w:rPr>
            </w:pPr>
            <w:r>
              <w:rPr>
                <w:rFonts w:hint="default" w:ascii="Times New Roman" w:hAnsi="Times New Roman" w:eastAsia="华文中宋" w:cs="Times New Roman"/>
                <w:b w:val="0"/>
                <w:bCs w:val="0"/>
                <w:szCs w:val="21"/>
                <w:lang w:val="en-US" w:eastAsia="zh-CN"/>
              </w:rPr>
              <w:t>mg/L</w:t>
            </w:r>
          </w:p>
        </w:tc>
        <w:tc>
          <w:tcPr>
            <w:tcW w:w="1706" w:type="pct"/>
            <w:vAlign w:val="center"/>
          </w:tcPr>
          <w:p w14:paraId="11EE6114">
            <w:pPr>
              <w:spacing w:line="300" w:lineRule="exact"/>
              <w:jc w:val="center"/>
              <w:rPr>
                <w:rFonts w:hint="default" w:ascii="Times New Roman" w:hAnsi="Times New Roman" w:eastAsia="华文中宋" w:cs="Times New Roman"/>
                <w:b w:val="0"/>
                <w:bCs w:val="0"/>
                <w:szCs w:val="21"/>
                <w:lang w:val="en-US" w:eastAsia="zh-CN"/>
              </w:rPr>
            </w:pPr>
            <w:r>
              <w:rPr>
                <w:rFonts w:hint="eastAsia" w:ascii="Times New Roman" w:hAnsi="Times New Roman" w:eastAsia="华文中宋" w:cs="Times New Roman"/>
                <w:b w:val="0"/>
                <w:bCs w:val="0"/>
                <w:szCs w:val="21"/>
                <w:lang w:val="en-US" w:eastAsia="zh-CN"/>
              </w:rPr>
              <w:t>1</w:t>
            </w:r>
          </w:p>
        </w:tc>
        <w:tc>
          <w:tcPr>
            <w:tcW w:w="1029" w:type="pct"/>
            <w:vAlign w:val="center"/>
          </w:tcPr>
          <w:p w14:paraId="09D9825F">
            <w:pPr>
              <w:spacing w:line="300" w:lineRule="exact"/>
              <w:jc w:val="center"/>
              <w:rPr>
                <w:rFonts w:hint="default" w:ascii="Times New Roman" w:hAnsi="Times New Roman" w:eastAsia="华文中宋" w:cs="Times New Roman"/>
                <w:b w:val="0"/>
                <w:bCs w:val="0"/>
                <w:szCs w:val="21"/>
                <w:lang w:val="en-US" w:eastAsia="zh-CN"/>
              </w:rPr>
            </w:pPr>
          </w:p>
        </w:tc>
      </w:tr>
      <w:tr w14:paraId="35870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pct"/>
            <w:vAlign w:val="center"/>
          </w:tcPr>
          <w:p w14:paraId="4B0005CC">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铬</w:t>
            </w:r>
          </w:p>
        </w:tc>
        <w:tc>
          <w:tcPr>
            <w:tcW w:w="859" w:type="pct"/>
            <w:vAlign w:val="center"/>
          </w:tcPr>
          <w:p w14:paraId="1D5A3C8B">
            <w:pPr>
              <w:spacing w:line="300" w:lineRule="exact"/>
              <w:jc w:val="center"/>
              <w:rPr>
                <w:rFonts w:hint="default" w:ascii="Times New Roman" w:hAnsi="Times New Roman" w:eastAsia="华文中宋" w:cs="Times New Roman"/>
                <w:b w:val="0"/>
                <w:bCs w:val="0"/>
                <w:szCs w:val="21"/>
                <w:lang w:val="en-US" w:eastAsia="zh-CN"/>
              </w:rPr>
            </w:pPr>
          </w:p>
        </w:tc>
        <w:tc>
          <w:tcPr>
            <w:tcW w:w="545" w:type="pct"/>
            <w:vAlign w:val="center"/>
          </w:tcPr>
          <w:p w14:paraId="0AB5CC6B">
            <w:pPr>
              <w:spacing w:line="300" w:lineRule="exact"/>
              <w:jc w:val="center"/>
              <w:rPr>
                <w:rFonts w:hint="default" w:ascii="Times New Roman" w:hAnsi="Times New Roman" w:eastAsia="华文中宋" w:cs="Times New Roman"/>
                <w:b w:val="0"/>
                <w:bCs w:val="0"/>
                <w:szCs w:val="21"/>
                <w:lang w:val="en-US" w:eastAsia="zh-CN"/>
              </w:rPr>
            </w:pPr>
            <w:r>
              <w:rPr>
                <w:rFonts w:hint="default" w:ascii="Times New Roman" w:hAnsi="Times New Roman" w:eastAsia="华文中宋" w:cs="Times New Roman"/>
                <w:b w:val="0"/>
                <w:bCs w:val="0"/>
                <w:szCs w:val="21"/>
                <w:lang w:val="en-US" w:eastAsia="zh-CN"/>
              </w:rPr>
              <w:t>mg/L</w:t>
            </w:r>
          </w:p>
        </w:tc>
        <w:tc>
          <w:tcPr>
            <w:tcW w:w="1706" w:type="pct"/>
            <w:vAlign w:val="center"/>
          </w:tcPr>
          <w:p w14:paraId="63479AB0">
            <w:pPr>
              <w:spacing w:line="300" w:lineRule="exact"/>
              <w:jc w:val="center"/>
              <w:rPr>
                <w:rFonts w:hint="default" w:ascii="Times New Roman" w:hAnsi="Times New Roman" w:eastAsia="华文中宋" w:cs="Times New Roman"/>
                <w:b w:val="0"/>
                <w:bCs w:val="0"/>
                <w:szCs w:val="21"/>
                <w:lang w:val="en-US" w:eastAsia="zh-CN"/>
              </w:rPr>
            </w:pPr>
            <w:r>
              <w:rPr>
                <w:rFonts w:hint="eastAsia" w:ascii="Times New Roman" w:hAnsi="Times New Roman" w:eastAsia="华文中宋" w:cs="Times New Roman"/>
                <w:b w:val="0"/>
                <w:bCs w:val="0"/>
                <w:szCs w:val="21"/>
                <w:lang w:val="en-US" w:eastAsia="zh-CN"/>
              </w:rPr>
              <w:t>1.5</w:t>
            </w:r>
          </w:p>
        </w:tc>
        <w:tc>
          <w:tcPr>
            <w:tcW w:w="1029" w:type="pct"/>
            <w:vAlign w:val="center"/>
          </w:tcPr>
          <w:p w14:paraId="3BEA0A04">
            <w:pPr>
              <w:spacing w:line="300" w:lineRule="exact"/>
              <w:jc w:val="center"/>
              <w:rPr>
                <w:rFonts w:hint="default" w:ascii="Times New Roman" w:hAnsi="Times New Roman" w:eastAsia="华文中宋" w:cs="Times New Roman"/>
                <w:b w:val="0"/>
                <w:bCs w:val="0"/>
                <w:szCs w:val="21"/>
                <w:lang w:val="en-US" w:eastAsia="zh-CN"/>
              </w:rPr>
            </w:pPr>
          </w:p>
        </w:tc>
      </w:tr>
      <w:tr w14:paraId="259FF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pct"/>
            <w:vAlign w:val="center"/>
          </w:tcPr>
          <w:p w14:paraId="2E1C5216">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六价铬</w:t>
            </w:r>
          </w:p>
        </w:tc>
        <w:tc>
          <w:tcPr>
            <w:tcW w:w="859" w:type="pct"/>
            <w:vAlign w:val="center"/>
          </w:tcPr>
          <w:p w14:paraId="31A9E849">
            <w:pPr>
              <w:spacing w:line="300" w:lineRule="exact"/>
              <w:jc w:val="center"/>
              <w:rPr>
                <w:rFonts w:hint="default" w:ascii="Times New Roman" w:hAnsi="Times New Roman" w:eastAsia="华文中宋" w:cs="Times New Roman"/>
                <w:b w:val="0"/>
                <w:bCs w:val="0"/>
                <w:szCs w:val="21"/>
                <w:lang w:val="en-US" w:eastAsia="zh-CN"/>
              </w:rPr>
            </w:pPr>
          </w:p>
        </w:tc>
        <w:tc>
          <w:tcPr>
            <w:tcW w:w="545" w:type="pct"/>
            <w:vAlign w:val="center"/>
          </w:tcPr>
          <w:p w14:paraId="70047DB7">
            <w:pPr>
              <w:spacing w:line="300" w:lineRule="exact"/>
              <w:jc w:val="center"/>
              <w:rPr>
                <w:rFonts w:hint="default" w:ascii="Times New Roman" w:hAnsi="Times New Roman" w:eastAsia="华文中宋" w:cs="Times New Roman"/>
                <w:b w:val="0"/>
                <w:bCs w:val="0"/>
                <w:szCs w:val="21"/>
                <w:lang w:val="en-US" w:eastAsia="zh-CN"/>
              </w:rPr>
            </w:pPr>
            <w:r>
              <w:rPr>
                <w:rFonts w:hint="default" w:ascii="Times New Roman" w:hAnsi="Times New Roman" w:eastAsia="华文中宋" w:cs="Times New Roman"/>
                <w:b w:val="0"/>
                <w:bCs w:val="0"/>
                <w:szCs w:val="21"/>
                <w:lang w:val="en-US" w:eastAsia="zh-CN"/>
              </w:rPr>
              <w:t>mg/L</w:t>
            </w:r>
          </w:p>
        </w:tc>
        <w:tc>
          <w:tcPr>
            <w:tcW w:w="1706" w:type="pct"/>
            <w:vAlign w:val="center"/>
          </w:tcPr>
          <w:p w14:paraId="1E313782">
            <w:pPr>
              <w:spacing w:line="300" w:lineRule="exact"/>
              <w:jc w:val="center"/>
              <w:rPr>
                <w:rFonts w:hint="default" w:ascii="Times New Roman" w:hAnsi="Times New Roman" w:eastAsia="华文中宋" w:cs="Times New Roman"/>
                <w:b w:val="0"/>
                <w:bCs w:val="0"/>
                <w:szCs w:val="21"/>
                <w:lang w:val="en-US" w:eastAsia="zh-CN"/>
              </w:rPr>
            </w:pPr>
            <w:r>
              <w:rPr>
                <w:rFonts w:hint="eastAsia" w:ascii="Times New Roman" w:hAnsi="Times New Roman" w:eastAsia="华文中宋" w:cs="Times New Roman"/>
                <w:b w:val="0"/>
                <w:bCs w:val="0"/>
                <w:szCs w:val="21"/>
                <w:lang w:val="en-US" w:eastAsia="zh-CN"/>
              </w:rPr>
              <w:t>0.5</w:t>
            </w:r>
          </w:p>
        </w:tc>
        <w:tc>
          <w:tcPr>
            <w:tcW w:w="1029" w:type="pct"/>
            <w:vAlign w:val="center"/>
          </w:tcPr>
          <w:p w14:paraId="619A86E3">
            <w:pPr>
              <w:spacing w:line="300" w:lineRule="exact"/>
              <w:jc w:val="center"/>
              <w:rPr>
                <w:rFonts w:hint="default" w:ascii="Times New Roman" w:hAnsi="Times New Roman" w:eastAsia="华文中宋" w:cs="Times New Roman"/>
                <w:b w:val="0"/>
                <w:bCs w:val="0"/>
                <w:szCs w:val="21"/>
                <w:lang w:val="en-US" w:eastAsia="zh-CN"/>
              </w:rPr>
            </w:pPr>
          </w:p>
        </w:tc>
      </w:tr>
      <w:tr w14:paraId="3BAED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pct"/>
            <w:vAlign w:val="center"/>
          </w:tcPr>
          <w:p w14:paraId="271B7E0A">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汞</w:t>
            </w:r>
          </w:p>
        </w:tc>
        <w:tc>
          <w:tcPr>
            <w:tcW w:w="859" w:type="pct"/>
            <w:vAlign w:val="center"/>
          </w:tcPr>
          <w:p w14:paraId="61473E1F">
            <w:pPr>
              <w:spacing w:line="300" w:lineRule="exact"/>
              <w:jc w:val="center"/>
              <w:rPr>
                <w:rFonts w:hint="default" w:ascii="Times New Roman" w:hAnsi="Times New Roman" w:eastAsia="华文中宋" w:cs="Times New Roman"/>
                <w:b w:val="0"/>
                <w:bCs w:val="0"/>
                <w:szCs w:val="21"/>
                <w:lang w:val="en-US" w:eastAsia="zh-CN"/>
              </w:rPr>
            </w:pPr>
          </w:p>
        </w:tc>
        <w:tc>
          <w:tcPr>
            <w:tcW w:w="545" w:type="pct"/>
            <w:vAlign w:val="center"/>
          </w:tcPr>
          <w:p w14:paraId="7F7D7352">
            <w:pPr>
              <w:spacing w:line="300" w:lineRule="exact"/>
              <w:jc w:val="center"/>
              <w:rPr>
                <w:rFonts w:hint="default" w:ascii="Times New Roman" w:hAnsi="Times New Roman" w:eastAsia="华文中宋" w:cs="Times New Roman"/>
                <w:b w:val="0"/>
                <w:bCs w:val="0"/>
                <w:szCs w:val="21"/>
                <w:lang w:val="en-US" w:eastAsia="zh-CN"/>
              </w:rPr>
            </w:pPr>
            <w:r>
              <w:rPr>
                <w:rFonts w:hint="default" w:ascii="Times New Roman" w:hAnsi="Times New Roman" w:eastAsia="华文中宋" w:cs="Times New Roman"/>
                <w:b w:val="0"/>
                <w:bCs w:val="0"/>
                <w:szCs w:val="21"/>
                <w:lang w:val="en-US" w:eastAsia="zh-CN"/>
              </w:rPr>
              <w:t>mg/L</w:t>
            </w:r>
          </w:p>
        </w:tc>
        <w:tc>
          <w:tcPr>
            <w:tcW w:w="1706" w:type="pct"/>
            <w:vAlign w:val="center"/>
          </w:tcPr>
          <w:p w14:paraId="693F09A0">
            <w:pPr>
              <w:spacing w:line="300" w:lineRule="exact"/>
              <w:jc w:val="center"/>
              <w:rPr>
                <w:rFonts w:hint="default" w:ascii="Times New Roman" w:hAnsi="Times New Roman" w:eastAsia="华文中宋" w:cs="Times New Roman"/>
                <w:b w:val="0"/>
                <w:bCs w:val="0"/>
                <w:szCs w:val="21"/>
                <w:lang w:val="en-US" w:eastAsia="zh-CN"/>
              </w:rPr>
            </w:pPr>
            <w:r>
              <w:rPr>
                <w:rFonts w:hint="eastAsia" w:ascii="Times New Roman" w:hAnsi="Times New Roman" w:eastAsia="华文中宋" w:cs="Times New Roman"/>
                <w:b w:val="0"/>
                <w:bCs w:val="0"/>
                <w:szCs w:val="21"/>
                <w:lang w:val="en-US" w:eastAsia="zh-CN"/>
              </w:rPr>
              <w:t>0.05</w:t>
            </w:r>
          </w:p>
        </w:tc>
        <w:tc>
          <w:tcPr>
            <w:tcW w:w="1029" w:type="pct"/>
            <w:vAlign w:val="center"/>
          </w:tcPr>
          <w:p w14:paraId="0DD1C4ED">
            <w:pPr>
              <w:spacing w:line="300" w:lineRule="exact"/>
              <w:jc w:val="center"/>
              <w:rPr>
                <w:rFonts w:hint="default" w:ascii="Times New Roman" w:hAnsi="Times New Roman" w:eastAsia="华文中宋" w:cs="Times New Roman"/>
                <w:b w:val="0"/>
                <w:bCs w:val="0"/>
                <w:szCs w:val="21"/>
                <w:lang w:val="en-US" w:eastAsia="zh-CN"/>
              </w:rPr>
            </w:pPr>
          </w:p>
        </w:tc>
      </w:tr>
      <w:tr w14:paraId="2CB3C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pct"/>
            <w:vAlign w:val="center"/>
          </w:tcPr>
          <w:p w14:paraId="27D32D72">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铍</w:t>
            </w:r>
          </w:p>
        </w:tc>
        <w:tc>
          <w:tcPr>
            <w:tcW w:w="859" w:type="pct"/>
            <w:vAlign w:val="center"/>
          </w:tcPr>
          <w:p w14:paraId="6124D52D">
            <w:pPr>
              <w:spacing w:line="300" w:lineRule="exact"/>
              <w:jc w:val="center"/>
              <w:rPr>
                <w:rFonts w:hint="default" w:ascii="Times New Roman" w:hAnsi="Times New Roman" w:eastAsia="华文中宋" w:cs="Times New Roman"/>
                <w:b w:val="0"/>
                <w:bCs w:val="0"/>
                <w:szCs w:val="21"/>
                <w:lang w:val="en-US" w:eastAsia="zh-CN"/>
              </w:rPr>
            </w:pPr>
          </w:p>
        </w:tc>
        <w:tc>
          <w:tcPr>
            <w:tcW w:w="545" w:type="pct"/>
            <w:vAlign w:val="center"/>
          </w:tcPr>
          <w:p w14:paraId="717C2EA6">
            <w:pPr>
              <w:spacing w:line="300" w:lineRule="exact"/>
              <w:jc w:val="center"/>
              <w:rPr>
                <w:rFonts w:hint="default" w:ascii="Times New Roman" w:hAnsi="Times New Roman" w:eastAsia="华文中宋" w:cs="Times New Roman"/>
                <w:b w:val="0"/>
                <w:bCs w:val="0"/>
                <w:szCs w:val="21"/>
                <w:lang w:val="en-US" w:eastAsia="zh-CN"/>
              </w:rPr>
            </w:pPr>
            <w:r>
              <w:rPr>
                <w:rFonts w:hint="default" w:ascii="Times New Roman" w:hAnsi="Times New Roman" w:eastAsia="华文中宋" w:cs="Times New Roman"/>
                <w:b w:val="0"/>
                <w:bCs w:val="0"/>
                <w:szCs w:val="21"/>
                <w:lang w:val="en-US" w:eastAsia="zh-CN"/>
              </w:rPr>
              <w:t>mg/L</w:t>
            </w:r>
          </w:p>
        </w:tc>
        <w:tc>
          <w:tcPr>
            <w:tcW w:w="1706" w:type="pct"/>
            <w:vAlign w:val="center"/>
          </w:tcPr>
          <w:p w14:paraId="4C98D3DD">
            <w:pPr>
              <w:spacing w:line="300" w:lineRule="exact"/>
              <w:jc w:val="center"/>
              <w:rPr>
                <w:rFonts w:hint="default" w:ascii="Times New Roman" w:hAnsi="Times New Roman" w:eastAsia="华文中宋" w:cs="Times New Roman"/>
                <w:b w:val="0"/>
                <w:bCs w:val="0"/>
                <w:szCs w:val="21"/>
                <w:lang w:val="en-US" w:eastAsia="zh-CN"/>
              </w:rPr>
            </w:pPr>
            <w:r>
              <w:rPr>
                <w:rFonts w:hint="default" w:ascii="Times New Roman" w:hAnsi="Times New Roman" w:eastAsia="华文中宋" w:cs="Times New Roman"/>
                <w:b w:val="0"/>
                <w:bCs w:val="0"/>
                <w:szCs w:val="21"/>
                <w:lang w:val="en-US" w:eastAsia="zh-CN"/>
              </w:rPr>
              <w:t>0.00</w:t>
            </w:r>
            <w:r>
              <w:rPr>
                <w:rFonts w:hint="eastAsia" w:ascii="Times New Roman" w:hAnsi="Times New Roman" w:eastAsia="华文中宋" w:cs="Times New Roman"/>
                <w:b w:val="0"/>
                <w:bCs w:val="0"/>
                <w:szCs w:val="21"/>
                <w:lang w:val="en-US" w:eastAsia="zh-CN"/>
              </w:rPr>
              <w:t>5</w:t>
            </w:r>
          </w:p>
        </w:tc>
        <w:tc>
          <w:tcPr>
            <w:tcW w:w="1029" w:type="pct"/>
            <w:vAlign w:val="center"/>
          </w:tcPr>
          <w:p w14:paraId="6A074FB3">
            <w:pPr>
              <w:spacing w:line="300" w:lineRule="exact"/>
              <w:jc w:val="center"/>
              <w:rPr>
                <w:rFonts w:hint="default" w:ascii="Times New Roman" w:hAnsi="Times New Roman" w:eastAsia="华文中宋" w:cs="Times New Roman"/>
                <w:b w:val="0"/>
                <w:bCs w:val="0"/>
                <w:szCs w:val="21"/>
                <w:lang w:val="en-US" w:eastAsia="zh-CN"/>
              </w:rPr>
            </w:pPr>
          </w:p>
        </w:tc>
      </w:tr>
      <w:tr w14:paraId="7EC70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pct"/>
            <w:vAlign w:val="center"/>
          </w:tcPr>
          <w:p w14:paraId="7F20DAA0">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钡</w:t>
            </w:r>
          </w:p>
        </w:tc>
        <w:tc>
          <w:tcPr>
            <w:tcW w:w="859" w:type="pct"/>
            <w:vAlign w:val="center"/>
          </w:tcPr>
          <w:p w14:paraId="6D152548">
            <w:pPr>
              <w:spacing w:line="300" w:lineRule="exact"/>
              <w:jc w:val="center"/>
              <w:rPr>
                <w:rFonts w:hint="default" w:ascii="Times New Roman" w:hAnsi="Times New Roman" w:eastAsia="华文中宋" w:cs="Times New Roman"/>
                <w:b w:val="0"/>
                <w:bCs w:val="0"/>
                <w:szCs w:val="21"/>
                <w:highlight w:val="none"/>
                <w:lang w:val="en-US" w:eastAsia="zh-CN"/>
              </w:rPr>
            </w:pPr>
          </w:p>
        </w:tc>
        <w:tc>
          <w:tcPr>
            <w:tcW w:w="545" w:type="pct"/>
            <w:vAlign w:val="center"/>
          </w:tcPr>
          <w:p w14:paraId="0E2B312D">
            <w:pPr>
              <w:spacing w:line="300" w:lineRule="exact"/>
              <w:jc w:val="center"/>
              <w:rPr>
                <w:rFonts w:hint="default" w:ascii="Times New Roman" w:hAnsi="Times New Roman" w:eastAsia="华文中宋" w:cs="Times New Roman"/>
                <w:b w:val="0"/>
                <w:bCs w:val="0"/>
                <w:szCs w:val="21"/>
                <w:lang w:val="en-US" w:eastAsia="zh-CN"/>
              </w:rPr>
            </w:pPr>
            <w:r>
              <w:rPr>
                <w:rFonts w:hint="default" w:ascii="Times New Roman" w:hAnsi="Times New Roman" w:eastAsia="华文中宋" w:cs="Times New Roman"/>
                <w:b w:val="0"/>
                <w:bCs w:val="0"/>
                <w:szCs w:val="21"/>
                <w:lang w:val="en-US" w:eastAsia="zh-CN"/>
              </w:rPr>
              <w:t>mg/L</w:t>
            </w:r>
          </w:p>
        </w:tc>
        <w:tc>
          <w:tcPr>
            <w:tcW w:w="1706" w:type="pct"/>
            <w:vAlign w:val="center"/>
          </w:tcPr>
          <w:p w14:paraId="41B7F0F9">
            <w:pPr>
              <w:spacing w:line="300" w:lineRule="exact"/>
              <w:jc w:val="center"/>
              <w:rPr>
                <w:rFonts w:hint="default" w:ascii="Times New Roman" w:hAnsi="Times New Roman" w:eastAsia="华文中宋" w:cs="Times New Roman"/>
                <w:b w:val="0"/>
                <w:bCs w:val="0"/>
                <w:szCs w:val="21"/>
                <w:lang w:val="en-US" w:eastAsia="zh-CN"/>
              </w:rPr>
            </w:pPr>
            <w:r>
              <w:rPr>
                <w:rFonts w:hint="eastAsia" w:ascii="Times New Roman" w:hAnsi="Times New Roman" w:eastAsia="华文中宋" w:cs="Times New Roman"/>
                <w:b w:val="0"/>
                <w:bCs w:val="0"/>
                <w:szCs w:val="21"/>
                <w:lang w:val="en-US" w:eastAsia="zh-CN"/>
              </w:rPr>
              <w:t>/</w:t>
            </w:r>
          </w:p>
        </w:tc>
        <w:tc>
          <w:tcPr>
            <w:tcW w:w="1029" w:type="pct"/>
            <w:vAlign w:val="center"/>
          </w:tcPr>
          <w:p w14:paraId="0301EA66">
            <w:pPr>
              <w:spacing w:line="300" w:lineRule="exact"/>
              <w:jc w:val="center"/>
              <w:rPr>
                <w:rFonts w:hint="default" w:ascii="Times New Roman" w:hAnsi="Times New Roman" w:eastAsia="华文中宋" w:cs="Times New Roman"/>
                <w:b w:val="0"/>
                <w:bCs w:val="0"/>
                <w:szCs w:val="21"/>
                <w:lang w:val="en-US" w:eastAsia="zh-CN"/>
              </w:rPr>
            </w:pPr>
          </w:p>
        </w:tc>
      </w:tr>
      <w:tr w14:paraId="0D087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pct"/>
            <w:vAlign w:val="center"/>
          </w:tcPr>
          <w:p w14:paraId="068AACEC">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镍</w:t>
            </w:r>
          </w:p>
        </w:tc>
        <w:tc>
          <w:tcPr>
            <w:tcW w:w="859" w:type="pct"/>
            <w:vAlign w:val="center"/>
          </w:tcPr>
          <w:p w14:paraId="10AFDF35">
            <w:pPr>
              <w:spacing w:line="300" w:lineRule="exact"/>
              <w:jc w:val="center"/>
              <w:rPr>
                <w:rFonts w:hint="default" w:ascii="Times New Roman" w:hAnsi="Times New Roman" w:eastAsia="华文中宋" w:cs="Times New Roman"/>
                <w:b w:val="0"/>
                <w:bCs w:val="0"/>
                <w:szCs w:val="21"/>
                <w:lang w:val="en-US" w:eastAsia="zh-CN"/>
              </w:rPr>
            </w:pPr>
          </w:p>
        </w:tc>
        <w:tc>
          <w:tcPr>
            <w:tcW w:w="545" w:type="pct"/>
            <w:vAlign w:val="center"/>
          </w:tcPr>
          <w:p w14:paraId="32E13416">
            <w:pPr>
              <w:spacing w:line="300" w:lineRule="exact"/>
              <w:jc w:val="center"/>
              <w:rPr>
                <w:rFonts w:hint="default" w:ascii="Times New Roman" w:hAnsi="Times New Roman" w:eastAsia="华文中宋" w:cs="Times New Roman"/>
                <w:b w:val="0"/>
                <w:bCs w:val="0"/>
                <w:szCs w:val="21"/>
                <w:lang w:val="en-US" w:eastAsia="zh-CN"/>
              </w:rPr>
            </w:pPr>
            <w:r>
              <w:rPr>
                <w:rFonts w:hint="default" w:ascii="Times New Roman" w:hAnsi="Times New Roman" w:eastAsia="华文中宋" w:cs="Times New Roman"/>
                <w:b w:val="0"/>
                <w:bCs w:val="0"/>
                <w:szCs w:val="21"/>
                <w:lang w:val="en-US" w:eastAsia="zh-CN"/>
              </w:rPr>
              <w:t>mg/L</w:t>
            </w:r>
          </w:p>
        </w:tc>
        <w:tc>
          <w:tcPr>
            <w:tcW w:w="1706" w:type="pct"/>
            <w:vAlign w:val="center"/>
          </w:tcPr>
          <w:p w14:paraId="426304C6">
            <w:pPr>
              <w:spacing w:line="300" w:lineRule="exact"/>
              <w:jc w:val="center"/>
              <w:rPr>
                <w:rFonts w:hint="default" w:ascii="Times New Roman" w:hAnsi="Times New Roman" w:eastAsia="华文中宋" w:cs="Times New Roman"/>
                <w:b w:val="0"/>
                <w:bCs w:val="0"/>
                <w:szCs w:val="21"/>
                <w:lang w:val="en-US" w:eastAsia="zh-CN"/>
              </w:rPr>
            </w:pPr>
            <w:r>
              <w:rPr>
                <w:rFonts w:hint="eastAsia" w:ascii="Times New Roman" w:hAnsi="Times New Roman" w:eastAsia="华文中宋" w:cs="Times New Roman"/>
                <w:b w:val="0"/>
                <w:bCs w:val="0"/>
                <w:szCs w:val="21"/>
                <w:lang w:val="en-US" w:eastAsia="zh-CN"/>
              </w:rPr>
              <w:t>1.0</w:t>
            </w:r>
          </w:p>
        </w:tc>
        <w:tc>
          <w:tcPr>
            <w:tcW w:w="1029" w:type="pct"/>
            <w:vAlign w:val="center"/>
          </w:tcPr>
          <w:p w14:paraId="15184D3F">
            <w:pPr>
              <w:spacing w:line="300" w:lineRule="exact"/>
              <w:jc w:val="center"/>
              <w:rPr>
                <w:rFonts w:hint="default" w:ascii="Times New Roman" w:hAnsi="Times New Roman" w:eastAsia="华文中宋" w:cs="Times New Roman"/>
                <w:b w:val="0"/>
                <w:bCs w:val="0"/>
                <w:szCs w:val="21"/>
                <w:lang w:val="en-US" w:eastAsia="zh-CN"/>
              </w:rPr>
            </w:pPr>
          </w:p>
        </w:tc>
      </w:tr>
      <w:tr w14:paraId="57550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pct"/>
            <w:vAlign w:val="center"/>
          </w:tcPr>
          <w:p w14:paraId="5868826E">
            <w:pPr>
              <w:spacing w:line="300" w:lineRule="exact"/>
              <w:jc w:val="center"/>
              <w:rPr>
                <w:rFonts w:hint="default" w:ascii="Times New Roman" w:hAnsi="Times New Roman" w:eastAsia="华文中宋" w:cs="Times New Roman"/>
                <w:b w:val="0"/>
                <w:bCs w:val="0"/>
                <w:szCs w:val="21"/>
                <w:highlight w:val="none"/>
                <w:lang w:val="en-US" w:eastAsia="zh-CN"/>
              </w:rPr>
            </w:pPr>
            <w:r>
              <w:rPr>
                <w:rFonts w:hint="default" w:ascii="Times New Roman" w:hAnsi="Times New Roman" w:eastAsia="华文中宋" w:cs="Times New Roman"/>
                <w:b w:val="0"/>
                <w:bCs w:val="0"/>
                <w:szCs w:val="21"/>
                <w:highlight w:val="none"/>
                <w:lang w:val="en-US" w:eastAsia="zh-CN"/>
              </w:rPr>
              <w:t>银</w:t>
            </w:r>
          </w:p>
        </w:tc>
        <w:tc>
          <w:tcPr>
            <w:tcW w:w="859" w:type="pct"/>
            <w:vAlign w:val="center"/>
          </w:tcPr>
          <w:p w14:paraId="52EF7D72">
            <w:pPr>
              <w:spacing w:line="300" w:lineRule="exact"/>
              <w:jc w:val="center"/>
              <w:rPr>
                <w:rFonts w:hint="default" w:ascii="Times New Roman" w:hAnsi="Times New Roman" w:eastAsia="华文中宋" w:cs="Times New Roman"/>
                <w:b w:val="0"/>
                <w:bCs w:val="0"/>
                <w:szCs w:val="21"/>
                <w:lang w:val="en-US" w:eastAsia="zh-CN"/>
              </w:rPr>
            </w:pPr>
          </w:p>
        </w:tc>
        <w:tc>
          <w:tcPr>
            <w:tcW w:w="545" w:type="pct"/>
            <w:vAlign w:val="center"/>
          </w:tcPr>
          <w:p w14:paraId="24DFDC27">
            <w:pPr>
              <w:spacing w:line="300" w:lineRule="exact"/>
              <w:jc w:val="center"/>
              <w:rPr>
                <w:rFonts w:hint="default" w:ascii="Times New Roman" w:hAnsi="Times New Roman" w:eastAsia="华文中宋" w:cs="Times New Roman"/>
                <w:b w:val="0"/>
                <w:bCs w:val="0"/>
                <w:szCs w:val="21"/>
                <w:lang w:val="en-US" w:eastAsia="zh-CN"/>
              </w:rPr>
            </w:pPr>
            <w:r>
              <w:rPr>
                <w:rFonts w:hint="default" w:ascii="Times New Roman" w:hAnsi="Times New Roman" w:eastAsia="华文中宋" w:cs="Times New Roman"/>
                <w:b w:val="0"/>
                <w:bCs w:val="0"/>
                <w:szCs w:val="21"/>
                <w:lang w:val="en-US" w:eastAsia="zh-CN"/>
              </w:rPr>
              <w:t>mg/L</w:t>
            </w:r>
          </w:p>
        </w:tc>
        <w:tc>
          <w:tcPr>
            <w:tcW w:w="1706" w:type="pct"/>
            <w:vAlign w:val="center"/>
          </w:tcPr>
          <w:p w14:paraId="5D9C3E48">
            <w:pPr>
              <w:spacing w:line="300" w:lineRule="exact"/>
              <w:jc w:val="center"/>
              <w:rPr>
                <w:rFonts w:hint="default" w:ascii="Times New Roman" w:hAnsi="Times New Roman" w:eastAsia="华文中宋" w:cs="Times New Roman"/>
                <w:b w:val="0"/>
                <w:bCs w:val="0"/>
                <w:szCs w:val="21"/>
                <w:lang w:val="en-US" w:eastAsia="zh-CN"/>
              </w:rPr>
            </w:pPr>
            <w:r>
              <w:rPr>
                <w:rFonts w:hint="default" w:ascii="Times New Roman" w:hAnsi="Times New Roman" w:eastAsia="华文中宋" w:cs="Times New Roman"/>
                <w:b w:val="0"/>
                <w:bCs w:val="0"/>
                <w:szCs w:val="21"/>
                <w:lang w:val="en-US" w:eastAsia="zh-CN"/>
              </w:rPr>
              <w:t>0.</w:t>
            </w:r>
            <w:r>
              <w:rPr>
                <w:rFonts w:hint="eastAsia" w:ascii="Times New Roman" w:hAnsi="Times New Roman" w:eastAsia="华文中宋" w:cs="Times New Roman"/>
                <w:b w:val="0"/>
                <w:bCs w:val="0"/>
                <w:szCs w:val="21"/>
                <w:lang w:val="en-US" w:eastAsia="zh-CN"/>
              </w:rPr>
              <w:t>5</w:t>
            </w:r>
          </w:p>
        </w:tc>
        <w:tc>
          <w:tcPr>
            <w:tcW w:w="1029" w:type="pct"/>
            <w:vAlign w:val="center"/>
          </w:tcPr>
          <w:p w14:paraId="28BFA925">
            <w:pPr>
              <w:spacing w:line="300" w:lineRule="exact"/>
              <w:jc w:val="center"/>
              <w:rPr>
                <w:rFonts w:hint="default" w:ascii="Times New Roman" w:hAnsi="Times New Roman" w:eastAsia="华文中宋" w:cs="Times New Roman"/>
                <w:b w:val="0"/>
                <w:bCs w:val="0"/>
                <w:szCs w:val="21"/>
                <w:lang w:val="en-US" w:eastAsia="zh-CN"/>
              </w:rPr>
            </w:pPr>
          </w:p>
        </w:tc>
      </w:tr>
      <w:tr w14:paraId="3779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pct"/>
            <w:vAlign w:val="center"/>
          </w:tcPr>
          <w:p w14:paraId="4AE312EE">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总α</w:t>
            </w:r>
          </w:p>
        </w:tc>
        <w:tc>
          <w:tcPr>
            <w:tcW w:w="859" w:type="pct"/>
            <w:vAlign w:val="center"/>
          </w:tcPr>
          <w:p w14:paraId="1563BEF6">
            <w:pPr>
              <w:spacing w:line="300" w:lineRule="exact"/>
              <w:jc w:val="center"/>
              <w:rPr>
                <w:rFonts w:hint="default" w:ascii="Times New Roman" w:hAnsi="Times New Roman" w:eastAsia="华文中宋" w:cs="Times New Roman"/>
                <w:b w:val="0"/>
                <w:bCs w:val="0"/>
                <w:szCs w:val="21"/>
                <w:lang w:val="en-US" w:eastAsia="zh-CN"/>
              </w:rPr>
            </w:pPr>
          </w:p>
        </w:tc>
        <w:tc>
          <w:tcPr>
            <w:tcW w:w="545" w:type="pct"/>
            <w:vAlign w:val="center"/>
          </w:tcPr>
          <w:p w14:paraId="7F2D00DE">
            <w:pPr>
              <w:spacing w:line="300" w:lineRule="exact"/>
              <w:jc w:val="center"/>
              <w:rPr>
                <w:rFonts w:hint="eastAsia" w:ascii="Times New Roman" w:hAnsi="Times New Roman" w:eastAsia="华文中宋" w:cs="Times New Roman"/>
                <w:b w:val="0"/>
                <w:bCs w:val="0"/>
                <w:szCs w:val="21"/>
                <w:lang w:val="en-US" w:eastAsia="zh-CN"/>
              </w:rPr>
            </w:pPr>
            <w:r>
              <w:rPr>
                <w:rFonts w:hint="eastAsia" w:ascii="Times New Roman" w:hAnsi="Times New Roman" w:eastAsia="华文中宋" w:cs="Times New Roman"/>
                <w:b w:val="0"/>
                <w:bCs w:val="0"/>
                <w:szCs w:val="21"/>
                <w:lang w:val="en-US" w:eastAsia="zh-CN"/>
              </w:rPr>
              <w:t>Bq/g</w:t>
            </w:r>
          </w:p>
        </w:tc>
        <w:tc>
          <w:tcPr>
            <w:tcW w:w="1706" w:type="pct"/>
            <w:vAlign w:val="center"/>
          </w:tcPr>
          <w:p w14:paraId="2A5C56CD">
            <w:pPr>
              <w:spacing w:line="300" w:lineRule="exact"/>
              <w:jc w:val="center"/>
              <w:rPr>
                <w:rFonts w:hint="default" w:ascii="Times New Roman" w:hAnsi="Times New Roman" w:eastAsia="华文中宋" w:cs="Times New Roman"/>
                <w:b w:val="0"/>
                <w:bCs w:val="0"/>
                <w:szCs w:val="21"/>
                <w:lang w:val="en-US" w:eastAsia="zh-CN"/>
              </w:rPr>
            </w:pPr>
            <w:r>
              <w:rPr>
                <w:rFonts w:hint="eastAsia" w:ascii="Times New Roman" w:hAnsi="Times New Roman" w:eastAsia="华文中宋" w:cs="Times New Roman"/>
                <w:b w:val="0"/>
                <w:bCs w:val="0"/>
                <w:szCs w:val="21"/>
                <w:lang w:val="en-US" w:eastAsia="zh-CN"/>
              </w:rPr>
              <w:t>1</w:t>
            </w:r>
          </w:p>
        </w:tc>
        <w:tc>
          <w:tcPr>
            <w:tcW w:w="1029" w:type="pct"/>
            <w:vAlign w:val="center"/>
          </w:tcPr>
          <w:p w14:paraId="7AF47A71">
            <w:pPr>
              <w:spacing w:line="300" w:lineRule="exact"/>
              <w:jc w:val="center"/>
              <w:rPr>
                <w:rFonts w:hint="default" w:ascii="Times New Roman" w:hAnsi="Times New Roman" w:eastAsia="华文中宋" w:cs="Times New Roman"/>
                <w:b w:val="0"/>
                <w:bCs w:val="0"/>
                <w:szCs w:val="21"/>
                <w:lang w:val="en-US" w:eastAsia="zh-CN"/>
              </w:rPr>
            </w:pPr>
          </w:p>
        </w:tc>
      </w:tr>
      <w:tr w14:paraId="3021D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pct"/>
            <w:vAlign w:val="center"/>
          </w:tcPr>
          <w:p w14:paraId="5C00602D">
            <w:pPr>
              <w:spacing w:line="300" w:lineRule="exact"/>
              <w:jc w:val="center"/>
              <w:rPr>
                <w:rFonts w:hint="default" w:ascii="Times New Roman" w:hAnsi="Times New Roman" w:eastAsia="华文中宋" w:cs="Times New Roman"/>
                <w:b w:val="0"/>
                <w:bCs w:val="0"/>
                <w:szCs w:val="21"/>
                <w:highlight w:val="none"/>
                <w:lang w:val="en-US" w:eastAsia="zh-CN"/>
              </w:rPr>
            </w:pPr>
            <w:r>
              <w:rPr>
                <w:rFonts w:hint="eastAsia" w:ascii="Times New Roman" w:hAnsi="Times New Roman" w:eastAsia="华文中宋" w:cs="Times New Roman"/>
                <w:b w:val="0"/>
                <w:bCs w:val="0"/>
                <w:szCs w:val="21"/>
                <w:highlight w:val="none"/>
                <w:lang w:val="en-US" w:eastAsia="zh-CN"/>
              </w:rPr>
              <w:t>总β</w:t>
            </w:r>
          </w:p>
        </w:tc>
        <w:tc>
          <w:tcPr>
            <w:tcW w:w="859" w:type="pct"/>
            <w:vAlign w:val="center"/>
          </w:tcPr>
          <w:p w14:paraId="068CAA86">
            <w:pPr>
              <w:spacing w:line="300" w:lineRule="exact"/>
              <w:jc w:val="center"/>
              <w:rPr>
                <w:rFonts w:hint="default" w:ascii="Times New Roman" w:hAnsi="Times New Roman" w:eastAsia="华文中宋" w:cs="Times New Roman"/>
                <w:b w:val="0"/>
                <w:bCs w:val="0"/>
                <w:szCs w:val="21"/>
                <w:lang w:val="en-US" w:eastAsia="zh-CN"/>
              </w:rPr>
            </w:pPr>
          </w:p>
        </w:tc>
        <w:tc>
          <w:tcPr>
            <w:tcW w:w="545" w:type="pct"/>
            <w:vAlign w:val="center"/>
          </w:tcPr>
          <w:p w14:paraId="3FE62852">
            <w:pPr>
              <w:spacing w:line="300" w:lineRule="exact"/>
              <w:jc w:val="center"/>
              <w:rPr>
                <w:rFonts w:hint="eastAsia" w:ascii="Times New Roman" w:hAnsi="Times New Roman" w:eastAsia="华文中宋" w:cs="Times New Roman"/>
                <w:b w:val="0"/>
                <w:bCs w:val="0"/>
                <w:szCs w:val="21"/>
                <w:lang w:val="en-US" w:eastAsia="zh-CN"/>
              </w:rPr>
            </w:pPr>
            <w:r>
              <w:rPr>
                <w:rFonts w:hint="eastAsia" w:ascii="Times New Roman" w:hAnsi="Times New Roman" w:eastAsia="华文中宋" w:cs="Times New Roman"/>
                <w:b w:val="0"/>
                <w:bCs w:val="0"/>
                <w:szCs w:val="21"/>
                <w:lang w:val="en-US" w:eastAsia="zh-CN"/>
              </w:rPr>
              <w:t>Bq/g</w:t>
            </w:r>
          </w:p>
        </w:tc>
        <w:tc>
          <w:tcPr>
            <w:tcW w:w="1706" w:type="pct"/>
            <w:vAlign w:val="center"/>
          </w:tcPr>
          <w:p w14:paraId="7EFA6430">
            <w:pPr>
              <w:spacing w:line="300" w:lineRule="exact"/>
              <w:jc w:val="center"/>
              <w:rPr>
                <w:rFonts w:hint="default" w:ascii="Times New Roman" w:hAnsi="Times New Roman" w:eastAsia="华文中宋" w:cs="Times New Roman"/>
                <w:b w:val="0"/>
                <w:bCs w:val="0"/>
                <w:szCs w:val="21"/>
                <w:lang w:val="en-US" w:eastAsia="zh-CN"/>
              </w:rPr>
            </w:pPr>
            <w:r>
              <w:rPr>
                <w:rFonts w:hint="eastAsia" w:ascii="Times New Roman" w:hAnsi="Times New Roman" w:eastAsia="华文中宋" w:cs="Times New Roman"/>
                <w:b w:val="0"/>
                <w:bCs w:val="0"/>
                <w:szCs w:val="21"/>
                <w:lang w:val="en-US" w:eastAsia="zh-CN"/>
              </w:rPr>
              <w:t>10</w:t>
            </w:r>
          </w:p>
        </w:tc>
        <w:tc>
          <w:tcPr>
            <w:tcW w:w="1029" w:type="pct"/>
            <w:vAlign w:val="center"/>
          </w:tcPr>
          <w:p w14:paraId="77062344">
            <w:pPr>
              <w:spacing w:line="300" w:lineRule="exact"/>
              <w:jc w:val="center"/>
              <w:rPr>
                <w:rFonts w:hint="default" w:ascii="Times New Roman" w:hAnsi="Times New Roman" w:eastAsia="华文中宋" w:cs="Times New Roman"/>
                <w:b w:val="0"/>
                <w:bCs w:val="0"/>
                <w:szCs w:val="21"/>
                <w:lang w:val="en-US" w:eastAsia="zh-CN"/>
              </w:rPr>
            </w:pPr>
          </w:p>
        </w:tc>
      </w:tr>
    </w:tbl>
    <w:p w14:paraId="47A49AB7">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（2）项目原矿及废石铀（钍）系单个核素活度浓度检测</w:t>
      </w:r>
    </w:p>
    <w:p w14:paraId="365943DD">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本项目委托</w:t>
      </w:r>
      <w:r>
        <w:rPr>
          <w:rFonts w:hint="default" w:ascii="Times New Roman" w:hAnsi="Times New Roman" w:eastAsia="华文中宋" w:cs="Times New Roman"/>
          <w:sz w:val="24"/>
          <w:lang w:val="en-US" w:eastAsia="zh-CN"/>
        </w:rPr>
        <w:t>佛山市陶瓷研究所检测有限公司对原矿石、废石进行了铀（钍）系元素活度浓度</w:t>
      </w:r>
      <w:r>
        <w:rPr>
          <w:rFonts w:hint="eastAsia" w:ascii="Times New Roman" w:hAnsi="Times New Roman" w:eastAsia="华文中宋" w:cs="Times New Roman"/>
          <w:sz w:val="24"/>
          <w:lang w:val="en-US" w:eastAsia="zh-CN"/>
        </w:rPr>
        <w:t>检测</w:t>
      </w:r>
      <w:r>
        <w:rPr>
          <w:rFonts w:hint="default" w:ascii="Times New Roman" w:hAnsi="Times New Roman" w:eastAsia="华文中宋" w:cs="Times New Roman"/>
          <w:sz w:val="24"/>
          <w:lang w:val="en-US" w:eastAsia="zh-CN"/>
        </w:rPr>
        <w:t>，</w:t>
      </w:r>
      <w:r>
        <w:rPr>
          <w:rFonts w:hint="eastAsia" w:ascii="Times New Roman" w:hAnsi="Times New Roman" w:eastAsia="华文中宋" w:cs="Times New Roman"/>
          <w:sz w:val="24"/>
          <w:lang w:val="en-US" w:eastAsia="zh-CN"/>
        </w:rPr>
        <w:t>根据检测报告结果，</w:t>
      </w:r>
      <w:r>
        <w:rPr>
          <w:rFonts w:hint="default" w:ascii="Times New Roman" w:hAnsi="Times New Roman" w:eastAsia="华文中宋" w:cs="Times New Roman"/>
          <w:sz w:val="24"/>
          <w:lang w:val="en-US" w:eastAsia="zh-CN"/>
        </w:rPr>
        <w:t>该项目原矿石放射性元素活度浓度232Th（钍-232）</w:t>
      </w:r>
      <w:r>
        <w:rPr>
          <w:rFonts w:hint="eastAsia" w:ascii="Times New Roman" w:hAnsi="Times New Roman" w:eastAsia="华文中宋" w:cs="Times New Roman"/>
          <w:sz w:val="24"/>
          <w:lang w:val="en-US" w:eastAsia="zh-CN"/>
        </w:rPr>
        <w:t>为</w:t>
      </w:r>
      <w:r>
        <w:rPr>
          <w:rFonts w:hint="default" w:ascii="Times New Roman" w:hAnsi="Times New Roman" w:eastAsia="华文中宋" w:cs="Times New Roman"/>
          <w:sz w:val="24"/>
          <w:lang w:val="en-US" w:eastAsia="zh-CN"/>
        </w:rPr>
        <w:t>13.9q/kg（0.0139Bq/g）</w:t>
      </w:r>
      <w:r>
        <w:rPr>
          <w:rFonts w:hint="eastAsia" w:ascii="Times New Roman" w:hAnsi="Times New Roman" w:eastAsia="华文中宋" w:cs="Times New Roman"/>
          <w:sz w:val="24"/>
          <w:lang w:val="en-US" w:eastAsia="zh-CN"/>
        </w:rPr>
        <w:t>，</w:t>
      </w:r>
      <w:r>
        <w:rPr>
          <w:rFonts w:hint="default" w:ascii="Times New Roman" w:hAnsi="Times New Roman" w:eastAsia="华文中宋" w:cs="Times New Roman"/>
          <w:sz w:val="24"/>
          <w:lang w:val="en-US" w:eastAsia="zh-CN"/>
        </w:rPr>
        <w:t>废石放射性元素活度浓度232Th（钍-232）</w:t>
      </w:r>
      <w:r>
        <w:rPr>
          <w:rFonts w:hint="eastAsia" w:ascii="Times New Roman" w:hAnsi="Times New Roman" w:eastAsia="华文中宋" w:cs="Times New Roman"/>
          <w:sz w:val="24"/>
          <w:lang w:val="en-US" w:eastAsia="zh-CN"/>
        </w:rPr>
        <w:t>为</w:t>
      </w:r>
      <w:r>
        <w:rPr>
          <w:rFonts w:hint="default" w:ascii="Times New Roman" w:hAnsi="Times New Roman" w:eastAsia="华文中宋" w:cs="Times New Roman"/>
          <w:sz w:val="24"/>
          <w:lang w:val="en-US" w:eastAsia="zh-CN"/>
        </w:rPr>
        <w:t>10.3q/kg（0.0103Bq/g）</w:t>
      </w:r>
      <w:r>
        <w:rPr>
          <w:rFonts w:hint="eastAsia" w:ascii="Times New Roman" w:hAnsi="Times New Roman" w:eastAsia="华文中宋" w:cs="Times New Roman"/>
          <w:sz w:val="24"/>
          <w:lang w:val="en-US" w:eastAsia="zh-CN"/>
        </w:rPr>
        <w:t>，项目原矿石及废石</w:t>
      </w:r>
      <w:r>
        <w:rPr>
          <w:rFonts w:hint="default" w:ascii="Times New Roman" w:hAnsi="Times New Roman" w:eastAsia="华文中宋" w:cs="Times New Roman"/>
          <w:sz w:val="24"/>
          <w:lang w:val="en-US" w:eastAsia="zh-CN"/>
        </w:rPr>
        <w:t>中含有的铀（钍）系单个核素活度浓度</w:t>
      </w:r>
      <w:r>
        <w:rPr>
          <w:rFonts w:hint="eastAsia" w:ascii="Times New Roman" w:hAnsi="Times New Roman" w:eastAsia="华文中宋" w:cs="Times New Roman"/>
          <w:sz w:val="24"/>
          <w:lang w:val="en-US" w:eastAsia="zh-CN"/>
        </w:rPr>
        <w:t>均</w:t>
      </w:r>
      <w:r>
        <w:rPr>
          <w:rFonts w:hint="default" w:ascii="Times New Roman" w:hAnsi="Times New Roman" w:eastAsia="华文中宋" w:cs="Times New Roman"/>
          <w:sz w:val="24"/>
          <w:lang w:val="en-US" w:eastAsia="zh-CN"/>
        </w:rPr>
        <w:t>未超过1贝可/克（Bq/g）。根据《关于发布〈矿产资源开发利用辐射环境监督管理名录〉的公告》（生态环境部公告2020年第54号）规定，本项目不单独设置辐射环境影响评价专篇</w:t>
      </w:r>
      <w:r>
        <w:rPr>
          <w:rFonts w:hint="eastAsia" w:ascii="Times New Roman" w:hAnsi="Times New Roman" w:eastAsia="华文中宋" w:cs="Times New Roman"/>
          <w:sz w:val="24"/>
          <w:lang w:val="en-US" w:eastAsia="zh-CN"/>
        </w:rPr>
        <w:t>。</w:t>
      </w:r>
    </w:p>
    <w:p w14:paraId="25C9565B">
      <w:pPr>
        <w:pStyle w:val="4"/>
        <w:spacing w:before="120" w:after="120" w:line="500" w:lineRule="exact"/>
        <w:rPr>
          <w:rFonts w:hint="default" w:ascii="Times New Roman" w:hAnsi="Times New Roman" w:eastAsia="华文中宋" w:cs="Times New Roman"/>
          <w:kern w:val="0"/>
          <w:sz w:val="24"/>
          <w:szCs w:val="24"/>
          <w:lang w:val="en-US" w:eastAsia="zh-CN"/>
        </w:rPr>
      </w:pPr>
      <w:bookmarkStart w:id="125" w:name="_Toc29630"/>
      <w:r>
        <w:rPr>
          <w:rFonts w:hint="default" w:ascii="Times New Roman" w:hAnsi="Times New Roman" w:eastAsia="华文中宋" w:cs="Times New Roman"/>
          <w:kern w:val="0"/>
          <w:sz w:val="24"/>
          <w:szCs w:val="24"/>
          <w:lang w:val="en-US" w:eastAsia="zh-CN"/>
        </w:rPr>
        <w:t>4.2.</w:t>
      </w:r>
      <w:r>
        <w:rPr>
          <w:rFonts w:hint="eastAsia" w:ascii="Times New Roman" w:hAnsi="Times New Roman" w:eastAsia="华文中宋" w:cs="Times New Roman"/>
          <w:kern w:val="0"/>
          <w:sz w:val="24"/>
          <w:szCs w:val="24"/>
          <w:lang w:val="en-US" w:eastAsia="zh-CN"/>
        </w:rPr>
        <w:t>7</w:t>
      </w:r>
      <w:r>
        <w:rPr>
          <w:rFonts w:hint="default" w:ascii="Times New Roman" w:hAnsi="Times New Roman" w:eastAsia="华文中宋" w:cs="Times New Roman"/>
          <w:kern w:val="0"/>
          <w:sz w:val="24"/>
          <w:szCs w:val="24"/>
          <w:lang w:val="en-US" w:eastAsia="zh-CN"/>
        </w:rPr>
        <w:t xml:space="preserve"> 生态环境现状调查与评价</w:t>
      </w:r>
      <w:bookmarkEnd w:id="125"/>
    </w:p>
    <w:p w14:paraId="7F46D766">
      <w:pPr>
        <w:adjustRightInd w:val="0"/>
        <w:snapToGrid w:val="0"/>
        <w:spacing w:line="500" w:lineRule="exact"/>
        <w:jc w:val="left"/>
        <w:rPr>
          <w:rFonts w:hint="default" w:ascii="Times New Roman" w:hAnsi="Times New Roman" w:eastAsia="华文中宋" w:cs="Times New Roman"/>
          <w:b/>
          <w:bCs/>
          <w:sz w:val="24"/>
          <w:lang w:val="en-US" w:eastAsia="zh-CN"/>
        </w:rPr>
      </w:pPr>
      <w:r>
        <w:rPr>
          <w:rFonts w:hint="eastAsia" w:ascii="Times New Roman" w:hAnsi="Times New Roman" w:eastAsia="华文中宋" w:cs="Times New Roman"/>
          <w:b/>
          <w:bCs/>
          <w:sz w:val="24"/>
          <w:lang w:val="en-US" w:eastAsia="zh-CN"/>
        </w:rPr>
        <w:t>4.27.1</w:t>
      </w:r>
      <w:r>
        <w:rPr>
          <w:rFonts w:hint="default" w:ascii="Times New Roman" w:hAnsi="Times New Roman" w:eastAsia="华文中宋" w:cs="Times New Roman"/>
          <w:b/>
          <w:bCs/>
          <w:sz w:val="24"/>
          <w:lang w:val="en-US" w:eastAsia="zh-CN"/>
        </w:rPr>
        <w:t>生态功能区划</w:t>
      </w:r>
    </w:p>
    <w:p w14:paraId="6627B2E6">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根据《新疆生态功能区划》，项目所在地属帕米尔－昆仑山－阿尔金山高寒荒漠草原生态区—昆仑山高寒草原侵蚀控制生态亚区—中昆仑山高寒荒漠草原保护生态功能区。</w:t>
      </w:r>
    </w:p>
    <w:p w14:paraId="68821D6B">
      <w:pPr>
        <w:adjustRightInd w:val="0"/>
        <w:snapToGrid w:val="0"/>
        <w:spacing w:line="500" w:lineRule="exact"/>
        <w:ind w:firstLine="422" w:firstLineChars="200"/>
        <w:jc w:val="center"/>
        <w:rPr>
          <w:rFonts w:hint="default" w:ascii="Times New Roman" w:hAnsi="Times New Roman" w:eastAsia="华文中宋" w:cs="Times New Roman"/>
          <w:b/>
          <w:szCs w:val="21"/>
          <w:lang w:val="en-US" w:eastAsia="zh-CN"/>
        </w:rPr>
      </w:pPr>
      <w:r>
        <w:rPr>
          <w:rFonts w:hint="eastAsia" w:ascii="Times New Roman" w:hAnsi="Times New Roman" w:eastAsia="华文中宋" w:cs="Times New Roman"/>
          <w:b/>
          <w:szCs w:val="21"/>
          <w:lang w:val="en-US" w:eastAsia="zh-CN"/>
        </w:rPr>
        <w:t>表4.2-12  项目所在生态功能区划一览表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846"/>
        <w:gridCol w:w="844"/>
        <w:gridCol w:w="848"/>
        <w:gridCol w:w="848"/>
        <w:gridCol w:w="848"/>
        <w:gridCol w:w="843"/>
        <w:gridCol w:w="848"/>
        <w:gridCol w:w="877"/>
        <w:gridCol w:w="877"/>
      </w:tblGrid>
      <w:tr w14:paraId="13BEF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3" w:type="dxa"/>
            <w:gridSpan w:val="3"/>
            <w:vAlign w:val="center"/>
          </w:tcPr>
          <w:p w14:paraId="5404309F">
            <w:pPr>
              <w:spacing w:line="300" w:lineRule="exact"/>
              <w:jc w:val="center"/>
              <w:rPr>
                <w:rFonts w:hint="default" w:ascii="Times New Roman" w:hAnsi="Times New Roman" w:eastAsia="华文中宋" w:cs="Times New Roman"/>
                <w:b w:val="0"/>
                <w:bCs w:val="0"/>
                <w:szCs w:val="21"/>
                <w:lang w:val="en-US" w:eastAsia="zh-CN"/>
              </w:rPr>
            </w:pPr>
            <w:r>
              <w:rPr>
                <w:rFonts w:hint="eastAsia" w:ascii="Times New Roman" w:hAnsi="Times New Roman" w:eastAsia="华文中宋" w:cs="Times New Roman"/>
                <w:b w:val="0"/>
                <w:bCs w:val="0"/>
                <w:szCs w:val="21"/>
                <w:lang w:val="en-US" w:eastAsia="zh-CN"/>
              </w:rPr>
              <w:t>生态功能分区单元</w:t>
            </w:r>
          </w:p>
        </w:tc>
        <w:tc>
          <w:tcPr>
            <w:tcW w:w="848" w:type="dxa"/>
            <w:vMerge w:val="restart"/>
            <w:vAlign w:val="center"/>
          </w:tcPr>
          <w:p w14:paraId="3B4BBDCC">
            <w:pPr>
              <w:spacing w:line="300" w:lineRule="exact"/>
              <w:jc w:val="center"/>
              <w:rPr>
                <w:rFonts w:hint="default" w:ascii="Times New Roman" w:hAnsi="Times New Roman" w:eastAsia="华文中宋" w:cs="Times New Roman"/>
                <w:b w:val="0"/>
                <w:bCs w:val="0"/>
                <w:szCs w:val="21"/>
                <w:lang w:val="en-US" w:eastAsia="zh-CN"/>
              </w:rPr>
            </w:pPr>
            <w:r>
              <w:rPr>
                <w:rFonts w:hint="eastAsia" w:ascii="Times New Roman" w:hAnsi="Times New Roman" w:eastAsia="华文中宋" w:cs="Times New Roman"/>
                <w:b w:val="0"/>
                <w:bCs w:val="0"/>
                <w:szCs w:val="21"/>
                <w:lang w:val="en-US" w:eastAsia="zh-CN"/>
              </w:rPr>
              <w:t>隶属行政区</w:t>
            </w:r>
          </w:p>
        </w:tc>
        <w:tc>
          <w:tcPr>
            <w:tcW w:w="848" w:type="dxa"/>
            <w:vMerge w:val="restart"/>
            <w:vAlign w:val="center"/>
          </w:tcPr>
          <w:p w14:paraId="3B26A551">
            <w:pPr>
              <w:spacing w:line="300" w:lineRule="exact"/>
              <w:jc w:val="center"/>
              <w:rPr>
                <w:rFonts w:hint="default" w:ascii="Times New Roman" w:hAnsi="Times New Roman" w:eastAsia="华文中宋" w:cs="Times New Roman"/>
                <w:b w:val="0"/>
                <w:bCs w:val="0"/>
                <w:szCs w:val="21"/>
                <w:lang w:val="en-US" w:eastAsia="zh-CN"/>
              </w:rPr>
            </w:pPr>
            <w:r>
              <w:rPr>
                <w:rFonts w:hint="eastAsia" w:ascii="Times New Roman" w:hAnsi="Times New Roman" w:eastAsia="华文中宋" w:cs="Times New Roman"/>
                <w:b w:val="0"/>
                <w:bCs w:val="0"/>
                <w:szCs w:val="21"/>
                <w:lang w:val="en-US" w:eastAsia="zh-CN"/>
              </w:rPr>
              <w:t>主要生态服务区</w:t>
            </w:r>
          </w:p>
        </w:tc>
        <w:tc>
          <w:tcPr>
            <w:tcW w:w="848" w:type="dxa"/>
            <w:vMerge w:val="restart"/>
            <w:vAlign w:val="center"/>
          </w:tcPr>
          <w:p w14:paraId="1D52519F">
            <w:pPr>
              <w:spacing w:line="300" w:lineRule="exact"/>
              <w:jc w:val="center"/>
              <w:rPr>
                <w:rFonts w:hint="default" w:ascii="Times New Roman" w:hAnsi="Times New Roman" w:eastAsia="华文中宋" w:cs="Times New Roman"/>
                <w:b w:val="0"/>
                <w:bCs w:val="0"/>
                <w:szCs w:val="21"/>
                <w:lang w:val="en-US" w:eastAsia="zh-CN"/>
              </w:rPr>
            </w:pPr>
            <w:r>
              <w:rPr>
                <w:rFonts w:hint="eastAsia" w:ascii="Times New Roman" w:hAnsi="Times New Roman" w:eastAsia="华文中宋" w:cs="Times New Roman"/>
                <w:b w:val="0"/>
                <w:bCs w:val="0"/>
                <w:szCs w:val="21"/>
                <w:lang w:val="en-US" w:eastAsia="zh-CN"/>
              </w:rPr>
              <w:t>主要环境问题</w:t>
            </w:r>
          </w:p>
        </w:tc>
        <w:tc>
          <w:tcPr>
            <w:tcW w:w="843" w:type="dxa"/>
            <w:vMerge w:val="restart"/>
            <w:vAlign w:val="center"/>
          </w:tcPr>
          <w:p w14:paraId="5FC8EBED">
            <w:pPr>
              <w:spacing w:line="300" w:lineRule="exact"/>
              <w:jc w:val="center"/>
              <w:rPr>
                <w:rFonts w:hint="default" w:ascii="Times New Roman" w:hAnsi="Times New Roman" w:eastAsia="华文中宋" w:cs="Times New Roman"/>
                <w:b w:val="0"/>
                <w:bCs w:val="0"/>
                <w:szCs w:val="21"/>
                <w:lang w:val="en-US" w:eastAsia="zh-CN"/>
              </w:rPr>
            </w:pPr>
            <w:r>
              <w:rPr>
                <w:rFonts w:hint="eastAsia" w:ascii="Times New Roman" w:hAnsi="Times New Roman" w:eastAsia="华文中宋" w:cs="Times New Roman"/>
                <w:b w:val="0"/>
                <w:bCs w:val="0"/>
                <w:szCs w:val="21"/>
                <w:lang w:val="en-US" w:eastAsia="zh-CN"/>
              </w:rPr>
              <w:t>生态敏感因子敏感程度</w:t>
            </w:r>
          </w:p>
        </w:tc>
        <w:tc>
          <w:tcPr>
            <w:tcW w:w="848" w:type="dxa"/>
            <w:vMerge w:val="restart"/>
            <w:vAlign w:val="center"/>
          </w:tcPr>
          <w:p w14:paraId="78852F0E">
            <w:pPr>
              <w:spacing w:line="300" w:lineRule="exact"/>
              <w:jc w:val="center"/>
              <w:rPr>
                <w:rFonts w:hint="default" w:ascii="Times New Roman" w:hAnsi="Times New Roman" w:eastAsia="华文中宋" w:cs="Times New Roman"/>
                <w:b w:val="0"/>
                <w:bCs w:val="0"/>
                <w:szCs w:val="21"/>
                <w:lang w:val="en-US" w:eastAsia="zh-CN"/>
              </w:rPr>
            </w:pPr>
            <w:r>
              <w:rPr>
                <w:rFonts w:hint="eastAsia" w:ascii="Times New Roman" w:hAnsi="Times New Roman" w:eastAsia="华文中宋" w:cs="Times New Roman"/>
                <w:b w:val="0"/>
                <w:bCs w:val="0"/>
                <w:szCs w:val="21"/>
                <w:lang w:val="en-US" w:eastAsia="zh-CN"/>
              </w:rPr>
              <w:t>保护目标</w:t>
            </w:r>
          </w:p>
        </w:tc>
        <w:tc>
          <w:tcPr>
            <w:tcW w:w="877" w:type="dxa"/>
            <w:vMerge w:val="restart"/>
            <w:vAlign w:val="center"/>
          </w:tcPr>
          <w:p w14:paraId="21175723">
            <w:pPr>
              <w:spacing w:line="300" w:lineRule="exact"/>
              <w:jc w:val="center"/>
              <w:rPr>
                <w:rFonts w:hint="default" w:ascii="Times New Roman" w:hAnsi="Times New Roman" w:eastAsia="华文中宋" w:cs="Times New Roman"/>
                <w:b w:val="0"/>
                <w:bCs w:val="0"/>
                <w:szCs w:val="21"/>
                <w:lang w:val="en-US" w:eastAsia="zh-CN"/>
              </w:rPr>
            </w:pPr>
            <w:r>
              <w:rPr>
                <w:rFonts w:hint="eastAsia" w:ascii="Times New Roman" w:hAnsi="Times New Roman" w:eastAsia="华文中宋" w:cs="Times New Roman"/>
                <w:b w:val="0"/>
                <w:bCs w:val="0"/>
                <w:szCs w:val="21"/>
                <w:lang w:val="en-US" w:eastAsia="zh-CN"/>
              </w:rPr>
              <w:t>保护措施</w:t>
            </w:r>
          </w:p>
        </w:tc>
        <w:tc>
          <w:tcPr>
            <w:tcW w:w="877" w:type="dxa"/>
            <w:vMerge w:val="restart"/>
            <w:vAlign w:val="center"/>
          </w:tcPr>
          <w:p w14:paraId="26B9D1CC">
            <w:pPr>
              <w:spacing w:line="300" w:lineRule="exact"/>
              <w:jc w:val="center"/>
              <w:rPr>
                <w:rFonts w:hint="default" w:ascii="Times New Roman" w:hAnsi="Times New Roman" w:eastAsia="华文中宋" w:cs="Times New Roman"/>
                <w:b w:val="0"/>
                <w:bCs w:val="0"/>
                <w:szCs w:val="21"/>
                <w:lang w:val="en-US" w:eastAsia="zh-CN"/>
              </w:rPr>
            </w:pPr>
            <w:r>
              <w:rPr>
                <w:rFonts w:hint="eastAsia" w:ascii="Times New Roman" w:hAnsi="Times New Roman" w:eastAsia="华文中宋" w:cs="Times New Roman"/>
                <w:b w:val="0"/>
                <w:bCs w:val="0"/>
                <w:szCs w:val="21"/>
                <w:lang w:val="en-US" w:eastAsia="zh-CN"/>
              </w:rPr>
              <w:t>发展方向</w:t>
            </w:r>
          </w:p>
        </w:tc>
      </w:tr>
      <w:tr w14:paraId="438E3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Align w:val="center"/>
          </w:tcPr>
          <w:p w14:paraId="182414BC">
            <w:pPr>
              <w:spacing w:line="300" w:lineRule="exact"/>
              <w:jc w:val="center"/>
              <w:rPr>
                <w:rFonts w:hint="default" w:ascii="Times New Roman" w:hAnsi="Times New Roman" w:eastAsia="华文中宋" w:cs="Times New Roman"/>
                <w:b w:val="0"/>
                <w:bCs w:val="0"/>
                <w:szCs w:val="21"/>
                <w:lang w:val="en-US" w:eastAsia="zh-CN"/>
              </w:rPr>
            </w:pPr>
            <w:r>
              <w:rPr>
                <w:rFonts w:hint="eastAsia" w:ascii="Times New Roman" w:hAnsi="Times New Roman" w:eastAsia="华文中宋" w:cs="Times New Roman"/>
                <w:b w:val="0"/>
                <w:bCs w:val="0"/>
                <w:szCs w:val="21"/>
                <w:lang w:val="en-US" w:eastAsia="zh-CN"/>
              </w:rPr>
              <w:t>生态区</w:t>
            </w:r>
          </w:p>
        </w:tc>
        <w:tc>
          <w:tcPr>
            <w:tcW w:w="846" w:type="dxa"/>
            <w:vAlign w:val="center"/>
          </w:tcPr>
          <w:p w14:paraId="29B1B777">
            <w:pPr>
              <w:spacing w:line="300" w:lineRule="exact"/>
              <w:jc w:val="center"/>
              <w:rPr>
                <w:rFonts w:hint="default" w:ascii="Times New Roman" w:hAnsi="Times New Roman" w:eastAsia="华文中宋" w:cs="Times New Roman"/>
                <w:b w:val="0"/>
                <w:bCs w:val="0"/>
                <w:szCs w:val="21"/>
                <w:lang w:val="en-US" w:eastAsia="zh-CN"/>
              </w:rPr>
            </w:pPr>
            <w:r>
              <w:rPr>
                <w:rFonts w:hint="eastAsia" w:ascii="Times New Roman" w:hAnsi="Times New Roman" w:eastAsia="华文中宋" w:cs="Times New Roman"/>
                <w:b w:val="0"/>
                <w:bCs w:val="0"/>
                <w:szCs w:val="21"/>
                <w:lang w:val="en-US" w:eastAsia="zh-CN"/>
              </w:rPr>
              <w:t>生态亚区</w:t>
            </w:r>
          </w:p>
        </w:tc>
        <w:tc>
          <w:tcPr>
            <w:tcW w:w="844" w:type="dxa"/>
            <w:vAlign w:val="center"/>
          </w:tcPr>
          <w:p w14:paraId="00D4CB16">
            <w:pPr>
              <w:spacing w:line="300" w:lineRule="exact"/>
              <w:jc w:val="center"/>
              <w:rPr>
                <w:rFonts w:hint="default" w:ascii="Times New Roman" w:hAnsi="Times New Roman" w:eastAsia="华文中宋" w:cs="Times New Roman"/>
                <w:b w:val="0"/>
                <w:bCs w:val="0"/>
                <w:szCs w:val="21"/>
                <w:lang w:val="en-US" w:eastAsia="zh-CN"/>
              </w:rPr>
            </w:pPr>
            <w:r>
              <w:rPr>
                <w:rFonts w:hint="eastAsia" w:ascii="Times New Roman" w:hAnsi="Times New Roman" w:eastAsia="华文中宋" w:cs="Times New Roman"/>
                <w:b w:val="0"/>
                <w:bCs w:val="0"/>
                <w:szCs w:val="21"/>
                <w:lang w:val="en-US" w:eastAsia="zh-CN"/>
              </w:rPr>
              <w:t>生态功能区</w:t>
            </w:r>
          </w:p>
        </w:tc>
        <w:tc>
          <w:tcPr>
            <w:tcW w:w="848" w:type="dxa"/>
            <w:vMerge w:val="continue"/>
            <w:vAlign w:val="center"/>
          </w:tcPr>
          <w:p w14:paraId="6A8C792F">
            <w:pPr>
              <w:spacing w:line="300" w:lineRule="exact"/>
              <w:jc w:val="center"/>
              <w:rPr>
                <w:rFonts w:hint="default" w:ascii="Times New Roman" w:hAnsi="Times New Roman" w:eastAsia="华文中宋" w:cs="Times New Roman"/>
                <w:b w:val="0"/>
                <w:bCs w:val="0"/>
                <w:szCs w:val="21"/>
                <w:lang w:val="en-US" w:eastAsia="zh-CN"/>
              </w:rPr>
            </w:pPr>
          </w:p>
        </w:tc>
        <w:tc>
          <w:tcPr>
            <w:tcW w:w="848" w:type="dxa"/>
            <w:vMerge w:val="continue"/>
            <w:vAlign w:val="center"/>
          </w:tcPr>
          <w:p w14:paraId="0E731FD4">
            <w:pPr>
              <w:spacing w:line="300" w:lineRule="exact"/>
              <w:jc w:val="center"/>
              <w:rPr>
                <w:rFonts w:hint="default" w:ascii="Times New Roman" w:hAnsi="Times New Roman" w:eastAsia="华文中宋" w:cs="Times New Roman"/>
                <w:b w:val="0"/>
                <w:bCs w:val="0"/>
                <w:szCs w:val="21"/>
                <w:lang w:val="en-US" w:eastAsia="zh-CN"/>
              </w:rPr>
            </w:pPr>
          </w:p>
        </w:tc>
        <w:tc>
          <w:tcPr>
            <w:tcW w:w="848" w:type="dxa"/>
            <w:vMerge w:val="continue"/>
            <w:vAlign w:val="center"/>
          </w:tcPr>
          <w:p w14:paraId="74461CA4">
            <w:pPr>
              <w:spacing w:line="300" w:lineRule="exact"/>
              <w:jc w:val="center"/>
              <w:rPr>
                <w:rFonts w:hint="default" w:ascii="Times New Roman" w:hAnsi="Times New Roman" w:eastAsia="华文中宋" w:cs="Times New Roman"/>
                <w:b w:val="0"/>
                <w:bCs w:val="0"/>
                <w:szCs w:val="21"/>
                <w:lang w:val="en-US" w:eastAsia="zh-CN"/>
              </w:rPr>
            </w:pPr>
          </w:p>
        </w:tc>
        <w:tc>
          <w:tcPr>
            <w:tcW w:w="843" w:type="dxa"/>
            <w:vMerge w:val="continue"/>
            <w:vAlign w:val="center"/>
          </w:tcPr>
          <w:p w14:paraId="4E4732E8">
            <w:pPr>
              <w:spacing w:line="300" w:lineRule="exact"/>
              <w:jc w:val="center"/>
              <w:rPr>
                <w:rFonts w:hint="default" w:ascii="Times New Roman" w:hAnsi="Times New Roman" w:eastAsia="华文中宋" w:cs="Times New Roman"/>
                <w:b w:val="0"/>
                <w:bCs w:val="0"/>
                <w:szCs w:val="21"/>
                <w:lang w:val="en-US" w:eastAsia="zh-CN"/>
              </w:rPr>
            </w:pPr>
          </w:p>
        </w:tc>
        <w:tc>
          <w:tcPr>
            <w:tcW w:w="848" w:type="dxa"/>
            <w:vMerge w:val="continue"/>
            <w:vAlign w:val="center"/>
          </w:tcPr>
          <w:p w14:paraId="163CAA9E">
            <w:pPr>
              <w:spacing w:line="300" w:lineRule="exact"/>
              <w:jc w:val="center"/>
              <w:rPr>
                <w:rFonts w:hint="default" w:ascii="Times New Roman" w:hAnsi="Times New Roman" w:eastAsia="华文中宋" w:cs="Times New Roman"/>
                <w:b w:val="0"/>
                <w:bCs w:val="0"/>
                <w:szCs w:val="21"/>
                <w:lang w:val="en-US" w:eastAsia="zh-CN"/>
              </w:rPr>
            </w:pPr>
          </w:p>
        </w:tc>
        <w:tc>
          <w:tcPr>
            <w:tcW w:w="877" w:type="dxa"/>
            <w:vMerge w:val="continue"/>
            <w:vAlign w:val="center"/>
          </w:tcPr>
          <w:p w14:paraId="41D0A1E5">
            <w:pPr>
              <w:spacing w:line="300" w:lineRule="exact"/>
              <w:jc w:val="center"/>
              <w:rPr>
                <w:rFonts w:hint="default" w:ascii="Times New Roman" w:hAnsi="Times New Roman" w:eastAsia="华文中宋" w:cs="Times New Roman"/>
                <w:b w:val="0"/>
                <w:bCs w:val="0"/>
                <w:szCs w:val="21"/>
                <w:lang w:val="en-US" w:eastAsia="zh-CN"/>
              </w:rPr>
            </w:pPr>
          </w:p>
        </w:tc>
        <w:tc>
          <w:tcPr>
            <w:tcW w:w="877" w:type="dxa"/>
            <w:vMerge w:val="continue"/>
            <w:vAlign w:val="center"/>
          </w:tcPr>
          <w:p w14:paraId="2CD8FEF0">
            <w:pPr>
              <w:spacing w:line="300" w:lineRule="exact"/>
              <w:jc w:val="center"/>
              <w:rPr>
                <w:rFonts w:hint="default" w:ascii="Times New Roman" w:hAnsi="Times New Roman" w:eastAsia="华文中宋" w:cs="Times New Roman"/>
                <w:b w:val="0"/>
                <w:bCs w:val="0"/>
                <w:szCs w:val="21"/>
                <w:lang w:val="en-US" w:eastAsia="zh-CN"/>
              </w:rPr>
            </w:pPr>
          </w:p>
        </w:tc>
      </w:tr>
      <w:tr w14:paraId="595DD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Align w:val="center"/>
          </w:tcPr>
          <w:p w14:paraId="6CF1C5CF">
            <w:pPr>
              <w:spacing w:line="300" w:lineRule="exact"/>
              <w:jc w:val="center"/>
              <w:rPr>
                <w:rFonts w:hint="default" w:ascii="Times New Roman" w:hAnsi="Times New Roman" w:eastAsia="华文中宋" w:cs="Times New Roman"/>
                <w:b w:val="0"/>
                <w:bCs w:val="0"/>
                <w:szCs w:val="21"/>
                <w:lang w:val="en-US" w:eastAsia="zh-CN"/>
              </w:rPr>
            </w:pPr>
            <w:r>
              <w:rPr>
                <w:rFonts w:hint="eastAsia" w:ascii="Times New Roman" w:hAnsi="Times New Roman" w:eastAsia="华文中宋" w:cs="Times New Roman"/>
                <w:b w:val="0"/>
                <w:bCs w:val="0"/>
                <w:szCs w:val="21"/>
                <w:lang w:val="en-US" w:eastAsia="zh-CN"/>
              </w:rPr>
              <w:t>Ⅴ帕米尔－昆仑山－阿尔金山荒漠干旱草原生态区</w:t>
            </w:r>
          </w:p>
        </w:tc>
        <w:tc>
          <w:tcPr>
            <w:tcW w:w="846" w:type="dxa"/>
            <w:vAlign w:val="center"/>
          </w:tcPr>
          <w:p w14:paraId="0196C24F">
            <w:pPr>
              <w:spacing w:line="300" w:lineRule="exact"/>
              <w:jc w:val="center"/>
              <w:rPr>
                <w:rFonts w:hint="default" w:ascii="Times New Roman" w:hAnsi="Times New Roman" w:eastAsia="华文中宋" w:cs="Times New Roman"/>
                <w:b w:val="0"/>
                <w:bCs w:val="0"/>
                <w:szCs w:val="21"/>
                <w:lang w:val="en-US" w:eastAsia="zh-CN"/>
              </w:rPr>
            </w:pPr>
            <w:r>
              <w:rPr>
                <w:rFonts w:hint="eastAsia" w:ascii="Times New Roman" w:hAnsi="Times New Roman" w:eastAsia="华文中宋" w:cs="Times New Roman"/>
                <w:b w:val="0"/>
                <w:bCs w:val="0"/>
                <w:szCs w:val="21"/>
                <w:lang w:val="en-US" w:eastAsia="zh-CN"/>
              </w:rPr>
              <w:t>Ⅴ2昆仑山高寒草原侵蚀控制生态亚区</w:t>
            </w:r>
          </w:p>
        </w:tc>
        <w:tc>
          <w:tcPr>
            <w:tcW w:w="844" w:type="dxa"/>
            <w:vAlign w:val="center"/>
          </w:tcPr>
          <w:p w14:paraId="1408871F">
            <w:pPr>
              <w:spacing w:line="300" w:lineRule="exact"/>
              <w:jc w:val="center"/>
              <w:rPr>
                <w:rFonts w:hint="default" w:ascii="Times New Roman" w:hAnsi="Times New Roman" w:eastAsia="华文中宋" w:cs="Times New Roman"/>
                <w:b w:val="0"/>
                <w:bCs w:val="0"/>
                <w:szCs w:val="21"/>
                <w:lang w:val="en-US" w:eastAsia="zh-CN"/>
              </w:rPr>
            </w:pPr>
            <w:r>
              <w:rPr>
                <w:rFonts w:hint="eastAsia" w:ascii="Times New Roman" w:hAnsi="Times New Roman" w:eastAsia="华文中宋" w:cs="Times New Roman"/>
                <w:b w:val="0"/>
                <w:bCs w:val="0"/>
                <w:szCs w:val="21"/>
                <w:lang w:val="en-US" w:eastAsia="zh-CN"/>
              </w:rPr>
              <w:t>74.中昆仑山高寒荒漠草原保护生态功能区</w:t>
            </w:r>
          </w:p>
        </w:tc>
        <w:tc>
          <w:tcPr>
            <w:tcW w:w="848" w:type="dxa"/>
            <w:vAlign w:val="center"/>
          </w:tcPr>
          <w:p w14:paraId="444F39B1">
            <w:pPr>
              <w:spacing w:line="300" w:lineRule="exact"/>
              <w:jc w:val="center"/>
              <w:rPr>
                <w:rFonts w:hint="default" w:ascii="Times New Roman" w:hAnsi="Times New Roman" w:eastAsia="华文中宋" w:cs="Times New Roman"/>
                <w:b w:val="0"/>
                <w:bCs w:val="0"/>
                <w:szCs w:val="21"/>
                <w:lang w:val="en-US" w:eastAsia="zh-CN"/>
              </w:rPr>
            </w:pPr>
            <w:r>
              <w:rPr>
                <w:rFonts w:hint="eastAsia" w:ascii="Times New Roman" w:hAnsi="Times New Roman" w:eastAsia="华文中宋" w:cs="Times New Roman"/>
                <w:b w:val="0"/>
                <w:bCs w:val="0"/>
                <w:szCs w:val="21"/>
                <w:lang w:val="en-US" w:eastAsia="zh-CN"/>
              </w:rPr>
              <w:t>皮山县、墨玉县、和田县、洛浦县、策勒县、于田县、民丰县</w:t>
            </w:r>
          </w:p>
        </w:tc>
        <w:tc>
          <w:tcPr>
            <w:tcW w:w="848" w:type="dxa"/>
            <w:vAlign w:val="center"/>
          </w:tcPr>
          <w:p w14:paraId="1BFDFD69">
            <w:pPr>
              <w:spacing w:line="300" w:lineRule="exact"/>
              <w:jc w:val="center"/>
              <w:rPr>
                <w:rFonts w:hint="default" w:ascii="Times New Roman" w:hAnsi="Times New Roman" w:eastAsia="华文中宋" w:cs="Times New Roman"/>
                <w:b w:val="0"/>
                <w:bCs w:val="0"/>
                <w:szCs w:val="21"/>
                <w:lang w:val="en-US" w:eastAsia="zh-CN"/>
              </w:rPr>
            </w:pPr>
            <w:r>
              <w:rPr>
                <w:rFonts w:hint="eastAsia" w:ascii="Times New Roman" w:hAnsi="Times New Roman" w:eastAsia="华文中宋" w:cs="Times New Roman"/>
                <w:b w:val="0"/>
                <w:bCs w:val="0"/>
                <w:szCs w:val="21"/>
                <w:lang w:val="en-US" w:eastAsia="zh-CN"/>
              </w:rPr>
              <w:t>土壤保持、生物多样性维护</w:t>
            </w:r>
          </w:p>
        </w:tc>
        <w:tc>
          <w:tcPr>
            <w:tcW w:w="848" w:type="dxa"/>
            <w:vAlign w:val="center"/>
          </w:tcPr>
          <w:p w14:paraId="4163A003">
            <w:pPr>
              <w:spacing w:line="300" w:lineRule="exact"/>
              <w:jc w:val="center"/>
              <w:rPr>
                <w:rFonts w:hint="default" w:ascii="Times New Roman" w:hAnsi="Times New Roman" w:eastAsia="华文中宋" w:cs="Times New Roman"/>
                <w:b w:val="0"/>
                <w:bCs w:val="0"/>
                <w:szCs w:val="21"/>
                <w:lang w:val="en-US" w:eastAsia="zh-CN"/>
              </w:rPr>
            </w:pPr>
            <w:r>
              <w:rPr>
                <w:rFonts w:hint="eastAsia" w:ascii="Times New Roman" w:hAnsi="Times New Roman" w:eastAsia="华文中宋" w:cs="Times New Roman"/>
                <w:b w:val="0"/>
                <w:bCs w:val="0"/>
                <w:szCs w:val="21"/>
                <w:lang w:val="en-US" w:eastAsia="zh-CN"/>
              </w:rPr>
              <w:t>草原过牧退化、草场虫害鼠害严重、人畜饮用水缺乏、樵采破坏山地草场</w:t>
            </w:r>
          </w:p>
        </w:tc>
        <w:tc>
          <w:tcPr>
            <w:tcW w:w="843" w:type="dxa"/>
            <w:vAlign w:val="center"/>
          </w:tcPr>
          <w:p w14:paraId="1296AADD">
            <w:pPr>
              <w:spacing w:line="300" w:lineRule="exact"/>
              <w:jc w:val="center"/>
              <w:rPr>
                <w:rFonts w:hint="default" w:ascii="Times New Roman" w:hAnsi="Times New Roman" w:eastAsia="华文中宋" w:cs="Times New Roman"/>
                <w:b w:val="0"/>
                <w:bCs w:val="0"/>
                <w:szCs w:val="21"/>
                <w:lang w:val="en-US" w:eastAsia="zh-CN"/>
              </w:rPr>
            </w:pPr>
            <w:r>
              <w:rPr>
                <w:rFonts w:hint="eastAsia" w:ascii="Times New Roman" w:hAnsi="Times New Roman" w:eastAsia="华文中宋" w:cs="Times New Roman"/>
                <w:b w:val="0"/>
                <w:bCs w:val="0"/>
                <w:szCs w:val="21"/>
                <w:lang w:val="en-US" w:eastAsia="zh-CN"/>
              </w:rPr>
              <w:t>生物多样性及其生境高度敏感</w:t>
            </w:r>
          </w:p>
        </w:tc>
        <w:tc>
          <w:tcPr>
            <w:tcW w:w="848" w:type="dxa"/>
            <w:vAlign w:val="center"/>
          </w:tcPr>
          <w:p w14:paraId="52262701">
            <w:pPr>
              <w:spacing w:line="300" w:lineRule="exact"/>
              <w:jc w:val="center"/>
              <w:rPr>
                <w:rFonts w:hint="default" w:ascii="Times New Roman" w:hAnsi="Times New Roman" w:eastAsia="华文中宋" w:cs="Times New Roman"/>
                <w:b w:val="0"/>
                <w:bCs w:val="0"/>
                <w:szCs w:val="21"/>
                <w:lang w:val="en-US" w:eastAsia="zh-CN"/>
              </w:rPr>
            </w:pPr>
            <w:r>
              <w:rPr>
                <w:rFonts w:hint="eastAsia" w:ascii="Times New Roman" w:hAnsi="Times New Roman" w:eastAsia="华文中宋" w:cs="Times New Roman"/>
                <w:b w:val="0"/>
                <w:bCs w:val="0"/>
                <w:szCs w:val="21"/>
                <w:lang w:val="en-US" w:eastAsia="zh-CN"/>
              </w:rPr>
              <w:t>保护草地植被、保护野生动物</w:t>
            </w:r>
          </w:p>
        </w:tc>
        <w:tc>
          <w:tcPr>
            <w:tcW w:w="877" w:type="dxa"/>
            <w:vAlign w:val="center"/>
          </w:tcPr>
          <w:p w14:paraId="530FA8DD">
            <w:pPr>
              <w:spacing w:line="300" w:lineRule="exact"/>
              <w:jc w:val="center"/>
              <w:rPr>
                <w:rFonts w:hint="default" w:ascii="Times New Roman" w:hAnsi="Times New Roman" w:eastAsia="华文中宋" w:cs="Times New Roman"/>
                <w:b w:val="0"/>
                <w:bCs w:val="0"/>
                <w:szCs w:val="21"/>
                <w:lang w:val="en-US" w:eastAsia="zh-CN"/>
              </w:rPr>
            </w:pPr>
            <w:r>
              <w:rPr>
                <w:rFonts w:hint="eastAsia" w:ascii="Times New Roman" w:hAnsi="Times New Roman" w:eastAsia="华文中宋" w:cs="Times New Roman"/>
                <w:b w:val="0"/>
                <w:bCs w:val="0"/>
                <w:szCs w:val="21"/>
                <w:lang w:val="en-US" w:eastAsia="zh-CN"/>
              </w:rPr>
              <w:t>高寒草场退牧、对牧民实行生态搬迁</w:t>
            </w:r>
          </w:p>
        </w:tc>
        <w:tc>
          <w:tcPr>
            <w:tcW w:w="877" w:type="dxa"/>
            <w:vAlign w:val="center"/>
          </w:tcPr>
          <w:p w14:paraId="159FE416">
            <w:pPr>
              <w:spacing w:line="300" w:lineRule="exact"/>
              <w:jc w:val="center"/>
              <w:rPr>
                <w:rFonts w:hint="default" w:ascii="Times New Roman" w:hAnsi="Times New Roman" w:eastAsia="华文中宋" w:cs="Times New Roman"/>
                <w:b w:val="0"/>
                <w:bCs w:val="0"/>
                <w:szCs w:val="21"/>
                <w:lang w:val="en-US" w:eastAsia="zh-CN"/>
              </w:rPr>
            </w:pPr>
            <w:r>
              <w:rPr>
                <w:rFonts w:hint="eastAsia" w:ascii="Times New Roman" w:hAnsi="Times New Roman" w:eastAsia="华文中宋" w:cs="Times New Roman"/>
                <w:b w:val="0"/>
                <w:bCs w:val="0"/>
                <w:szCs w:val="21"/>
                <w:lang w:val="en-US" w:eastAsia="zh-CN"/>
              </w:rPr>
              <w:t>实施高山牧民生态搬迁和定居舍饲，保持草地生态平衡，发挥涵养水源作用</w:t>
            </w:r>
          </w:p>
        </w:tc>
      </w:tr>
    </w:tbl>
    <w:p w14:paraId="311C312E">
      <w:pPr>
        <w:adjustRightInd w:val="0"/>
        <w:snapToGrid w:val="0"/>
        <w:spacing w:line="500" w:lineRule="exact"/>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b/>
          <w:bCs/>
          <w:sz w:val="24"/>
          <w:lang w:val="en-US" w:eastAsia="zh-CN"/>
        </w:rPr>
        <w:t>4.2.7.2周边生态敏感区情况</w:t>
      </w:r>
    </w:p>
    <w:p w14:paraId="69D01F27">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项目区生态评价范围东侧约1.6km处为新疆民丰西昆仑高原有蹄类重要栖息地。</w:t>
      </w:r>
    </w:p>
    <w:p w14:paraId="65BFD42D">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2023年11月30日，国家林业和草原局公布《陆生野生动物重要栖息地名录（第一批）》，新疆民丰西昆仑高原有蹄类重要栖息地入选，新疆民丰西昆仑高原有蹄类重要栖息地位于和田地区。</w:t>
      </w:r>
    </w:p>
    <w:p w14:paraId="1AA511A7">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新疆民丰西昆仑高原有蹄类重要栖息地位于和田地区民丰县境内，地处昆仑山脉西段，属于高海拔地区；以高原山地为主，海拔通常在3000米以上，地形复杂，包括高山、峡谷、草甸和荒漠等多种地貌；属于高原寒带干旱气候，冬季寒冷，夏季凉爽，降水稀少，昼夜温差大；以高山草甸、荒漠草原和灌丛为主，植被覆盖率较低，但具有重要的生态功能；该区域是高原有蹄类动物的重要栖息地，拥有独特的生态系统和丰富的野生动植物资源。</w:t>
      </w:r>
      <w:r>
        <w:rPr>
          <w:rFonts w:hint="eastAsia" w:ascii="Times New Roman" w:hAnsi="Times New Roman" w:eastAsia="华文中宋" w:cs="Times New Roman"/>
          <w:sz w:val="24"/>
          <w:highlight w:val="none"/>
          <w:lang w:val="en-US" w:eastAsia="zh-CN"/>
        </w:rPr>
        <w:t>本项目与新疆民丰西昆仑高原有蹄类重要栖息地的位置关系见图4.2-2。</w:t>
      </w:r>
    </w:p>
    <w:p w14:paraId="10F772C6">
      <w:pPr>
        <w:adjustRightInd w:val="0"/>
        <w:snapToGrid w:val="0"/>
        <w:spacing w:line="500" w:lineRule="exact"/>
        <w:jc w:val="left"/>
        <w:rPr>
          <w:rFonts w:hint="eastAsia" w:ascii="Times New Roman" w:hAnsi="Times New Roman" w:eastAsia="华文中宋" w:cs="Times New Roman"/>
          <w:b/>
          <w:bCs/>
          <w:sz w:val="24"/>
          <w:lang w:val="en-US" w:eastAsia="zh-CN"/>
        </w:rPr>
      </w:pPr>
      <w:r>
        <w:rPr>
          <w:rFonts w:hint="eastAsia" w:ascii="Times New Roman" w:hAnsi="Times New Roman" w:eastAsia="华文中宋" w:cs="Times New Roman"/>
          <w:b/>
          <w:bCs/>
          <w:sz w:val="24"/>
          <w:lang w:val="en-US" w:eastAsia="zh-CN"/>
        </w:rPr>
        <w:t>4.2.7.3生态系统现状调查</w:t>
      </w:r>
    </w:p>
    <w:p w14:paraId="51C72771">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生态系统是指在一定时空范围内，由生物群落中的一切有机体与其环境组成的具有一定结构和功能的综合统一体。生态系统多样性分析是在陆生动植物生态调查、分析评价的基础上，运用生态学原理进行的由此及彼、由表及里、由局部到整体的综合研究过程。进行生态系统分析主要是为了深入认识生态系统的内在本质和外在表征，明确区域主要生态环境问题，认识评价区域不同生态系统之间和各生态因子间的相互关系，分析区域资源优势，以及生态环境与社会经济的相互联系等等，从而为进一步的评价工作奠定基础。</w:t>
      </w:r>
    </w:p>
    <w:p w14:paraId="1EACE423">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（1）生态系统类型及组成分析</w:t>
      </w:r>
    </w:p>
    <w:p w14:paraId="1D2830BF">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按照《全国生态状况调查评估技术规范—生态系统遥感解译与野外核查》（HJ 1166-2021），依据评价区的自然地理条件和植被资源情况，评价区生态系统类型</w:t>
      </w:r>
      <w:r>
        <w:rPr>
          <w:rFonts w:hint="eastAsia" w:ascii="Times New Roman" w:hAnsi="Times New Roman" w:eastAsia="华文中宋" w:cs="Times New Roman"/>
          <w:sz w:val="24"/>
          <w:lang w:val="en-US" w:eastAsia="zh-CN"/>
        </w:rPr>
        <w:t>主要为稀疏草地生态系统、湖泊生态系统、裸地生态系统</w:t>
      </w:r>
      <w:r>
        <w:rPr>
          <w:rFonts w:hint="default" w:ascii="Times New Roman" w:hAnsi="Times New Roman" w:eastAsia="华文中宋" w:cs="Times New Roman"/>
          <w:sz w:val="24"/>
          <w:lang w:val="en-US" w:eastAsia="zh-CN"/>
        </w:rPr>
        <w:t>，</w:t>
      </w:r>
      <w:r>
        <w:rPr>
          <w:rFonts w:hint="eastAsia" w:ascii="Times New Roman" w:hAnsi="Times New Roman" w:eastAsia="华文中宋" w:cs="Times New Roman"/>
          <w:sz w:val="24"/>
          <w:lang w:val="en-US" w:eastAsia="zh-CN"/>
        </w:rPr>
        <w:t>评价范围内生态系统类型及面积见下表，评价范围内生态系统分布情况见表4.2-13。</w:t>
      </w:r>
    </w:p>
    <w:p w14:paraId="49BC131A">
      <w:pPr>
        <w:adjustRightInd w:val="0"/>
        <w:snapToGrid w:val="0"/>
        <w:spacing w:before="250" w:beforeLines="50"/>
        <w:ind w:firstLine="422" w:firstLineChars="200"/>
        <w:jc w:val="center"/>
        <w:rPr>
          <w:rFonts w:hint="eastAsia" w:ascii="Times New Roman" w:hAnsi="Times New Roman" w:eastAsia="华文中宋" w:cs="Times New Roman"/>
          <w:b/>
          <w:szCs w:val="21"/>
          <w:lang w:val="en-US" w:eastAsia="zh-CN"/>
        </w:rPr>
      </w:pPr>
      <w:r>
        <w:rPr>
          <w:rFonts w:hint="eastAsia" w:ascii="Times New Roman" w:hAnsi="Times New Roman" w:eastAsia="华文中宋" w:cs="Times New Roman"/>
          <w:b/>
          <w:szCs w:val="21"/>
          <w:lang w:val="en-US" w:eastAsia="zh-CN"/>
        </w:rPr>
        <w:t>表4.2-13  评价范围内生态系统类型及面积示意表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2878"/>
        <w:gridCol w:w="2131"/>
        <w:gridCol w:w="2131"/>
      </w:tblGrid>
      <w:tr w14:paraId="3D071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tcPr>
          <w:p w14:paraId="393C0EDB">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序号</w:t>
            </w:r>
          </w:p>
        </w:tc>
        <w:tc>
          <w:tcPr>
            <w:tcW w:w="2878" w:type="dxa"/>
          </w:tcPr>
          <w:p w14:paraId="554E2B20">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系统类型</w:t>
            </w:r>
          </w:p>
        </w:tc>
        <w:tc>
          <w:tcPr>
            <w:tcW w:w="2131" w:type="dxa"/>
          </w:tcPr>
          <w:p w14:paraId="2DF9C89D">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面积（m</w:t>
            </w:r>
            <w:r>
              <w:rPr>
                <w:rFonts w:hint="eastAsia" w:ascii="Times New Roman" w:hAnsi="Times New Roman" w:eastAsia="华文中宋" w:cs="Times New Roman"/>
                <w:szCs w:val="21"/>
                <w:highlight w:val="none"/>
                <w:vertAlign w:val="superscript"/>
                <w:lang w:val="en-US" w:eastAsia="zh-CN"/>
              </w:rPr>
              <w:t>2</w:t>
            </w:r>
            <w:r>
              <w:rPr>
                <w:rFonts w:hint="eastAsia" w:ascii="Times New Roman" w:hAnsi="Times New Roman" w:eastAsia="华文中宋" w:cs="Times New Roman"/>
                <w:szCs w:val="21"/>
                <w:highlight w:val="none"/>
                <w:lang w:val="en-US" w:eastAsia="zh-CN"/>
              </w:rPr>
              <w:t>）</w:t>
            </w:r>
          </w:p>
        </w:tc>
        <w:tc>
          <w:tcPr>
            <w:tcW w:w="2131" w:type="dxa"/>
          </w:tcPr>
          <w:p w14:paraId="5A0EF8CA">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占总面积比例</w:t>
            </w:r>
          </w:p>
        </w:tc>
      </w:tr>
      <w:tr w14:paraId="6F9B1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382" w:type="dxa"/>
          </w:tcPr>
          <w:p w14:paraId="31637DF9">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w:t>
            </w:r>
          </w:p>
        </w:tc>
        <w:tc>
          <w:tcPr>
            <w:tcW w:w="2878" w:type="dxa"/>
          </w:tcPr>
          <w:p w14:paraId="3EC172D7">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稀疏草地生态系统</w:t>
            </w:r>
          </w:p>
        </w:tc>
        <w:tc>
          <w:tcPr>
            <w:tcW w:w="2131" w:type="dxa"/>
          </w:tcPr>
          <w:p w14:paraId="7AB01D9C">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158866179.56</w:t>
            </w:r>
          </w:p>
        </w:tc>
        <w:tc>
          <w:tcPr>
            <w:tcW w:w="2131" w:type="dxa"/>
          </w:tcPr>
          <w:p w14:paraId="2DCC941F">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49.5%</w:t>
            </w:r>
          </w:p>
        </w:tc>
      </w:tr>
      <w:tr w14:paraId="50AF3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tcPr>
          <w:p w14:paraId="002D98B8">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2</w:t>
            </w:r>
          </w:p>
        </w:tc>
        <w:tc>
          <w:tcPr>
            <w:tcW w:w="2878" w:type="dxa"/>
          </w:tcPr>
          <w:p w14:paraId="3DBFC311">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湖泊生态系统</w:t>
            </w:r>
          </w:p>
        </w:tc>
        <w:tc>
          <w:tcPr>
            <w:tcW w:w="2131" w:type="dxa"/>
          </w:tcPr>
          <w:p w14:paraId="501AF338">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1121851.08</w:t>
            </w:r>
          </w:p>
        </w:tc>
        <w:tc>
          <w:tcPr>
            <w:tcW w:w="2131" w:type="dxa"/>
          </w:tcPr>
          <w:p w14:paraId="2CB12D62">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3.5%</w:t>
            </w:r>
          </w:p>
        </w:tc>
      </w:tr>
      <w:tr w14:paraId="67AD6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tcPr>
          <w:p w14:paraId="0C0C3691">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3</w:t>
            </w:r>
          </w:p>
        </w:tc>
        <w:tc>
          <w:tcPr>
            <w:tcW w:w="2878" w:type="dxa"/>
          </w:tcPr>
          <w:p w14:paraId="32BA3839">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裸地生态系统</w:t>
            </w:r>
          </w:p>
        </w:tc>
        <w:tc>
          <w:tcPr>
            <w:tcW w:w="2131" w:type="dxa"/>
          </w:tcPr>
          <w:p w14:paraId="4F14108B">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15064857.36</w:t>
            </w:r>
          </w:p>
        </w:tc>
        <w:tc>
          <w:tcPr>
            <w:tcW w:w="2131" w:type="dxa"/>
          </w:tcPr>
          <w:p w14:paraId="395883D9">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47%</w:t>
            </w:r>
          </w:p>
        </w:tc>
      </w:tr>
      <w:tr w14:paraId="58176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0" w:type="dxa"/>
            <w:gridSpan w:val="2"/>
          </w:tcPr>
          <w:p w14:paraId="54EAE729">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合计</w:t>
            </w:r>
          </w:p>
        </w:tc>
        <w:tc>
          <w:tcPr>
            <w:tcW w:w="2131" w:type="dxa"/>
          </w:tcPr>
          <w:p w14:paraId="7845F454">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32052888</w:t>
            </w:r>
          </w:p>
        </w:tc>
        <w:tc>
          <w:tcPr>
            <w:tcW w:w="2131" w:type="dxa"/>
          </w:tcPr>
          <w:p w14:paraId="7AE30484">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100%</w:t>
            </w:r>
          </w:p>
        </w:tc>
      </w:tr>
    </w:tbl>
    <w:p w14:paraId="32A9B157">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①</w:t>
      </w:r>
      <w:r>
        <w:rPr>
          <w:rFonts w:hint="eastAsia" w:ascii="Times New Roman" w:hAnsi="Times New Roman" w:eastAsia="华文中宋" w:cs="Times New Roman"/>
          <w:sz w:val="24"/>
          <w:lang w:val="en-US" w:eastAsia="zh-CN"/>
        </w:rPr>
        <w:t>稀疏</w:t>
      </w:r>
      <w:r>
        <w:rPr>
          <w:rFonts w:hint="default" w:ascii="Times New Roman" w:hAnsi="Times New Roman" w:eastAsia="华文中宋" w:cs="Times New Roman"/>
          <w:sz w:val="24"/>
          <w:lang w:val="en-US" w:eastAsia="zh-CN"/>
        </w:rPr>
        <w:t>草地生态系统</w:t>
      </w:r>
    </w:p>
    <w:p w14:paraId="645B4C94">
      <w:pPr>
        <w:adjustRightInd w:val="0"/>
        <w:snapToGrid w:val="0"/>
        <w:spacing w:line="500" w:lineRule="exact"/>
        <w:ind w:firstLine="480" w:firstLineChars="200"/>
        <w:jc w:val="left"/>
        <w:rPr>
          <w:rFonts w:hint="default" w:ascii="Microsoft Yi Baiti" w:hAnsi="Microsoft Yi Baiti" w:eastAsia="华文中宋" w:cs="Microsoft Yi Baiti"/>
          <w:sz w:val="24"/>
          <w:lang w:val="en-US" w:eastAsia="zh-CN"/>
        </w:rPr>
      </w:pPr>
      <w:r>
        <w:rPr>
          <w:rFonts w:hint="eastAsia" w:ascii="Times New Roman" w:hAnsi="Times New Roman" w:eastAsia="华文中宋" w:cs="Times New Roman"/>
          <w:sz w:val="24"/>
          <w:lang w:val="en-US" w:eastAsia="zh-CN"/>
        </w:rPr>
        <w:t>稀疏</w:t>
      </w:r>
      <w:r>
        <w:rPr>
          <w:rFonts w:hint="default" w:ascii="Times New Roman" w:hAnsi="Times New Roman" w:eastAsia="华文中宋" w:cs="Times New Roman"/>
          <w:sz w:val="24"/>
          <w:lang w:val="en-US" w:eastAsia="zh-CN"/>
        </w:rPr>
        <w:t>草地生态</w:t>
      </w:r>
      <w:r>
        <w:rPr>
          <w:rFonts w:hint="default" w:ascii="Microsoft Yi Baiti" w:hAnsi="Microsoft Yi Baiti" w:eastAsia="华文中宋" w:cs="Microsoft Yi Baiti"/>
          <w:sz w:val="24"/>
          <w:lang w:val="en-US" w:eastAsia="zh-CN"/>
        </w:rPr>
        <w:t>系统主要分布在降水量较少、蒸发量较大的地区，年平均降水量一般在</w:t>
      </w:r>
      <w:r>
        <w:rPr>
          <w:rFonts w:hint="eastAsia" w:ascii="Times New Roman" w:hAnsi="Times New Roman" w:eastAsia="华文中宋" w:cs="Times New Roman"/>
          <w:sz w:val="24"/>
          <w:lang w:val="en-US" w:eastAsia="zh-CN"/>
        </w:rPr>
        <w:t>250～600毫米</w:t>
      </w:r>
      <w:r>
        <w:rPr>
          <w:rFonts w:hint="default" w:ascii="Microsoft Yi Baiti" w:hAnsi="Microsoft Yi Baiti" w:eastAsia="华文中宋" w:cs="Microsoft Yi Baiti"/>
          <w:sz w:val="24"/>
          <w:lang w:val="en-US" w:eastAsia="zh-CN"/>
        </w:rPr>
        <w:t>之间，且降水分布不均，多集中在夏季。草地土壤类型多样，常见的有黑钙土、栗钙土、棕钙土等，土壤有机质含量较高，但土层较薄，容易受到风蚀和水蚀的影响。</w:t>
      </w:r>
    </w:p>
    <w:p w14:paraId="747866FF">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Microsoft Yi Baiti" w:hAnsi="Microsoft Yi Baiti" w:eastAsia="华文中宋" w:cs="Microsoft Yi Baiti"/>
          <w:sz w:val="24"/>
          <w:lang w:val="en-US" w:eastAsia="zh-CN"/>
        </w:rPr>
        <w:t>项目区属于高寒地区，基本不受人为活动影响，评价范围内稀疏草地生态系统面积为</w:t>
      </w:r>
      <w:r>
        <w:rPr>
          <w:rFonts w:hint="eastAsia" w:ascii="Times New Roman" w:hAnsi="Times New Roman" w:eastAsia="华文中宋" w:cs="Times New Roman"/>
          <w:sz w:val="24"/>
          <w:lang w:val="en-US" w:eastAsia="zh-CN"/>
        </w:rPr>
        <w:t>158866179.56m</w:t>
      </w:r>
      <w:r>
        <w:rPr>
          <w:rFonts w:hint="eastAsia" w:ascii="Times New Roman" w:hAnsi="Times New Roman" w:eastAsia="华文中宋" w:cs="Times New Roman"/>
          <w:sz w:val="24"/>
          <w:vertAlign w:val="superscript"/>
          <w:lang w:val="en-US" w:eastAsia="zh-CN"/>
        </w:rPr>
        <w:t>2</w:t>
      </w:r>
      <w:r>
        <w:rPr>
          <w:rFonts w:hint="eastAsia" w:ascii="Microsoft Yi Baiti" w:hAnsi="Microsoft Yi Baiti" w:eastAsia="华文中宋" w:cs="Microsoft Yi Baiti"/>
          <w:sz w:val="24"/>
          <w:lang w:val="en-US" w:eastAsia="zh-CN"/>
        </w:rPr>
        <w:t>，占评价范围</w:t>
      </w:r>
      <w:r>
        <w:rPr>
          <w:rFonts w:hint="eastAsia" w:ascii="Times New Roman" w:hAnsi="Times New Roman" w:eastAsia="华文中宋" w:cs="Times New Roman"/>
          <w:sz w:val="24"/>
          <w:lang w:val="en-US" w:eastAsia="zh-CN"/>
        </w:rPr>
        <w:t>的49.5%。</w:t>
      </w:r>
    </w:p>
    <w:p w14:paraId="298C1997">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②</w:t>
      </w:r>
      <w:r>
        <w:rPr>
          <w:rFonts w:hint="eastAsia" w:ascii="Times New Roman" w:hAnsi="Times New Roman" w:eastAsia="华文中宋" w:cs="Times New Roman"/>
          <w:sz w:val="24"/>
          <w:lang w:val="en-US" w:eastAsia="zh-CN"/>
        </w:rPr>
        <w:t>湖泊</w:t>
      </w:r>
      <w:r>
        <w:rPr>
          <w:rFonts w:hint="default" w:ascii="Times New Roman" w:hAnsi="Times New Roman" w:eastAsia="华文中宋" w:cs="Times New Roman"/>
          <w:sz w:val="24"/>
          <w:lang w:val="en-US" w:eastAsia="zh-CN"/>
        </w:rPr>
        <w:t>生态系统</w:t>
      </w:r>
    </w:p>
    <w:p w14:paraId="1634E5D9">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湖泊生态系统是介于陆地生态系统和水生生态系统之间的过渡类型，是地球上最重要的生态系统之一，被誉为“地球之肾”。</w:t>
      </w:r>
    </w:p>
    <w:p w14:paraId="3F3440FD">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项目评价范围内存在的湿地主要为小型湖泊，湖泊主要是由</w:t>
      </w:r>
      <w:r>
        <w:rPr>
          <w:rFonts w:hint="default" w:ascii="Times New Roman" w:hAnsi="Times New Roman" w:eastAsia="华文中宋" w:cs="Times New Roman"/>
          <w:sz w:val="24"/>
          <w:lang w:val="en-US" w:eastAsia="zh-CN"/>
        </w:rPr>
        <w:t>主要由地下水渗出或降雨补给形成</w:t>
      </w:r>
      <w:r>
        <w:rPr>
          <w:rFonts w:hint="eastAsia" w:ascii="Times New Roman" w:hAnsi="Times New Roman" w:eastAsia="华文中宋" w:cs="Times New Roman"/>
          <w:sz w:val="24"/>
          <w:lang w:val="en-US" w:eastAsia="zh-CN"/>
        </w:rPr>
        <w:t>的</w:t>
      </w:r>
      <w:r>
        <w:rPr>
          <w:rFonts w:hint="default" w:ascii="Times New Roman" w:hAnsi="Times New Roman" w:eastAsia="华文中宋" w:cs="Times New Roman"/>
          <w:sz w:val="24"/>
          <w:lang w:val="en-US" w:eastAsia="zh-CN"/>
        </w:rPr>
        <w:t>小水塘，水体规模较小，通常无外源河流输入或输出，水文条件相对封闭。其生态系统结构简单，通常缺乏水生生物和水生植物，但仍具有重要的生态功能和环境价值。</w:t>
      </w:r>
    </w:p>
    <w:p w14:paraId="3B8ED294">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项目评价范围内</w:t>
      </w:r>
      <w:r>
        <w:rPr>
          <w:rFonts w:hint="eastAsia" w:ascii="Times New Roman" w:hAnsi="Times New Roman" w:eastAsia="华文中宋" w:cs="Times New Roman"/>
          <w:sz w:val="24"/>
          <w:lang w:val="en-US" w:eastAsia="zh-CN"/>
        </w:rPr>
        <w:t>存在</w:t>
      </w:r>
      <w:r>
        <w:rPr>
          <w:rFonts w:hint="default" w:ascii="Times New Roman" w:hAnsi="Times New Roman" w:eastAsia="华文中宋" w:cs="Times New Roman"/>
          <w:sz w:val="24"/>
          <w:lang w:val="en-US" w:eastAsia="zh-CN"/>
        </w:rPr>
        <w:t>少量湖泊湿地，湖泊面积较小，水深较浅，</w:t>
      </w:r>
      <w:r>
        <w:rPr>
          <w:rFonts w:hint="eastAsia" w:ascii="Times New Roman" w:hAnsi="Times New Roman" w:eastAsia="华文中宋" w:cs="Times New Roman"/>
          <w:sz w:val="24"/>
          <w:lang w:val="en-US" w:eastAsia="zh-CN"/>
        </w:rPr>
        <w:t>经现场勘查未发现</w:t>
      </w:r>
      <w:r>
        <w:rPr>
          <w:rFonts w:hint="default" w:ascii="Times New Roman" w:hAnsi="Times New Roman" w:eastAsia="华文中宋" w:cs="Times New Roman"/>
          <w:sz w:val="24"/>
          <w:lang w:val="en-US" w:eastAsia="zh-CN"/>
        </w:rPr>
        <w:t>水生生物以及水生植物。评价范围内</w:t>
      </w:r>
      <w:r>
        <w:rPr>
          <w:rFonts w:hint="eastAsia" w:ascii="Times New Roman" w:hAnsi="Times New Roman" w:eastAsia="华文中宋" w:cs="Times New Roman"/>
          <w:sz w:val="24"/>
          <w:lang w:val="en-US" w:eastAsia="zh-CN"/>
        </w:rPr>
        <w:t>湖泊</w:t>
      </w:r>
      <w:r>
        <w:rPr>
          <w:rFonts w:hint="default" w:ascii="Times New Roman" w:hAnsi="Times New Roman" w:eastAsia="华文中宋" w:cs="Times New Roman"/>
          <w:sz w:val="24"/>
          <w:lang w:val="en-US" w:eastAsia="zh-CN"/>
        </w:rPr>
        <w:t>生态</w:t>
      </w:r>
      <w:r>
        <w:rPr>
          <w:rFonts w:hint="default" w:ascii="Times New Roman" w:hAnsi="Times New Roman" w:eastAsia="华文中宋" w:cs="Times New Roman"/>
          <w:sz w:val="24"/>
          <w:szCs w:val="24"/>
          <w:lang w:val="en-US" w:eastAsia="zh-CN"/>
        </w:rPr>
        <w:t>系统面积为</w:t>
      </w:r>
      <w:r>
        <w:rPr>
          <w:rFonts w:hint="eastAsia" w:ascii="Times New Roman" w:hAnsi="Times New Roman" w:eastAsia="华文中宋" w:cs="Times New Roman"/>
          <w:sz w:val="24"/>
          <w:lang w:val="en-US" w:eastAsia="zh-CN"/>
        </w:rPr>
        <w:t>1121851.08</w:t>
      </w:r>
      <w:r>
        <w:rPr>
          <w:rFonts w:hint="default" w:ascii="Times New Roman" w:hAnsi="Times New Roman" w:eastAsia="华文中宋" w:cs="Times New Roman"/>
          <w:sz w:val="24"/>
          <w:lang w:val="en-US" w:eastAsia="zh-CN"/>
        </w:rPr>
        <w:t>m</w:t>
      </w:r>
      <w:r>
        <w:rPr>
          <w:rFonts w:hint="default" w:ascii="Times New Roman" w:hAnsi="Times New Roman" w:eastAsia="华文中宋" w:cs="Times New Roman"/>
          <w:sz w:val="24"/>
          <w:vertAlign w:val="superscript"/>
          <w:lang w:val="en-US" w:eastAsia="zh-CN"/>
        </w:rPr>
        <w:t>2</w:t>
      </w:r>
      <w:r>
        <w:rPr>
          <w:rFonts w:hint="default" w:ascii="Times New Roman" w:hAnsi="Times New Roman" w:eastAsia="华文中宋" w:cs="Times New Roman"/>
          <w:sz w:val="24"/>
          <w:lang w:val="en-US" w:eastAsia="zh-CN"/>
        </w:rPr>
        <w:t>，占评价范围的3.5%。</w:t>
      </w:r>
    </w:p>
    <w:p w14:paraId="63A088CF">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③</w:t>
      </w:r>
      <w:r>
        <w:rPr>
          <w:rFonts w:hint="eastAsia" w:ascii="Times New Roman" w:hAnsi="Times New Roman" w:eastAsia="华文中宋" w:cs="Times New Roman"/>
          <w:sz w:val="24"/>
          <w:lang w:val="en-US" w:eastAsia="zh-CN"/>
        </w:rPr>
        <w:t>裸地</w:t>
      </w:r>
      <w:r>
        <w:rPr>
          <w:rFonts w:hint="default" w:ascii="Times New Roman" w:hAnsi="Times New Roman" w:eastAsia="华文中宋" w:cs="Times New Roman"/>
          <w:sz w:val="24"/>
          <w:lang w:val="en-US" w:eastAsia="zh-CN"/>
        </w:rPr>
        <w:t>生态系统</w:t>
      </w:r>
    </w:p>
    <w:p w14:paraId="6C60654D">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裸地生态系统主要指地表缺乏持续性植被覆盖，土壤裸露或仅存零星低等生物的自然或人为干扰区域。这类生态系统广泛分布于干旱区、高寒地带、火山活动区、采矿迹地、工程建设区等环境严酷或受高强度人类干扰的区域，具有独特的生态特征与环境敏感性。</w:t>
      </w:r>
    </w:p>
    <w:p w14:paraId="541D4ED8">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项目评价范围内裸地生态系统</w:t>
      </w:r>
      <w:r>
        <w:rPr>
          <w:rFonts w:hint="eastAsia" w:ascii="Times New Roman" w:hAnsi="Times New Roman" w:eastAsia="华文中宋" w:cs="Times New Roman"/>
          <w:sz w:val="24"/>
          <w:szCs w:val="24"/>
          <w:lang w:val="en-US" w:eastAsia="zh-CN"/>
        </w:rPr>
        <w:t>面积为15064857.36m</w:t>
      </w:r>
      <w:r>
        <w:rPr>
          <w:rFonts w:hint="eastAsia" w:ascii="Times New Roman" w:hAnsi="Times New Roman" w:eastAsia="华文中宋" w:cs="Times New Roman"/>
          <w:sz w:val="24"/>
          <w:szCs w:val="24"/>
          <w:vertAlign w:val="superscript"/>
          <w:lang w:val="en-US" w:eastAsia="zh-CN"/>
        </w:rPr>
        <w:t>2</w:t>
      </w:r>
      <w:r>
        <w:rPr>
          <w:rFonts w:hint="eastAsia" w:ascii="Times New Roman" w:hAnsi="Times New Roman" w:eastAsia="华文中宋" w:cs="Times New Roman"/>
          <w:sz w:val="24"/>
          <w:szCs w:val="24"/>
          <w:lang w:val="en-US" w:eastAsia="zh-CN"/>
        </w:rPr>
        <w:t>，占评价范围的47%，占比较大，是项目评价范围内的主要生态系统。</w:t>
      </w:r>
    </w:p>
    <w:p w14:paraId="3682707F">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Calibri" w:hAnsi="Calibri" w:eastAsia="华文中宋" w:cs="Calibri"/>
          <w:sz w:val="24"/>
          <w:lang w:val="en-US" w:eastAsia="zh-CN"/>
        </w:rPr>
        <w:t>（2）</w:t>
      </w:r>
      <w:r>
        <w:rPr>
          <w:rFonts w:hint="eastAsia" w:ascii="Times New Roman" w:hAnsi="Times New Roman" w:eastAsia="华文中宋" w:cs="Times New Roman"/>
          <w:sz w:val="24"/>
          <w:lang w:val="en-US" w:eastAsia="zh-CN"/>
        </w:rPr>
        <w:t>生态系统类型及特征</w:t>
      </w:r>
    </w:p>
    <w:p w14:paraId="3FA2BB07">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由项目区</w:t>
      </w:r>
      <w:r>
        <w:rPr>
          <w:rFonts w:hint="default" w:ascii="Times New Roman" w:hAnsi="Times New Roman" w:eastAsia="华文中宋" w:cs="Times New Roman"/>
          <w:sz w:val="24"/>
          <w:lang w:val="en-US" w:eastAsia="zh-CN"/>
        </w:rPr>
        <w:t>生态现状实地调查可知，项目</w:t>
      </w:r>
      <w:r>
        <w:rPr>
          <w:rFonts w:hint="eastAsia" w:ascii="Times New Roman" w:hAnsi="Times New Roman" w:eastAsia="华文中宋" w:cs="Times New Roman"/>
          <w:sz w:val="24"/>
          <w:lang w:val="en-US" w:eastAsia="zh-CN"/>
        </w:rPr>
        <w:t>区主要为部分天然牧草地以及大片裸地和少量水塘等</w:t>
      </w:r>
      <w:r>
        <w:rPr>
          <w:rFonts w:hint="default" w:ascii="Times New Roman" w:hAnsi="Times New Roman" w:eastAsia="华文中宋" w:cs="Times New Roman"/>
          <w:sz w:val="24"/>
          <w:lang w:val="en-US" w:eastAsia="zh-CN"/>
        </w:rPr>
        <w:t>，</w:t>
      </w:r>
      <w:r>
        <w:rPr>
          <w:rFonts w:hint="eastAsia" w:ascii="Times New Roman" w:hAnsi="Times New Roman" w:eastAsia="华文中宋" w:cs="Times New Roman"/>
          <w:sz w:val="24"/>
          <w:lang w:val="en-US" w:eastAsia="zh-CN"/>
        </w:rPr>
        <w:t>周边无重要工业区、大型水利工程设施、城镇市政工程设施所在区域，军事管理区、机场、国防工程设施圈定的区域，居民聚集区以及重要河流和具有饮用功能的河流。项目区及周边人为活动痕迹较少，属于高海拔严寒地区，植被种类单一，植被覆盖率较低，主要为垫状驼绒藜。</w:t>
      </w:r>
    </w:p>
    <w:p w14:paraId="61F72C43">
      <w:pPr>
        <w:adjustRightInd w:val="0"/>
        <w:snapToGrid w:val="0"/>
        <w:spacing w:line="500" w:lineRule="exact"/>
        <w:jc w:val="left"/>
        <w:rPr>
          <w:rFonts w:hint="eastAsia" w:ascii="Times New Roman" w:hAnsi="Times New Roman" w:eastAsia="华文中宋" w:cs="Times New Roman"/>
          <w:b/>
          <w:bCs/>
          <w:sz w:val="24"/>
          <w:lang w:val="en-US" w:eastAsia="zh-CN"/>
        </w:rPr>
      </w:pPr>
      <w:r>
        <w:rPr>
          <w:rFonts w:hint="eastAsia" w:ascii="Times New Roman" w:hAnsi="Times New Roman" w:eastAsia="华文中宋" w:cs="Times New Roman"/>
          <w:b/>
          <w:bCs/>
          <w:sz w:val="24"/>
          <w:lang w:val="en-US" w:eastAsia="zh-CN"/>
        </w:rPr>
        <w:t>4.2.7.4植被与植物多样性调查</w:t>
      </w:r>
    </w:p>
    <w:p w14:paraId="5D1C8A01">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（1）调查内容与方法</w:t>
      </w:r>
    </w:p>
    <w:p w14:paraId="188E2693">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项目组于2024年7月15日对评价区域进行了野外实地调查。项目评价范围内植被类型调查在收集项目区生态资料、遥感影像资料的基础上，根据《生物多样性观测技术导则 陆生维管植物》（HJ710.1-2014）开展样方调查。本次共设置3个</w:t>
      </w:r>
      <w:r>
        <w:rPr>
          <w:rFonts w:hint="default" w:ascii="Times New Roman" w:hAnsi="Times New Roman" w:eastAsia="华文中宋" w:cs="Times New Roman"/>
          <w:sz w:val="24"/>
          <w:lang w:val="en-US" w:eastAsia="zh-CN"/>
        </w:rPr>
        <w:t>样方面积1m×1m</w:t>
      </w:r>
      <w:r>
        <w:rPr>
          <w:rFonts w:hint="eastAsia" w:ascii="Times New Roman" w:hAnsi="Times New Roman" w:eastAsia="华文中宋" w:cs="Times New Roman"/>
          <w:sz w:val="24"/>
          <w:lang w:val="en-US" w:eastAsia="zh-CN"/>
        </w:rPr>
        <w:t>的草本样方</w:t>
      </w:r>
      <w:r>
        <w:rPr>
          <w:rFonts w:hint="default" w:ascii="Times New Roman" w:hAnsi="Times New Roman" w:eastAsia="华文中宋" w:cs="Times New Roman"/>
          <w:sz w:val="24"/>
          <w:lang w:val="en-US" w:eastAsia="zh-CN"/>
        </w:rPr>
        <w:t>，根据项目区土地类型及植物组成和盖度，统计样方内植被种类、盖度、高度等。</w:t>
      </w:r>
    </w:p>
    <w:p w14:paraId="05F1843C">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（2）植被多样性现状调查</w:t>
      </w:r>
    </w:p>
    <w:p w14:paraId="37FE6641">
      <w:pPr>
        <w:adjustRightInd w:val="0"/>
        <w:snapToGrid w:val="0"/>
        <w:spacing w:line="500" w:lineRule="exact"/>
        <w:ind w:firstLine="480" w:firstLineChars="200"/>
        <w:jc w:val="both"/>
        <w:rPr>
          <w:rFonts w:hint="default" w:ascii="Times New Roman" w:hAnsi="Times New Roman" w:eastAsia="华文中宋" w:cs="Times New Roman"/>
          <w:b/>
          <w:szCs w:val="21"/>
          <w:lang w:val="en-US" w:eastAsia="zh-CN"/>
        </w:rPr>
      </w:pPr>
      <w:r>
        <w:rPr>
          <w:rFonts w:hint="eastAsia" w:ascii="Times New Roman" w:hAnsi="Times New Roman" w:eastAsia="华文中宋" w:cs="Times New Roman"/>
          <w:sz w:val="24"/>
          <w:lang w:val="en-US" w:eastAsia="zh-CN"/>
        </w:rPr>
        <w:t>本</w:t>
      </w:r>
      <w:r>
        <w:rPr>
          <w:rFonts w:hint="default" w:ascii="Times New Roman" w:hAnsi="Times New Roman" w:eastAsia="华文中宋" w:cs="Times New Roman"/>
          <w:sz w:val="24"/>
          <w:lang w:val="en-US" w:eastAsia="zh-CN"/>
        </w:rPr>
        <w:t>次调查共随机布设3个1m×1m样方</w:t>
      </w:r>
      <w:r>
        <w:rPr>
          <w:rFonts w:hint="eastAsia" w:ascii="Times New Roman" w:hAnsi="Times New Roman" w:eastAsia="华文中宋" w:cs="Times New Roman"/>
          <w:sz w:val="24"/>
          <w:lang w:val="en-US" w:eastAsia="zh-CN"/>
        </w:rPr>
        <w:t>，</w:t>
      </w:r>
      <w:r>
        <w:rPr>
          <w:rFonts w:hint="default" w:ascii="Times New Roman" w:hAnsi="Times New Roman" w:eastAsia="华文中宋" w:cs="Times New Roman"/>
          <w:sz w:val="24"/>
          <w:lang w:val="en-US" w:eastAsia="zh-CN"/>
        </w:rPr>
        <w:t>样方</w:t>
      </w:r>
      <w:r>
        <w:rPr>
          <w:rFonts w:hint="eastAsia" w:ascii="Times New Roman" w:hAnsi="Times New Roman" w:eastAsia="华文中宋" w:cs="Times New Roman"/>
          <w:sz w:val="24"/>
          <w:lang w:val="en-US" w:eastAsia="zh-CN"/>
        </w:rPr>
        <w:t>调查情况见表</w:t>
      </w:r>
      <w:r>
        <w:rPr>
          <w:rFonts w:hint="default" w:ascii="Times New Roman" w:hAnsi="Times New Roman" w:eastAsia="华文中宋" w:cs="Times New Roman"/>
          <w:sz w:val="24"/>
          <w:lang w:eastAsia="zh-CN"/>
        </w:rPr>
        <w:t>4.2-</w:t>
      </w:r>
      <w:r>
        <w:rPr>
          <w:rFonts w:hint="eastAsia" w:ascii="Times New Roman" w:hAnsi="Times New Roman" w:eastAsia="华文中宋" w:cs="Times New Roman"/>
          <w:sz w:val="24"/>
          <w:lang w:val="en-US" w:eastAsia="zh-CN"/>
        </w:rPr>
        <w:t>14</w:t>
      </w:r>
      <w:r>
        <w:rPr>
          <w:rFonts w:hint="default" w:ascii="Times New Roman" w:hAnsi="Times New Roman" w:eastAsia="华文中宋" w:cs="Times New Roman"/>
          <w:sz w:val="24"/>
          <w:lang w:eastAsia="zh-CN"/>
        </w:rPr>
        <w:t>、4.2-1</w:t>
      </w:r>
      <w:r>
        <w:rPr>
          <w:rFonts w:hint="eastAsia" w:ascii="Times New Roman" w:hAnsi="Times New Roman" w:eastAsia="华文中宋" w:cs="Times New Roman"/>
          <w:sz w:val="24"/>
          <w:lang w:val="en-US" w:eastAsia="zh-CN"/>
        </w:rPr>
        <w:t>5、</w:t>
      </w:r>
      <w:r>
        <w:rPr>
          <w:rFonts w:hint="default" w:ascii="Times New Roman" w:hAnsi="Times New Roman" w:eastAsia="华文中宋" w:cs="Times New Roman"/>
          <w:sz w:val="24"/>
          <w:lang w:val="en-US" w:eastAsia="zh-CN"/>
        </w:rPr>
        <w:t>4.2-</w:t>
      </w:r>
      <w:r>
        <w:rPr>
          <w:rFonts w:hint="eastAsia" w:ascii="Times New Roman" w:hAnsi="Times New Roman" w:eastAsia="华文中宋" w:cs="Times New Roman"/>
          <w:sz w:val="24"/>
          <w:lang w:val="en-US" w:eastAsia="zh-CN"/>
        </w:rPr>
        <w:t>16</w:t>
      </w:r>
      <w:r>
        <w:rPr>
          <w:rFonts w:hint="default" w:ascii="Times New Roman" w:hAnsi="Times New Roman" w:eastAsia="华文中宋" w:cs="Times New Roman"/>
          <w:sz w:val="24"/>
          <w:lang w:val="en-US" w:eastAsia="zh-CN"/>
        </w:rPr>
        <w:t>。</w:t>
      </w:r>
    </w:p>
    <w:p w14:paraId="52E54B7D">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表4.2-1</w:t>
      </w:r>
      <w:r>
        <w:rPr>
          <w:rFonts w:hint="eastAsia" w:ascii="Times New Roman" w:hAnsi="Times New Roman" w:eastAsia="华文中宋" w:cs="Times New Roman"/>
          <w:b/>
          <w:szCs w:val="21"/>
          <w:lang w:val="en-US" w:eastAsia="zh-CN"/>
        </w:rPr>
        <w:t>4</w:t>
      </w:r>
      <w:r>
        <w:rPr>
          <w:rFonts w:hint="default" w:ascii="Times New Roman" w:hAnsi="Times New Roman" w:eastAsia="华文中宋" w:cs="Times New Roman"/>
          <w:b/>
          <w:szCs w:val="21"/>
          <w:lang w:val="en-US" w:eastAsia="zh-CN"/>
        </w:rPr>
        <w:t xml:space="preserve">  群落样方编号1</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3"/>
        <w:gridCol w:w="1680"/>
        <w:gridCol w:w="1305"/>
        <w:gridCol w:w="1350"/>
        <w:gridCol w:w="1335"/>
        <w:gridCol w:w="1209"/>
      </w:tblGrid>
      <w:tr w14:paraId="13DD1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5978" w:type="dxa"/>
            <w:gridSpan w:val="4"/>
            <w:vMerge w:val="restart"/>
            <w:vAlign w:val="center"/>
          </w:tcPr>
          <w:p w14:paraId="5E8324F2">
            <w:pPr>
              <w:rPr>
                <w:rFonts w:hint="default"/>
                <w:lang w:val="en-US" w:eastAsia="zh-CN"/>
              </w:rPr>
            </w:pPr>
          </w:p>
        </w:tc>
        <w:tc>
          <w:tcPr>
            <w:tcW w:w="2544" w:type="dxa"/>
            <w:gridSpan w:val="2"/>
            <w:vAlign w:val="center"/>
          </w:tcPr>
          <w:p w14:paraId="2A85CC6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调查日期</w:t>
            </w:r>
          </w:p>
        </w:tc>
      </w:tr>
      <w:tr w14:paraId="6F224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5978" w:type="dxa"/>
            <w:gridSpan w:val="4"/>
            <w:vMerge w:val="continue"/>
            <w:vAlign w:val="center"/>
          </w:tcPr>
          <w:p w14:paraId="7075761C">
            <w:pPr>
              <w:spacing w:line="300" w:lineRule="exact"/>
              <w:jc w:val="center"/>
              <w:rPr>
                <w:rFonts w:hint="default" w:ascii="Times New Roman" w:hAnsi="Times New Roman" w:eastAsia="华文中宋" w:cs="Times New Roman"/>
                <w:szCs w:val="21"/>
                <w:lang w:val="en-US" w:eastAsia="zh-CN"/>
              </w:rPr>
            </w:pPr>
          </w:p>
        </w:tc>
        <w:tc>
          <w:tcPr>
            <w:tcW w:w="2544" w:type="dxa"/>
            <w:gridSpan w:val="2"/>
            <w:vAlign w:val="center"/>
          </w:tcPr>
          <w:p w14:paraId="559C7FC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2024.7.15</w:t>
            </w:r>
          </w:p>
        </w:tc>
      </w:tr>
      <w:tr w14:paraId="71DA8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5978" w:type="dxa"/>
            <w:gridSpan w:val="4"/>
            <w:vMerge w:val="continue"/>
            <w:vAlign w:val="center"/>
          </w:tcPr>
          <w:p w14:paraId="5DE0A6E6">
            <w:pPr>
              <w:spacing w:line="300" w:lineRule="exact"/>
              <w:jc w:val="center"/>
              <w:rPr>
                <w:rFonts w:hint="default" w:ascii="Times New Roman" w:hAnsi="Times New Roman" w:eastAsia="华文中宋" w:cs="Times New Roman"/>
                <w:szCs w:val="21"/>
                <w:lang w:val="en-US" w:eastAsia="zh-CN"/>
              </w:rPr>
            </w:pPr>
          </w:p>
        </w:tc>
        <w:tc>
          <w:tcPr>
            <w:tcW w:w="2544" w:type="dxa"/>
            <w:gridSpan w:val="2"/>
            <w:vAlign w:val="center"/>
          </w:tcPr>
          <w:p w14:paraId="70EF83F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调查地点</w:t>
            </w:r>
          </w:p>
        </w:tc>
      </w:tr>
      <w:tr w14:paraId="384AE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5978" w:type="dxa"/>
            <w:gridSpan w:val="4"/>
            <w:vMerge w:val="continue"/>
            <w:vAlign w:val="center"/>
          </w:tcPr>
          <w:p w14:paraId="18835E1C">
            <w:pPr>
              <w:spacing w:line="300" w:lineRule="exact"/>
              <w:jc w:val="center"/>
              <w:rPr>
                <w:rFonts w:hint="default" w:ascii="Times New Roman" w:hAnsi="Times New Roman" w:eastAsia="华文中宋" w:cs="Times New Roman"/>
                <w:szCs w:val="21"/>
                <w:lang w:val="en-US" w:eastAsia="zh-CN"/>
              </w:rPr>
            </w:pPr>
          </w:p>
        </w:tc>
        <w:tc>
          <w:tcPr>
            <w:tcW w:w="2544" w:type="dxa"/>
            <w:gridSpan w:val="2"/>
            <w:vAlign w:val="center"/>
          </w:tcPr>
          <w:p w14:paraId="6253595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项目评价范围内</w:t>
            </w:r>
          </w:p>
        </w:tc>
      </w:tr>
      <w:tr w14:paraId="19FF7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5978" w:type="dxa"/>
            <w:gridSpan w:val="4"/>
            <w:vMerge w:val="continue"/>
            <w:vAlign w:val="center"/>
          </w:tcPr>
          <w:p w14:paraId="2381B4B3">
            <w:pPr>
              <w:spacing w:line="300" w:lineRule="exact"/>
              <w:jc w:val="center"/>
              <w:rPr>
                <w:rFonts w:hint="default" w:ascii="Times New Roman" w:hAnsi="Times New Roman" w:eastAsia="华文中宋" w:cs="Times New Roman"/>
                <w:szCs w:val="21"/>
                <w:lang w:val="en-US" w:eastAsia="zh-CN"/>
              </w:rPr>
            </w:pPr>
          </w:p>
        </w:tc>
        <w:tc>
          <w:tcPr>
            <w:tcW w:w="2544" w:type="dxa"/>
            <w:gridSpan w:val="2"/>
            <w:vAlign w:val="center"/>
          </w:tcPr>
          <w:p w14:paraId="122469B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样方面积</w:t>
            </w:r>
          </w:p>
        </w:tc>
      </w:tr>
      <w:tr w14:paraId="46693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5978" w:type="dxa"/>
            <w:gridSpan w:val="4"/>
            <w:vMerge w:val="continue"/>
            <w:vAlign w:val="center"/>
          </w:tcPr>
          <w:p w14:paraId="4D5D205D">
            <w:pPr>
              <w:spacing w:line="300" w:lineRule="exact"/>
              <w:jc w:val="center"/>
              <w:rPr>
                <w:rFonts w:hint="default" w:ascii="Times New Roman" w:hAnsi="Times New Roman" w:eastAsia="华文中宋" w:cs="Times New Roman"/>
                <w:szCs w:val="21"/>
                <w:lang w:val="en-US" w:eastAsia="zh-CN"/>
              </w:rPr>
            </w:pPr>
          </w:p>
        </w:tc>
        <w:tc>
          <w:tcPr>
            <w:tcW w:w="2544" w:type="dxa"/>
            <w:gridSpan w:val="2"/>
            <w:vAlign w:val="center"/>
          </w:tcPr>
          <w:p w14:paraId="652DBC7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1m×1m</w:t>
            </w:r>
          </w:p>
        </w:tc>
      </w:tr>
      <w:tr w14:paraId="42A03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3" w:type="dxa"/>
            <w:vAlign w:val="center"/>
          </w:tcPr>
          <w:p w14:paraId="4DF836E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海拔高度</w:t>
            </w:r>
          </w:p>
        </w:tc>
        <w:tc>
          <w:tcPr>
            <w:tcW w:w="1680" w:type="dxa"/>
            <w:vAlign w:val="center"/>
          </w:tcPr>
          <w:p w14:paraId="301E613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5110m</w:t>
            </w:r>
          </w:p>
        </w:tc>
        <w:tc>
          <w:tcPr>
            <w:tcW w:w="1305" w:type="dxa"/>
            <w:vAlign w:val="center"/>
          </w:tcPr>
          <w:p w14:paraId="7C2555E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坡度</w:t>
            </w:r>
          </w:p>
        </w:tc>
        <w:tc>
          <w:tcPr>
            <w:tcW w:w="1350" w:type="dxa"/>
            <w:vAlign w:val="center"/>
          </w:tcPr>
          <w:p w14:paraId="15BA9FE7">
            <w:pPr>
              <w:spacing w:line="300" w:lineRule="exact"/>
              <w:jc w:val="center"/>
              <w:rPr>
                <w:rFonts w:hint="eastAsia" w:ascii="Times New Roman" w:hAnsi="Times New Roman" w:cs="Times New Roman" w:eastAsiaTheme="minorEastAsia"/>
                <w:szCs w:val="21"/>
                <w:lang w:val="en-US" w:eastAsia="zh-CN"/>
              </w:rPr>
            </w:pPr>
            <w:r>
              <w:rPr>
                <w:rFonts w:hint="default" w:ascii="Times New Roman" w:hAnsi="Times New Roman" w:eastAsia="华文中宋" w:cs="Times New Roman"/>
                <w:szCs w:val="21"/>
                <w:lang w:val="en-US" w:eastAsia="zh-CN"/>
              </w:rPr>
              <w:t>5</w:t>
            </w:r>
            <w:r>
              <w:rPr>
                <w:rFonts w:hint="eastAsia"/>
                <w:lang w:val="en-US" w:eastAsia="zh-CN"/>
              </w:rPr>
              <w:t>%</w:t>
            </w:r>
          </w:p>
        </w:tc>
        <w:tc>
          <w:tcPr>
            <w:tcW w:w="1335" w:type="dxa"/>
            <w:vAlign w:val="center"/>
          </w:tcPr>
          <w:p w14:paraId="70412FD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坡向</w:t>
            </w:r>
          </w:p>
        </w:tc>
        <w:tc>
          <w:tcPr>
            <w:tcW w:w="1209" w:type="dxa"/>
            <w:vAlign w:val="center"/>
          </w:tcPr>
          <w:p w14:paraId="7E08767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N</w:t>
            </w:r>
          </w:p>
        </w:tc>
      </w:tr>
      <w:tr w14:paraId="2085B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3" w:type="dxa"/>
            <w:vAlign w:val="center"/>
          </w:tcPr>
          <w:p w14:paraId="714AA35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土地类型</w:t>
            </w:r>
          </w:p>
        </w:tc>
        <w:tc>
          <w:tcPr>
            <w:tcW w:w="1680" w:type="dxa"/>
            <w:vAlign w:val="center"/>
          </w:tcPr>
          <w:p w14:paraId="5E9E47E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天然牧草地</w:t>
            </w:r>
          </w:p>
        </w:tc>
        <w:tc>
          <w:tcPr>
            <w:tcW w:w="1305" w:type="dxa"/>
            <w:shd w:val="clear" w:color="auto" w:fill="auto"/>
            <w:vAlign w:val="center"/>
          </w:tcPr>
          <w:p w14:paraId="7024528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地形/地貌</w:t>
            </w:r>
          </w:p>
        </w:tc>
        <w:tc>
          <w:tcPr>
            <w:tcW w:w="1350" w:type="dxa"/>
            <w:shd w:val="clear" w:color="auto" w:fill="auto"/>
            <w:vAlign w:val="center"/>
          </w:tcPr>
          <w:p w14:paraId="1DEB120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残丘、垄岗和洼地</w:t>
            </w:r>
          </w:p>
        </w:tc>
        <w:tc>
          <w:tcPr>
            <w:tcW w:w="1335" w:type="dxa"/>
            <w:shd w:val="clear" w:color="auto" w:fill="auto"/>
            <w:vAlign w:val="center"/>
          </w:tcPr>
          <w:p w14:paraId="5EC8649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植被种类</w:t>
            </w:r>
          </w:p>
        </w:tc>
        <w:tc>
          <w:tcPr>
            <w:tcW w:w="1209" w:type="dxa"/>
            <w:shd w:val="clear" w:color="auto" w:fill="auto"/>
            <w:vAlign w:val="center"/>
          </w:tcPr>
          <w:p w14:paraId="63DD621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w:t>
            </w:r>
          </w:p>
        </w:tc>
      </w:tr>
      <w:tr w14:paraId="2A3E1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3" w:type="dxa"/>
            <w:vAlign w:val="center"/>
          </w:tcPr>
          <w:p w14:paraId="066C4AF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植被覆盖度</w:t>
            </w:r>
          </w:p>
        </w:tc>
        <w:tc>
          <w:tcPr>
            <w:tcW w:w="6879" w:type="dxa"/>
            <w:gridSpan w:val="5"/>
            <w:vAlign w:val="center"/>
          </w:tcPr>
          <w:p w14:paraId="51531FB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7</w:t>
            </w:r>
            <w:r>
              <w:rPr>
                <w:rFonts w:hint="default" w:ascii="Times New Roman" w:hAnsi="Times New Roman" w:eastAsia="华文中宋" w:cs="Times New Roman"/>
                <w:szCs w:val="21"/>
                <w:lang w:val="en-US" w:eastAsia="zh-CN"/>
              </w:rPr>
              <w:t>%</w:t>
            </w:r>
          </w:p>
        </w:tc>
      </w:tr>
      <w:tr w14:paraId="28BB6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643" w:type="dxa"/>
            <w:vAlign w:val="center"/>
          </w:tcPr>
          <w:p w14:paraId="2FE54D5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序号</w:t>
            </w:r>
          </w:p>
        </w:tc>
        <w:tc>
          <w:tcPr>
            <w:tcW w:w="1680" w:type="dxa"/>
            <w:vAlign w:val="center"/>
          </w:tcPr>
          <w:p w14:paraId="218D88A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植物名称</w:t>
            </w:r>
          </w:p>
        </w:tc>
        <w:tc>
          <w:tcPr>
            <w:tcW w:w="1305" w:type="dxa"/>
            <w:vAlign w:val="center"/>
          </w:tcPr>
          <w:p w14:paraId="0904368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高度（cm）</w:t>
            </w:r>
          </w:p>
        </w:tc>
        <w:tc>
          <w:tcPr>
            <w:tcW w:w="2685" w:type="dxa"/>
            <w:gridSpan w:val="2"/>
            <w:vAlign w:val="center"/>
          </w:tcPr>
          <w:p w14:paraId="187E612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盖度</w:t>
            </w:r>
          </w:p>
        </w:tc>
        <w:tc>
          <w:tcPr>
            <w:tcW w:w="1209" w:type="dxa"/>
            <w:vAlign w:val="center"/>
          </w:tcPr>
          <w:p w14:paraId="4E15FC6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多度</w:t>
            </w:r>
          </w:p>
        </w:tc>
      </w:tr>
      <w:tr w14:paraId="719A0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643" w:type="dxa"/>
            <w:vAlign w:val="center"/>
          </w:tcPr>
          <w:p w14:paraId="44872D4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w:t>
            </w:r>
          </w:p>
        </w:tc>
        <w:tc>
          <w:tcPr>
            <w:tcW w:w="1680" w:type="dxa"/>
            <w:vAlign w:val="center"/>
          </w:tcPr>
          <w:p w14:paraId="2993F62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垫状驼绒</w:t>
            </w:r>
          </w:p>
        </w:tc>
        <w:tc>
          <w:tcPr>
            <w:tcW w:w="1305" w:type="dxa"/>
            <w:vAlign w:val="center"/>
          </w:tcPr>
          <w:p w14:paraId="4D0B7A60">
            <w:pPr>
              <w:spacing w:line="300" w:lineRule="exact"/>
              <w:jc w:val="center"/>
              <w:rPr>
                <w:rFonts w:hint="default" w:ascii="Times New Roman" w:hAnsi="Times New Roman" w:eastAsia="华文中宋" w:cs="Times New Roman"/>
                <w:szCs w:val="21"/>
                <w:lang w:val="en-US" w:eastAsia="zh-CN"/>
              </w:rPr>
            </w:pPr>
          </w:p>
        </w:tc>
        <w:tc>
          <w:tcPr>
            <w:tcW w:w="2685" w:type="dxa"/>
            <w:gridSpan w:val="2"/>
            <w:vAlign w:val="center"/>
          </w:tcPr>
          <w:p w14:paraId="17F4A50A">
            <w:pPr>
              <w:spacing w:line="300" w:lineRule="exact"/>
              <w:jc w:val="both"/>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7</w:t>
            </w:r>
            <w:r>
              <w:rPr>
                <w:rFonts w:hint="default" w:ascii="Times New Roman" w:hAnsi="Times New Roman" w:eastAsia="华文中宋" w:cs="Times New Roman"/>
                <w:szCs w:val="21"/>
                <w:lang w:val="en-US" w:eastAsia="zh-CN"/>
              </w:rPr>
              <w:t>%</w:t>
            </w:r>
          </w:p>
        </w:tc>
        <w:tc>
          <w:tcPr>
            <w:tcW w:w="1209" w:type="dxa"/>
            <w:vAlign w:val="center"/>
          </w:tcPr>
          <w:p w14:paraId="4AB9988D">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val="en-US" w:eastAsia="zh-CN"/>
              </w:rPr>
              <w:t>CO</w:t>
            </w:r>
            <w:r>
              <w:rPr>
                <w:rFonts w:hint="default" w:ascii="Times New Roman" w:hAnsi="Times New Roman" w:eastAsia="华文中宋" w:cs="Times New Roman"/>
                <w:szCs w:val="21"/>
                <w:lang w:eastAsia="zh-CN"/>
              </w:rPr>
              <w:t>5</w:t>
            </w:r>
          </w:p>
        </w:tc>
      </w:tr>
    </w:tbl>
    <w:p w14:paraId="26260CF5">
      <w:pPr>
        <w:adjustRightInd w:val="0"/>
        <w:snapToGrid w:val="0"/>
        <w:spacing w:before="250" w:beforeLines="5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表4.2-1</w:t>
      </w:r>
      <w:r>
        <w:rPr>
          <w:rFonts w:hint="eastAsia" w:ascii="Times New Roman" w:hAnsi="Times New Roman" w:eastAsia="华文中宋" w:cs="Times New Roman"/>
          <w:b/>
          <w:szCs w:val="21"/>
          <w:lang w:val="en-US" w:eastAsia="zh-CN"/>
        </w:rPr>
        <w:t>5</w:t>
      </w:r>
      <w:r>
        <w:rPr>
          <w:rFonts w:hint="default" w:ascii="Times New Roman" w:hAnsi="Times New Roman" w:eastAsia="华文中宋" w:cs="Times New Roman"/>
          <w:b/>
          <w:szCs w:val="21"/>
          <w:lang w:val="en-US" w:eastAsia="zh-CN"/>
        </w:rPr>
        <w:t xml:space="preserve">  群落样方编号2</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3"/>
        <w:gridCol w:w="1712"/>
        <w:gridCol w:w="1524"/>
        <w:gridCol w:w="1434"/>
        <w:gridCol w:w="1447"/>
        <w:gridCol w:w="1102"/>
      </w:tblGrid>
      <w:tr w14:paraId="09A9B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5973" w:type="dxa"/>
            <w:gridSpan w:val="4"/>
            <w:vMerge w:val="restart"/>
            <w:vAlign w:val="center"/>
          </w:tcPr>
          <w:p w14:paraId="7D8FAC6B">
            <w:pPr>
              <w:rPr>
                <w:rFonts w:hint="default"/>
                <w:lang w:val="en-US" w:eastAsia="zh-CN"/>
              </w:rPr>
            </w:pPr>
          </w:p>
        </w:tc>
        <w:tc>
          <w:tcPr>
            <w:tcW w:w="2549" w:type="dxa"/>
            <w:gridSpan w:val="2"/>
            <w:shd w:val="clear" w:color="auto" w:fill="auto"/>
            <w:vAlign w:val="center"/>
          </w:tcPr>
          <w:p w14:paraId="7955FFF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调查日期</w:t>
            </w:r>
          </w:p>
        </w:tc>
      </w:tr>
      <w:tr w14:paraId="0A39B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973" w:type="dxa"/>
            <w:gridSpan w:val="4"/>
            <w:vMerge w:val="continue"/>
            <w:vAlign w:val="center"/>
          </w:tcPr>
          <w:p w14:paraId="62F7C78F">
            <w:pPr>
              <w:spacing w:line="300" w:lineRule="exact"/>
              <w:jc w:val="center"/>
              <w:rPr>
                <w:rFonts w:hint="default" w:ascii="Times New Roman" w:hAnsi="Times New Roman" w:eastAsia="华文中宋" w:cs="Times New Roman"/>
                <w:szCs w:val="21"/>
                <w:lang w:val="en-US" w:eastAsia="zh-CN"/>
              </w:rPr>
            </w:pPr>
          </w:p>
        </w:tc>
        <w:tc>
          <w:tcPr>
            <w:tcW w:w="2549" w:type="dxa"/>
            <w:gridSpan w:val="2"/>
            <w:shd w:val="clear" w:color="auto" w:fill="auto"/>
            <w:vAlign w:val="center"/>
          </w:tcPr>
          <w:p w14:paraId="2191F86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2024.7.15</w:t>
            </w:r>
          </w:p>
        </w:tc>
      </w:tr>
      <w:tr w14:paraId="51E9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5973" w:type="dxa"/>
            <w:gridSpan w:val="4"/>
            <w:vMerge w:val="continue"/>
            <w:vAlign w:val="center"/>
          </w:tcPr>
          <w:p w14:paraId="72413BC2">
            <w:pPr>
              <w:spacing w:line="300" w:lineRule="exact"/>
              <w:jc w:val="center"/>
              <w:rPr>
                <w:rFonts w:hint="default" w:ascii="Times New Roman" w:hAnsi="Times New Roman" w:eastAsia="华文中宋" w:cs="Times New Roman"/>
                <w:szCs w:val="21"/>
                <w:lang w:val="en-US" w:eastAsia="zh-CN"/>
              </w:rPr>
            </w:pPr>
          </w:p>
        </w:tc>
        <w:tc>
          <w:tcPr>
            <w:tcW w:w="2549" w:type="dxa"/>
            <w:gridSpan w:val="2"/>
            <w:shd w:val="clear" w:color="auto" w:fill="auto"/>
            <w:vAlign w:val="center"/>
          </w:tcPr>
          <w:p w14:paraId="68426FF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调查地点</w:t>
            </w:r>
          </w:p>
        </w:tc>
      </w:tr>
      <w:tr w14:paraId="69483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973" w:type="dxa"/>
            <w:gridSpan w:val="4"/>
            <w:vMerge w:val="continue"/>
            <w:vAlign w:val="center"/>
          </w:tcPr>
          <w:p w14:paraId="032BD083">
            <w:pPr>
              <w:spacing w:line="300" w:lineRule="exact"/>
              <w:jc w:val="center"/>
              <w:rPr>
                <w:rFonts w:hint="default" w:ascii="Times New Roman" w:hAnsi="Times New Roman" w:eastAsia="华文中宋" w:cs="Times New Roman"/>
                <w:szCs w:val="21"/>
                <w:lang w:val="en-US" w:eastAsia="zh-CN"/>
              </w:rPr>
            </w:pPr>
          </w:p>
        </w:tc>
        <w:tc>
          <w:tcPr>
            <w:tcW w:w="2549" w:type="dxa"/>
            <w:gridSpan w:val="2"/>
            <w:shd w:val="clear" w:color="auto" w:fill="auto"/>
            <w:vAlign w:val="center"/>
          </w:tcPr>
          <w:p w14:paraId="381DFA2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项目评价范围内</w:t>
            </w:r>
          </w:p>
        </w:tc>
      </w:tr>
      <w:tr w14:paraId="28B49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973" w:type="dxa"/>
            <w:gridSpan w:val="4"/>
            <w:vMerge w:val="continue"/>
            <w:vAlign w:val="center"/>
          </w:tcPr>
          <w:p w14:paraId="08C87437">
            <w:pPr>
              <w:spacing w:line="300" w:lineRule="exact"/>
              <w:jc w:val="center"/>
              <w:rPr>
                <w:rFonts w:hint="default" w:ascii="Times New Roman" w:hAnsi="Times New Roman" w:eastAsia="华文中宋" w:cs="Times New Roman"/>
                <w:szCs w:val="21"/>
                <w:lang w:val="en-US" w:eastAsia="zh-CN"/>
              </w:rPr>
            </w:pPr>
          </w:p>
        </w:tc>
        <w:tc>
          <w:tcPr>
            <w:tcW w:w="2549" w:type="dxa"/>
            <w:gridSpan w:val="2"/>
            <w:shd w:val="clear" w:color="auto" w:fill="auto"/>
            <w:vAlign w:val="center"/>
          </w:tcPr>
          <w:p w14:paraId="77F0DCC0">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样方面积</w:t>
            </w:r>
          </w:p>
        </w:tc>
      </w:tr>
      <w:tr w14:paraId="51AEF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5973" w:type="dxa"/>
            <w:gridSpan w:val="4"/>
            <w:vMerge w:val="continue"/>
            <w:vAlign w:val="center"/>
          </w:tcPr>
          <w:p w14:paraId="715D0206">
            <w:pPr>
              <w:spacing w:line="300" w:lineRule="exact"/>
              <w:jc w:val="center"/>
              <w:rPr>
                <w:rFonts w:hint="default" w:ascii="Times New Roman" w:hAnsi="Times New Roman" w:eastAsia="华文中宋" w:cs="Times New Roman"/>
                <w:szCs w:val="21"/>
                <w:lang w:val="en-US" w:eastAsia="zh-CN"/>
              </w:rPr>
            </w:pPr>
          </w:p>
        </w:tc>
        <w:tc>
          <w:tcPr>
            <w:tcW w:w="2549" w:type="dxa"/>
            <w:gridSpan w:val="2"/>
            <w:shd w:val="clear" w:color="auto" w:fill="auto"/>
            <w:vAlign w:val="center"/>
          </w:tcPr>
          <w:p w14:paraId="03D1808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1m×1m</w:t>
            </w:r>
          </w:p>
        </w:tc>
      </w:tr>
      <w:tr w14:paraId="60F43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Align w:val="center"/>
          </w:tcPr>
          <w:p w14:paraId="0FFE3E6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海拔高度</w:t>
            </w:r>
          </w:p>
        </w:tc>
        <w:tc>
          <w:tcPr>
            <w:tcW w:w="1712" w:type="dxa"/>
            <w:vAlign w:val="center"/>
          </w:tcPr>
          <w:p w14:paraId="35A94A1E">
            <w:pPr>
              <w:spacing w:line="300" w:lineRule="exact"/>
              <w:jc w:val="center"/>
              <w:rPr>
                <w:rFonts w:hint="eastAsia" w:ascii="Times New Roman" w:hAnsi="Times New Roman" w:cs="Times New Roman" w:eastAsiaTheme="minorEastAsia"/>
                <w:szCs w:val="21"/>
                <w:lang w:val="en-US" w:eastAsia="zh-CN"/>
              </w:rPr>
            </w:pPr>
            <w:r>
              <w:rPr>
                <w:rFonts w:hint="default" w:ascii="Times New Roman" w:hAnsi="Times New Roman" w:cs="Times New Roman"/>
                <w:color w:val="auto"/>
                <w:sz w:val="21"/>
                <w:szCs w:val="21"/>
                <w:highlight w:val="none"/>
                <w:vertAlign w:val="baseline"/>
                <w:lang w:val="en-US" w:eastAsia="zh-CN"/>
              </w:rPr>
              <w:t>5108</w:t>
            </w:r>
            <w:r>
              <w:rPr>
                <w:rFonts w:hint="eastAsia"/>
                <w:lang w:val="en-US" w:eastAsia="zh-CN"/>
              </w:rPr>
              <w:t>m</w:t>
            </w:r>
          </w:p>
        </w:tc>
        <w:tc>
          <w:tcPr>
            <w:tcW w:w="1524" w:type="dxa"/>
            <w:vAlign w:val="center"/>
          </w:tcPr>
          <w:p w14:paraId="15709EE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坡度</w:t>
            </w:r>
          </w:p>
        </w:tc>
        <w:tc>
          <w:tcPr>
            <w:tcW w:w="1434" w:type="dxa"/>
            <w:vAlign w:val="center"/>
          </w:tcPr>
          <w:p w14:paraId="2D03336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w:t>
            </w:r>
            <w:r>
              <w:rPr>
                <w:rFonts w:hint="eastAsia" w:ascii="Times New Roman" w:hAnsi="Times New Roman" w:eastAsia="华文中宋" w:cs="Times New Roman"/>
                <w:szCs w:val="21"/>
                <w:lang w:val="en-US" w:eastAsia="zh-CN"/>
              </w:rPr>
              <w:t>%</w:t>
            </w:r>
          </w:p>
        </w:tc>
        <w:tc>
          <w:tcPr>
            <w:tcW w:w="1447" w:type="dxa"/>
            <w:vAlign w:val="center"/>
          </w:tcPr>
          <w:p w14:paraId="0DBB902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坡向</w:t>
            </w:r>
          </w:p>
        </w:tc>
        <w:tc>
          <w:tcPr>
            <w:tcW w:w="1102" w:type="dxa"/>
            <w:vAlign w:val="center"/>
          </w:tcPr>
          <w:p w14:paraId="69C0256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N</w:t>
            </w:r>
          </w:p>
        </w:tc>
      </w:tr>
      <w:tr w14:paraId="11C16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Align w:val="center"/>
          </w:tcPr>
          <w:p w14:paraId="6EBC319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土地类型</w:t>
            </w:r>
          </w:p>
        </w:tc>
        <w:tc>
          <w:tcPr>
            <w:tcW w:w="1712" w:type="dxa"/>
            <w:vAlign w:val="center"/>
          </w:tcPr>
          <w:p w14:paraId="46C0888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天然牧草地</w:t>
            </w:r>
          </w:p>
        </w:tc>
        <w:tc>
          <w:tcPr>
            <w:tcW w:w="1524" w:type="dxa"/>
            <w:shd w:val="clear" w:color="auto" w:fill="auto"/>
            <w:vAlign w:val="center"/>
          </w:tcPr>
          <w:p w14:paraId="59F9540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地形/地貌</w:t>
            </w:r>
          </w:p>
        </w:tc>
        <w:tc>
          <w:tcPr>
            <w:tcW w:w="1434" w:type="dxa"/>
            <w:shd w:val="clear" w:color="auto" w:fill="auto"/>
            <w:vAlign w:val="center"/>
          </w:tcPr>
          <w:p w14:paraId="11380EC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残丘、垄岗和洼地</w:t>
            </w:r>
          </w:p>
        </w:tc>
        <w:tc>
          <w:tcPr>
            <w:tcW w:w="1447" w:type="dxa"/>
            <w:shd w:val="clear" w:color="auto" w:fill="auto"/>
            <w:vAlign w:val="center"/>
          </w:tcPr>
          <w:p w14:paraId="07F8435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植被种类</w:t>
            </w:r>
          </w:p>
        </w:tc>
        <w:tc>
          <w:tcPr>
            <w:tcW w:w="1102" w:type="dxa"/>
            <w:shd w:val="clear" w:color="auto" w:fill="auto"/>
            <w:vAlign w:val="center"/>
          </w:tcPr>
          <w:p w14:paraId="78DC47E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w:t>
            </w:r>
          </w:p>
        </w:tc>
      </w:tr>
      <w:tr w14:paraId="072FF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Align w:val="center"/>
          </w:tcPr>
          <w:p w14:paraId="55550DC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植被覆盖度</w:t>
            </w:r>
          </w:p>
        </w:tc>
        <w:tc>
          <w:tcPr>
            <w:tcW w:w="7219" w:type="dxa"/>
            <w:gridSpan w:val="5"/>
            <w:vAlign w:val="center"/>
          </w:tcPr>
          <w:p w14:paraId="61B3535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12</w:t>
            </w:r>
            <w:r>
              <w:rPr>
                <w:rFonts w:hint="default" w:ascii="Times New Roman" w:hAnsi="Times New Roman" w:eastAsia="华文中宋" w:cs="Times New Roman"/>
                <w:szCs w:val="21"/>
                <w:lang w:val="en-US" w:eastAsia="zh-CN"/>
              </w:rPr>
              <w:t>%</w:t>
            </w:r>
          </w:p>
        </w:tc>
      </w:tr>
      <w:tr w14:paraId="4FA0A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Align w:val="center"/>
          </w:tcPr>
          <w:p w14:paraId="5F1F654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序号</w:t>
            </w:r>
          </w:p>
        </w:tc>
        <w:tc>
          <w:tcPr>
            <w:tcW w:w="1712" w:type="dxa"/>
            <w:vAlign w:val="center"/>
          </w:tcPr>
          <w:p w14:paraId="5E97FED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植物名称</w:t>
            </w:r>
          </w:p>
        </w:tc>
        <w:tc>
          <w:tcPr>
            <w:tcW w:w="1524" w:type="dxa"/>
            <w:vAlign w:val="center"/>
          </w:tcPr>
          <w:p w14:paraId="4658F72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高度（cm）</w:t>
            </w:r>
          </w:p>
        </w:tc>
        <w:tc>
          <w:tcPr>
            <w:tcW w:w="2881" w:type="dxa"/>
            <w:gridSpan w:val="2"/>
            <w:vAlign w:val="center"/>
          </w:tcPr>
          <w:p w14:paraId="25836E9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盖度</w:t>
            </w:r>
          </w:p>
        </w:tc>
        <w:tc>
          <w:tcPr>
            <w:tcW w:w="1102" w:type="dxa"/>
            <w:shd w:val="clear" w:color="auto" w:fill="auto"/>
            <w:vAlign w:val="center"/>
          </w:tcPr>
          <w:p w14:paraId="12C981F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多度</w:t>
            </w:r>
          </w:p>
        </w:tc>
      </w:tr>
      <w:tr w14:paraId="4731E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vAlign w:val="center"/>
          </w:tcPr>
          <w:p w14:paraId="7811ADE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w:t>
            </w:r>
          </w:p>
        </w:tc>
        <w:tc>
          <w:tcPr>
            <w:tcW w:w="1712" w:type="dxa"/>
            <w:shd w:val="clear" w:color="auto" w:fill="auto"/>
            <w:vAlign w:val="center"/>
          </w:tcPr>
          <w:p w14:paraId="130A6341">
            <w:pPr>
              <w:spacing w:line="300" w:lineRule="exact"/>
              <w:jc w:val="center"/>
              <w:rPr>
                <w:rFonts w:hint="default" w:ascii="Times New Roman" w:hAnsi="Times New Roman" w:cs="Times New Roman"/>
                <w:b/>
                <w:szCs w:val="21"/>
                <w:lang w:val="en-US" w:eastAsia="zh-CN"/>
              </w:rPr>
            </w:pPr>
            <w:r>
              <w:rPr>
                <w:rFonts w:hint="default" w:ascii="Times New Roman" w:hAnsi="Times New Roman" w:eastAsia="华文中宋" w:cs="Times New Roman"/>
                <w:szCs w:val="21"/>
                <w:lang w:val="en-US" w:eastAsia="zh-CN"/>
              </w:rPr>
              <w:t>垫状</w:t>
            </w:r>
          </w:p>
          <w:p w14:paraId="11E331F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驼绒藜</w:t>
            </w:r>
          </w:p>
        </w:tc>
        <w:tc>
          <w:tcPr>
            <w:tcW w:w="1524" w:type="dxa"/>
            <w:shd w:val="clear" w:color="auto" w:fill="auto"/>
            <w:vAlign w:val="center"/>
          </w:tcPr>
          <w:p w14:paraId="72ACCFD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w:t>
            </w:r>
          </w:p>
        </w:tc>
        <w:tc>
          <w:tcPr>
            <w:tcW w:w="2881" w:type="dxa"/>
            <w:gridSpan w:val="2"/>
            <w:vAlign w:val="center"/>
          </w:tcPr>
          <w:p w14:paraId="641E3E3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eastAsia="zh-CN"/>
              </w:rPr>
              <w:t>6</w:t>
            </w:r>
            <w:r>
              <w:rPr>
                <w:rFonts w:hint="default" w:ascii="Times New Roman" w:hAnsi="Times New Roman" w:eastAsia="华文中宋" w:cs="Times New Roman"/>
                <w:szCs w:val="21"/>
                <w:lang w:val="en-US" w:eastAsia="zh-CN"/>
              </w:rPr>
              <w:t>%</w:t>
            </w:r>
          </w:p>
        </w:tc>
        <w:tc>
          <w:tcPr>
            <w:tcW w:w="1102" w:type="dxa"/>
            <w:shd w:val="clear" w:color="auto" w:fill="auto"/>
            <w:vAlign w:val="center"/>
          </w:tcPr>
          <w:p w14:paraId="7FC1020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COP</w:t>
            </w:r>
          </w:p>
        </w:tc>
      </w:tr>
    </w:tbl>
    <w:p w14:paraId="44221B77">
      <w:pPr>
        <w:adjustRightInd w:val="0"/>
        <w:snapToGrid w:val="0"/>
        <w:spacing w:before="250" w:beforeLines="5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表4.2-</w:t>
      </w:r>
      <w:r>
        <w:rPr>
          <w:rFonts w:hint="eastAsia" w:ascii="Times New Roman" w:hAnsi="Times New Roman" w:eastAsia="华文中宋" w:cs="Times New Roman"/>
          <w:b/>
          <w:szCs w:val="21"/>
          <w:lang w:val="en-US" w:eastAsia="zh-CN"/>
        </w:rPr>
        <w:t>16</w:t>
      </w:r>
      <w:r>
        <w:rPr>
          <w:rFonts w:hint="default" w:ascii="Times New Roman" w:hAnsi="Times New Roman" w:eastAsia="华文中宋" w:cs="Times New Roman"/>
          <w:b/>
          <w:szCs w:val="21"/>
          <w:lang w:val="en-US" w:eastAsia="zh-CN"/>
        </w:rPr>
        <w:t xml:space="preserve">  群落样方编号3</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1550"/>
        <w:gridCol w:w="1377"/>
        <w:gridCol w:w="1768"/>
        <w:gridCol w:w="1325"/>
        <w:gridCol w:w="1209"/>
      </w:tblGrid>
      <w:tr w14:paraId="30C83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5988" w:type="dxa"/>
            <w:gridSpan w:val="4"/>
            <w:vMerge w:val="restart"/>
            <w:vAlign w:val="center"/>
          </w:tcPr>
          <w:p w14:paraId="4E282E93">
            <w:pPr>
              <w:rPr>
                <w:rFonts w:hint="default"/>
                <w:lang w:val="en-US" w:eastAsia="zh-CN"/>
              </w:rPr>
            </w:pPr>
          </w:p>
        </w:tc>
        <w:tc>
          <w:tcPr>
            <w:tcW w:w="2534" w:type="dxa"/>
            <w:gridSpan w:val="2"/>
            <w:shd w:val="clear" w:color="auto" w:fill="auto"/>
            <w:vAlign w:val="center"/>
          </w:tcPr>
          <w:p w14:paraId="5935E83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调查日期</w:t>
            </w:r>
          </w:p>
        </w:tc>
      </w:tr>
      <w:tr w14:paraId="61192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5988" w:type="dxa"/>
            <w:gridSpan w:val="4"/>
            <w:vMerge w:val="continue"/>
            <w:vAlign w:val="center"/>
          </w:tcPr>
          <w:p w14:paraId="5CC0B1A7">
            <w:pPr>
              <w:spacing w:line="300" w:lineRule="exact"/>
              <w:jc w:val="center"/>
              <w:rPr>
                <w:rFonts w:hint="default" w:ascii="Times New Roman" w:hAnsi="Times New Roman" w:eastAsia="华文中宋" w:cs="Times New Roman"/>
                <w:szCs w:val="21"/>
                <w:lang w:val="en-US" w:eastAsia="zh-CN"/>
              </w:rPr>
            </w:pPr>
          </w:p>
        </w:tc>
        <w:tc>
          <w:tcPr>
            <w:tcW w:w="2534" w:type="dxa"/>
            <w:gridSpan w:val="2"/>
            <w:shd w:val="clear" w:color="auto" w:fill="auto"/>
            <w:vAlign w:val="center"/>
          </w:tcPr>
          <w:p w14:paraId="2ECF763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2024.7.15</w:t>
            </w:r>
          </w:p>
        </w:tc>
      </w:tr>
      <w:tr w14:paraId="41E27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5988" w:type="dxa"/>
            <w:gridSpan w:val="4"/>
            <w:vMerge w:val="continue"/>
            <w:vAlign w:val="center"/>
          </w:tcPr>
          <w:p w14:paraId="11073BB0">
            <w:pPr>
              <w:spacing w:line="300" w:lineRule="exact"/>
              <w:jc w:val="center"/>
              <w:rPr>
                <w:rFonts w:hint="default" w:ascii="Times New Roman" w:hAnsi="Times New Roman" w:eastAsia="华文中宋" w:cs="Times New Roman"/>
                <w:szCs w:val="21"/>
                <w:lang w:val="en-US" w:eastAsia="zh-CN"/>
              </w:rPr>
            </w:pPr>
          </w:p>
        </w:tc>
        <w:tc>
          <w:tcPr>
            <w:tcW w:w="2534" w:type="dxa"/>
            <w:gridSpan w:val="2"/>
            <w:shd w:val="clear" w:color="auto" w:fill="auto"/>
            <w:vAlign w:val="center"/>
          </w:tcPr>
          <w:p w14:paraId="12A7432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调查地点</w:t>
            </w:r>
          </w:p>
        </w:tc>
      </w:tr>
      <w:tr w14:paraId="11367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5988" w:type="dxa"/>
            <w:gridSpan w:val="4"/>
            <w:vMerge w:val="continue"/>
            <w:vAlign w:val="center"/>
          </w:tcPr>
          <w:p w14:paraId="1A7D58A0">
            <w:pPr>
              <w:spacing w:line="300" w:lineRule="exact"/>
              <w:jc w:val="center"/>
              <w:rPr>
                <w:rFonts w:hint="default" w:ascii="Times New Roman" w:hAnsi="Times New Roman" w:eastAsia="华文中宋" w:cs="Times New Roman"/>
                <w:szCs w:val="21"/>
                <w:lang w:val="en-US" w:eastAsia="zh-CN"/>
              </w:rPr>
            </w:pPr>
          </w:p>
        </w:tc>
        <w:tc>
          <w:tcPr>
            <w:tcW w:w="2534" w:type="dxa"/>
            <w:gridSpan w:val="2"/>
            <w:shd w:val="clear" w:color="auto" w:fill="auto"/>
            <w:vAlign w:val="center"/>
          </w:tcPr>
          <w:p w14:paraId="385A17F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项目评价范围内</w:t>
            </w:r>
          </w:p>
        </w:tc>
      </w:tr>
      <w:tr w14:paraId="225CB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5988" w:type="dxa"/>
            <w:gridSpan w:val="4"/>
            <w:vMerge w:val="continue"/>
            <w:vAlign w:val="center"/>
          </w:tcPr>
          <w:p w14:paraId="40F07682">
            <w:pPr>
              <w:spacing w:line="300" w:lineRule="exact"/>
              <w:jc w:val="center"/>
              <w:rPr>
                <w:rFonts w:hint="default" w:ascii="Times New Roman" w:hAnsi="Times New Roman" w:eastAsia="华文中宋" w:cs="Times New Roman"/>
                <w:szCs w:val="21"/>
                <w:lang w:val="en-US" w:eastAsia="zh-CN"/>
              </w:rPr>
            </w:pPr>
          </w:p>
        </w:tc>
        <w:tc>
          <w:tcPr>
            <w:tcW w:w="2534" w:type="dxa"/>
            <w:gridSpan w:val="2"/>
            <w:shd w:val="clear" w:color="auto" w:fill="auto"/>
            <w:vAlign w:val="center"/>
          </w:tcPr>
          <w:p w14:paraId="0482D7A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样方面积</w:t>
            </w:r>
          </w:p>
        </w:tc>
      </w:tr>
      <w:tr w14:paraId="706DE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5988" w:type="dxa"/>
            <w:gridSpan w:val="4"/>
            <w:vMerge w:val="continue"/>
            <w:vAlign w:val="center"/>
          </w:tcPr>
          <w:p w14:paraId="1E59AC75">
            <w:pPr>
              <w:spacing w:line="300" w:lineRule="exact"/>
              <w:jc w:val="center"/>
              <w:rPr>
                <w:rFonts w:hint="default" w:ascii="Times New Roman" w:hAnsi="Times New Roman" w:eastAsia="华文中宋" w:cs="Times New Roman"/>
                <w:szCs w:val="21"/>
                <w:lang w:val="en-US" w:eastAsia="zh-CN"/>
              </w:rPr>
            </w:pPr>
          </w:p>
        </w:tc>
        <w:tc>
          <w:tcPr>
            <w:tcW w:w="2534" w:type="dxa"/>
            <w:gridSpan w:val="2"/>
            <w:shd w:val="clear" w:color="auto" w:fill="auto"/>
            <w:vAlign w:val="center"/>
          </w:tcPr>
          <w:p w14:paraId="137B9CD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1m×1m</w:t>
            </w:r>
          </w:p>
        </w:tc>
      </w:tr>
      <w:tr w14:paraId="500B4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3227D98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海拔高度</w:t>
            </w:r>
          </w:p>
        </w:tc>
        <w:tc>
          <w:tcPr>
            <w:tcW w:w="1550" w:type="dxa"/>
            <w:vAlign w:val="center"/>
          </w:tcPr>
          <w:p w14:paraId="05D68E1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5116</w:t>
            </w:r>
            <w:r>
              <w:rPr>
                <w:rFonts w:hint="eastAsia" w:ascii="Times New Roman" w:hAnsi="Times New Roman" w:eastAsia="华文中宋" w:cs="Times New Roman"/>
                <w:szCs w:val="21"/>
                <w:lang w:val="en-US" w:eastAsia="zh-CN"/>
              </w:rPr>
              <w:t>m</w:t>
            </w:r>
          </w:p>
        </w:tc>
        <w:tc>
          <w:tcPr>
            <w:tcW w:w="1377" w:type="dxa"/>
            <w:vAlign w:val="center"/>
          </w:tcPr>
          <w:p w14:paraId="2272708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坡度</w:t>
            </w:r>
          </w:p>
        </w:tc>
        <w:tc>
          <w:tcPr>
            <w:tcW w:w="1768" w:type="dxa"/>
            <w:vAlign w:val="center"/>
          </w:tcPr>
          <w:p w14:paraId="431C9B2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w:t>
            </w:r>
            <w:r>
              <w:rPr>
                <w:rFonts w:hint="eastAsia" w:ascii="Times New Roman" w:hAnsi="Times New Roman" w:eastAsia="华文中宋" w:cs="Times New Roman"/>
                <w:szCs w:val="21"/>
                <w:lang w:val="en-US" w:eastAsia="zh-CN"/>
              </w:rPr>
              <w:t>%</w:t>
            </w:r>
          </w:p>
        </w:tc>
        <w:tc>
          <w:tcPr>
            <w:tcW w:w="1325" w:type="dxa"/>
            <w:vAlign w:val="center"/>
          </w:tcPr>
          <w:p w14:paraId="25EDDDE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坡向</w:t>
            </w:r>
          </w:p>
        </w:tc>
        <w:tc>
          <w:tcPr>
            <w:tcW w:w="1209" w:type="dxa"/>
            <w:vAlign w:val="center"/>
          </w:tcPr>
          <w:p w14:paraId="64E7A2C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N</w:t>
            </w:r>
          </w:p>
        </w:tc>
      </w:tr>
      <w:tr w14:paraId="3AF12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548A618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土地类型</w:t>
            </w:r>
          </w:p>
        </w:tc>
        <w:tc>
          <w:tcPr>
            <w:tcW w:w="1550" w:type="dxa"/>
            <w:vAlign w:val="center"/>
          </w:tcPr>
          <w:p w14:paraId="02FD5D1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天然牧草地</w:t>
            </w:r>
          </w:p>
        </w:tc>
        <w:tc>
          <w:tcPr>
            <w:tcW w:w="1377" w:type="dxa"/>
            <w:shd w:val="clear" w:color="auto" w:fill="auto"/>
            <w:vAlign w:val="center"/>
          </w:tcPr>
          <w:p w14:paraId="03A89DE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地形/地貌</w:t>
            </w:r>
          </w:p>
        </w:tc>
        <w:tc>
          <w:tcPr>
            <w:tcW w:w="1768" w:type="dxa"/>
            <w:shd w:val="clear" w:color="auto" w:fill="auto"/>
            <w:vAlign w:val="center"/>
          </w:tcPr>
          <w:p w14:paraId="2FDA3A5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残丘、垄岗和洼地</w:t>
            </w:r>
          </w:p>
        </w:tc>
        <w:tc>
          <w:tcPr>
            <w:tcW w:w="1325" w:type="dxa"/>
            <w:shd w:val="clear" w:color="auto" w:fill="auto"/>
            <w:vAlign w:val="center"/>
          </w:tcPr>
          <w:p w14:paraId="684DEF9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植被种类</w:t>
            </w:r>
          </w:p>
        </w:tc>
        <w:tc>
          <w:tcPr>
            <w:tcW w:w="1209" w:type="dxa"/>
            <w:shd w:val="clear" w:color="auto" w:fill="auto"/>
            <w:vAlign w:val="center"/>
          </w:tcPr>
          <w:p w14:paraId="1445549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w:t>
            </w:r>
          </w:p>
        </w:tc>
      </w:tr>
      <w:tr w14:paraId="7D82B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73C40B7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植被覆盖度</w:t>
            </w:r>
          </w:p>
        </w:tc>
        <w:tc>
          <w:tcPr>
            <w:tcW w:w="7229" w:type="dxa"/>
            <w:gridSpan w:val="5"/>
            <w:vAlign w:val="center"/>
          </w:tcPr>
          <w:p w14:paraId="3E896260">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9</w:t>
            </w:r>
            <w:r>
              <w:rPr>
                <w:rFonts w:hint="default" w:ascii="Times New Roman" w:hAnsi="Times New Roman" w:eastAsia="华文中宋" w:cs="Times New Roman"/>
                <w:szCs w:val="21"/>
                <w:lang w:val="en-US" w:eastAsia="zh-CN"/>
              </w:rPr>
              <w:t>%</w:t>
            </w:r>
          </w:p>
        </w:tc>
      </w:tr>
      <w:tr w14:paraId="338F7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223785E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序号</w:t>
            </w:r>
          </w:p>
        </w:tc>
        <w:tc>
          <w:tcPr>
            <w:tcW w:w="1550" w:type="dxa"/>
            <w:vAlign w:val="center"/>
          </w:tcPr>
          <w:p w14:paraId="450F551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植物名称</w:t>
            </w:r>
          </w:p>
        </w:tc>
        <w:tc>
          <w:tcPr>
            <w:tcW w:w="1377" w:type="dxa"/>
            <w:vAlign w:val="center"/>
          </w:tcPr>
          <w:p w14:paraId="188D83E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高度（cm）</w:t>
            </w:r>
          </w:p>
        </w:tc>
        <w:tc>
          <w:tcPr>
            <w:tcW w:w="3093" w:type="dxa"/>
            <w:gridSpan w:val="2"/>
            <w:vAlign w:val="center"/>
          </w:tcPr>
          <w:p w14:paraId="2ECBE3D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盖度</w:t>
            </w:r>
          </w:p>
        </w:tc>
        <w:tc>
          <w:tcPr>
            <w:tcW w:w="1209" w:type="dxa"/>
            <w:shd w:val="clear" w:color="auto" w:fill="auto"/>
            <w:vAlign w:val="center"/>
          </w:tcPr>
          <w:p w14:paraId="1960C13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多度</w:t>
            </w:r>
          </w:p>
        </w:tc>
      </w:tr>
      <w:tr w14:paraId="20C01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14:paraId="10C641F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w:t>
            </w:r>
          </w:p>
        </w:tc>
        <w:tc>
          <w:tcPr>
            <w:tcW w:w="1550" w:type="dxa"/>
            <w:shd w:val="clear" w:color="auto" w:fill="auto"/>
            <w:vAlign w:val="center"/>
          </w:tcPr>
          <w:p w14:paraId="523EF3A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垫状驼绒藜</w:t>
            </w:r>
          </w:p>
        </w:tc>
        <w:tc>
          <w:tcPr>
            <w:tcW w:w="1377" w:type="dxa"/>
            <w:shd w:val="clear" w:color="auto" w:fill="auto"/>
            <w:vAlign w:val="center"/>
          </w:tcPr>
          <w:p w14:paraId="64D0527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w:t>
            </w:r>
          </w:p>
        </w:tc>
        <w:tc>
          <w:tcPr>
            <w:tcW w:w="3093" w:type="dxa"/>
            <w:gridSpan w:val="2"/>
            <w:vAlign w:val="center"/>
          </w:tcPr>
          <w:p w14:paraId="0723E2B0">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9</w:t>
            </w:r>
            <w:r>
              <w:rPr>
                <w:rFonts w:hint="default" w:ascii="Times New Roman" w:hAnsi="Times New Roman" w:eastAsia="华文中宋" w:cs="Times New Roman"/>
                <w:szCs w:val="21"/>
                <w:lang w:val="en-US" w:eastAsia="zh-CN"/>
              </w:rPr>
              <w:t>%</w:t>
            </w:r>
          </w:p>
        </w:tc>
        <w:tc>
          <w:tcPr>
            <w:tcW w:w="1209" w:type="dxa"/>
            <w:shd w:val="clear" w:color="auto" w:fill="auto"/>
            <w:vAlign w:val="center"/>
          </w:tcPr>
          <w:p w14:paraId="65C5BC0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COP</w:t>
            </w:r>
          </w:p>
        </w:tc>
      </w:tr>
    </w:tbl>
    <w:p w14:paraId="3794C8EF">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项目评价范围</w:t>
      </w:r>
      <w:r>
        <w:rPr>
          <w:rFonts w:hint="default" w:ascii="Times New Roman" w:hAnsi="Times New Roman" w:eastAsia="华文中宋" w:cs="Times New Roman"/>
          <w:color w:val="auto"/>
          <w:lang w:val="en-US" w:eastAsia="zh-CN"/>
        </w:rPr>
        <w:t>所在区域植被属于</w:t>
      </w:r>
      <w:r>
        <w:rPr>
          <w:rFonts w:hint="default" w:ascii="Times New Roman" w:hAnsi="Times New Roman" w:cs="Times New Roman"/>
          <w:color w:val="auto"/>
          <w:sz w:val="24"/>
          <w:highlight w:val="none"/>
          <w:lang w:val="en-US" w:eastAsia="zh-CN"/>
        </w:rPr>
        <w:t>高原荒漠植被</w:t>
      </w:r>
      <w:r>
        <w:rPr>
          <w:rFonts w:hint="default" w:ascii="Times New Roman" w:hAnsi="Times New Roman" w:eastAsia="华文中宋" w:cs="Times New Roman"/>
          <w:color w:val="auto"/>
          <w:lang w:val="en-US" w:eastAsia="zh-CN"/>
        </w:rPr>
        <w:t>分布区，</w:t>
      </w:r>
      <w:r>
        <w:rPr>
          <w:rFonts w:hint="eastAsia" w:ascii="Times New Roman" w:hAnsi="Times New Roman" w:cs="Times New Roman"/>
          <w:color w:val="auto"/>
          <w:lang w:val="en-US" w:eastAsia="zh-CN"/>
        </w:rPr>
        <w:t>高原荒漠植被分布区</w:t>
      </w:r>
      <w:r>
        <w:rPr>
          <w:rFonts w:hint="default" w:ascii="Times New Roman" w:hAnsi="Times New Roman" w:eastAsia="华文中宋" w:cs="Times New Roman"/>
          <w:color w:val="auto"/>
          <w:lang w:val="en-US" w:eastAsia="zh-CN"/>
        </w:rPr>
        <w:t>植物</w:t>
      </w:r>
      <w:r>
        <w:rPr>
          <w:rFonts w:hint="eastAsia" w:ascii="Times New Roman" w:hAnsi="Times New Roman" w:cs="Times New Roman"/>
          <w:color w:val="auto"/>
          <w:lang w:val="en-US" w:eastAsia="zh-CN"/>
        </w:rPr>
        <w:t>类型主要为</w:t>
      </w:r>
      <w:r>
        <w:rPr>
          <w:rFonts w:hint="default" w:ascii="Times New Roman" w:hAnsi="Times New Roman" w:cs="Times New Roman"/>
          <w:color w:val="auto"/>
          <w:sz w:val="24"/>
          <w:highlight w:val="none"/>
          <w:lang w:val="en-US" w:eastAsia="zh-CN"/>
        </w:rPr>
        <w:t>线叶蒿草、细果苔草、火绒草、委陵菜等，</w:t>
      </w:r>
      <w:r>
        <w:rPr>
          <w:rFonts w:hint="default" w:ascii="Times New Roman" w:hAnsi="Times New Roman" w:eastAsia="华文中宋" w:cs="Times New Roman"/>
          <w:color w:val="auto"/>
          <w:lang w:val="en-US" w:eastAsia="zh-CN"/>
        </w:rPr>
        <w:t>种类相对较少，</w:t>
      </w:r>
      <w:r>
        <w:rPr>
          <w:rFonts w:hint="eastAsia" w:ascii="Times New Roman" w:hAnsi="Times New Roman" w:cs="Times New Roman"/>
          <w:color w:val="auto"/>
          <w:lang w:val="en-US" w:eastAsia="zh-CN"/>
        </w:rPr>
        <w:t>评价范围内绝大部分区域</w:t>
      </w:r>
      <w:r>
        <w:rPr>
          <w:rFonts w:hint="default" w:ascii="Times New Roman" w:hAnsi="Times New Roman" w:eastAsia="华文中宋" w:cs="Times New Roman"/>
          <w:color w:val="auto"/>
          <w:lang w:val="en-US" w:eastAsia="zh-CN"/>
        </w:rPr>
        <w:t>植被覆盖度</w:t>
      </w:r>
      <w:r>
        <w:rPr>
          <w:rFonts w:hint="eastAsia" w:ascii="Times New Roman" w:hAnsi="Times New Roman" w:cs="Times New Roman"/>
          <w:color w:val="auto"/>
          <w:lang w:val="en-US" w:eastAsia="zh-CN"/>
        </w:rPr>
        <w:t>低于10%，少部分区域植被覆盖度位于</w:t>
      </w:r>
      <w:r>
        <w:rPr>
          <w:rFonts w:hint="default" w:ascii="Times New Roman" w:hAnsi="Times New Roman" w:eastAsia="华文中宋" w:cs="Times New Roman"/>
          <w:color w:val="auto"/>
          <w:lang w:val="en-US" w:eastAsia="zh-CN"/>
        </w:rPr>
        <w:t>1</w:t>
      </w:r>
      <w:r>
        <w:rPr>
          <w:rFonts w:hint="eastAsia" w:ascii="Times New Roman" w:hAnsi="Times New Roman" w:eastAsia="华文中宋" w:cs="Times New Roman"/>
          <w:color w:val="auto"/>
          <w:lang w:val="en-US" w:eastAsia="zh-CN"/>
        </w:rPr>
        <w:t>0</w:t>
      </w:r>
      <w:r>
        <w:rPr>
          <w:rFonts w:hint="default" w:ascii="Times New Roman" w:hAnsi="Times New Roman" w:eastAsia="华文中宋" w:cs="Times New Roman"/>
          <w:color w:val="auto"/>
          <w:lang w:val="en-US" w:eastAsia="zh-CN"/>
        </w:rPr>
        <w:t>%～20%</w:t>
      </w:r>
      <w:r>
        <w:rPr>
          <w:rFonts w:hint="eastAsia" w:ascii="Times New Roman" w:hAnsi="Times New Roman" w:cs="Times New Roman"/>
          <w:color w:val="auto"/>
          <w:lang w:val="en-US" w:eastAsia="zh-CN"/>
        </w:rPr>
        <w:t>之间</w:t>
      </w:r>
      <w:r>
        <w:rPr>
          <w:rFonts w:hint="default" w:ascii="Times New Roman" w:hAnsi="Times New Roman" w:eastAsia="华文中宋" w:cs="Times New Roman"/>
          <w:color w:val="auto"/>
          <w:lang w:val="en-US" w:eastAsia="zh-CN"/>
        </w:rPr>
        <w:t>。</w:t>
      </w:r>
    </w:p>
    <w:p w14:paraId="3C381815">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根据实地调查，</w:t>
      </w:r>
      <w:r>
        <w:rPr>
          <w:rFonts w:hint="eastAsia" w:ascii="Times New Roman" w:hAnsi="Times New Roman" w:cs="Times New Roman"/>
          <w:color w:val="auto"/>
          <w:lang w:val="en-US" w:eastAsia="zh-CN"/>
        </w:rPr>
        <w:t>项目所在地属于高寒缺氧荒漠无人区</w:t>
      </w:r>
      <w:r>
        <w:rPr>
          <w:rFonts w:hint="default" w:ascii="Times New Roman" w:hAnsi="Times New Roman" w:eastAsia="华文中宋" w:cs="Times New Roman"/>
          <w:color w:val="auto"/>
          <w:lang w:val="en-US" w:eastAsia="zh-CN"/>
        </w:rPr>
        <w:t>，</w:t>
      </w:r>
      <w:r>
        <w:rPr>
          <w:rFonts w:hint="eastAsia" w:ascii="Times New Roman" w:hAnsi="Times New Roman" w:cs="Times New Roman"/>
          <w:color w:val="auto"/>
          <w:lang w:val="en-US" w:eastAsia="zh-CN"/>
        </w:rPr>
        <w:t>植被覆盖度较低，根据现场调查情况，评价范围内广泛分布植物有垫状驼绒藜</w:t>
      </w:r>
      <w:r>
        <w:rPr>
          <w:rFonts w:hint="default" w:ascii="Times New Roman" w:hAnsi="Times New Roman" w:eastAsia="华文中宋" w:cs="Times New Roman"/>
          <w:color w:val="auto"/>
          <w:lang w:val="en-US" w:eastAsia="zh-CN"/>
        </w:rPr>
        <w:t>。</w:t>
      </w:r>
    </w:p>
    <w:p w14:paraId="7DEE48BE">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垫状驼绒藜（Krascheninnikovia compactaLosinsk. Grubov）是苋科驼绒藜属半匍匐型小半灌木，叶小，密集，叶片椭圆形或矩圆状倒卵形；雄花序短而紧密，头状；雌花管矩圆形；果椭圆形，被毛；花果期6-8月。</w:t>
      </w:r>
    </w:p>
    <w:p w14:paraId="0C94D41A">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垫状驼绒藜分布于中国新疆、甘肃、青海和西藏。垫状驼绒藜生于严寒、干旱的高寒荒漠地带，土壤贫瘠，环境条件恶劣。垫状驼绒藜主要为无性繁殖。</w:t>
      </w:r>
    </w:p>
    <w:p w14:paraId="17DF6FC5">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垫状驼绒藜为高山荒漠优势种，对水土保持具有重要的生态价值。垫状驼绒藜是高寒荒漠地区的主要牧草，尽管产量较低，但营养价值颇高，适口性好，有利于家畜恢复体力和抓膘，是牦牛、藏羊夏秋季节良好的放牧饲草，属于良等牧草。</w:t>
      </w:r>
    </w:p>
    <w:p w14:paraId="2044BD4F">
      <w:pPr>
        <w:pStyle w:val="24"/>
        <w:snapToGrid w:val="0"/>
        <w:jc w:val="left"/>
        <w:rPr>
          <w:rFonts w:hint="eastAsia"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（3）</w:t>
      </w:r>
      <w:r>
        <w:rPr>
          <w:rFonts w:hint="eastAsia" w:ascii="Times New Roman" w:hAnsi="Times New Roman" w:eastAsia="华文中宋" w:cs="Times New Roman"/>
          <w:color w:val="auto"/>
          <w:lang w:val="en-US" w:eastAsia="zh-CN"/>
        </w:rPr>
        <w:t>珍稀濒危物种调查</w:t>
      </w:r>
    </w:p>
    <w:p w14:paraId="2DBF96A2">
      <w:pPr>
        <w:pStyle w:val="24"/>
        <w:snapToGrid w:val="0"/>
        <w:jc w:val="left"/>
        <w:rPr>
          <w:rFonts w:hint="eastAsia"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依据《国家重点保护野生植物名录》（2021年第15号）、《新疆国家重点保护野生植物名录（2022年）</w:t>
      </w:r>
      <w:r>
        <w:rPr>
          <w:rFonts w:hint="eastAsia" w:ascii="Times New Roman" w:hAnsi="Times New Roman" w:cs="Times New Roman"/>
          <w:color w:val="auto"/>
          <w:lang w:val="en-US" w:eastAsia="zh-CN"/>
        </w:rPr>
        <w:t>》《</w:t>
      </w:r>
      <w:r>
        <w:rPr>
          <w:rFonts w:hint="eastAsia" w:ascii="Times New Roman" w:hAnsi="Times New Roman" w:eastAsia="华文中宋" w:cs="Times New Roman"/>
          <w:color w:val="auto"/>
          <w:lang w:val="en-US" w:eastAsia="zh-CN"/>
        </w:rPr>
        <w:t>新疆维吾尔自治区重点保护野生植物名录（2024年）》，根据访问调查及现场实地调查</w:t>
      </w:r>
      <w:r>
        <w:rPr>
          <w:rFonts w:hint="eastAsia" w:ascii="Times New Roman" w:hAnsi="Times New Roman" w:cs="Times New Roman"/>
          <w:color w:val="auto"/>
          <w:lang w:val="en-US" w:eastAsia="zh-CN"/>
        </w:rPr>
        <w:t>情况</w:t>
      </w:r>
      <w:r>
        <w:rPr>
          <w:rFonts w:hint="eastAsia" w:ascii="Times New Roman" w:hAnsi="Times New Roman" w:eastAsia="华文中宋" w:cs="Times New Roman"/>
          <w:color w:val="auto"/>
          <w:lang w:val="en-US" w:eastAsia="zh-CN"/>
        </w:rPr>
        <w:t>，现阶段在评价区</w:t>
      </w:r>
      <w:r>
        <w:rPr>
          <w:rFonts w:hint="eastAsia" w:ascii="Times New Roman" w:hAnsi="Times New Roman" w:cs="Times New Roman"/>
          <w:color w:val="auto"/>
          <w:lang w:val="en-US" w:eastAsia="zh-CN"/>
        </w:rPr>
        <w:t>范围内</w:t>
      </w:r>
      <w:r>
        <w:rPr>
          <w:rFonts w:hint="eastAsia" w:ascii="Times New Roman" w:hAnsi="Times New Roman" w:eastAsia="华文中宋" w:cs="Times New Roman"/>
          <w:color w:val="auto"/>
          <w:lang w:val="en-US" w:eastAsia="zh-CN"/>
        </w:rPr>
        <w:t>未调查到重点保护野生植物分布。</w:t>
      </w:r>
    </w:p>
    <w:p w14:paraId="098A8DCB">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highlight w:val="none"/>
          <w:lang w:val="en-US" w:eastAsia="zh-CN"/>
        </w:rPr>
        <w:t>项目评价范围内植被覆盖度较低，评价区植被覆盖度示意图见图4.2-4，植被类型图见图4.2-5。</w:t>
      </w:r>
    </w:p>
    <w:p w14:paraId="61B973DB">
      <w:pPr>
        <w:pStyle w:val="24"/>
        <w:numPr>
          <w:ilvl w:val="0"/>
          <w:numId w:val="0"/>
        </w:numPr>
        <w:snapToGrid w:val="0"/>
        <w:jc w:val="left"/>
        <w:rPr>
          <w:rFonts w:hint="eastAsia" w:ascii="Times New Roman" w:hAnsi="Times New Roman" w:eastAsia="华文中宋" w:cs="Times New Roman"/>
          <w:b/>
          <w:bCs/>
          <w:color w:val="auto"/>
          <w:lang w:val="en-US" w:eastAsia="zh-CN"/>
        </w:rPr>
      </w:pPr>
      <w:r>
        <w:rPr>
          <w:rFonts w:hint="eastAsia" w:ascii="Times New Roman" w:hAnsi="Times New Roman" w:cs="Times New Roman"/>
          <w:b/>
          <w:bCs/>
          <w:snapToGrid w:val="0"/>
          <w:color w:val="auto"/>
          <w:kern w:val="0"/>
          <w:sz w:val="24"/>
          <w:szCs w:val="20"/>
          <w:lang w:val="en-US" w:eastAsia="zh-CN" w:bidi="ar-SA"/>
        </w:rPr>
        <w:t>4.2.7.5</w:t>
      </w:r>
      <w:r>
        <w:rPr>
          <w:rFonts w:hint="eastAsia" w:ascii="Times New Roman" w:hAnsi="Times New Roman" w:eastAsia="华文中宋" w:cs="Times New Roman"/>
          <w:b/>
          <w:bCs/>
          <w:color w:val="auto"/>
          <w:lang w:val="en-US" w:eastAsia="zh-CN"/>
        </w:rPr>
        <w:t>动物多样性调查</w:t>
      </w:r>
    </w:p>
    <w:p w14:paraId="448DDE48">
      <w:pPr>
        <w:pStyle w:val="24"/>
        <w:numPr>
          <w:ilvl w:val="0"/>
          <w:numId w:val="0"/>
        </w:numPr>
        <w:snapToGrid w:val="0"/>
        <w:ind w:firstLine="480" w:firstLineChars="200"/>
        <w:jc w:val="left"/>
        <w:rPr>
          <w:rFonts w:hint="eastAsia" w:ascii="Times New Roman" w:hAnsi="Times New Roman" w:cs="Times New Roman"/>
          <w:color w:val="auto"/>
          <w:lang w:val="en-US" w:eastAsia="zh-CN"/>
        </w:rPr>
      </w:pPr>
      <w:r>
        <w:rPr>
          <w:rFonts w:hint="eastAsia" w:ascii="Times New Roman" w:hAnsi="Times New Roman" w:cs="Times New Roman"/>
          <w:snapToGrid w:val="0"/>
          <w:color w:val="auto"/>
          <w:kern w:val="0"/>
          <w:sz w:val="24"/>
          <w:szCs w:val="20"/>
          <w:lang w:val="en-US" w:eastAsia="zh-CN" w:bidi="ar-SA"/>
        </w:rPr>
        <w:t>（1）</w:t>
      </w:r>
      <w:r>
        <w:rPr>
          <w:rFonts w:hint="eastAsia" w:ascii="Times New Roman" w:hAnsi="Times New Roman" w:cs="Times New Roman"/>
          <w:color w:val="auto"/>
          <w:lang w:val="en-US" w:eastAsia="zh-CN"/>
        </w:rPr>
        <w:t>项目所在区域野生动物概况</w:t>
      </w:r>
    </w:p>
    <w:p w14:paraId="40A869F7">
      <w:pPr>
        <w:pStyle w:val="24"/>
        <w:snapToGrid w:val="0"/>
        <w:jc w:val="left"/>
        <w:rPr>
          <w:rFonts w:hint="default" w:ascii="Times New Roman" w:hAnsi="Times New Roman" w:eastAsia="华文中宋" w:cs="Times New Roman"/>
          <w:color w:val="auto"/>
          <w:lang w:val="en-US" w:eastAsia="zh-CN"/>
        </w:rPr>
        <w:sectPr>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华文中宋" w:cs="Times New Roman"/>
          <w:color w:val="auto"/>
          <w:lang w:val="en-US" w:eastAsia="zh-CN"/>
        </w:rPr>
        <w:t>项目所处区域在中国动物地理区划中属古北界－中亚亚界－青藏区－羌塘高原亚区。区域内野生动物</w:t>
      </w:r>
      <w:r>
        <w:rPr>
          <w:rFonts w:hint="eastAsia" w:ascii="Times New Roman" w:hAnsi="Times New Roman" w:cs="Times New Roman"/>
          <w:color w:val="auto"/>
          <w:lang w:val="en-US" w:eastAsia="zh-CN"/>
        </w:rPr>
        <w:t>主要</w:t>
      </w:r>
      <w:r>
        <w:rPr>
          <w:rFonts w:hint="default" w:ascii="Times New Roman" w:hAnsi="Times New Roman" w:eastAsia="华文中宋" w:cs="Times New Roman"/>
          <w:color w:val="auto"/>
          <w:lang w:val="en-US" w:eastAsia="zh-CN"/>
        </w:rPr>
        <w:t>有藏羚羊、黄羊、乌鸦、野兔、狐狸（赤狐）和灰狼等。评价区域的</w:t>
      </w:r>
      <w:r>
        <w:rPr>
          <w:rFonts w:hint="eastAsia" w:ascii="Times New Roman" w:hAnsi="Times New Roman" w:cs="Times New Roman"/>
          <w:color w:val="auto"/>
          <w:lang w:val="en-US" w:eastAsia="zh-CN"/>
        </w:rPr>
        <w:t>主</w:t>
      </w:r>
      <w:r>
        <w:rPr>
          <w:rFonts w:hint="default" w:ascii="Times New Roman" w:hAnsi="Times New Roman" w:eastAsia="华文中宋" w:cs="Times New Roman"/>
          <w:color w:val="auto"/>
          <w:lang w:val="en-US" w:eastAsia="zh-CN"/>
        </w:rPr>
        <w:t>要野生动物名录见4.2-1</w:t>
      </w:r>
      <w:r>
        <w:rPr>
          <w:rFonts w:hint="eastAsia" w:ascii="Times New Roman" w:hAnsi="Times New Roman" w:eastAsia="华文中宋" w:cs="Times New Roman"/>
          <w:color w:val="auto"/>
          <w:lang w:val="en-US" w:eastAsia="zh-CN"/>
        </w:rPr>
        <w:t>5</w:t>
      </w:r>
      <w:r>
        <w:rPr>
          <w:rFonts w:hint="default" w:ascii="Times New Roman" w:hAnsi="Times New Roman" w:eastAsia="华文中宋" w:cs="Times New Roman"/>
          <w:color w:val="auto"/>
          <w:lang w:val="en-US" w:eastAsia="zh-CN"/>
        </w:rPr>
        <w:t>。</w:t>
      </w:r>
    </w:p>
    <w:p w14:paraId="0BFFED4F">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表4.2-1</w:t>
      </w:r>
      <w:r>
        <w:rPr>
          <w:rFonts w:hint="eastAsia" w:ascii="Times New Roman" w:hAnsi="Times New Roman" w:eastAsia="华文中宋" w:cs="Times New Roman"/>
          <w:b/>
          <w:szCs w:val="21"/>
          <w:lang w:val="en-US" w:eastAsia="zh-CN"/>
        </w:rPr>
        <w:t>5</w:t>
      </w:r>
      <w:r>
        <w:rPr>
          <w:rFonts w:hint="default" w:ascii="Times New Roman" w:hAnsi="Times New Roman" w:eastAsia="华文中宋" w:cs="Times New Roman"/>
          <w:b/>
          <w:szCs w:val="21"/>
          <w:lang w:val="en-US" w:eastAsia="zh-CN"/>
        </w:rPr>
        <w:t xml:space="preserve">  评价区域内的主要野生动物名录</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2"/>
        <w:gridCol w:w="1112"/>
        <w:gridCol w:w="757"/>
        <w:gridCol w:w="774"/>
        <w:gridCol w:w="1197"/>
        <w:gridCol w:w="998"/>
        <w:gridCol w:w="6063"/>
        <w:gridCol w:w="1103"/>
        <w:gridCol w:w="1688"/>
      </w:tblGrid>
      <w:tr w14:paraId="6351F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 w:type="pct"/>
            <w:vAlign w:val="center"/>
          </w:tcPr>
          <w:p w14:paraId="389FD58D">
            <w:pPr>
              <w:jc w:val="center"/>
              <w:rPr>
                <w:rFonts w:hint="eastAsia" w:eastAsiaTheme="minorEastAsia"/>
                <w:vertAlign w:val="baseline"/>
                <w:lang w:val="en-US" w:eastAsia="zh-CN"/>
              </w:rPr>
            </w:pPr>
            <w:r>
              <w:rPr>
                <w:rFonts w:hint="eastAsia"/>
                <w:vertAlign w:val="baseline"/>
                <w:lang w:val="en-US" w:eastAsia="zh-CN"/>
              </w:rPr>
              <w:t>序号</w:t>
            </w:r>
          </w:p>
        </w:tc>
        <w:tc>
          <w:tcPr>
            <w:tcW w:w="392" w:type="pct"/>
            <w:vAlign w:val="center"/>
          </w:tcPr>
          <w:p w14:paraId="226A7447">
            <w:pPr>
              <w:jc w:val="center"/>
              <w:rPr>
                <w:rFonts w:hint="default" w:eastAsiaTheme="minorEastAsia"/>
                <w:vertAlign w:val="baseline"/>
                <w:lang w:val="en-US" w:eastAsia="zh-CN"/>
              </w:rPr>
            </w:pPr>
            <w:r>
              <w:rPr>
                <w:rFonts w:hint="eastAsia"/>
                <w:vertAlign w:val="baseline"/>
                <w:lang w:val="en-US" w:eastAsia="zh-CN"/>
              </w:rPr>
              <w:t>物种名称</w:t>
            </w:r>
          </w:p>
        </w:tc>
        <w:tc>
          <w:tcPr>
            <w:tcW w:w="267" w:type="pct"/>
            <w:vAlign w:val="center"/>
          </w:tcPr>
          <w:p w14:paraId="2178C3EB">
            <w:pPr>
              <w:jc w:val="center"/>
              <w:rPr>
                <w:rFonts w:hint="default"/>
                <w:vertAlign w:val="baseline"/>
                <w:lang w:val="en-US" w:eastAsia="zh-CN"/>
              </w:rPr>
            </w:pPr>
            <w:r>
              <w:rPr>
                <w:rFonts w:hint="eastAsia"/>
                <w:vertAlign w:val="baseline"/>
                <w:lang w:val="en-US" w:eastAsia="zh-CN"/>
              </w:rPr>
              <w:t>科</w:t>
            </w:r>
          </w:p>
        </w:tc>
        <w:tc>
          <w:tcPr>
            <w:tcW w:w="273" w:type="pct"/>
            <w:vAlign w:val="center"/>
          </w:tcPr>
          <w:p w14:paraId="26997058">
            <w:pPr>
              <w:jc w:val="center"/>
              <w:rPr>
                <w:rFonts w:hint="default"/>
                <w:vertAlign w:val="baseline"/>
                <w:lang w:val="en-US" w:eastAsia="zh-CN"/>
              </w:rPr>
            </w:pPr>
            <w:r>
              <w:rPr>
                <w:rFonts w:hint="eastAsia"/>
                <w:vertAlign w:val="baseline"/>
                <w:lang w:val="en-US" w:eastAsia="zh-CN"/>
              </w:rPr>
              <w:t>属</w:t>
            </w:r>
          </w:p>
        </w:tc>
        <w:tc>
          <w:tcPr>
            <w:tcW w:w="422" w:type="pct"/>
            <w:vAlign w:val="center"/>
          </w:tcPr>
          <w:p w14:paraId="0E3F4E6A">
            <w:pPr>
              <w:jc w:val="center"/>
              <w:rPr>
                <w:rFonts w:hint="default" w:eastAsiaTheme="minorEastAsia"/>
                <w:vertAlign w:val="baseline"/>
                <w:lang w:val="en-US" w:eastAsia="zh-CN"/>
              </w:rPr>
            </w:pPr>
            <w:r>
              <w:rPr>
                <w:rFonts w:hint="eastAsia"/>
                <w:vertAlign w:val="baseline"/>
                <w:lang w:val="en-US" w:eastAsia="zh-CN"/>
              </w:rPr>
              <w:t>保护级别</w:t>
            </w:r>
          </w:p>
        </w:tc>
        <w:tc>
          <w:tcPr>
            <w:tcW w:w="352" w:type="pct"/>
            <w:vAlign w:val="center"/>
          </w:tcPr>
          <w:p w14:paraId="3160362E">
            <w:pPr>
              <w:jc w:val="center"/>
              <w:rPr>
                <w:rFonts w:hint="default" w:eastAsiaTheme="minorEastAsia"/>
                <w:vertAlign w:val="baseline"/>
                <w:lang w:val="en-US" w:eastAsia="zh-CN"/>
              </w:rPr>
            </w:pPr>
            <w:r>
              <w:rPr>
                <w:rFonts w:hint="eastAsia"/>
                <w:vertAlign w:val="baseline"/>
                <w:lang w:val="en-US" w:eastAsia="zh-CN"/>
              </w:rPr>
              <w:t>濒危等级</w:t>
            </w:r>
          </w:p>
        </w:tc>
        <w:tc>
          <w:tcPr>
            <w:tcW w:w="2138" w:type="pct"/>
            <w:vAlign w:val="center"/>
          </w:tcPr>
          <w:p w14:paraId="525D3D82">
            <w:pPr>
              <w:jc w:val="center"/>
              <w:rPr>
                <w:rFonts w:hint="default" w:eastAsiaTheme="minorEastAsia"/>
                <w:vertAlign w:val="baseline"/>
                <w:lang w:val="en-US" w:eastAsia="zh-CN"/>
              </w:rPr>
            </w:pPr>
            <w:r>
              <w:rPr>
                <w:rFonts w:hint="eastAsia"/>
                <w:vertAlign w:val="baseline"/>
                <w:lang w:val="en-US" w:eastAsia="zh-CN"/>
              </w:rPr>
              <w:t>生活习性</w:t>
            </w:r>
          </w:p>
        </w:tc>
        <w:tc>
          <w:tcPr>
            <w:tcW w:w="389" w:type="pct"/>
            <w:vAlign w:val="center"/>
          </w:tcPr>
          <w:p w14:paraId="50A831BD">
            <w:pPr>
              <w:jc w:val="center"/>
              <w:rPr>
                <w:rFonts w:hint="default" w:eastAsiaTheme="minorEastAsia"/>
                <w:vertAlign w:val="baseline"/>
                <w:lang w:val="en-US" w:eastAsia="zh-CN"/>
              </w:rPr>
            </w:pPr>
            <w:r>
              <w:rPr>
                <w:rFonts w:hint="eastAsia"/>
                <w:vertAlign w:val="baseline"/>
                <w:lang w:val="en-US" w:eastAsia="zh-CN"/>
              </w:rPr>
              <w:t>资料来源</w:t>
            </w:r>
          </w:p>
        </w:tc>
        <w:tc>
          <w:tcPr>
            <w:tcW w:w="595" w:type="pct"/>
            <w:vAlign w:val="center"/>
          </w:tcPr>
          <w:p w14:paraId="33C64977">
            <w:pPr>
              <w:jc w:val="center"/>
              <w:rPr>
                <w:rFonts w:hint="eastAsia" w:eastAsiaTheme="minorEastAsia"/>
                <w:vertAlign w:val="baseline"/>
                <w:lang w:val="en-US" w:eastAsia="zh-CN"/>
              </w:rPr>
            </w:pPr>
            <w:r>
              <w:rPr>
                <w:rFonts w:hint="eastAsia"/>
                <w:vertAlign w:val="baseline"/>
                <w:lang w:val="en-US" w:eastAsia="zh-CN"/>
              </w:rPr>
              <w:t>照片</w:t>
            </w:r>
          </w:p>
        </w:tc>
      </w:tr>
      <w:tr w14:paraId="4A382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 w:type="pct"/>
            <w:vAlign w:val="center"/>
          </w:tcPr>
          <w:p w14:paraId="729D9C96">
            <w:pPr>
              <w:jc w:val="center"/>
              <w:rPr>
                <w:rFonts w:hint="eastAsia" w:eastAsiaTheme="minorEastAsia"/>
                <w:vertAlign w:val="baseline"/>
                <w:lang w:val="en-US" w:eastAsia="zh-CN"/>
              </w:rPr>
            </w:pPr>
            <w:r>
              <w:rPr>
                <w:rFonts w:hint="eastAsia"/>
                <w:vertAlign w:val="baseline"/>
                <w:lang w:val="en-US" w:eastAsia="zh-CN"/>
              </w:rPr>
              <w:t>1</w:t>
            </w:r>
          </w:p>
        </w:tc>
        <w:tc>
          <w:tcPr>
            <w:tcW w:w="392" w:type="pct"/>
            <w:shd w:val="clear" w:color="auto" w:fill="auto"/>
            <w:vAlign w:val="center"/>
          </w:tcPr>
          <w:p w14:paraId="24F34D1C">
            <w:pPr>
              <w:spacing w:line="300" w:lineRule="exact"/>
              <w:jc w:val="center"/>
              <w:rPr>
                <w:rFonts w:hint="eastAsia" w:ascii="Times New Roman" w:hAnsi="Times New Roman" w:eastAsia="华文中宋" w:cs="Times New Roman"/>
                <w:kern w:val="2"/>
                <w:sz w:val="21"/>
                <w:szCs w:val="21"/>
                <w:lang w:val="en-US" w:eastAsia="zh-CN" w:bidi="ar-SA"/>
              </w:rPr>
            </w:pPr>
            <w:r>
              <w:rPr>
                <w:rFonts w:hint="eastAsia" w:ascii="Times New Roman" w:hAnsi="Times New Roman" w:eastAsia="华文中宋" w:cs="Times New Roman"/>
                <w:szCs w:val="21"/>
                <w:lang w:val="en-US" w:eastAsia="zh-CN"/>
              </w:rPr>
              <w:t>藏羚羊</w:t>
            </w:r>
          </w:p>
        </w:tc>
        <w:tc>
          <w:tcPr>
            <w:tcW w:w="267" w:type="pct"/>
            <w:shd w:val="clear" w:color="auto" w:fill="auto"/>
            <w:vAlign w:val="center"/>
          </w:tcPr>
          <w:p w14:paraId="4EF0F054">
            <w:pPr>
              <w:spacing w:line="300" w:lineRule="exact"/>
              <w:jc w:val="center"/>
              <w:rPr>
                <w:rFonts w:hint="eastAsia" w:ascii="Times New Roman" w:hAnsi="Times New Roman" w:eastAsia="华文中宋" w:cs="Times New Roman"/>
                <w:kern w:val="2"/>
                <w:sz w:val="21"/>
                <w:szCs w:val="21"/>
                <w:lang w:val="en-US" w:eastAsia="zh-CN" w:bidi="ar-SA"/>
              </w:rPr>
            </w:pPr>
            <w:r>
              <w:rPr>
                <w:rFonts w:hint="eastAsia" w:ascii="Times New Roman" w:hAnsi="Times New Roman" w:eastAsia="华文中宋" w:cs="Times New Roman"/>
                <w:szCs w:val="21"/>
                <w:lang w:val="en-US" w:eastAsia="zh-CN"/>
              </w:rPr>
              <w:t>牛科</w:t>
            </w:r>
          </w:p>
        </w:tc>
        <w:tc>
          <w:tcPr>
            <w:tcW w:w="273" w:type="pct"/>
            <w:shd w:val="clear" w:color="auto" w:fill="auto"/>
            <w:vAlign w:val="center"/>
          </w:tcPr>
          <w:p w14:paraId="49778576">
            <w:pPr>
              <w:spacing w:line="300" w:lineRule="exact"/>
              <w:jc w:val="center"/>
              <w:rPr>
                <w:rFonts w:hint="eastAsia" w:ascii="Times New Roman" w:hAnsi="Times New Roman" w:eastAsia="华文中宋" w:cs="Times New Roman"/>
                <w:kern w:val="2"/>
                <w:sz w:val="21"/>
                <w:szCs w:val="21"/>
                <w:lang w:val="en-US" w:eastAsia="zh-CN" w:bidi="ar-SA"/>
              </w:rPr>
            </w:pPr>
            <w:r>
              <w:rPr>
                <w:rFonts w:hint="eastAsia" w:ascii="Times New Roman" w:hAnsi="Times New Roman" w:eastAsia="华文中宋" w:cs="Times New Roman"/>
                <w:szCs w:val="21"/>
                <w:lang w:val="en-US" w:eastAsia="zh-CN"/>
              </w:rPr>
              <w:t>藏羚属</w:t>
            </w:r>
          </w:p>
        </w:tc>
        <w:tc>
          <w:tcPr>
            <w:tcW w:w="422" w:type="pct"/>
            <w:shd w:val="clear" w:color="auto" w:fill="auto"/>
            <w:vAlign w:val="center"/>
          </w:tcPr>
          <w:p w14:paraId="6857D8BF">
            <w:pPr>
              <w:spacing w:line="300" w:lineRule="exact"/>
              <w:jc w:val="center"/>
              <w:rPr>
                <w:rFonts w:hint="eastAsia" w:ascii="Times New Roman" w:hAnsi="Times New Roman" w:eastAsia="华文中宋" w:cs="Times New Roman"/>
                <w:kern w:val="2"/>
                <w:sz w:val="21"/>
                <w:szCs w:val="21"/>
                <w:lang w:val="en-US" w:eastAsia="zh-CN" w:bidi="ar-SA"/>
              </w:rPr>
            </w:pPr>
            <w:r>
              <w:rPr>
                <w:rFonts w:hint="eastAsia" w:ascii="Times New Roman" w:hAnsi="Times New Roman" w:eastAsia="华文中宋" w:cs="Times New Roman"/>
                <w:szCs w:val="21"/>
                <w:lang w:val="en-US" w:eastAsia="zh-CN"/>
              </w:rPr>
              <w:t>Ⅰ级</w:t>
            </w:r>
          </w:p>
        </w:tc>
        <w:tc>
          <w:tcPr>
            <w:tcW w:w="352" w:type="pct"/>
            <w:vAlign w:val="center"/>
          </w:tcPr>
          <w:p w14:paraId="2EE3FEDB">
            <w:pPr>
              <w:jc w:val="center"/>
              <w:rPr>
                <w:rFonts w:hint="default" w:eastAsiaTheme="minorEastAsia"/>
                <w:vertAlign w:val="baseline"/>
                <w:lang w:val="en-US" w:eastAsia="zh-CN"/>
              </w:rPr>
            </w:pPr>
            <w:r>
              <w:rPr>
                <w:rFonts w:hint="eastAsia"/>
                <w:vertAlign w:val="baseline"/>
                <w:lang w:val="en-US" w:eastAsia="zh-CN"/>
              </w:rPr>
              <w:t>近危</w:t>
            </w:r>
          </w:p>
        </w:tc>
        <w:tc>
          <w:tcPr>
            <w:tcW w:w="2138" w:type="pct"/>
            <w:vAlign w:val="center"/>
          </w:tcPr>
          <w:p w14:paraId="64A285C5">
            <w:pPr>
              <w:jc w:val="center"/>
              <w:rPr>
                <w:rFonts w:hint="eastAsia" w:eastAsia="宋体"/>
                <w:vertAlign w:val="baseline"/>
                <w:lang w:eastAsia="zh-CN"/>
              </w:rPr>
            </w:pPr>
            <w:r>
              <w:rPr>
                <w:rFonts w:ascii="Arial" w:hAnsi="Arial" w:eastAsia="Arial" w:cs="Arial"/>
                <w:i w:val="0"/>
                <w:iCs w:val="0"/>
                <w:caps w:val="0"/>
                <w:color w:val="333333"/>
                <w:spacing w:val="0"/>
                <w:sz w:val="21"/>
                <w:szCs w:val="21"/>
                <w:shd w:val="clear" w:fill="FFFFFF"/>
              </w:rPr>
              <w:t>藏羚羊主要栖息于海拔3700</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Arial" w:cs="Arial"/>
                <w:i w:val="0"/>
                <w:iCs w:val="0"/>
                <w:caps w:val="0"/>
                <w:color w:val="333333"/>
                <w:spacing w:val="0"/>
                <w:sz w:val="21"/>
                <w:szCs w:val="21"/>
                <w:shd w:val="clear" w:fill="FFFFFF"/>
              </w:rPr>
              <w:t>5500米的高山草原、草甸和高寒荒漠地带。它们喜欢在水源充沛的平坦草滩活动，通常在夏季会聚集成较大的群落并向高地迁移</w:t>
            </w:r>
            <w:r>
              <w:rPr>
                <w:rFonts w:hint="eastAsia" w:ascii="Arial" w:hAnsi="Arial" w:eastAsia="宋体" w:cs="Arial"/>
                <w:i w:val="0"/>
                <w:iCs w:val="0"/>
                <w:caps w:val="0"/>
                <w:color w:val="333333"/>
                <w:spacing w:val="0"/>
                <w:sz w:val="21"/>
                <w:szCs w:val="21"/>
                <w:shd w:val="clear" w:fill="FFFFFF"/>
                <w:lang w:eastAsia="zh-CN"/>
              </w:rPr>
              <w:t>。</w:t>
            </w:r>
          </w:p>
        </w:tc>
        <w:tc>
          <w:tcPr>
            <w:tcW w:w="389" w:type="pct"/>
            <w:vAlign w:val="center"/>
          </w:tcPr>
          <w:p w14:paraId="6657FB18">
            <w:pPr>
              <w:jc w:val="center"/>
              <w:rPr>
                <w:rFonts w:hint="default" w:eastAsiaTheme="minorEastAsia"/>
                <w:vertAlign w:val="baseline"/>
                <w:lang w:val="en-US" w:eastAsia="zh-CN"/>
              </w:rPr>
            </w:pPr>
            <w:r>
              <w:rPr>
                <w:rFonts w:hint="eastAsia"/>
                <w:vertAlign w:val="baseline"/>
                <w:lang w:val="en-US" w:eastAsia="zh-CN"/>
              </w:rPr>
              <w:t>历史资料</w:t>
            </w:r>
          </w:p>
        </w:tc>
        <w:tc>
          <w:tcPr>
            <w:tcW w:w="595" w:type="pct"/>
            <w:vAlign w:val="center"/>
          </w:tcPr>
          <w:p w14:paraId="6F796DBF">
            <w:pPr>
              <w:jc w:val="center"/>
              <w:rPr>
                <w:vertAlign w:val="baseline"/>
              </w:rPr>
            </w:pPr>
          </w:p>
        </w:tc>
      </w:tr>
      <w:tr w14:paraId="3C2A2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 w:type="pct"/>
            <w:vAlign w:val="center"/>
          </w:tcPr>
          <w:p w14:paraId="3099E4E0">
            <w:pPr>
              <w:jc w:val="center"/>
              <w:rPr>
                <w:rFonts w:hint="eastAsia" w:eastAsiaTheme="minorEastAsia"/>
                <w:vertAlign w:val="baseline"/>
                <w:lang w:val="en-US" w:eastAsia="zh-CN"/>
              </w:rPr>
            </w:pPr>
            <w:r>
              <w:rPr>
                <w:rFonts w:hint="eastAsia"/>
                <w:vertAlign w:val="baseline"/>
                <w:lang w:val="en-US" w:eastAsia="zh-CN"/>
              </w:rPr>
              <w:t>2</w:t>
            </w:r>
          </w:p>
        </w:tc>
        <w:tc>
          <w:tcPr>
            <w:tcW w:w="392" w:type="pct"/>
            <w:shd w:val="clear" w:color="auto" w:fill="auto"/>
            <w:vAlign w:val="center"/>
          </w:tcPr>
          <w:p w14:paraId="1CD8B6DD">
            <w:pPr>
              <w:spacing w:line="300" w:lineRule="exact"/>
              <w:jc w:val="center"/>
              <w:rPr>
                <w:rFonts w:hint="eastAsia" w:ascii="Times New Roman" w:hAnsi="Times New Roman" w:eastAsia="华文中宋" w:cs="Times New Roman"/>
                <w:kern w:val="2"/>
                <w:sz w:val="21"/>
                <w:szCs w:val="21"/>
                <w:lang w:val="en-US" w:eastAsia="zh-CN" w:bidi="ar-SA"/>
              </w:rPr>
            </w:pPr>
            <w:r>
              <w:rPr>
                <w:rFonts w:hint="eastAsia" w:ascii="Times New Roman" w:hAnsi="Times New Roman" w:eastAsia="华文中宋" w:cs="Times New Roman"/>
                <w:szCs w:val="21"/>
                <w:lang w:val="en-US" w:eastAsia="zh-CN"/>
              </w:rPr>
              <w:t>黄羊</w:t>
            </w:r>
          </w:p>
        </w:tc>
        <w:tc>
          <w:tcPr>
            <w:tcW w:w="267" w:type="pct"/>
            <w:shd w:val="clear" w:color="auto" w:fill="auto"/>
            <w:vAlign w:val="center"/>
          </w:tcPr>
          <w:p w14:paraId="0E4EF076">
            <w:pPr>
              <w:spacing w:line="300" w:lineRule="exact"/>
              <w:jc w:val="center"/>
              <w:rPr>
                <w:rFonts w:hint="eastAsia" w:ascii="Times New Roman" w:hAnsi="Times New Roman" w:eastAsia="华文中宋" w:cs="Times New Roman"/>
                <w:kern w:val="2"/>
                <w:sz w:val="21"/>
                <w:szCs w:val="21"/>
                <w:lang w:val="en-US" w:eastAsia="zh-CN" w:bidi="ar-SA"/>
              </w:rPr>
            </w:pPr>
            <w:r>
              <w:rPr>
                <w:rFonts w:hint="eastAsia" w:ascii="Times New Roman" w:hAnsi="Times New Roman" w:eastAsia="华文中宋" w:cs="Times New Roman"/>
                <w:szCs w:val="21"/>
                <w:lang w:val="en-US" w:eastAsia="zh-CN"/>
              </w:rPr>
              <w:t>牛科</w:t>
            </w:r>
          </w:p>
        </w:tc>
        <w:tc>
          <w:tcPr>
            <w:tcW w:w="273" w:type="pct"/>
            <w:shd w:val="clear" w:color="auto" w:fill="auto"/>
            <w:vAlign w:val="center"/>
          </w:tcPr>
          <w:p w14:paraId="16531C45">
            <w:pPr>
              <w:spacing w:line="300" w:lineRule="exact"/>
              <w:jc w:val="center"/>
              <w:rPr>
                <w:rFonts w:hint="eastAsia" w:ascii="Times New Roman" w:hAnsi="Times New Roman" w:eastAsia="华文中宋" w:cs="Times New Roman"/>
                <w:kern w:val="2"/>
                <w:sz w:val="21"/>
                <w:szCs w:val="21"/>
                <w:lang w:val="en-US" w:eastAsia="zh-CN" w:bidi="ar-SA"/>
              </w:rPr>
            </w:pPr>
            <w:r>
              <w:rPr>
                <w:rFonts w:hint="eastAsia" w:ascii="Times New Roman" w:hAnsi="Times New Roman" w:eastAsia="华文中宋" w:cs="Times New Roman"/>
                <w:szCs w:val="21"/>
                <w:lang w:val="en-US" w:eastAsia="zh-CN"/>
              </w:rPr>
              <w:t>原羚属</w:t>
            </w:r>
          </w:p>
        </w:tc>
        <w:tc>
          <w:tcPr>
            <w:tcW w:w="422" w:type="pct"/>
            <w:shd w:val="clear" w:color="auto" w:fill="auto"/>
            <w:vAlign w:val="center"/>
          </w:tcPr>
          <w:p w14:paraId="490E4ADD">
            <w:pPr>
              <w:spacing w:line="300" w:lineRule="exact"/>
              <w:jc w:val="center"/>
              <w:rPr>
                <w:rFonts w:hint="eastAsia" w:ascii="Times New Roman" w:hAnsi="Times New Roman" w:eastAsia="华文中宋" w:cs="Times New Roman"/>
                <w:kern w:val="2"/>
                <w:sz w:val="21"/>
                <w:szCs w:val="21"/>
                <w:lang w:val="en-US" w:eastAsia="zh-CN" w:bidi="ar-SA"/>
              </w:rPr>
            </w:pPr>
            <w:r>
              <w:rPr>
                <w:rFonts w:hint="eastAsia" w:ascii="Times New Roman" w:hAnsi="Times New Roman" w:eastAsia="华文中宋" w:cs="Times New Roman"/>
                <w:szCs w:val="21"/>
                <w:lang w:val="en-US" w:eastAsia="zh-CN"/>
              </w:rPr>
              <w:t>Ⅱ级</w:t>
            </w:r>
          </w:p>
        </w:tc>
        <w:tc>
          <w:tcPr>
            <w:tcW w:w="352" w:type="pct"/>
            <w:vAlign w:val="center"/>
          </w:tcPr>
          <w:p w14:paraId="4DAB64EF">
            <w:pPr>
              <w:jc w:val="center"/>
              <w:rPr>
                <w:rFonts w:hint="default" w:eastAsiaTheme="minorEastAsia"/>
                <w:vertAlign w:val="baseline"/>
                <w:lang w:val="en-US" w:eastAsia="zh-CN"/>
              </w:rPr>
            </w:pPr>
            <w:r>
              <w:rPr>
                <w:rFonts w:hint="eastAsia"/>
                <w:vertAlign w:val="baseline"/>
                <w:lang w:val="en-US" w:eastAsia="zh-CN"/>
              </w:rPr>
              <w:t>濒危</w:t>
            </w:r>
          </w:p>
        </w:tc>
        <w:tc>
          <w:tcPr>
            <w:tcW w:w="2138" w:type="pct"/>
            <w:vAlign w:val="center"/>
          </w:tcPr>
          <w:p w14:paraId="27A5F0E3">
            <w:pPr>
              <w:jc w:val="center"/>
              <w:rPr>
                <w:vertAlign w:val="baseline"/>
              </w:rPr>
            </w:pPr>
            <w:r>
              <w:rPr>
                <w:rFonts w:ascii="Arial" w:hAnsi="Arial" w:eastAsia="Arial" w:cs="Arial"/>
                <w:i w:val="0"/>
                <w:iCs w:val="0"/>
                <w:caps w:val="0"/>
                <w:color w:val="333333"/>
                <w:spacing w:val="0"/>
                <w:sz w:val="21"/>
                <w:szCs w:val="21"/>
                <w:shd w:val="clear" w:fill="FFFFFF"/>
              </w:rPr>
              <w:t>黄羊主要栖息在半干旱的草原、稳定沙丘以及沙漠灌木丛交错带，避免高山和纯沙漠区域，但偶尔也会进入高山或峡谷地带</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Arial" w:cs="Arial"/>
                <w:i w:val="0"/>
                <w:iCs w:val="0"/>
                <w:caps w:val="0"/>
                <w:color w:val="333333"/>
                <w:spacing w:val="0"/>
                <w:sz w:val="21"/>
                <w:szCs w:val="21"/>
                <w:shd w:val="clear" w:fill="FFFFFF"/>
              </w:rPr>
              <w:t>它们喜欢群居，集群时间较长，移动距离和范围广泛，通常随牧草生长情况而迁移。冬季时，黄羊会南移至杂草草原边缘和南荒漠草原，主要以枯草和积雪为食</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Arial" w:cs="Arial"/>
                <w:i w:val="0"/>
                <w:iCs w:val="0"/>
                <w:caps w:val="0"/>
                <w:color w:val="333333"/>
                <w:spacing w:val="0"/>
                <w:sz w:val="21"/>
                <w:szCs w:val="21"/>
                <w:shd w:val="clear" w:fill="FFFFFF"/>
              </w:rPr>
              <w:t>‌</w:t>
            </w:r>
          </w:p>
        </w:tc>
        <w:tc>
          <w:tcPr>
            <w:tcW w:w="389" w:type="pct"/>
            <w:vAlign w:val="center"/>
          </w:tcPr>
          <w:p w14:paraId="24C56913">
            <w:pPr>
              <w:jc w:val="center"/>
              <w:rPr>
                <w:vertAlign w:val="baseline"/>
              </w:rPr>
            </w:pPr>
            <w:r>
              <w:rPr>
                <w:rFonts w:hint="eastAsia"/>
                <w:vertAlign w:val="baseline"/>
                <w:lang w:val="en-US" w:eastAsia="zh-CN"/>
              </w:rPr>
              <w:t>历史资料</w:t>
            </w:r>
          </w:p>
        </w:tc>
        <w:tc>
          <w:tcPr>
            <w:tcW w:w="595" w:type="pct"/>
            <w:vAlign w:val="center"/>
          </w:tcPr>
          <w:p w14:paraId="31AC1A21">
            <w:pPr>
              <w:jc w:val="center"/>
              <w:rPr>
                <w:vertAlign w:val="baseline"/>
              </w:rPr>
            </w:pPr>
          </w:p>
        </w:tc>
      </w:tr>
      <w:tr w14:paraId="6A27E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 w:type="pct"/>
            <w:vAlign w:val="center"/>
          </w:tcPr>
          <w:p w14:paraId="02C9890B">
            <w:pPr>
              <w:jc w:val="center"/>
              <w:rPr>
                <w:rFonts w:hint="eastAsia" w:eastAsiaTheme="minorEastAsia"/>
                <w:vertAlign w:val="baseline"/>
                <w:lang w:val="en-US" w:eastAsia="zh-CN"/>
              </w:rPr>
            </w:pPr>
            <w:r>
              <w:rPr>
                <w:rFonts w:hint="eastAsia"/>
                <w:vertAlign w:val="baseline"/>
                <w:lang w:val="en-US" w:eastAsia="zh-CN"/>
              </w:rPr>
              <w:t>3</w:t>
            </w:r>
          </w:p>
        </w:tc>
        <w:tc>
          <w:tcPr>
            <w:tcW w:w="392" w:type="pct"/>
            <w:shd w:val="clear" w:color="auto" w:fill="auto"/>
            <w:vAlign w:val="center"/>
          </w:tcPr>
          <w:p w14:paraId="3F065706">
            <w:pPr>
              <w:spacing w:line="300" w:lineRule="exact"/>
              <w:jc w:val="center"/>
              <w:rPr>
                <w:rFonts w:hint="eastAsia" w:ascii="Times New Roman" w:hAnsi="Times New Roman" w:eastAsia="华文中宋" w:cs="Times New Roman"/>
                <w:kern w:val="2"/>
                <w:sz w:val="21"/>
                <w:szCs w:val="21"/>
                <w:lang w:val="en-US" w:eastAsia="zh-CN" w:bidi="ar-SA"/>
              </w:rPr>
            </w:pPr>
            <w:r>
              <w:rPr>
                <w:rFonts w:hint="eastAsia" w:ascii="Times New Roman" w:hAnsi="Times New Roman" w:eastAsia="华文中宋" w:cs="Times New Roman"/>
                <w:szCs w:val="21"/>
                <w:lang w:val="en-US" w:eastAsia="zh-CN"/>
              </w:rPr>
              <w:t>野兔</w:t>
            </w:r>
          </w:p>
        </w:tc>
        <w:tc>
          <w:tcPr>
            <w:tcW w:w="267" w:type="pct"/>
            <w:shd w:val="clear" w:color="auto" w:fill="auto"/>
            <w:vAlign w:val="center"/>
          </w:tcPr>
          <w:p w14:paraId="7E2CB06C">
            <w:pPr>
              <w:spacing w:line="300" w:lineRule="exact"/>
              <w:jc w:val="center"/>
              <w:rPr>
                <w:rFonts w:hint="eastAsia" w:ascii="Times New Roman" w:hAnsi="Times New Roman" w:eastAsia="华文中宋" w:cs="Times New Roman"/>
                <w:kern w:val="2"/>
                <w:sz w:val="21"/>
                <w:szCs w:val="21"/>
                <w:lang w:val="en-US" w:eastAsia="zh-CN" w:bidi="ar-SA"/>
              </w:rPr>
            </w:pPr>
            <w:r>
              <w:rPr>
                <w:rFonts w:hint="eastAsia" w:ascii="Times New Roman" w:hAnsi="Times New Roman" w:eastAsia="华文中宋" w:cs="Times New Roman"/>
                <w:szCs w:val="21"/>
                <w:lang w:val="en-US" w:eastAsia="zh-CN"/>
              </w:rPr>
              <w:t>兔科</w:t>
            </w:r>
          </w:p>
        </w:tc>
        <w:tc>
          <w:tcPr>
            <w:tcW w:w="273" w:type="pct"/>
            <w:shd w:val="clear" w:color="auto" w:fill="auto"/>
            <w:vAlign w:val="center"/>
          </w:tcPr>
          <w:p w14:paraId="312445A5">
            <w:pPr>
              <w:spacing w:line="300" w:lineRule="exact"/>
              <w:jc w:val="center"/>
              <w:rPr>
                <w:rFonts w:hint="eastAsia" w:ascii="Times New Roman" w:hAnsi="Times New Roman" w:eastAsia="华文中宋" w:cs="Times New Roman"/>
                <w:kern w:val="2"/>
                <w:sz w:val="21"/>
                <w:szCs w:val="21"/>
                <w:lang w:val="en-US" w:eastAsia="zh-CN" w:bidi="ar-SA"/>
              </w:rPr>
            </w:pPr>
            <w:r>
              <w:rPr>
                <w:rFonts w:hint="eastAsia" w:ascii="Times New Roman" w:hAnsi="Times New Roman" w:eastAsia="华文中宋" w:cs="Times New Roman"/>
                <w:szCs w:val="21"/>
                <w:lang w:val="en-US" w:eastAsia="zh-CN"/>
              </w:rPr>
              <w:t>兔属</w:t>
            </w:r>
          </w:p>
        </w:tc>
        <w:tc>
          <w:tcPr>
            <w:tcW w:w="422" w:type="pct"/>
            <w:shd w:val="clear" w:color="auto" w:fill="auto"/>
            <w:vAlign w:val="center"/>
          </w:tcPr>
          <w:p w14:paraId="27011A48">
            <w:pPr>
              <w:spacing w:line="300" w:lineRule="exact"/>
              <w:jc w:val="center"/>
              <w:rPr>
                <w:rFonts w:hint="eastAsia" w:ascii="Times New Roman" w:hAnsi="Times New Roman" w:eastAsia="华文中宋" w:cs="Times New Roman"/>
                <w:kern w:val="2"/>
                <w:sz w:val="21"/>
                <w:szCs w:val="21"/>
                <w:lang w:val="en-US" w:eastAsia="zh-CN" w:bidi="ar-SA"/>
              </w:rPr>
            </w:pPr>
            <w:r>
              <w:rPr>
                <w:rFonts w:hint="eastAsia" w:ascii="Times New Roman" w:hAnsi="Times New Roman" w:eastAsia="华文中宋" w:cs="Times New Roman"/>
                <w:szCs w:val="21"/>
                <w:lang w:val="en-US" w:eastAsia="zh-CN"/>
              </w:rPr>
              <w:t>/</w:t>
            </w:r>
          </w:p>
        </w:tc>
        <w:tc>
          <w:tcPr>
            <w:tcW w:w="352" w:type="pct"/>
            <w:vAlign w:val="center"/>
          </w:tcPr>
          <w:p w14:paraId="630D311A">
            <w:pPr>
              <w:jc w:val="center"/>
              <w:rPr>
                <w:rFonts w:hint="eastAsia" w:eastAsiaTheme="minorEastAsia"/>
                <w:vertAlign w:val="baseline"/>
                <w:lang w:val="en-US" w:eastAsia="zh-CN"/>
              </w:rPr>
            </w:pPr>
            <w:r>
              <w:rPr>
                <w:rFonts w:hint="eastAsia"/>
                <w:vertAlign w:val="baseline"/>
                <w:lang w:val="en-US" w:eastAsia="zh-CN"/>
              </w:rPr>
              <w:t>/</w:t>
            </w:r>
          </w:p>
        </w:tc>
        <w:tc>
          <w:tcPr>
            <w:tcW w:w="2138" w:type="pct"/>
            <w:vAlign w:val="center"/>
          </w:tcPr>
          <w:p w14:paraId="7FF8298C">
            <w:pPr>
              <w:jc w:val="center"/>
              <w:rPr>
                <w:rFonts w:hint="eastAsia" w:eastAsia="宋体"/>
                <w:vertAlign w:val="baseline"/>
                <w:lang w:eastAsia="zh-CN"/>
              </w:rPr>
            </w:pPr>
            <w:r>
              <w:rPr>
                <w:rFonts w:ascii="Arial" w:hAnsi="Arial" w:eastAsia="Arial" w:cs="Arial"/>
                <w:i w:val="0"/>
                <w:iCs w:val="0"/>
                <w:caps w:val="0"/>
                <w:color w:val="333333"/>
                <w:spacing w:val="0"/>
                <w:sz w:val="21"/>
                <w:szCs w:val="21"/>
                <w:shd w:val="clear" w:fill="FFFFFF"/>
              </w:rPr>
              <w:t>野兔的食性随栖息地环境而定，一般以草为主食，冬季缺乏食物时会啃咬树皮和草根。野兔的汗腺不发达，主要依靠呼吸来散热，因此在高温环境中容易中暑。它们喜欢生活在清洁干燥的环境中，以避免潮湿和污物</w:t>
            </w:r>
            <w:r>
              <w:rPr>
                <w:rFonts w:hint="eastAsia" w:ascii="Arial" w:hAnsi="Arial" w:eastAsia="宋体" w:cs="Arial"/>
                <w:i w:val="0"/>
                <w:iCs w:val="0"/>
                <w:caps w:val="0"/>
                <w:color w:val="333333"/>
                <w:spacing w:val="0"/>
                <w:sz w:val="21"/>
                <w:szCs w:val="21"/>
                <w:shd w:val="clear" w:fill="FFFFFF"/>
                <w:lang w:eastAsia="zh-CN"/>
              </w:rPr>
              <w:t>。</w:t>
            </w:r>
          </w:p>
        </w:tc>
        <w:tc>
          <w:tcPr>
            <w:tcW w:w="389" w:type="pct"/>
            <w:vAlign w:val="center"/>
          </w:tcPr>
          <w:p w14:paraId="329E312F">
            <w:pPr>
              <w:jc w:val="center"/>
              <w:rPr>
                <w:vertAlign w:val="baseline"/>
              </w:rPr>
            </w:pPr>
            <w:r>
              <w:rPr>
                <w:rFonts w:hint="eastAsia"/>
                <w:vertAlign w:val="baseline"/>
                <w:lang w:val="en-US" w:eastAsia="zh-CN"/>
              </w:rPr>
              <w:t>历史资料</w:t>
            </w:r>
          </w:p>
        </w:tc>
        <w:tc>
          <w:tcPr>
            <w:tcW w:w="595" w:type="pct"/>
            <w:vAlign w:val="center"/>
          </w:tcPr>
          <w:p w14:paraId="2FB5D106">
            <w:pPr>
              <w:jc w:val="center"/>
              <w:rPr>
                <w:vertAlign w:val="baseline"/>
              </w:rPr>
            </w:pPr>
          </w:p>
        </w:tc>
      </w:tr>
      <w:tr w14:paraId="4058E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 w:type="pct"/>
            <w:vAlign w:val="center"/>
          </w:tcPr>
          <w:p w14:paraId="36DCC1A3">
            <w:pPr>
              <w:jc w:val="center"/>
              <w:rPr>
                <w:rFonts w:hint="eastAsia" w:eastAsiaTheme="minorEastAsia"/>
                <w:vertAlign w:val="baseline"/>
                <w:lang w:val="en-US" w:eastAsia="zh-CN"/>
              </w:rPr>
            </w:pPr>
            <w:r>
              <w:rPr>
                <w:rFonts w:hint="eastAsia"/>
                <w:vertAlign w:val="baseline"/>
                <w:lang w:val="en-US" w:eastAsia="zh-CN"/>
              </w:rPr>
              <w:t>4</w:t>
            </w:r>
          </w:p>
        </w:tc>
        <w:tc>
          <w:tcPr>
            <w:tcW w:w="392" w:type="pct"/>
            <w:shd w:val="clear" w:color="auto" w:fill="auto"/>
            <w:vAlign w:val="center"/>
          </w:tcPr>
          <w:p w14:paraId="3EC86856">
            <w:pPr>
              <w:spacing w:line="300" w:lineRule="exact"/>
              <w:jc w:val="center"/>
              <w:rPr>
                <w:rFonts w:hint="eastAsia" w:ascii="Times New Roman" w:hAnsi="Times New Roman" w:eastAsia="华文中宋" w:cs="Times New Roman"/>
                <w:kern w:val="2"/>
                <w:sz w:val="21"/>
                <w:szCs w:val="21"/>
                <w:lang w:val="en-US" w:eastAsia="zh-CN" w:bidi="ar-SA"/>
              </w:rPr>
            </w:pPr>
            <w:r>
              <w:rPr>
                <w:rFonts w:hint="eastAsia" w:ascii="Times New Roman" w:hAnsi="Times New Roman" w:eastAsia="华文中宋" w:cs="Times New Roman"/>
                <w:szCs w:val="21"/>
                <w:lang w:val="en-US" w:eastAsia="zh-CN"/>
              </w:rPr>
              <w:t>狐狸（赤狐）</w:t>
            </w:r>
          </w:p>
        </w:tc>
        <w:tc>
          <w:tcPr>
            <w:tcW w:w="267" w:type="pct"/>
            <w:shd w:val="clear" w:color="auto" w:fill="auto"/>
            <w:vAlign w:val="center"/>
          </w:tcPr>
          <w:p w14:paraId="5F8A1E15">
            <w:pPr>
              <w:spacing w:line="300" w:lineRule="exact"/>
              <w:jc w:val="center"/>
              <w:rPr>
                <w:rFonts w:hint="eastAsia" w:ascii="Times New Roman" w:hAnsi="Times New Roman" w:eastAsia="华文中宋" w:cs="Times New Roman"/>
                <w:kern w:val="2"/>
                <w:sz w:val="21"/>
                <w:szCs w:val="21"/>
                <w:lang w:val="en-US" w:eastAsia="zh-CN" w:bidi="ar-SA"/>
              </w:rPr>
            </w:pPr>
            <w:r>
              <w:rPr>
                <w:rFonts w:hint="eastAsia" w:ascii="Times New Roman" w:hAnsi="Times New Roman" w:eastAsia="华文中宋" w:cs="Times New Roman"/>
                <w:szCs w:val="21"/>
                <w:lang w:val="en-US" w:eastAsia="zh-CN"/>
              </w:rPr>
              <w:t>犬科</w:t>
            </w:r>
          </w:p>
        </w:tc>
        <w:tc>
          <w:tcPr>
            <w:tcW w:w="273" w:type="pct"/>
            <w:shd w:val="clear" w:color="auto" w:fill="auto"/>
            <w:vAlign w:val="center"/>
          </w:tcPr>
          <w:p w14:paraId="2095142D">
            <w:pPr>
              <w:spacing w:line="300" w:lineRule="exact"/>
              <w:jc w:val="center"/>
              <w:rPr>
                <w:rFonts w:hint="eastAsia" w:ascii="Times New Roman" w:hAnsi="Times New Roman" w:eastAsia="华文中宋" w:cs="Times New Roman"/>
                <w:kern w:val="2"/>
                <w:sz w:val="21"/>
                <w:szCs w:val="21"/>
                <w:lang w:val="en-US" w:eastAsia="zh-CN" w:bidi="ar-SA"/>
              </w:rPr>
            </w:pPr>
            <w:r>
              <w:rPr>
                <w:rFonts w:hint="eastAsia" w:ascii="Times New Roman" w:hAnsi="Times New Roman" w:eastAsia="华文中宋" w:cs="Times New Roman"/>
                <w:szCs w:val="21"/>
                <w:lang w:val="en-US" w:eastAsia="zh-CN"/>
              </w:rPr>
              <w:t>狐属</w:t>
            </w:r>
          </w:p>
        </w:tc>
        <w:tc>
          <w:tcPr>
            <w:tcW w:w="422" w:type="pct"/>
            <w:shd w:val="clear" w:color="auto" w:fill="auto"/>
            <w:vAlign w:val="center"/>
          </w:tcPr>
          <w:p w14:paraId="3921150C">
            <w:pPr>
              <w:spacing w:line="300" w:lineRule="exact"/>
              <w:jc w:val="center"/>
              <w:rPr>
                <w:rFonts w:hint="eastAsia" w:ascii="Times New Roman" w:hAnsi="Times New Roman" w:eastAsia="华文中宋" w:cs="Times New Roman"/>
                <w:kern w:val="2"/>
                <w:sz w:val="21"/>
                <w:szCs w:val="21"/>
                <w:lang w:val="en-US" w:eastAsia="zh-CN" w:bidi="ar-SA"/>
              </w:rPr>
            </w:pPr>
            <w:r>
              <w:rPr>
                <w:rFonts w:hint="eastAsia" w:ascii="Times New Roman" w:hAnsi="Times New Roman" w:eastAsia="华文中宋" w:cs="Times New Roman"/>
                <w:szCs w:val="21"/>
                <w:lang w:val="en-US" w:eastAsia="zh-CN"/>
              </w:rPr>
              <w:t>Ⅱ级</w:t>
            </w:r>
          </w:p>
        </w:tc>
        <w:tc>
          <w:tcPr>
            <w:tcW w:w="352" w:type="pct"/>
            <w:vAlign w:val="center"/>
          </w:tcPr>
          <w:p w14:paraId="27AAE5DF">
            <w:pPr>
              <w:jc w:val="center"/>
              <w:rPr>
                <w:rFonts w:hint="default" w:eastAsiaTheme="minorEastAsia"/>
                <w:vertAlign w:val="baseline"/>
                <w:lang w:val="en-US" w:eastAsia="zh-CN"/>
              </w:rPr>
            </w:pPr>
            <w:r>
              <w:rPr>
                <w:rFonts w:hint="eastAsia"/>
                <w:vertAlign w:val="baseline"/>
                <w:lang w:val="en-US" w:eastAsia="zh-CN"/>
              </w:rPr>
              <w:t>无危</w:t>
            </w:r>
          </w:p>
        </w:tc>
        <w:tc>
          <w:tcPr>
            <w:tcW w:w="2138" w:type="pct"/>
            <w:vAlign w:val="center"/>
          </w:tcPr>
          <w:p w14:paraId="46A3B694">
            <w:pPr>
              <w:jc w:val="center"/>
              <w:rPr>
                <w:rFonts w:hint="eastAsia" w:eastAsia="宋体"/>
                <w:vertAlign w:val="baseline"/>
                <w:lang w:eastAsia="zh-CN"/>
              </w:rPr>
            </w:pPr>
            <w:r>
              <w:rPr>
                <w:rFonts w:ascii="Arial" w:hAnsi="Arial" w:eastAsia="Arial" w:cs="Arial"/>
                <w:i w:val="0"/>
                <w:iCs w:val="0"/>
                <w:caps w:val="0"/>
                <w:color w:val="333333"/>
                <w:spacing w:val="0"/>
                <w:sz w:val="21"/>
                <w:szCs w:val="21"/>
                <w:shd w:val="clear" w:fill="FFFFFF"/>
              </w:rPr>
              <w:t>狐的栖息环境非常多样，包括森林、草原、荒漠、高山、丘陵、平原及村庄附近，甚至城郊。它们通常在山坡活动，喜欢在大石缝或山沟里栖息，但在繁殖季节会住在窝里，这些窝通常是地洞，深度可达2</w:t>
            </w:r>
            <w:r>
              <w:rPr>
                <w:rFonts w:hint="eastAsia" w:ascii="Arial" w:hAnsi="Arial" w:eastAsia="宋体" w:cs="Arial"/>
                <w:i w:val="0"/>
                <w:iCs w:val="0"/>
                <w:caps w:val="0"/>
                <w:color w:val="333333"/>
                <w:spacing w:val="0"/>
                <w:sz w:val="21"/>
                <w:szCs w:val="21"/>
                <w:shd w:val="clear" w:fill="FFFFFF"/>
                <w:lang w:eastAsia="zh-CN"/>
              </w:rPr>
              <w:t>～</w:t>
            </w:r>
            <w:r>
              <w:rPr>
                <w:rFonts w:ascii="Arial" w:hAnsi="Arial" w:eastAsia="Arial" w:cs="Arial"/>
                <w:i w:val="0"/>
                <w:iCs w:val="0"/>
                <w:caps w:val="0"/>
                <w:color w:val="333333"/>
                <w:spacing w:val="0"/>
                <w:sz w:val="21"/>
                <w:szCs w:val="21"/>
                <w:shd w:val="clear" w:fill="FFFFFF"/>
              </w:rPr>
              <w:t>3米。赤狐的住处不固定，除了繁殖期和育仔期间，一般都独自栖息‌</w:t>
            </w:r>
            <w:r>
              <w:rPr>
                <w:rFonts w:hint="eastAsia" w:ascii="Arial" w:hAnsi="Arial" w:eastAsia="宋体" w:cs="Arial"/>
                <w:i w:val="0"/>
                <w:iCs w:val="0"/>
                <w:caps w:val="0"/>
                <w:color w:val="333333"/>
                <w:spacing w:val="0"/>
                <w:sz w:val="21"/>
                <w:szCs w:val="21"/>
                <w:shd w:val="clear" w:fill="FFFFFF"/>
                <w:lang w:eastAsia="zh-CN"/>
              </w:rPr>
              <w:t>。</w:t>
            </w:r>
          </w:p>
        </w:tc>
        <w:tc>
          <w:tcPr>
            <w:tcW w:w="389" w:type="pct"/>
            <w:vAlign w:val="center"/>
          </w:tcPr>
          <w:p w14:paraId="231A0E0A">
            <w:pPr>
              <w:jc w:val="center"/>
              <w:rPr>
                <w:vertAlign w:val="baseline"/>
              </w:rPr>
            </w:pPr>
            <w:r>
              <w:rPr>
                <w:rFonts w:hint="eastAsia"/>
                <w:vertAlign w:val="baseline"/>
                <w:lang w:val="en-US" w:eastAsia="zh-CN"/>
              </w:rPr>
              <w:t>历史资料</w:t>
            </w:r>
          </w:p>
        </w:tc>
        <w:tc>
          <w:tcPr>
            <w:tcW w:w="595" w:type="pct"/>
            <w:vAlign w:val="center"/>
          </w:tcPr>
          <w:p w14:paraId="744C4447">
            <w:pPr>
              <w:jc w:val="center"/>
              <w:rPr>
                <w:vertAlign w:val="baseline"/>
              </w:rPr>
            </w:pPr>
            <w:bookmarkStart w:id="394" w:name="_GoBack"/>
            <w:bookmarkEnd w:id="394"/>
          </w:p>
        </w:tc>
      </w:tr>
      <w:tr w14:paraId="271A5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 w:type="pct"/>
            <w:vAlign w:val="center"/>
          </w:tcPr>
          <w:p w14:paraId="6021491D">
            <w:pPr>
              <w:jc w:val="center"/>
              <w:rPr>
                <w:rFonts w:hint="eastAsia" w:eastAsiaTheme="minorEastAsia"/>
                <w:vertAlign w:val="baseline"/>
                <w:lang w:val="en-US" w:eastAsia="zh-CN"/>
              </w:rPr>
            </w:pPr>
            <w:r>
              <w:rPr>
                <w:rFonts w:hint="eastAsia"/>
                <w:vertAlign w:val="baseline"/>
                <w:lang w:val="en-US" w:eastAsia="zh-CN"/>
              </w:rPr>
              <w:t>5</w:t>
            </w:r>
          </w:p>
        </w:tc>
        <w:tc>
          <w:tcPr>
            <w:tcW w:w="392" w:type="pct"/>
            <w:shd w:val="clear" w:color="auto" w:fill="auto"/>
            <w:vAlign w:val="center"/>
          </w:tcPr>
          <w:p w14:paraId="640DE095">
            <w:pPr>
              <w:spacing w:line="300" w:lineRule="exact"/>
              <w:jc w:val="center"/>
              <w:rPr>
                <w:rFonts w:hint="eastAsia" w:ascii="Times New Roman" w:hAnsi="Times New Roman" w:eastAsia="华文中宋" w:cs="Times New Roman"/>
                <w:kern w:val="2"/>
                <w:sz w:val="21"/>
                <w:szCs w:val="21"/>
                <w:lang w:val="en-US" w:eastAsia="zh-CN" w:bidi="ar-SA"/>
              </w:rPr>
            </w:pPr>
            <w:r>
              <w:rPr>
                <w:rFonts w:hint="eastAsia" w:ascii="Times New Roman" w:hAnsi="Times New Roman" w:eastAsia="华文中宋" w:cs="Times New Roman"/>
                <w:szCs w:val="21"/>
                <w:lang w:val="en-US" w:eastAsia="zh-CN"/>
              </w:rPr>
              <w:t>灰狼</w:t>
            </w:r>
          </w:p>
        </w:tc>
        <w:tc>
          <w:tcPr>
            <w:tcW w:w="267" w:type="pct"/>
            <w:shd w:val="clear" w:color="auto" w:fill="auto"/>
            <w:vAlign w:val="center"/>
          </w:tcPr>
          <w:p w14:paraId="14181871">
            <w:pPr>
              <w:spacing w:line="300" w:lineRule="exact"/>
              <w:jc w:val="center"/>
              <w:rPr>
                <w:rFonts w:hint="eastAsia" w:ascii="Times New Roman" w:hAnsi="Times New Roman" w:eastAsia="华文中宋" w:cs="Times New Roman"/>
                <w:kern w:val="2"/>
                <w:sz w:val="21"/>
                <w:szCs w:val="21"/>
                <w:lang w:val="en-US" w:eastAsia="zh-CN" w:bidi="ar-SA"/>
              </w:rPr>
            </w:pPr>
            <w:r>
              <w:rPr>
                <w:rFonts w:hint="eastAsia" w:ascii="Times New Roman" w:hAnsi="Times New Roman" w:eastAsia="华文中宋" w:cs="Times New Roman"/>
                <w:szCs w:val="21"/>
                <w:lang w:val="en-US" w:eastAsia="zh-CN"/>
              </w:rPr>
              <w:t>犬科</w:t>
            </w:r>
          </w:p>
        </w:tc>
        <w:tc>
          <w:tcPr>
            <w:tcW w:w="273" w:type="pct"/>
            <w:shd w:val="clear" w:color="auto" w:fill="auto"/>
            <w:vAlign w:val="center"/>
          </w:tcPr>
          <w:p w14:paraId="1F87F8E0">
            <w:pPr>
              <w:spacing w:line="300" w:lineRule="exact"/>
              <w:jc w:val="center"/>
              <w:rPr>
                <w:rFonts w:hint="eastAsia" w:ascii="Times New Roman" w:hAnsi="Times New Roman" w:eastAsia="华文中宋" w:cs="Times New Roman"/>
                <w:kern w:val="2"/>
                <w:sz w:val="21"/>
                <w:szCs w:val="21"/>
                <w:lang w:val="en-US" w:eastAsia="zh-CN" w:bidi="ar-SA"/>
              </w:rPr>
            </w:pPr>
            <w:r>
              <w:rPr>
                <w:rFonts w:hint="eastAsia" w:ascii="Times New Roman" w:hAnsi="Times New Roman" w:eastAsia="华文中宋" w:cs="Times New Roman"/>
                <w:szCs w:val="21"/>
                <w:lang w:val="en-US" w:eastAsia="zh-CN"/>
              </w:rPr>
              <w:t>犬属</w:t>
            </w:r>
          </w:p>
        </w:tc>
        <w:tc>
          <w:tcPr>
            <w:tcW w:w="422" w:type="pct"/>
            <w:shd w:val="clear" w:color="auto" w:fill="auto"/>
            <w:vAlign w:val="center"/>
          </w:tcPr>
          <w:p w14:paraId="733780EB">
            <w:pPr>
              <w:spacing w:line="300" w:lineRule="exact"/>
              <w:jc w:val="center"/>
              <w:rPr>
                <w:rFonts w:hint="eastAsia" w:ascii="Times New Roman" w:hAnsi="Times New Roman" w:eastAsia="华文中宋" w:cs="Times New Roman"/>
                <w:kern w:val="2"/>
                <w:sz w:val="21"/>
                <w:szCs w:val="21"/>
                <w:lang w:val="en-US" w:eastAsia="zh-CN" w:bidi="ar-SA"/>
              </w:rPr>
            </w:pPr>
            <w:r>
              <w:rPr>
                <w:rFonts w:hint="eastAsia" w:ascii="Times New Roman" w:hAnsi="Times New Roman" w:eastAsia="华文中宋" w:cs="Times New Roman"/>
                <w:szCs w:val="21"/>
                <w:lang w:val="en-US" w:eastAsia="zh-CN"/>
              </w:rPr>
              <w:t>Ⅱ级</w:t>
            </w:r>
          </w:p>
        </w:tc>
        <w:tc>
          <w:tcPr>
            <w:tcW w:w="352" w:type="pct"/>
            <w:vAlign w:val="center"/>
          </w:tcPr>
          <w:p w14:paraId="5364283B">
            <w:pPr>
              <w:jc w:val="center"/>
              <w:rPr>
                <w:rFonts w:hint="default" w:eastAsiaTheme="minorEastAsia"/>
                <w:vertAlign w:val="baseline"/>
                <w:lang w:val="en-US" w:eastAsia="zh-CN"/>
              </w:rPr>
            </w:pPr>
            <w:r>
              <w:rPr>
                <w:rFonts w:hint="eastAsia"/>
                <w:vertAlign w:val="baseline"/>
                <w:lang w:val="en-US" w:eastAsia="zh-CN"/>
              </w:rPr>
              <w:t>近危</w:t>
            </w:r>
          </w:p>
        </w:tc>
        <w:tc>
          <w:tcPr>
            <w:tcW w:w="2138" w:type="pct"/>
            <w:vAlign w:val="center"/>
          </w:tcPr>
          <w:p w14:paraId="72D6046C">
            <w:pPr>
              <w:jc w:val="center"/>
              <w:rPr>
                <w:vertAlign w:val="baseline"/>
              </w:rPr>
            </w:pPr>
            <w:r>
              <w:rPr>
                <w:rFonts w:ascii="Arial" w:hAnsi="Arial" w:eastAsia="Arial" w:cs="Arial"/>
                <w:i w:val="0"/>
                <w:iCs w:val="0"/>
                <w:caps w:val="0"/>
                <w:color w:val="333333"/>
                <w:spacing w:val="0"/>
                <w:sz w:val="21"/>
                <w:szCs w:val="21"/>
                <w:shd w:val="clear" w:fill="FFFFFF"/>
              </w:rPr>
              <w:t>灰狼分布广泛，几乎遍布全球除南极洲和大部分海岛以外的地区。它们的栖息地包括森林、湿地、灌木丛和草原等多种地形</w:t>
            </w:r>
            <w:r>
              <w:rPr>
                <w:rFonts w:hint="default" w:ascii="Arial" w:hAnsi="Arial" w:eastAsia="Arial" w:cs="Arial"/>
                <w:i w:val="0"/>
                <w:iCs w:val="0"/>
                <w:caps w:val="0"/>
                <w:color w:val="333333"/>
                <w:spacing w:val="0"/>
                <w:sz w:val="21"/>
                <w:szCs w:val="21"/>
                <w:shd w:val="clear" w:fill="FFFFFF"/>
              </w:rPr>
              <w:t>。灰狼对环境具有很强的适应性，能够在寒冷的环境中生存</w:t>
            </w:r>
            <w:r>
              <w:rPr>
                <w:rFonts w:hint="eastAsia" w:ascii="Arial" w:hAnsi="Arial" w:eastAsia="宋体" w:cs="Arial"/>
                <w:i w:val="0"/>
                <w:iCs w:val="0"/>
                <w:caps w:val="0"/>
                <w:color w:val="333333"/>
                <w:spacing w:val="0"/>
                <w:sz w:val="21"/>
                <w:szCs w:val="21"/>
                <w:shd w:val="clear" w:fill="FFFFFF"/>
                <w:lang w:eastAsia="zh-CN"/>
              </w:rPr>
              <w:t>。</w:t>
            </w:r>
            <w:r>
              <w:rPr>
                <w:rFonts w:hint="default" w:ascii="Arial" w:hAnsi="Arial" w:eastAsia="Arial" w:cs="Arial"/>
                <w:i w:val="0"/>
                <w:iCs w:val="0"/>
                <w:caps w:val="0"/>
                <w:color w:val="333333"/>
                <w:spacing w:val="0"/>
                <w:sz w:val="21"/>
                <w:szCs w:val="21"/>
                <w:shd w:val="clear" w:fill="FFFFFF"/>
              </w:rPr>
              <w:t>‌</w:t>
            </w:r>
          </w:p>
        </w:tc>
        <w:tc>
          <w:tcPr>
            <w:tcW w:w="389" w:type="pct"/>
            <w:vAlign w:val="center"/>
          </w:tcPr>
          <w:p w14:paraId="25D3C5AB">
            <w:pPr>
              <w:jc w:val="center"/>
              <w:rPr>
                <w:vertAlign w:val="baseline"/>
              </w:rPr>
            </w:pPr>
            <w:r>
              <w:rPr>
                <w:rFonts w:hint="eastAsia"/>
                <w:vertAlign w:val="baseline"/>
                <w:lang w:val="en-US" w:eastAsia="zh-CN"/>
              </w:rPr>
              <w:t>历史资料</w:t>
            </w:r>
          </w:p>
        </w:tc>
        <w:tc>
          <w:tcPr>
            <w:tcW w:w="595" w:type="pct"/>
            <w:vAlign w:val="center"/>
          </w:tcPr>
          <w:p w14:paraId="5D4C19DA">
            <w:pPr>
              <w:jc w:val="center"/>
              <w:rPr>
                <w:vertAlign w:val="baseline"/>
              </w:rPr>
            </w:pPr>
            <w:r>
              <w:rPr>
                <w:rFonts w:ascii="宋体" w:hAnsi="宋体" w:eastAsia="宋体" w:cs="宋体"/>
                <w:sz w:val="24"/>
                <w:szCs w:val="24"/>
              </w:rPr>
              <w:drawing>
                <wp:inline distT="0" distB="0" distL="114300" distR="114300">
                  <wp:extent cx="871855" cy="1167130"/>
                  <wp:effectExtent l="0" t="0" r="4445" b="1397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21"/>
                          <a:srcRect l="42120" t="20656" r="14893" b="6635"/>
                          <a:stretch>
                            <a:fillRect/>
                          </a:stretch>
                        </pic:blipFill>
                        <pic:spPr>
                          <a:xfrm>
                            <a:off x="0" y="0"/>
                            <a:ext cx="871855" cy="1167130"/>
                          </a:xfrm>
                          <a:prstGeom prst="rect">
                            <a:avLst/>
                          </a:prstGeom>
                          <a:noFill/>
                          <a:ln w="9525">
                            <a:noFill/>
                          </a:ln>
                        </pic:spPr>
                      </pic:pic>
                    </a:graphicData>
                  </a:graphic>
                </wp:inline>
              </w:drawing>
            </w:r>
          </w:p>
        </w:tc>
      </w:tr>
    </w:tbl>
    <w:p w14:paraId="1965C845">
      <w:pPr>
        <w:pStyle w:val="24"/>
        <w:snapToGrid w:val="0"/>
        <w:jc w:val="left"/>
        <w:rPr>
          <w:rFonts w:hint="default" w:ascii="Times New Roman" w:hAnsi="Times New Roman" w:eastAsia="华文中宋" w:cs="Times New Roman"/>
          <w:b/>
          <w:szCs w:val="21"/>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CCA879C">
      <w:pPr>
        <w:pStyle w:val="24"/>
        <w:snapToGrid w:val="0"/>
        <w:ind w:left="0" w:leftChars="0" w:firstLine="480" w:firstLineChars="200"/>
        <w:jc w:val="left"/>
        <w:rPr>
          <w:rFonts w:hint="eastAsia" w:ascii="Times New Roman" w:hAnsi="Times New Roman" w:eastAsia="华文中宋" w:cs="Times New Roman"/>
          <w:color w:val="auto"/>
          <w:lang w:val="en-US" w:eastAsia="zh-CN"/>
        </w:rPr>
      </w:pPr>
      <w:r>
        <w:rPr>
          <w:rFonts w:hint="eastAsia" w:ascii="Calibri" w:hAnsi="Calibri" w:cs="Calibri"/>
          <w:color w:val="auto"/>
          <w:lang w:val="en-US" w:eastAsia="zh-CN"/>
        </w:rPr>
        <w:t>（2）</w:t>
      </w:r>
      <w:r>
        <w:rPr>
          <w:rFonts w:hint="eastAsia" w:ascii="Times New Roman" w:hAnsi="Times New Roman" w:eastAsia="华文中宋" w:cs="Times New Roman"/>
          <w:color w:val="auto"/>
          <w:lang w:val="en-US" w:eastAsia="zh-CN"/>
        </w:rPr>
        <w:t>调查内容及方法</w:t>
      </w:r>
    </w:p>
    <w:p w14:paraId="7B9969AE">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实地调查项目工程区域及重点评价区分布的野生动物，包括哺乳动物、鸟类、两栖爬行类等，重点关注实地调查中的国家重点保护野生动物及其栖息地与繁殖地、觅食及活动区域、活动海拔等。</w:t>
      </w:r>
    </w:p>
    <w:p w14:paraId="5BEF7188">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①哺乳动物</w:t>
      </w:r>
    </w:p>
    <w:p w14:paraId="2BF28E14">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对样线内野生动物留下的各种痕迹如：动物足迹、动物粪便、卧迹、体毛、动物的擦痕和抓痕等遗留物进行了观察和记录。</w:t>
      </w:r>
    </w:p>
    <w:p w14:paraId="77692AC7">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②鸟类</w:t>
      </w:r>
    </w:p>
    <w:p w14:paraId="6631B16C">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对所有的能见到或能通过叫声识别的鸟类进行了详细记录，调查时的行走速度约每小时2</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3km。</w:t>
      </w:r>
    </w:p>
    <w:p w14:paraId="0EE602B5">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③爬行、两栖类</w:t>
      </w:r>
    </w:p>
    <w:p w14:paraId="58F2E34A">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在哺乳动物和鸟类调查时所设样线范围的基础上，通过查阅有关文献资料等确定两栖、爬行动物的名录。</w:t>
      </w:r>
    </w:p>
    <w:p w14:paraId="34900BDC">
      <w:pPr>
        <w:pStyle w:val="24"/>
        <w:snapToGrid w:val="0"/>
        <w:jc w:val="left"/>
        <w:rPr>
          <w:rFonts w:hint="eastAsia"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在项目评价范围内，设置动物调查样线，共设</w:t>
      </w:r>
      <w:r>
        <w:rPr>
          <w:rFonts w:hint="default" w:ascii="Times New Roman" w:hAnsi="Times New Roman" w:eastAsia="华文中宋" w:cs="Times New Roman"/>
          <w:color w:val="auto"/>
          <w:highlight w:val="none"/>
          <w:lang w:val="en-US" w:eastAsia="zh-CN"/>
        </w:rPr>
        <w:t>置了</w:t>
      </w:r>
      <w:r>
        <w:rPr>
          <w:rFonts w:hint="eastAsia" w:ascii="Times New Roman" w:hAnsi="Times New Roman" w:eastAsia="华文中宋" w:cs="Times New Roman"/>
          <w:color w:val="auto"/>
          <w:highlight w:val="none"/>
          <w:lang w:val="en-US" w:eastAsia="zh-CN"/>
        </w:rPr>
        <w:t>3</w:t>
      </w:r>
      <w:r>
        <w:rPr>
          <w:rFonts w:hint="default" w:ascii="Times New Roman" w:hAnsi="Times New Roman" w:eastAsia="华文中宋" w:cs="Times New Roman"/>
          <w:color w:val="auto"/>
          <w:highlight w:val="none"/>
          <w:lang w:val="en-US" w:eastAsia="zh-CN"/>
        </w:rPr>
        <w:t>条调查样线，样线总长度</w:t>
      </w:r>
      <w:r>
        <w:rPr>
          <w:rFonts w:hint="eastAsia" w:ascii="Times New Roman" w:hAnsi="Times New Roman" w:eastAsia="华文中宋" w:cs="Times New Roman"/>
          <w:color w:val="auto"/>
          <w:highlight w:val="none"/>
          <w:lang w:val="en-US" w:eastAsia="zh-CN"/>
        </w:rPr>
        <w:t>3</w:t>
      </w:r>
      <w:r>
        <w:rPr>
          <w:rFonts w:hint="default" w:ascii="Times New Roman" w:hAnsi="Times New Roman" w:eastAsia="华文中宋" w:cs="Times New Roman"/>
          <w:color w:val="auto"/>
          <w:highlight w:val="none"/>
          <w:lang w:val="en-US" w:eastAsia="zh-CN"/>
        </w:rPr>
        <w:t>km</w:t>
      </w:r>
      <w:r>
        <w:rPr>
          <w:rFonts w:hint="eastAsia" w:ascii="Times New Roman" w:hAnsi="Times New Roman" w:eastAsia="华文中宋" w:cs="Times New Roman"/>
          <w:color w:val="auto"/>
          <w:highlight w:val="none"/>
          <w:lang w:val="en-US" w:eastAsia="zh-CN"/>
        </w:rPr>
        <w:t>，动物</w:t>
      </w:r>
      <w:r>
        <w:rPr>
          <w:rFonts w:hint="eastAsia" w:ascii="Times New Roman" w:hAnsi="Times New Roman" w:cs="Times New Roman"/>
          <w:color w:val="auto"/>
          <w:highlight w:val="none"/>
          <w:lang w:val="en-US" w:eastAsia="zh-CN"/>
        </w:rPr>
        <w:t>调查</w:t>
      </w:r>
      <w:r>
        <w:rPr>
          <w:rFonts w:hint="eastAsia" w:ascii="Times New Roman" w:hAnsi="Times New Roman" w:eastAsia="华文中宋" w:cs="Times New Roman"/>
          <w:color w:val="auto"/>
          <w:highlight w:val="none"/>
          <w:lang w:val="en-US" w:eastAsia="zh-CN"/>
        </w:rPr>
        <w:t>样线设置情况见表4.2-1</w:t>
      </w:r>
      <w:r>
        <w:rPr>
          <w:rFonts w:hint="eastAsia" w:ascii="Times New Roman" w:hAnsi="Times New Roman" w:cs="Times New Roman"/>
          <w:color w:val="auto"/>
          <w:highlight w:val="none"/>
          <w:lang w:val="en-US" w:eastAsia="zh-CN"/>
        </w:rPr>
        <w:t>6，动物样线分布情况见图4.2-6</w:t>
      </w:r>
      <w:r>
        <w:rPr>
          <w:rFonts w:hint="eastAsia" w:ascii="Times New Roman" w:hAnsi="Times New Roman" w:eastAsia="华文中宋" w:cs="Times New Roman"/>
          <w:color w:val="auto"/>
          <w:highlight w:val="none"/>
          <w:lang w:val="en-US" w:eastAsia="zh-CN"/>
        </w:rPr>
        <w:t>。</w:t>
      </w:r>
    </w:p>
    <w:p w14:paraId="185B227B">
      <w:pPr>
        <w:adjustRightInd w:val="0"/>
        <w:snapToGrid w:val="0"/>
        <w:spacing w:before="250" w:beforeLines="50"/>
        <w:ind w:firstLine="422" w:firstLineChars="200"/>
        <w:jc w:val="center"/>
        <w:rPr>
          <w:rFonts w:hint="eastAsia" w:ascii="Times New Roman" w:hAnsi="Times New Roman" w:eastAsia="华文中宋" w:cs="Times New Roman"/>
          <w:b/>
          <w:szCs w:val="21"/>
          <w:lang w:val="en-US" w:eastAsia="zh-CN"/>
        </w:rPr>
      </w:pPr>
      <w:r>
        <w:rPr>
          <w:rFonts w:hint="eastAsia" w:ascii="Times New Roman" w:hAnsi="Times New Roman" w:eastAsia="华文中宋" w:cs="Times New Roman"/>
          <w:b/>
          <w:szCs w:val="21"/>
          <w:lang w:val="en-US" w:eastAsia="zh-CN"/>
        </w:rPr>
        <w:t>表4.2-16  动物调查样线表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14:paraId="34D11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restart"/>
            <w:vAlign w:val="center"/>
          </w:tcPr>
          <w:p w14:paraId="0DE86E7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样线编号</w:t>
            </w:r>
          </w:p>
        </w:tc>
        <w:tc>
          <w:tcPr>
            <w:tcW w:w="3408" w:type="dxa"/>
            <w:gridSpan w:val="2"/>
            <w:vAlign w:val="center"/>
          </w:tcPr>
          <w:p w14:paraId="4FB7800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起点</w:t>
            </w:r>
          </w:p>
        </w:tc>
        <w:tc>
          <w:tcPr>
            <w:tcW w:w="3410" w:type="dxa"/>
            <w:gridSpan w:val="2"/>
            <w:vAlign w:val="center"/>
          </w:tcPr>
          <w:p w14:paraId="6B3EC437">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终点</w:t>
            </w:r>
          </w:p>
        </w:tc>
      </w:tr>
      <w:tr w14:paraId="184CD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14:paraId="13893799">
            <w:pPr>
              <w:spacing w:line="300" w:lineRule="exact"/>
              <w:jc w:val="center"/>
              <w:rPr>
                <w:rFonts w:hint="default" w:ascii="Times New Roman" w:hAnsi="Times New Roman" w:eastAsia="华文中宋" w:cs="Times New Roman"/>
                <w:szCs w:val="21"/>
                <w:lang w:val="en-US" w:eastAsia="zh-CN"/>
              </w:rPr>
            </w:pPr>
          </w:p>
        </w:tc>
        <w:tc>
          <w:tcPr>
            <w:tcW w:w="1704" w:type="dxa"/>
            <w:vAlign w:val="center"/>
          </w:tcPr>
          <w:p w14:paraId="27E98B00">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经度</w:t>
            </w:r>
          </w:p>
        </w:tc>
        <w:tc>
          <w:tcPr>
            <w:tcW w:w="1704" w:type="dxa"/>
            <w:vAlign w:val="center"/>
          </w:tcPr>
          <w:p w14:paraId="6C8A13E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纬度</w:t>
            </w:r>
          </w:p>
        </w:tc>
        <w:tc>
          <w:tcPr>
            <w:tcW w:w="1705" w:type="dxa"/>
            <w:shd w:val="clear" w:color="auto" w:fill="auto"/>
            <w:vAlign w:val="center"/>
          </w:tcPr>
          <w:p w14:paraId="33524E6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经度</w:t>
            </w:r>
          </w:p>
        </w:tc>
        <w:tc>
          <w:tcPr>
            <w:tcW w:w="1705" w:type="dxa"/>
            <w:shd w:val="clear" w:color="auto" w:fill="auto"/>
            <w:vAlign w:val="center"/>
          </w:tcPr>
          <w:p w14:paraId="378047E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纬度</w:t>
            </w:r>
          </w:p>
        </w:tc>
      </w:tr>
      <w:tr w14:paraId="20ECC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0A4D15E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样线1</w:t>
            </w:r>
          </w:p>
        </w:tc>
        <w:tc>
          <w:tcPr>
            <w:tcW w:w="1704" w:type="dxa"/>
            <w:vAlign w:val="center"/>
          </w:tcPr>
          <w:p w14:paraId="4BBF0835">
            <w:pPr>
              <w:spacing w:line="300" w:lineRule="exact"/>
              <w:jc w:val="center"/>
              <w:rPr>
                <w:rFonts w:hint="default" w:ascii="Times New Roman" w:hAnsi="Times New Roman" w:eastAsia="华文中宋" w:cs="Times New Roman"/>
                <w:szCs w:val="21"/>
                <w:lang w:val="en-US" w:eastAsia="zh-CN"/>
              </w:rPr>
            </w:pPr>
          </w:p>
        </w:tc>
        <w:tc>
          <w:tcPr>
            <w:tcW w:w="1704" w:type="dxa"/>
            <w:vAlign w:val="center"/>
          </w:tcPr>
          <w:p w14:paraId="01CDC856">
            <w:pPr>
              <w:spacing w:line="300" w:lineRule="exact"/>
              <w:jc w:val="center"/>
              <w:rPr>
                <w:rFonts w:hint="default" w:ascii="Times New Roman" w:hAnsi="Times New Roman" w:eastAsia="华文中宋" w:cs="Times New Roman"/>
                <w:szCs w:val="21"/>
                <w:lang w:val="en-US" w:eastAsia="zh-CN"/>
              </w:rPr>
            </w:pPr>
          </w:p>
        </w:tc>
        <w:tc>
          <w:tcPr>
            <w:tcW w:w="1705" w:type="dxa"/>
            <w:vAlign w:val="center"/>
          </w:tcPr>
          <w:p w14:paraId="1993EC31">
            <w:pPr>
              <w:spacing w:line="300" w:lineRule="exact"/>
              <w:jc w:val="center"/>
              <w:rPr>
                <w:rFonts w:hint="default" w:ascii="Times New Roman" w:hAnsi="Times New Roman" w:eastAsia="华文中宋" w:cs="Times New Roman"/>
                <w:szCs w:val="21"/>
                <w:lang w:val="en-US" w:eastAsia="zh-CN"/>
              </w:rPr>
            </w:pPr>
          </w:p>
        </w:tc>
        <w:tc>
          <w:tcPr>
            <w:tcW w:w="1705" w:type="dxa"/>
            <w:vAlign w:val="center"/>
          </w:tcPr>
          <w:p w14:paraId="082A2DD6">
            <w:pPr>
              <w:spacing w:line="300" w:lineRule="exact"/>
              <w:jc w:val="center"/>
              <w:rPr>
                <w:rFonts w:hint="default" w:ascii="Times New Roman" w:hAnsi="Times New Roman" w:eastAsia="华文中宋" w:cs="Times New Roman"/>
                <w:szCs w:val="21"/>
                <w:lang w:val="en-US" w:eastAsia="zh-CN"/>
              </w:rPr>
            </w:pPr>
          </w:p>
        </w:tc>
      </w:tr>
      <w:tr w14:paraId="02769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7148F1D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样线2</w:t>
            </w:r>
          </w:p>
        </w:tc>
        <w:tc>
          <w:tcPr>
            <w:tcW w:w="1704" w:type="dxa"/>
            <w:vAlign w:val="center"/>
          </w:tcPr>
          <w:p w14:paraId="2FD5F7D8">
            <w:pPr>
              <w:spacing w:line="300" w:lineRule="exact"/>
              <w:jc w:val="center"/>
              <w:rPr>
                <w:rFonts w:hint="default" w:ascii="Times New Roman" w:hAnsi="Times New Roman" w:eastAsia="华文中宋" w:cs="Times New Roman"/>
                <w:szCs w:val="21"/>
                <w:lang w:val="en-US" w:eastAsia="zh-CN"/>
              </w:rPr>
            </w:pPr>
          </w:p>
        </w:tc>
        <w:tc>
          <w:tcPr>
            <w:tcW w:w="1704" w:type="dxa"/>
            <w:vAlign w:val="center"/>
          </w:tcPr>
          <w:p w14:paraId="48727018">
            <w:pPr>
              <w:spacing w:line="300" w:lineRule="exact"/>
              <w:jc w:val="center"/>
              <w:rPr>
                <w:rFonts w:hint="default" w:ascii="Times New Roman" w:hAnsi="Times New Roman" w:eastAsia="华文中宋" w:cs="Times New Roman"/>
                <w:szCs w:val="21"/>
                <w:lang w:val="en-US" w:eastAsia="zh-CN"/>
              </w:rPr>
            </w:pPr>
          </w:p>
        </w:tc>
        <w:tc>
          <w:tcPr>
            <w:tcW w:w="1705" w:type="dxa"/>
            <w:vAlign w:val="center"/>
          </w:tcPr>
          <w:p w14:paraId="6A11F288">
            <w:pPr>
              <w:spacing w:line="300" w:lineRule="exact"/>
              <w:jc w:val="center"/>
              <w:rPr>
                <w:rFonts w:hint="default" w:ascii="Times New Roman" w:hAnsi="Times New Roman" w:eastAsia="华文中宋" w:cs="Times New Roman"/>
                <w:szCs w:val="21"/>
                <w:lang w:val="en-US" w:eastAsia="zh-CN"/>
              </w:rPr>
            </w:pPr>
          </w:p>
        </w:tc>
        <w:tc>
          <w:tcPr>
            <w:tcW w:w="1705" w:type="dxa"/>
            <w:vAlign w:val="center"/>
          </w:tcPr>
          <w:p w14:paraId="3BB7E25E">
            <w:pPr>
              <w:spacing w:line="300" w:lineRule="exact"/>
              <w:jc w:val="center"/>
              <w:rPr>
                <w:rFonts w:hint="default" w:ascii="Times New Roman" w:hAnsi="Times New Roman" w:eastAsia="华文中宋" w:cs="Times New Roman"/>
                <w:szCs w:val="21"/>
                <w:lang w:val="en-US" w:eastAsia="zh-CN"/>
              </w:rPr>
            </w:pPr>
          </w:p>
        </w:tc>
      </w:tr>
      <w:tr w14:paraId="24953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5469D98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样线3</w:t>
            </w:r>
          </w:p>
        </w:tc>
        <w:tc>
          <w:tcPr>
            <w:tcW w:w="1704" w:type="dxa"/>
            <w:vAlign w:val="center"/>
          </w:tcPr>
          <w:p w14:paraId="1BF4C3A8">
            <w:pPr>
              <w:spacing w:line="300" w:lineRule="exact"/>
              <w:jc w:val="center"/>
              <w:rPr>
                <w:rFonts w:hint="default" w:ascii="Times New Roman" w:hAnsi="Times New Roman" w:eastAsia="华文中宋" w:cs="Times New Roman"/>
                <w:szCs w:val="21"/>
                <w:lang w:val="en-US" w:eastAsia="zh-CN"/>
              </w:rPr>
            </w:pPr>
          </w:p>
        </w:tc>
        <w:tc>
          <w:tcPr>
            <w:tcW w:w="1704" w:type="dxa"/>
            <w:vAlign w:val="center"/>
          </w:tcPr>
          <w:p w14:paraId="08DC08D3">
            <w:pPr>
              <w:spacing w:line="300" w:lineRule="exact"/>
              <w:jc w:val="center"/>
              <w:rPr>
                <w:rFonts w:hint="default" w:ascii="Times New Roman" w:hAnsi="Times New Roman" w:eastAsia="华文中宋" w:cs="Times New Roman"/>
                <w:szCs w:val="21"/>
                <w:lang w:val="en-US" w:eastAsia="zh-CN"/>
              </w:rPr>
            </w:pPr>
          </w:p>
        </w:tc>
        <w:tc>
          <w:tcPr>
            <w:tcW w:w="1705" w:type="dxa"/>
            <w:vAlign w:val="center"/>
          </w:tcPr>
          <w:p w14:paraId="15C03877">
            <w:pPr>
              <w:spacing w:line="300" w:lineRule="exact"/>
              <w:jc w:val="center"/>
              <w:rPr>
                <w:rFonts w:hint="default" w:ascii="Times New Roman" w:hAnsi="Times New Roman" w:eastAsia="华文中宋" w:cs="Times New Roman"/>
                <w:szCs w:val="21"/>
                <w:lang w:val="en-US" w:eastAsia="zh-CN"/>
              </w:rPr>
            </w:pPr>
          </w:p>
        </w:tc>
        <w:tc>
          <w:tcPr>
            <w:tcW w:w="1705" w:type="dxa"/>
            <w:vAlign w:val="center"/>
          </w:tcPr>
          <w:p w14:paraId="78FAAB4D">
            <w:pPr>
              <w:spacing w:line="300" w:lineRule="exact"/>
              <w:jc w:val="center"/>
              <w:rPr>
                <w:rFonts w:hint="default" w:ascii="Times New Roman" w:hAnsi="Times New Roman" w:eastAsia="华文中宋" w:cs="Times New Roman"/>
                <w:szCs w:val="21"/>
                <w:lang w:val="en-US" w:eastAsia="zh-CN"/>
              </w:rPr>
            </w:pPr>
          </w:p>
        </w:tc>
      </w:tr>
    </w:tbl>
    <w:p w14:paraId="680B367F">
      <w:pPr>
        <w:pStyle w:val="24"/>
        <w:snapToGrid w:val="0"/>
        <w:ind w:left="0" w:leftChars="0" w:firstLine="480" w:firstLineChars="200"/>
        <w:jc w:val="left"/>
        <w:rPr>
          <w:rFonts w:hint="default" w:ascii="Times New Roman" w:hAnsi="Times New Roman" w:eastAsia="华文中宋" w:cs="Times New Roman"/>
          <w:color w:val="auto"/>
          <w:lang w:val="en-US" w:eastAsia="zh-CN"/>
        </w:rPr>
      </w:pPr>
      <w:r>
        <w:rPr>
          <w:rFonts w:hint="eastAsia" w:ascii="Calibri" w:hAnsi="Calibri" w:cs="Calibri"/>
          <w:color w:val="auto"/>
          <w:lang w:val="en-US" w:eastAsia="zh-CN"/>
        </w:rPr>
        <w:t>（3）</w:t>
      </w:r>
      <w:r>
        <w:rPr>
          <w:rFonts w:hint="eastAsia" w:ascii="Times New Roman" w:hAnsi="Times New Roman" w:cs="Times New Roman"/>
          <w:color w:val="auto"/>
          <w:sz w:val="24"/>
          <w:highlight w:val="none"/>
          <w:lang w:val="en-US" w:eastAsia="zh-CN"/>
        </w:rPr>
        <w:t>现场调查结果</w:t>
      </w:r>
    </w:p>
    <w:p w14:paraId="72EEEA53">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根据沿线调查情况及</w:t>
      </w:r>
      <w:r>
        <w:rPr>
          <w:rFonts w:hint="default" w:ascii="Times New Roman" w:hAnsi="Times New Roman" w:eastAsia="华文中宋" w:cs="Times New Roman"/>
          <w:color w:val="auto"/>
          <w:lang w:val="en-US" w:eastAsia="zh-CN"/>
        </w:rPr>
        <w:t>综合询问</w:t>
      </w:r>
      <w:r>
        <w:rPr>
          <w:rFonts w:hint="eastAsia" w:ascii="Times New Roman" w:hAnsi="Times New Roman" w:cs="Times New Roman"/>
          <w:color w:val="auto"/>
          <w:lang w:val="en-US" w:eastAsia="zh-CN"/>
        </w:rPr>
        <w:t>企业项目相关</w:t>
      </w:r>
      <w:r>
        <w:rPr>
          <w:rFonts w:hint="default" w:ascii="Times New Roman" w:hAnsi="Times New Roman" w:eastAsia="华文中宋" w:cs="Times New Roman"/>
          <w:color w:val="auto"/>
          <w:lang w:val="en-US" w:eastAsia="zh-CN"/>
        </w:rPr>
        <w:t>人员得出：项目区内无藏羚羊、黄羊</w:t>
      </w:r>
      <w:r>
        <w:rPr>
          <w:rFonts w:hint="eastAsia" w:ascii="Times New Roman" w:hAnsi="Times New Roman" w:cs="Times New Roman"/>
          <w:color w:val="auto"/>
          <w:lang w:val="en-US" w:eastAsia="zh-CN"/>
        </w:rPr>
        <w:t>、野兔、赤狐、灰狼</w:t>
      </w:r>
      <w:r>
        <w:rPr>
          <w:rFonts w:hint="default" w:ascii="Times New Roman" w:hAnsi="Times New Roman" w:eastAsia="华文中宋" w:cs="Times New Roman"/>
          <w:color w:val="auto"/>
          <w:lang w:val="en-US" w:eastAsia="zh-CN"/>
        </w:rPr>
        <w:t>活动踪迹，但在项目区数公里外发现单个黄羊踪迹，经搜寻项目区无以上动物巢穴，判断为路过，后再未发现黄羊踪迹。</w:t>
      </w:r>
    </w:p>
    <w:p w14:paraId="1325DFD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color w:val="auto"/>
          <w:sz w:val="24"/>
          <w:highlight w:val="none"/>
          <w:lang w:val="en-US" w:eastAsia="zh-CN"/>
        </w:rPr>
      </w:pPr>
      <w:r>
        <w:rPr>
          <w:rFonts w:hint="eastAsia" w:ascii="Times New Roman" w:hAnsi="Times New Roman" w:cs="Times New Roman"/>
          <w:b/>
          <w:bCs/>
          <w:color w:val="auto"/>
          <w:sz w:val="24"/>
          <w:highlight w:val="none"/>
          <w:lang w:val="en-US" w:eastAsia="zh-CN"/>
        </w:rPr>
        <w:t>4.2.7.6</w:t>
      </w:r>
      <w:r>
        <w:rPr>
          <w:rFonts w:hint="default" w:ascii="Times New Roman" w:hAnsi="Times New Roman" w:cs="Times New Roman"/>
          <w:b/>
          <w:bCs/>
          <w:color w:val="auto"/>
          <w:sz w:val="24"/>
          <w:highlight w:val="none"/>
          <w:lang w:val="en-US" w:eastAsia="zh-CN"/>
        </w:rPr>
        <w:t>土地利用现状</w:t>
      </w:r>
    </w:p>
    <w:p w14:paraId="18960566">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项目评价区域土质主要为灰色单粒结构砂土，土质偏碱性，</w:t>
      </w:r>
      <w:r>
        <w:rPr>
          <w:rFonts w:hint="eastAsia" w:ascii="宋体" w:hAnsi="宋体" w:eastAsia="宋体" w:cs="宋体"/>
          <w:color w:val="000000"/>
          <w:kern w:val="0"/>
          <w:sz w:val="24"/>
          <w:szCs w:val="24"/>
          <w:lang w:bidi="ar"/>
        </w:rPr>
        <w:t>有机质含量多在</w:t>
      </w:r>
      <w:r>
        <w:rPr>
          <w:rFonts w:hint="eastAsia" w:ascii="宋体" w:hAnsi="宋体" w:eastAsia="宋体" w:cs="宋体"/>
          <w:color w:val="000000"/>
          <w:kern w:val="0"/>
          <w:sz w:val="24"/>
          <w:szCs w:val="24"/>
          <w:lang w:val="en-US" w:eastAsia="zh-CN" w:bidi="ar"/>
        </w:rPr>
        <w:t>10</w:t>
      </w:r>
      <w:r>
        <w:rPr>
          <w:rFonts w:hint="eastAsia" w:ascii="宋体" w:hAnsi="宋体" w:eastAsia="宋体" w:cs="宋体"/>
          <w:color w:val="000000"/>
          <w:kern w:val="0"/>
          <w:sz w:val="24"/>
          <w:szCs w:val="24"/>
          <w:lang w:bidi="ar"/>
        </w:rPr>
        <w:t>g/kg</w:t>
      </w:r>
      <w:r>
        <w:rPr>
          <w:rFonts w:hint="eastAsia" w:ascii="宋体" w:hAnsi="宋体" w:eastAsia="宋体" w:cs="宋体"/>
          <w:color w:val="000000"/>
          <w:kern w:val="0"/>
          <w:sz w:val="24"/>
          <w:szCs w:val="24"/>
          <w:lang w:eastAsia="zh-CN" w:bidi="ar"/>
        </w:rPr>
        <w:t>左右；</w:t>
      </w:r>
      <w:r>
        <w:rPr>
          <w:rFonts w:hint="eastAsia" w:ascii="宋体" w:hAnsi="宋体" w:eastAsia="宋体" w:cs="宋体"/>
          <w:color w:val="000000"/>
          <w:kern w:val="0"/>
          <w:sz w:val="24"/>
          <w:szCs w:val="24"/>
          <w:lang w:bidi="ar"/>
        </w:rPr>
        <w:t>腐殖质层以下为含有多量灰白色斑状或粉状石膏和盐分钙积层，土壤无碱化和粘化现象</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表层土壤中性反应，向下微碱性到碱性。游离碳酸钙含量</w:t>
      </w:r>
      <w:r>
        <w:rPr>
          <w:rFonts w:hint="eastAsia" w:ascii="宋体" w:hAnsi="宋体" w:cs="宋体"/>
          <w:color w:val="000000"/>
          <w:kern w:val="0"/>
          <w:sz w:val="24"/>
          <w:szCs w:val="24"/>
          <w:lang w:eastAsia="zh-CN" w:bidi="ar"/>
        </w:rPr>
        <w:t>多</w:t>
      </w:r>
      <w:r>
        <w:rPr>
          <w:rFonts w:hint="eastAsia" w:ascii="宋体" w:hAnsi="宋体" w:eastAsia="宋体" w:cs="宋体"/>
          <w:color w:val="000000"/>
          <w:kern w:val="0"/>
          <w:sz w:val="24"/>
          <w:szCs w:val="24"/>
          <w:lang w:bidi="ar"/>
        </w:rPr>
        <w:t>，主要淀</w:t>
      </w:r>
      <w:r>
        <w:rPr>
          <w:rFonts w:hint="eastAsia" w:ascii="宋体" w:hAnsi="宋体" w:eastAsia="宋体" w:cs="宋体"/>
          <w:color w:val="000000"/>
          <w:kern w:val="0"/>
          <w:sz w:val="24"/>
          <w:szCs w:val="24"/>
          <w:highlight w:val="none"/>
          <w:lang w:bidi="ar"/>
        </w:rPr>
        <w:t>积在剖面中、下部</w:t>
      </w:r>
      <w:r>
        <w:rPr>
          <w:rFonts w:hint="eastAsia" w:ascii="宋体" w:hAnsi="宋体" w:eastAsia="宋体" w:cs="宋体"/>
          <w:color w:val="000000"/>
          <w:kern w:val="0"/>
          <w:sz w:val="24"/>
          <w:szCs w:val="24"/>
          <w:highlight w:val="none"/>
          <w:lang w:eastAsia="zh-CN" w:bidi="ar"/>
        </w:rPr>
        <w:t>；</w:t>
      </w:r>
      <w:r>
        <w:rPr>
          <w:rFonts w:hint="eastAsia" w:ascii="宋体" w:hAnsi="宋体" w:eastAsia="宋体" w:cs="宋体"/>
          <w:color w:val="000000"/>
          <w:kern w:val="0"/>
          <w:sz w:val="24"/>
          <w:szCs w:val="24"/>
          <w:highlight w:val="none"/>
          <w:lang w:bidi="ar"/>
        </w:rPr>
        <w:t>水分状况较差的淋溶作用弱，全剖面呈微碱性反应，从表土腐殖层开始就有游离碳酸钙，剖面中小石块完全被碳酸钙薄膜包裹起来</w:t>
      </w:r>
      <w:r>
        <w:rPr>
          <w:rFonts w:hint="eastAsia" w:ascii="宋体" w:hAnsi="宋体" w:eastAsia="宋体" w:cs="宋体"/>
          <w:color w:val="000000"/>
          <w:kern w:val="0"/>
          <w:sz w:val="24"/>
          <w:szCs w:val="24"/>
          <w:highlight w:val="none"/>
          <w:lang w:eastAsia="zh-CN" w:bidi="ar"/>
        </w:rPr>
        <w:t>。</w:t>
      </w:r>
      <w:r>
        <w:rPr>
          <w:rFonts w:hint="default" w:ascii="Times New Roman" w:hAnsi="Times New Roman" w:eastAsia="华文中宋" w:cs="Times New Roman"/>
          <w:color w:val="auto"/>
          <w:lang w:val="en-US" w:eastAsia="zh-CN"/>
        </w:rPr>
        <w:t>参照全国土地利用现状调查技术规程、全国土地利用现状分类系统及当地土地利用资料，根据实地调查和卫星遥感影像解译，评价区土地利用类型为</w:t>
      </w:r>
      <w:r>
        <w:rPr>
          <w:rFonts w:hint="eastAsia" w:ascii="Times New Roman" w:hAnsi="Times New Roman" w:eastAsia="华文中宋" w:cs="Times New Roman"/>
          <w:color w:val="auto"/>
          <w:lang w:val="en-US" w:eastAsia="zh-CN"/>
        </w:rPr>
        <w:t>低覆盖度草地</w:t>
      </w:r>
      <w:r>
        <w:rPr>
          <w:rFonts w:hint="default" w:ascii="Times New Roman" w:hAnsi="Times New Roman" w:eastAsia="华文中宋" w:cs="Times New Roman"/>
          <w:color w:val="auto"/>
          <w:lang w:val="en-US" w:eastAsia="zh-CN"/>
        </w:rPr>
        <w:t>。</w:t>
      </w:r>
      <w:r>
        <w:rPr>
          <w:rFonts w:hint="eastAsia" w:ascii="宋体" w:hAnsi="宋体" w:eastAsia="宋体" w:cs="宋体"/>
          <w:color w:val="000000"/>
          <w:kern w:val="0"/>
          <w:sz w:val="24"/>
          <w:szCs w:val="24"/>
          <w:highlight w:val="none"/>
          <w:lang w:val="en-US" w:eastAsia="zh-CN" w:bidi="ar"/>
        </w:rPr>
        <w:t>项目评价</w:t>
      </w:r>
      <w:r>
        <w:rPr>
          <w:rFonts w:hint="default" w:ascii="Times New Roman" w:hAnsi="Times New Roman" w:eastAsia="华文中宋" w:cs="Times New Roman"/>
          <w:color w:val="auto"/>
          <w:highlight w:val="none"/>
          <w:lang w:val="en-US" w:eastAsia="zh-CN"/>
        </w:rPr>
        <w:t>区域土地利用现状图见</w:t>
      </w:r>
      <w:r>
        <w:rPr>
          <w:rFonts w:hint="eastAsia" w:ascii="Times New Roman" w:hAnsi="Times New Roman" w:eastAsia="华文中宋" w:cs="Times New Roman"/>
          <w:color w:val="auto"/>
          <w:highlight w:val="none"/>
          <w:lang w:val="en-US" w:eastAsia="zh-CN"/>
        </w:rPr>
        <w:t>图</w:t>
      </w:r>
      <w:r>
        <w:rPr>
          <w:rFonts w:hint="eastAsia" w:ascii="Times New Roman" w:hAnsi="Times New Roman" w:cs="Times New Roman"/>
          <w:color w:val="auto"/>
          <w:highlight w:val="none"/>
          <w:lang w:val="en-US" w:eastAsia="zh-CN"/>
        </w:rPr>
        <w:t>4.2-7</w:t>
      </w:r>
      <w:r>
        <w:rPr>
          <w:rFonts w:hint="default" w:ascii="Times New Roman" w:hAnsi="Times New Roman" w:eastAsia="华文中宋" w:cs="Times New Roman"/>
          <w:color w:val="auto"/>
          <w:highlight w:val="none"/>
          <w:lang w:val="en-US" w:eastAsia="zh-CN"/>
        </w:rPr>
        <w:t>。</w:t>
      </w:r>
    </w:p>
    <w:p w14:paraId="3C06933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both"/>
        <w:textAlignment w:val="auto"/>
        <w:rPr>
          <w:rFonts w:hint="eastAsia" w:ascii="Times New Roman" w:hAnsi="Times New Roman" w:cs="Times New Roman"/>
          <w:color w:val="auto"/>
          <w:sz w:val="24"/>
          <w:highlight w:val="none"/>
          <w:lang w:val="en-US" w:eastAsia="zh-CN"/>
        </w:rPr>
      </w:pPr>
      <w:r>
        <w:rPr>
          <w:rFonts w:hint="eastAsia" w:ascii="Times New Roman" w:hAnsi="Times New Roman" w:cs="Times New Roman"/>
          <w:b/>
          <w:bCs/>
          <w:color w:val="auto"/>
          <w:kern w:val="2"/>
          <w:sz w:val="24"/>
          <w:szCs w:val="24"/>
          <w:lang w:val="en-US" w:eastAsia="zh-CN" w:bidi="ar-SA"/>
        </w:rPr>
        <w:t>4.2.7.7</w:t>
      </w:r>
      <w:r>
        <w:rPr>
          <w:rFonts w:hint="eastAsia" w:ascii="Times New Roman" w:hAnsi="Times New Roman" w:cs="Times New Roman"/>
          <w:b/>
          <w:bCs/>
          <w:color w:val="auto"/>
          <w:sz w:val="24"/>
          <w:highlight w:val="none"/>
          <w:lang w:val="en-US" w:eastAsia="zh-CN"/>
        </w:rPr>
        <w:t>水土流失现状</w:t>
      </w:r>
    </w:p>
    <w:p w14:paraId="629B66B7">
      <w:pPr>
        <w:pStyle w:val="24"/>
        <w:snapToGrid w:val="0"/>
        <w:ind w:left="0" w:leftChars="0" w:firstLine="480" w:firstLineChars="20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根据</w:t>
      </w:r>
      <w:r>
        <w:rPr>
          <w:rFonts w:hint="eastAsia" w:ascii="Times New Roman" w:hAnsi="Times New Roman" w:cs="Times New Roman"/>
          <w:color w:val="auto"/>
          <w:lang w:val="en-US" w:eastAsia="zh-CN"/>
        </w:rPr>
        <w:t>水利部办公厅《关于印发〈全国水土保持规划国家级水土流失重点预防区和重点治理区复核划分成果〉的通知》（水保办</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20</w:t>
      </w:r>
      <w:r>
        <w:rPr>
          <w:rFonts w:hint="eastAsia" w:ascii="Times New Roman" w:hAnsi="Times New Roman" w:cs="Times New Roman"/>
          <w:color w:val="auto"/>
          <w:lang w:val="en-US" w:eastAsia="zh-CN"/>
        </w:rPr>
        <w:t>13</w:t>
      </w:r>
      <w:r>
        <w:rPr>
          <w:rFonts w:hint="eastAsia" w:ascii="Times New Roman" w:hAnsi="Times New Roman" w:eastAsia="华文中宋" w:cs="Times New Roman"/>
          <w:color w:val="auto"/>
          <w:lang w:val="en-US" w:eastAsia="zh-CN"/>
        </w:rPr>
        <w:t>〕</w:t>
      </w:r>
      <w:r>
        <w:rPr>
          <w:rFonts w:hint="eastAsia" w:ascii="Times New Roman" w:hAnsi="Times New Roman" w:cs="Times New Roman"/>
          <w:color w:val="auto"/>
          <w:lang w:val="en-US" w:eastAsia="zh-CN"/>
        </w:rPr>
        <w:t>188号）以及</w:t>
      </w:r>
      <w:r>
        <w:rPr>
          <w:rFonts w:hint="eastAsia" w:ascii="Times New Roman" w:hAnsi="Times New Roman" w:eastAsia="华文中宋" w:cs="Times New Roman"/>
          <w:color w:val="auto"/>
          <w:lang w:val="en-US" w:eastAsia="zh-CN"/>
        </w:rPr>
        <w:t>《关于印发新疆自治区级水土流失重点预防保护区和重点治理区复核划分成果的通知》（新水水保〔</w:t>
      </w:r>
      <w:r>
        <w:rPr>
          <w:rFonts w:hint="default" w:ascii="Times New Roman" w:hAnsi="Times New Roman" w:eastAsia="华文中宋" w:cs="Times New Roman"/>
          <w:color w:val="auto"/>
          <w:lang w:val="en-US" w:eastAsia="zh-CN"/>
        </w:rPr>
        <w:t>2019</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4</w:t>
      </w:r>
      <w:r>
        <w:rPr>
          <w:rFonts w:hint="eastAsia" w:ascii="Times New Roman" w:hAnsi="Times New Roman" w:eastAsia="华文中宋" w:cs="Times New Roman"/>
          <w:color w:val="auto"/>
          <w:lang w:val="en-US" w:eastAsia="zh-CN"/>
        </w:rPr>
        <w:t>号），民丰县属于</w:t>
      </w:r>
      <w:r>
        <w:rPr>
          <w:rFonts w:hint="eastAsia" w:ascii="Times New Roman" w:hAnsi="Times New Roman" w:cs="Times New Roman"/>
          <w:color w:val="auto"/>
          <w:lang w:val="en-US" w:eastAsia="zh-CN"/>
        </w:rPr>
        <w:t>塔里木河国家级水土流失重点预防区</w:t>
      </w:r>
      <w:r>
        <w:rPr>
          <w:rFonts w:hint="eastAsia" w:ascii="Times New Roman" w:hAnsi="Times New Roman" w:eastAsia="华文中宋" w:cs="Times New Roman"/>
          <w:color w:val="auto"/>
          <w:lang w:val="en-US" w:eastAsia="zh-CN"/>
        </w:rPr>
        <w:t>。</w:t>
      </w:r>
    </w:p>
    <w:p w14:paraId="4FFF7C50">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根据第一次全国水利普查水土保持情况普查成果及</w:t>
      </w:r>
      <w:r>
        <w:rPr>
          <w:rFonts w:hint="eastAsia" w:ascii="Times New Roman" w:hAnsi="Times New Roman" w:cs="Times New Roman"/>
          <w:color w:val="auto"/>
          <w:lang w:val="en-US" w:eastAsia="zh-CN"/>
        </w:rPr>
        <w:t>相关资料</w:t>
      </w:r>
      <w:r>
        <w:rPr>
          <w:rFonts w:hint="default" w:ascii="Times New Roman" w:hAnsi="Times New Roman" w:eastAsia="华文中宋" w:cs="Times New Roman"/>
          <w:color w:val="auto"/>
          <w:lang w:val="en-US" w:eastAsia="zh-CN"/>
        </w:rPr>
        <w:t>，</w:t>
      </w:r>
      <w:r>
        <w:rPr>
          <w:rFonts w:hint="eastAsia" w:ascii="Times New Roman" w:hAnsi="Times New Roman" w:eastAsia="华文中宋" w:cs="Times New Roman"/>
          <w:color w:val="auto"/>
          <w:lang w:val="en-US" w:eastAsia="zh-CN"/>
        </w:rPr>
        <w:t>民丰县土壤侵蚀类型主要有水力、风力、冻融等侵蚀。民丰县现有水土流失面积</w:t>
      </w:r>
      <w:r>
        <w:rPr>
          <w:rFonts w:hint="default" w:ascii="Times New Roman" w:hAnsi="Times New Roman" w:eastAsia="华文中宋" w:cs="Times New Roman"/>
          <w:color w:val="auto"/>
          <w:lang w:val="en-US" w:eastAsia="zh-CN"/>
        </w:rPr>
        <w:t>43619.39km</w:t>
      </w:r>
      <w:r>
        <w:rPr>
          <w:rFonts w:hint="default" w:ascii="Times New Roman" w:hAnsi="Times New Roman" w:eastAsia="华文中宋" w:cs="Times New Roman"/>
          <w:color w:val="auto"/>
          <w:vertAlign w:val="superscript"/>
          <w:lang w:val="en-US" w:eastAsia="zh-CN"/>
        </w:rPr>
        <w:t>2</w:t>
      </w:r>
      <w:r>
        <w:rPr>
          <w:rFonts w:hint="default" w:ascii="Times New Roman" w:hAnsi="Times New Roman" w:eastAsia="华文中宋" w:cs="Times New Roman"/>
          <w:color w:val="auto"/>
          <w:lang w:val="en-US" w:eastAsia="zh-CN"/>
        </w:rPr>
        <w:t>，</w:t>
      </w:r>
      <w:r>
        <w:rPr>
          <w:rFonts w:hint="eastAsia" w:ascii="Times New Roman" w:hAnsi="Times New Roman" w:eastAsia="华文中宋" w:cs="Times New Roman"/>
          <w:color w:val="auto"/>
          <w:lang w:val="en-US" w:eastAsia="zh-CN"/>
        </w:rPr>
        <w:t>占土地总面积的</w:t>
      </w:r>
      <w:r>
        <w:rPr>
          <w:rFonts w:hint="default" w:ascii="Times New Roman" w:hAnsi="Times New Roman" w:eastAsia="华文中宋" w:cs="Times New Roman"/>
          <w:color w:val="auto"/>
          <w:lang w:val="en-US" w:eastAsia="zh-CN"/>
        </w:rPr>
        <w:t>76.85%</w:t>
      </w:r>
      <w:r>
        <w:rPr>
          <w:rFonts w:hint="eastAsia" w:ascii="Times New Roman" w:hAnsi="Times New Roman" w:eastAsia="华文中宋" w:cs="Times New Roman"/>
          <w:color w:val="auto"/>
          <w:lang w:val="en-US" w:eastAsia="zh-CN"/>
        </w:rPr>
        <w:t>。其中水力侵蚀</w:t>
      </w:r>
      <w:r>
        <w:rPr>
          <w:rFonts w:hint="default" w:ascii="Times New Roman" w:hAnsi="Times New Roman" w:eastAsia="华文中宋" w:cs="Times New Roman"/>
          <w:color w:val="auto"/>
          <w:lang w:val="en-US" w:eastAsia="zh-CN"/>
        </w:rPr>
        <w:t>2175.9km</w:t>
      </w:r>
      <w:r>
        <w:rPr>
          <w:rFonts w:hint="default" w:ascii="Times New Roman" w:hAnsi="Times New Roman" w:eastAsia="华文中宋" w:cs="Times New Roman"/>
          <w:color w:val="auto"/>
          <w:vertAlign w:val="superscript"/>
          <w:lang w:val="en-US" w:eastAsia="zh-CN"/>
        </w:rPr>
        <w:t>2</w:t>
      </w:r>
      <w:r>
        <w:rPr>
          <w:rFonts w:hint="default" w:ascii="Times New Roman" w:hAnsi="Times New Roman" w:eastAsia="华文中宋" w:cs="Times New Roman"/>
          <w:color w:val="auto"/>
          <w:lang w:val="en-US" w:eastAsia="zh-CN"/>
        </w:rPr>
        <w:t>，</w:t>
      </w:r>
      <w:r>
        <w:rPr>
          <w:rFonts w:hint="eastAsia" w:ascii="Times New Roman" w:hAnsi="Times New Roman" w:eastAsia="华文中宋" w:cs="Times New Roman"/>
          <w:color w:val="auto"/>
          <w:lang w:val="en-US" w:eastAsia="zh-CN"/>
        </w:rPr>
        <w:t>风力侵蚀</w:t>
      </w:r>
      <w:r>
        <w:rPr>
          <w:rFonts w:hint="default" w:ascii="Times New Roman" w:hAnsi="Times New Roman" w:eastAsia="华文中宋" w:cs="Times New Roman"/>
          <w:color w:val="auto"/>
          <w:lang w:val="en-US" w:eastAsia="zh-CN"/>
        </w:rPr>
        <w:t>40159.47km</w:t>
      </w:r>
      <w:r>
        <w:rPr>
          <w:rFonts w:hint="default" w:ascii="Times New Roman" w:hAnsi="Times New Roman" w:eastAsia="华文中宋" w:cs="Times New Roman"/>
          <w:color w:val="auto"/>
          <w:vertAlign w:val="superscript"/>
          <w:lang w:val="en-US" w:eastAsia="zh-CN"/>
        </w:rPr>
        <w:t>2</w:t>
      </w:r>
      <w:r>
        <w:rPr>
          <w:rFonts w:hint="eastAsia" w:ascii="Times New Roman" w:hAnsi="Times New Roman" w:eastAsia="华文中宋" w:cs="Times New Roman"/>
          <w:color w:val="auto"/>
          <w:lang w:val="en-US" w:eastAsia="zh-CN"/>
        </w:rPr>
        <w:t>冻融侵蚀</w:t>
      </w:r>
      <w:r>
        <w:rPr>
          <w:rFonts w:hint="default" w:ascii="Times New Roman" w:hAnsi="Times New Roman" w:eastAsia="华文中宋" w:cs="Times New Roman"/>
          <w:color w:val="auto"/>
          <w:lang w:val="en-US" w:eastAsia="zh-CN"/>
        </w:rPr>
        <w:t>1284km</w:t>
      </w:r>
      <w:r>
        <w:rPr>
          <w:rFonts w:hint="default" w:ascii="Times New Roman" w:hAnsi="Times New Roman" w:eastAsia="华文中宋" w:cs="Times New Roman"/>
          <w:color w:val="auto"/>
          <w:vertAlign w:val="superscript"/>
          <w:lang w:val="en-US" w:eastAsia="zh-CN"/>
        </w:rPr>
        <w:t>2</w:t>
      </w:r>
      <w:r>
        <w:rPr>
          <w:rFonts w:hint="default" w:ascii="Times New Roman" w:hAnsi="Times New Roman" w:eastAsia="华文中宋" w:cs="Times New Roman"/>
          <w:color w:val="auto"/>
          <w:lang w:val="en-US" w:eastAsia="zh-CN"/>
        </w:rPr>
        <w:t>，</w:t>
      </w:r>
      <w:r>
        <w:rPr>
          <w:rFonts w:hint="eastAsia" w:ascii="Times New Roman" w:hAnsi="Times New Roman" w:eastAsia="华文中宋" w:cs="Times New Roman"/>
          <w:color w:val="auto"/>
          <w:lang w:val="en-US" w:eastAsia="zh-CN"/>
        </w:rPr>
        <w:t>分别占土地总面积的</w:t>
      </w:r>
      <w:r>
        <w:rPr>
          <w:rFonts w:hint="default" w:ascii="Times New Roman" w:hAnsi="Times New Roman" w:eastAsia="华文中宋" w:cs="Times New Roman"/>
          <w:color w:val="auto"/>
          <w:lang w:val="en-US" w:eastAsia="zh-CN"/>
        </w:rPr>
        <w:t>3.83%</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70.75%</w:t>
      </w:r>
      <w:r>
        <w:rPr>
          <w:rFonts w:hint="eastAsia" w:ascii="Times New Roman" w:hAnsi="Times New Roman" w:cs="Times New Roman"/>
          <w:color w:val="auto"/>
          <w:lang w:val="en-US" w:eastAsia="zh-CN"/>
        </w:rPr>
        <w:t>和</w:t>
      </w:r>
      <w:r>
        <w:rPr>
          <w:rFonts w:hint="default" w:ascii="Times New Roman" w:hAnsi="Times New Roman" w:eastAsia="华文中宋" w:cs="Times New Roman"/>
          <w:color w:val="auto"/>
          <w:lang w:val="en-US" w:eastAsia="zh-CN"/>
        </w:rPr>
        <w:t>2.26%</w:t>
      </w:r>
      <w:r>
        <w:rPr>
          <w:rFonts w:hint="eastAsia" w:ascii="Times New Roman" w:hAnsi="Times New Roman" w:eastAsia="华文中宋" w:cs="Times New Roman"/>
          <w:color w:val="auto"/>
          <w:lang w:val="en-US" w:eastAsia="zh-CN"/>
        </w:rPr>
        <w:t>。</w:t>
      </w:r>
    </w:p>
    <w:p w14:paraId="4F195118">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民丰县水力侵蚀主要分布于中高山区、冲洪积扇下部及河道两侧、平原水库下游受洪水影响较大地区，占水土流失总面积的</w:t>
      </w:r>
      <w:r>
        <w:rPr>
          <w:rFonts w:hint="default" w:ascii="Times New Roman" w:hAnsi="Times New Roman" w:eastAsia="华文中宋" w:cs="Times New Roman"/>
          <w:color w:val="auto"/>
          <w:lang w:val="en-US" w:eastAsia="zh-CN"/>
        </w:rPr>
        <w:t>3.83%</w:t>
      </w:r>
      <w:r>
        <w:rPr>
          <w:rFonts w:hint="eastAsia" w:ascii="Times New Roman" w:hAnsi="Times New Roman" w:eastAsia="华文中宋" w:cs="Times New Roman"/>
          <w:color w:val="auto"/>
          <w:lang w:val="en-US" w:eastAsia="zh-CN"/>
        </w:rPr>
        <w:t>。其中轻度</w:t>
      </w:r>
      <w:r>
        <w:rPr>
          <w:rFonts w:hint="default" w:ascii="Times New Roman" w:hAnsi="Times New Roman" w:eastAsia="华文中宋" w:cs="Times New Roman"/>
          <w:color w:val="auto"/>
          <w:lang w:val="en-US" w:eastAsia="zh-CN"/>
        </w:rPr>
        <w:t>1884.76km</w:t>
      </w:r>
      <w:r>
        <w:rPr>
          <w:rFonts w:hint="default" w:ascii="Times New Roman" w:hAnsi="Times New Roman" w:eastAsia="华文中宋" w:cs="Times New Roman"/>
          <w:color w:val="auto"/>
          <w:vertAlign w:val="superscript"/>
          <w:lang w:val="en-US" w:eastAsia="zh-CN"/>
        </w:rPr>
        <w:t>2</w:t>
      </w:r>
      <w:r>
        <w:rPr>
          <w:rFonts w:hint="eastAsia" w:ascii="Times New Roman" w:hAnsi="Times New Roman" w:eastAsia="华文中宋" w:cs="Times New Roman"/>
          <w:color w:val="auto"/>
          <w:lang w:val="en-US" w:eastAsia="zh-CN"/>
        </w:rPr>
        <w:t>、中度</w:t>
      </w:r>
      <w:r>
        <w:rPr>
          <w:rFonts w:hint="default" w:ascii="Times New Roman" w:hAnsi="Times New Roman" w:eastAsia="华文中宋" w:cs="Times New Roman"/>
          <w:color w:val="auto"/>
          <w:lang w:val="en-US" w:eastAsia="zh-CN"/>
        </w:rPr>
        <w:t>260.88km</w:t>
      </w:r>
      <w:r>
        <w:rPr>
          <w:rFonts w:hint="default" w:ascii="Times New Roman" w:hAnsi="Times New Roman" w:eastAsia="华文中宋" w:cs="Times New Roman"/>
          <w:color w:val="auto"/>
          <w:vertAlign w:val="superscript"/>
          <w:lang w:val="en-US" w:eastAsia="zh-CN"/>
        </w:rPr>
        <w:t>2</w:t>
      </w:r>
      <w:r>
        <w:rPr>
          <w:rFonts w:hint="eastAsia" w:ascii="Times New Roman" w:hAnsi="Times New Roman" w:eastAsia="华文中宋" w:cs="Times New Roman"/>
          <w:color w:val="auto"/>
          <w:lang w:val="en-US" w:eastAsia="zh-CN"/>
        </w:rPr>
        <w:t>、强烈</w:t>
      </w:r>
      <w:r>
        <w:rPr>
          <w:rFonts w:hint="default" w:ascii="Times New Roman" w:hAnsi="Times New Roman" w:eastAsia="华文中宋" w:cs="Times New Roman"/>
          <w:color w:val="auto"/>
          <w:lang w:val="en-US" w:eastAsia="zh-CN"/>
        </w:rPr>
        <w:t>29.81km</w:t>
      </w:r>
      <w:r>
        <w:rPr>
          <w:rFonts w:hint="default" w:ascii="Times New Roman" w:hAnsi="Times New Roman" w:eastAsia="华文中宋" w:cs="Times New Roman"/>
          <w:color w:val="auto"/>
          <w:vertAlign w:val="superscript"/>
          <w:lang w:val="en-US" w:eastAsia="zh-CN"/>
        </w:rPr>
        <w:t>2</w:t>
      </w:r>
      <w:r>
        <w:rPr>
          <w:rFonts w:hint="eastAsia" w:ascii="Times New Roman" w:hAnsi="Times New Roman" w:eastAsia="华文中宋" w:cs="Times New Roman"/>
          <w:color w:val="auto"/>
          <w:lang w:val="en-US" w:eastAsia="zh-CN"/>
        </w:rPr>
        <w:t>、极强烈</w:t>
      </w:r>
      <w:r>
        <w:rPr>
          <w:rFonts w:hint="default" w:ascii="Times New Roman" w:hAnsi="Times New Roman" w:eastAsia="华文中宋" w:cs="Times New Roman"/>
          <w:color w:val="auto"/>
          <w:lang w:val="en-US" w:eastAsia="zh-CN"/>
        </w:rPr>
        <w:t>0.47km</w:t>
      </w:r>
      <w:r>
        <w:rPr>
          <w:rFonts w:hint="default" w:ascii="Times New Roman" w:hAnsi="Times New Roman" w:eastAsia="华文中宋" w:cs="Times New Roman"/>
          <w:color w:val="auto"/>
          <w:vertAlign w:val="superscript"/>
          <w:lang w:val="en-US" w:eastAsia="zh-CN"/>
        </w:rPr>
        <w:t>2</w:t>
      </w:r>
      <w:r>
        <w:rPr>
          <w:rFonts w:hint="default" w:ascii="Times New Roman" w:hAnsi="Times New Roman" w:eastAsia="华文中宋" w:cs="Times New Roman"/>
          <w:color w:val="auto"/>
          <w:lang w:val="en-US" w:eastAsia="zh-CN"/>
        </w:rPr>
        <w:t>，</w:t>
      </w:r>
      <w:r>
        <w:rPr>
          <w:rFonts w:hint="eastAsia" w:ascii="Times New Roman" w:hAnsi="Times New Roman" w:eastAsia="华文中宋" w:cs="Times New Roman"/>
          <w:color w:val="auto"/>
          <w:lang w:val="en-US" w:eastAsia="zh-CN"/>
        </w:rPr>
        <w:t>分别占水力侵蚀总面积的</w:t>
      </w:r>
      <w:r>
        <w:rPr>
          <w:rFonts w:hint="default" w:ascii="Times New Roman" w:hAnsi="Times New Roman" w:eastAsia="华文中宋" w:cs="Times New Roman"/>
          <w:color w:val="auto"/>
          <w:lang w:val="en-US" w:eastAsia="zh-CN"/>
        </w:rPr>
        <w:t>86.62%</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11.99%</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1.37%</w:t>
      </w:r>
      <w:r>
        <w:rPr>
          <w:rFonts w:hint="eastAsia" w:ascii="Times New Roman" w:hAnsi="Times New Roman" w:eastAsia="华文中宋" w:cs="Times New Roman"/>
          <w:color w:val="auto"/>
          <w:lang w:val="en-US" w:eastAsia="zh-CN"/>
        </w:rPr>
        <w:t>和</w:t>
      </w:r>
      <w:r>
        <w:rPr>
          <w:rFonts w:hint="default" w:ascii="Times New Roman" w:hAnsi="Times New Roman" w:eastAsia="华文中宋" w:cs="Times New Roman"/>
          <w:color w:val="auto"/>
          <w:lang w:val="en-US" w:eastAsia="zh-CN"/>
        </w:rPr>
        <w:t>0.02%</w:t>
      </w:r>
      <w:r>
        <w:rPr>
          <w:rFonts w:hint="eastAsia" w:ascii="Times New Roman" w:hAnsi="Times New Roman" w:eastAsia="华文中宋" w:cs="Times New Roman"/>
          <w:color w:val="auto"/>
          <w:lang w:val="en-US" w:eastAsia="zh-CN"/>
        </w:rPr>
        <w:t>。民丰县冻融侵蚀主要分布于海拔</w:t>
      </w:r>
      <w:r>
        <w:rPr>
          <w:rFonts w:hint="default" w:ascii="Times New Roman" w:hAnsi="Times New Roman" w:eastAsia="华文中宋" w:cs="Times New Roman"/>
          <w:color w:val="auto"/>
          <w:lang w:val="en-US" w:eastAsia="zh-CN"/>
        </w:rPr>
        <w:t>5000m</w:t>
      </w:r>
      <w:r>
        <w:rPr>
          <w:rFonts w:hint="eastAsia" w:ascii="Times New Roman" w:hAnsi="Times New Roman" w:eastAsia="华文中宋" w:cs="Times New Roman"/>
          <w:color w:val="auto"/>
          <w:lang w:val="en-US" w:eastAsia="zh-CN"/>
        </w:rPr>
        <w:t>以上的高山区</w:t>
      </w:r>
      <w:r>
        <w:rPr>
          <w:rFonts w:hint="default" w:ascii="Times New Roman" w:hAnsi="Times New Roman" w:eastAsia="华文中宋" w:cs="Times New Roman"/>
          <w:color w:val="auto"/>
          <w:lang w:val="en-US" w:eastAsia="zh-CN"/>
        </w:rPr>
        <w:t>，</w:t>
      </w:r>
      <w:r>
        <w:rPr>
          <w:rFonts w:hint="eastAsia" w:ascii="Times New Roman" w:hAnsi="Times New Roman" w:eastAsia="华文中宋" w:cs="Times New Roman"/>
          <w:color w:val="auto"/>
          <w:lang w:val="en-US" w:eastAsia="zh-CN"/>
        </w:rPr>
        <w:t>整个山区以高寒荒漠自然景观为特点</w:t>
      </w:r>
      <w:r>
        <w:rPr>
          <w:rFonts w:hint="default" w:ascii="Times New Roman" w:hAnsi="Times New Roman" w:eastAsia="华文中宋" w:cs="Times New Roman"/>
          <w:color w:val="auto"/>
          <w:lang w:val="en-US" w:eastAsia="zh-CN"/>
        </w:rPr>
        <w:t>，</w:t>
      </w:r>
      <w:r>
        <w:rPr>
          <w:rFonts w:hint="eastAsia" w:ascii="Times New Roman" w:hAnsi="Times New Roman" w:eastAsia="华文中宋" w:cs="Times New Roman"/>
          <w:color w:val="auto"/>
          <w:lang w:val="en-US" w:eastAsia="zh-CN"/>
        </w:rPr>
        <w:t>占水土流失总面积的</w:t>
      </w:r>
      <w:r>
        <w:rPr>
          <w:rFonts w:hint="default" w:ascii="Times New Roman" w:hAnsi="Times New Roman" w:eastAsia="华文中宋" w:cs="Times New Roman"/>
          <w:color w:val="auto"/>
          <w:lang w:val="en-US" w:eastAsia="zh-CN"/>
        </w:rPr>
        <w:t>2.26%</w:t>
      </w:r>
      <w:r>
        <w:rPr>
          <w:rFonts w:hint="eastAsia" w:ascii="Times New Roman" w:hAnsi="Times New Roman" w:eastAsia="华文中宋" w:cs="Times New Roman"/>
          <w:color w:val="auto"/>
          <w:lang w:val="en-US" w:eastAsia="zh-CN"/>
        </w:rPr>
        <w:t>。其中轻度</w:t>
      </w:r>
      <w:r>
        <w:rPr>
          <w:rFonts w:hint="default" w:ascii="Times New Roman" w:hAnsi="Times New Roman" w:eastAsia="华文中宋" w:cs="Times New Roman"/>
          <w:color w:val="auto"/>
          <w:lang w:val="en-US" w:eastAsia="zh-CN"/>
        </w:rPr>
        <w:t>311.3km</w:t>
      </w:r>
      <w:r>
        <w:rPr>
          <w:rFonts w:hint="default" w:ascii="Times New Roman" w:hAnsi="Times New Roman" w:eastAsia="华文中宋" w:cs="Times New Roman"/>
          <w:color w:val="auto"/>
          <w:vertAlign w:val="superscript"/>
          <w:lang w:val="en-US" w:eastAsia="zh-CN"/>
        </w:rPr>
        <w:t>2</w:t>
      </w:r>
      <w:r>
        <w:rPr>
          <w:rFonts w:hint="eastAsia" w:ascii="Times New Roman" w:hAnsi="Times New Roman" w:eastAsia="华文中宋" w:cs="Times New Roman"/>
          <w:color w:val="auto"/>
          <w:lang w:val="en-US" w:eastAsia="zh-CN"/>
        </w:rPr>
        <w:t>、中度</w:t>
      </w:r>
      <w:r>
        <w:rPr>
          <w:rFonts w:hint="default" w:ascii="Times New Roman" w:hAnsi="Times New Roman" w:eastAsia="华文中宋" w:cs="Times New Roman"/>
          <w:color w:val="auto"/>
          <w:lang w:val="en-US" w:eastAsia="zh-CN"/>
        </w:rPr>
        <w:t>424.24km</w:t>
      </w:r>
      <w:r>
        <w:rPr>
          <w:rFonts w:hint="default" w:ascii="Times New Roman" w:hAnsi="Times New Roman" w:eastAsia="华文中宋" w:cs="Times New Roman"/>
          <w:color w:val="auto"/>
          <w:vertAlign w:val="superscript"/>
          <w:lang w:val="en-US" w:eastAsia="zh-CN"/>
        </w:rPr>
        <w:t>2</w:t>
      </w:r>
      <w:r>
        <w:rPr>
          <w:rFonts w:hint="eastAsia" w:ascii="Times New Roman" w:hAnsi="Times New Roman" w:eastAsia="华文中宋" w:cs="Times New Roman"/>
          <w:color w:val="auto"/>
          <w:lang w:val="en-US" w:eastAsia="zh-CN"/>
        </w:rPr>
        <w:t>、强烈</w:t>
      </w:r>
      <w:r>
        <w:rPr>
          <w:rFonts w:hint="default" w:ascii="Times New Roman" w:hAnsi="Times New Roman" w:eastAsia="华文中宋" w:cs="Times New Roman"/>
          <w:color w:val="auto"/>
          <w:lang w:val="en-US" w:eastAsia="zh-CN"/>
        </w:rPr>
        <w:t>522.90km</w:t>
      </w:r>
      <w:r>
        <w:rPr>
          <w:rFonts w:hint="default" w:ascii="Times New Roman" w:hAnsi="Times New Roman" w:eastAsia="华文中宋" w:cs="Times New Roman"/>
          <w:color w:val="auto"/>
          <w:vertAlign w:val="superscript"/>
          <w:lang w:val="en-US" w:eastAsia="zh-CN"/>
        </w:rPr>
        <w:t>2</w:t>
      </w:r>
      <w:r>
        <w:rPr>
          <w:rFonts w:hint="eastAsia" w:ascii="Times New Roman" w:hAnsi="Times New Roman" w:eastAsia="华文中宋" w:cs="Times New Roman"/>
          <w:color w:val="auto"/>
          <w:lang w:val="en-US" w:eastAsia="zh-CN"/>
        </w:rPr>
        <w:t>，极强烈</w:t>
      </w:r>
      <w:r>
        <w:rPr>
          <w:rFonts w:hint="default" w:ascii="Times New Roman" w:hAnsi="Times New Roman" w:eastAsia="华文中宋" w:cs="Times New Roman"/>
          <w:color w:val="auto"/>
          <w:lang w:val="en-US" w:eastAsia="zh-CN"/>
        </w:rPr>
        <w:t>25.56km</w:t>
      </w:r>
      <w:r>
        <w:rPr>
          <w:rFonts w:hint="default" w:ascii="Times New Roman" w:hAnsi="Times New Roman" w:eastAsia="华文中宋" w:cs="Times New Roman"/>
          <w:color w:val="auto"/>
          <w:vertAlign w:val="superscript"/>
          <w:lang w:val="en-US" w:eastAsia="zh-CN"/>
        </w:rPr>
        <w:t>2</w:t>
      </w:r>
      <w:r>
        <w:rPr>
          <w:rFonts w:hint="default" w:ascii="Times New Roman" w:hAnsi="Times New Roman" w:eastAsia="华文中宋" w:cs="Times New Roman"/>
          <w:color w:val="auto"/>
          <w:lang w:val="en-US" w:eastAsia="zh-CN"/>
        </w:rPr>
        <w:t>，</w:t>
      </w:r>
      <w:r>
        <w:rPr>
          <w:rFonts w:hint="eastAsia" w:ascii="Times New Roman" w:hAnsi="Times New Roman" w:eastAsia="华文中宋" w:cs="Times New Roman"/>
          <w:color w:val="auto"/>
          <w:lang w:val="en-US" w:eastAsia="zh-CN"/>
        </w:rPr>
        <w:t>分别占冻融侵蚀总面积的</w:t>
      </w:r>
      <w:r>
        <w:rPr>
          <w:rFonts w:hint="default" w:ascii="Times New Roman" w:hAnsi="Times New Roman" w:eastAsia="华文中宋" w:cs="Times New Roman"/>
          <w:color w:val="auto"/>
          <w:lang w:val="en-US" w:eastAsia="zh-CN"/>
        </w:rPr>
        <w:t>24.24%</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33.04%</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40.73%</w:t>
      </w:r>
      <w:r>
        <w:rPr>
          <w:rFonts w:hint="eastAsia" w:ascii="Times New Roman" w:hAnsi="Times New Roman" w:eastAsia="华文中宋" w:cs="Times New Roman"/>
          <w:color w:val="auto"/>
          <w:lang w:val="en-US" w:eastAsia="zh-CN"/>
        </w:rPr>
        <w:t>和</w:t>
      </w:r>
      <w:r>
        <w:rPr>
          <w:rFonts w:hint="default" w:ascii="Times New Roman" w:hAnsi="Times New Roman" w:eastAsia="华文中宋" w:cs="Times New Roman"/>
          <w:color w:val="auto"/>
          <w:lang w:val="en-US" w:eastAsia="zh-CN"/>
        </w:rPr>
        <w:t>1.99%</w:t>
      </w:r>
      <w:r>
        <w:rPr>
          <w:rFonts w:hint="eastAsia" w:ascii="Times New Roman" w:hAnsi="Times New Roman" w:eastAsia="华文中宋" w:cs="Times New Roman"/>
          <w:color w:val="auto"/>
          <w:lang w:val="en-US" w:eastAsia="zh-CN"/>
        </w:rPr>
        <w:t>。</w:t>
      </w:r>
    </w:p>
    <w:p w14:paraId="634EBC7A">
      <w:pPr>
        <w:pStyle w:val="24"/>
        <w:snapToGrid w:val="0"/>
        <w:jc w:val="left"/>
        <w:rPr>
          <w:rFonts w:hint="eastAsia"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项目区水土流失情况比较严重，因此在矿山营运期间建设单位需按水保、矿山生态综合治理、土地复垦和环评的要求，对各工程区域采取工程措施及治污措施，对营运期所造成的生态破坏进行恢复，使水土流失得到有效控制。</w:t>
      </w:r>
    </w:p>
    <w:p w14:paraId="748D01A6">
      <w:pPr>
        <w:pStyle w:val="24"/>
        <w:snapToGrid w:val="0"/>
        <w:ind w:left="0" w:leftChars="0" w:firstLine="0" w:firstLineChars="0"/>
        <w:jc w:val="left"/>
        <w:rPr>
          <w:rFonts w:hint="eastAsia" w:ascii="Times New Roman" w:hAnsi="Times New Roman" w:eastAsia="华文中宋" w:cs="Times New Roman"/>
          <w:b/>
          <w:bCs/>
          <w:color w:val="auto"/>
          <w:lang w:val="en-US" w:eastAsia="zh-CN"/>
        </w:rPr>
      </w:pPr>
      <w:r>
        <w:rPr>
          <w:rFonts w:hint="eastAsia" w:ascii="Times New Roman" w:hAnsi="Times New Roman" w:eastAsia="华文中宋" w:cs="Times New Roman"/>
          <w:b/>
          <w:bCs/>
          <w:color w:val="auto"/>
          <w:lang w:val="en-US" w:eastAsia="zh-CN"/>
        </w:rPr>
        <w:t>4.2.</w:t>
      </w:r>
      <w:r>
        <w:rPr>
          <w:rFonts w:hint="eastAsia" w:ascii="Times New Roman" w:hAnsi="Times New Roman" w:cs="Times New Roman"/>
          <w:b/>
          <w:bCs/>
          <w:color w:val="auto"/>
          <w:lang w:val="en-US" w:eastAsia="zh-CN"/>
        </w:rPr>
        <w:t>7</w:t>
      </w:r>
      <w:r>
        <w:rPr>
          <w:rFonts w:hint="eastAsia" w:ascii="Times New Roman" w:hAnsi="Times New Roman" w:eastAsia="华文中宋" w:cs="Times New Roman"/>
          <w:b/>
          <w:bCs/>
          <w:color w:val="auto"/>
          <w:lang w:val="en-US" w:eastAsia="zh-CN"/>
        </w:rPr>
        <w:t>.8土地沙化现状</w:t>
      </w:r>
    </w:p>
    <w:p w14:paraId="04CD4E63">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本项目位于新疆维吾尔自治区和田地区民丰县境内，根据《新疆第六次沙化监测报告》调查数据显示，</w:t>
      </w:r>
      <w:r>
        <w:rPr>
          <w:rFonts w:hint="default" w:ascii="Times New Roman" w:hAnsi="Times New Roman" w:eastAsia="华文中宋" w:cs="Times New Roman"/>
          <w:color w:val="auto"/>
          <w:lang w:val="en-US" w:eastAsia="zh-CN"/>
        </w:rPr>
        <w:t>在和田地区中沙化土地面积较大的县市有民丰县、于田县、墨玉县。民丰县沙化土地面积为320</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5</w:t>
      </w:r>
      <w:r>
        <w:rPr>
          <w:rFonts w:hint="eastAsia" w:ascii="Times New Roman" w:hAnsi="Times New Roman" w:eastAsia="华文中宋" w:cs="Times New Roman"/>
          <w:color w:val="auto"/>
          <w:lang w:val="en-US" w:eastAsia="zh-CN"/>
        </w:rPr>
        <w:t>8万</w:t>
      </w:r>
      <w:r>
        <w:rPr>
          <w:rFonts w:hint="default" w:ascii="Times New Roman" w:hAnsi="Times New Roman" w:eastAsia="华文中宋" w:cs="Times New Roman"/>
          <w:color w:val="auto"/>
          <w:lang w:val="en-US" w:eastAsia="zh-CN"/>
        </w:rPr>
        <w:t>公顷，</w:t>
      </w:r>
      <w:r>
        <w:rPr>
          <w:rFonts w:hint="eastAsia" w:ascii="Times New Roman" w:hAnsi="Times New Roman" w:eastAsia="华文中宋" w:cs="Times New Roman"/>
          <w:color w:val="auto"/>
          <w:lang w:val="en-US" w:eastAsia="zh-CN"/>
        </w:rPr>
        <w:t>本项目主要占地为天然牧草地，不属于新疆</w:t>
      </w:r>
      <w:r>
        <w:rPr>
          <w:rFonts w:hint="eastAsia" w:ascii="Times New Roman" w:hAnsi="Times New Roman" w:eastAsia="华文中宋" w:cs="Times New Roman"/>
          <w:color w:val="auto"/>
          <w:highlight w:val="none"/>
          <w:lang w:val="en-US" w:eastAsia="zh-CN"/>
        </w:rPr>
        <w:t>荒漠化沙漠和新疆沙化土地，不涉及沙化土地封禁保护区，本项目与新疆沙化土地分布位置见图</w:t>
      </w:r>
      <w:r>
        <w:rPr>
          <w:rFonts w:hint="eastAsia" w:ascii="Times New Roman" w:hAnsi="Times New Roman" w:cs="Times New Roman"/>
          <w:color w:val="auto"/>
          <w:highlight w:val="none"/>
          <w:lang w:val="en-US" w:eastAsia="zh-CN"/>
        </w:rPr>
        <w:t>4.2-8。</w:t>
      </w:r>
    </w:p>
    <w:p w14:paraId="22B291FA">
      <w:pPr>
        <w:pStyle w:val="24"/>
        <w:snapToGrid w:val="0"/>
        <w:ind w:left="0" w:leftChars="0" w:firstLine="0" w:firstLineChars="0"/>
        <w:jc w:val="left"/>
        <w:rPr>
          <w:rFonts w:hint="eastAsia" w:ascii="Times New Roman" w:hAnsi="Times New Roman" w:cs="Times New Roman"/>
          <w:color w:val="auto"/>
          <w:lang w:val="en-US" w:eastAsia="zh-CN"/>
        </w:rPr>
      </w:pPr>
    </w:p>
    <w:p w14:paraId="791A9CD1">
      <w:pPr>
        <w:pStyle w:val="24"/>
        <w:snapToGrid w:val="0"/>
        <w:ind w:left="0" w:leftChars="0" w:firstLine="0" w:firstLineChars="0"/>
        <w:jc w:val="left"/>
        <w:rPr>
          <w:rFonts w:hint="eastAsia" w:ascii="Times New Roman" w:hAnsi="Times New Roman" w:cs="Times New Roman"/>
          <w:color w:val="auto"/>
          <w:lang w:val="en-US" w:eastAsia="zh-CN"/>
        </w:rPr>
      </w:pPr>
    </w:p>
    <w:p w14:paraId="18415DFF">
      <w:pPr>
        <w:pStyle w:val="24"/>
        <w:snapToGrid w:val="0"/>
        <w:ind w:left="0" w:leftChars="0" w:firstLine="0" w:firstLineChars="0"/>
        <w:jc w:val="left"/>
        <w:rPr>
          <w:rFonts w:hint="default" w:ascii="Times New Roman" w:hAnsi="Times New Roman" w:cs="Times New Roman"/>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71FF359">
      <w:pPr>
        <w:pStyle w:val="2"/>
        <w:pageBreakBefore/>
        <w:spacing w:before="250" w:beforeLines="50" w:after="250" w:afterLines="50" w:line="560" w:lineRule="exact"/>
        <w:rPr>
          <w:rFonts w:hint="default" w:ascii="Times New Roman" w:hAnsi="Times New Roman" w:eastAsia="华文中宋" w:cs="Times New Roman"/>
          <w:snapToGrid w:val="0"/>
          <w:spacing w:val="2"/>
          <w:sz w:val="36"/>
          <w:szCs w:val="44"/>
          <w:lang w:val="en-US" w:eastAsia="zh-CN"/>
        </w:rPr>
      </w:pPr>
      <w:bookmarkStart w:id="126" w:name="_Toc12418"/>
      <w:bookmarkStart w:id="127" w:name="_Toc23049"/>
      <w:r>
        <w:rPr>
          <w:rFonts w:hint="default" w:ascii="Times New Roman" w:hAnsi="Times New Roman" w:eastAsia="华文中宋" w:cs="Times New Roman"/>
          <w:snapToGrid w:val="0"/>
          <w:spacing w:val="2"/>
          <w:sz w:val="36"/>
          <w:szCs w:val="44"/>
          <w:lang w:val="en-US" w:eastAsia="zh-CN"/>
        </w:rPr>
        <w:t>5环境影响预测与评价</w:t>
      </w:r>
      <w:bookmarkEnd w:id="126"/>
      <w:bookmarkEnd w:id="127"/>
    </w:p>
    <w:p w14:paraId="419E9147">
      <w:pPr>
        <w:pStyle w:val="3"/>
        <w:spacing w:before="120" w:after="120" w:line="500" w:lineRule="exact"/>
        <w:ind w:left="375" w:hanging="375" w:firstLineChars="0"/>
        <w:contextualSpacing/>
        <w:rPr>
          <w:rFonts w:hint="default" w:ascii="Times New Roman" w:hAnsi="Times New Roman" w:cs="Times New Roman" w:eastAsiaTheme="minorEastAsia"/>
          <w:b/>
          <w:bCs/>
          <w:color w:val="auto"/>
          <w:kern w:val="2"/>
          <w:sz w:val="28"/>
          <w:szCs w:val="28"/>
          <w:lang w:val="en-US" w:eastAsia="zh-CN" w:bidi="ar-SA"/>
        </w:rPr>
      </w:pPr>
      <w:bookmarkStart w:id="128" w:name="_Toc13126"/>
      <w:bookmarkStart w:id="129" w:name="_Toc16898"/>
      <w:r>
        <w:rPr>
          <w:rFonts w:hint="default" w:ascii="Times New Roman" w:hAnsi="Times New Roman" w:eastAsia="华文中宋" w:cs="Times New Roman"/>
          <w:snapToGrid w:val="0"/>
          <w:kern w:val="0"/>
          <w:sz w:val="28"/>
          <w:szCs w:val="28"/>
          <w:lang w:val="en-US" w:eastAsia="zh-CN"/>
        </w:rPr>
        <w:t>5.1施工期环境影响预测与评</w:t>
      </w:r>
      <w:bookmarkEnd w:id="128"/>
      <w:r>
        <w:rPr>
          <w:rFonts w:hint="default" w:ascii="Times New Roman" w:hAnsi="Times New Roman" w:cs="Times New Roman" w:eastAsiaTheme="minorEastAsia"/>
          <w:b/>
          <w:bCs/>
          <w:color w:val="auto"/>
          <w:kern w:val="2"/>
          <w:sz w:val="28"/>
          <w:szCs w:val="28"/>
          <w:lang w:val="en-US" w:eastAsia="zh-CN" w:bidi="ar-SA"/>
        </w:rPr>
        <w:t>价</w:t>
      </w:r>
      <w:bookmarkEnd w:id="129"/>
    </w:p>
    <w:p w14:paraId="27DD21AD">
      <w:pPr>
        <w:pStyle w:val="4"/>
        <w:spacing w:before="120" w:after="120" w:line="500" w:lineRule="exact"/>
        <w:rPr>
          <w:rFonts w:hint="default" w:ascii="Times New Roman" w:hAnsi="Times New Roman" w:eastAsia="华文中宋" w:cs="Times New Roman"/>
          <w:color w:val="auto"/>
          <w:lang w:val="en-US" w:eastAsia="zh-CN"/>
        </w:rPr>
      </w:pPr>
      <w:bookmarkStart w:id="130" w:name="_Toc24635"/>
      <w:r>
        <w:rPr>
          <w:rFonts w:hint="default" w:ascii="Times New Roman" w:hAnsi="Times New Roman" w:eastAsia="华文中宋" w:cs="Times New Roman"/>
          <w:kern w:val="0"/>
          <w:sz w:val="24"/>
          <w:szCs w:val="24"/>
          <w:lang w:val="en-US" w:eastAsia="zh-CN"/>
        </w:rPr>
        <w:t>5.1.1施工期大气环境的影响分析</w:t>
      </w:r>
      <w:bookmarkEnd w:id="130"/>
    </w:p>
    <w:p w14:paraId="392D9F81">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影响施工区附近环境空气的主要污染物为扬尘，来源于各种无组织排放源，包括场地清理、物料装卸、运输、堆存、材料拌合等过程，其结果是造成局部地区大气污染及降尘量的增加。施工过程中产生的扬尘是对环境空气产生影响的首要因素，机械设备安装调试等产生的扬尘量较小或不产生扬尘。由于粉尘污染源多为间歇性分散源，排尘点低，扬尘排放在施工区及其周边距离范围内形成局部污染，对外界环境影响较小。施工区的扬尘未经充分扩散稀释就进入地面呼吸地带，会给现场施工人员的工作和身体健康带来一定不利影响。</w:t>
      </w:r>
    </w:p>
    <w:p w14:paraId="1F83FFF3">
      <w:pPr>
        <w:pStyle w:val="24"/>
        <w:keepNext w:val="0"/>
        <w:keepLines w:val="0"/>
        <w:pageBreakBefore w:val="0"/>
        <w:widowControl w:val="0"/>
        <w:kinsoku/>
        <w:wordWrap/>
        <w:overflowPunct/>
        <w:topLinePunct w:val="0"/>
        <w:autoSpaceDE/>
        <w:autoSpaceDN/>
        <w:bidi w:val="0"/>
        <w:adjustRightInd w:val="0"/>
        <w:snapToGrid w:val="0"/>
        <w:ind w:firstLine="0" w:firstLineChars="0"/>
        <w:jc w:val="left"/>
        <w:textAlignment w:val="baseline"/>
        <w:rPr>
          <w:rFonts w:hint="default" w:ascii="Times New Roman" w:hAnsi="Times New Roman" w:eastAsia="华文中宋" w:cs="Times New Roman"/>
          <w:b/>
          <w:bCs/>
          <w:color w:val="auto"/>
          <w:lang w:val="en-US" w:eastAsia="zh-CN"/>
        </w:rPr>
      </w:pPr>
      <w:r>
        <w:rPr>
          <w:rFonts w:hint="eastAsia" w:ascii="Times New Roman" w:hAnsi="Times New Roman" w:cs="Times New Roman"/>
          <w:b/>
          <w:bCs/>
          <w:color w:val="auto"/>
          <w:lang w:val="en-US" w:eastAsia="zh-CN"/>
        </w:rPr>
        <w:t>5.1.1.1</w:t>
      </w:r>
      <w:r>
        <w:rPr>
          <w:rFonts w:hint="default" w:ascii="Times New Roman" w:hAnsi="Times New Roman" w:eastAsia="华文中宋" w:cs="Times New Roman"/>
          <w:b/>
          <w:bCs/>
          <w:color w:val="auto"/>
          <w:lang w:val="en-US" w:eastAsia="zh-CN"/>
        </w:rPr>
        <w:t>施工扬尘的来源</w:t>
      </w:r>
    </w:p>
    <w:p w14:paraId="58135D0D">
      <w:pPr>
        <w:pStyle w:val="24"/>
        <w:snapToGrid w:val="0"/>
        <w:jc w:val="left"/>
        <w:rPr>
          <w:rFonts w:hint="default" w:ascii="Times New Roman" w:hAnsi="Times New Roman" w:eastAsia="华文中宋" w:cs="Times New Roman"/>
          <w:color w:val="auto"/>
          <w:lang w:val="en-US" w:eastAsia="zh-CN"/>
        </w:rPr>
      </w:pPr>
      <w:r>
        <w:rPr>
          <w:rFonts w:hint="eastAsia" w:ascii="Calibri" w:hAnsi="Calibri" w:cs="Calibri"/>
          <w:color w:val="auto"/>
          <w:lang w:val="en-US" w:eastAsia="zh-CN"/>
        </w:rPr>
        <w:t>（1）</w:t>
      </w:r>
      <w:r>
        <w:rPr>
          <w:rFonts w:hint="default" w:ascii="Times New Roman" w:hAnsi="Times New Roman" w:eastAsia="华文中宋" w:cs="Times New Roman"/>
          <w:color w:val="auto"/>
          <w:lang w:val="en-US" w:eastAsia="zh-CN"/>
        </w:rPr>
        <w:t>场地硬化施工过程造成的扬尘；</w:t>
      </w:r>
    </w:p>
    <w:p w14:paraId="1D0CAA8C">
      <w:pPr>
        <w:pStyle w:val="24"/>
        <w:snapToGrid w:val="0"/>
        <w:jc w:val="left"/>
        <w:rPr>
          <w:rFonts w:hint="default" w:ascii="Times New Roman" w:hAnsi="Times New Roman" w:eastAsia="华文中宋" w:cs="Times New Roman"/>
          <w:color w:val="auto"/>
          <w:lang w:val="en-US" w:eastAsia="zh-CN"/>
        </w:rPr>
      </w:pPr>
      <w:r>
        <w:rPr>
          <w:rFonts w:hint="eastAsia" w:ascii="Calibri" w:hAnsi="Calibri" w:cs="Calibri"/>
          <w:color w:val="auto"/>
          <w:lang w:val="en-US" w:eastAsia="zh-CN"/>
        </w:rPr>
        <w:t>（2）</w:t>
      </w:r>
      <w:r>
        <w:rPr>
          <w:rFonts w:hint="default" w:ascii="Times New Roman" w:hAnsi="Times New Roman" w:eastAsia="华文中宋" w:cs="Times New Roman"/>
          <w:color w:val="auto"/>
          <w:lang w:val="en-US" w:eastAsia="zh-CN"/>
        </w:rPr>
        <w:t>水泥、砂子等装卸、搅拌、堆放的扬尘；</w:t>
      </w:r>
    </w:p>
    <w:p w14:paraId="4AEDC493">
      <w:pPr>
        <w:pStyle w:val="24"/>
        <w:snapToGrid w:val="0"/>
        <w:jc w:val="left"/>
        <w:rPr>
          <w:rFonts w:hint="default" w:ascii="Times New Roman" w:hAnsi="Times New Roman" w:eastAsia="华文中宋" w:cs="Times New Roman"/>
          <w:color w:val="auto"/>
          <w:lang w:val="en-US" w:eastAsia="zh-CN"/>
        </w:rPr>
      </w:pPr>
      <w:r>
        <w:rPr>
          <w:rFonts w:hint="eastAsia" w:ascii="Calibri" w:hAnsi="Calibri" w:cs="Calibri"/>
          <w:color w:val="auto"/>
          <w:lang w:val="en-US" w:eastAsia="zh-CN"/>
        </w:rPr>
        <w:t>（3）</w:t>
      </w:r>
      <w:r>
        <w:rPr>
          <w:rFonts w:hint="default" w:ascii="Times New Roman" w:hAnsi="Times New Roman" w:eastAsia="华文中宋" w:cs="Times New Roman"/>
          <w:color w:val="auto"/>
          <w:lang w:val="en-US" w:eastAsia="zh-CN"/>
        </w:rPr>
        <w:t>运输车辆往来造成的扬尘；</w:t>
      </w:r>
    </w:p>
    <w:p w14:paraId="236A0440">
      <w:pPr>
        <w:pStyle w:val="24"/>
        <w:snapToGrid w:val="0"/>
        <w:jc w:val="left"/>
        <w:rPr>
          <w:rFonts w:hint="default" w:ascii="Times New Roman" w:hAnsi="Times New Roman" w:eastAsia="华文中宋" w:cs="Times New Roman"/>
          <w:color w:val="auto"/>
          <w:lang w:val="en-US" w:eastAsia="zh-CN"/>
        </w:rPr>
      </w:pPr>
      <w:r>
        <w:rPr>
          <w:rFonts w:hint="eastAsia" w:ascii="Calibri" w:hAnsi="Calibri" w:cs="Calibri"/>
          <w:color w:val="auto"/>
          <w:lang w:val="en-US" w:eastAsia="zh-CN"/>
        </w:rPr>
        <w:t>（4）</w:t>
      </w:r>
      <w:r>
        <w:rPr>
          <w:rFonts w:hint="default" w:ascii="Times New Roman" w:hAnsi="Times New Roman" w:eastAsia="华文中宋" w:cs="Times New Roman"/>
          <w:color w:val="auto"/>
          <w:lang w:val="en-US" w:eastAsia="zh-CN"/>
        </w:rPr>
        <w:t>施工垃圾的堆放和清运过程造成的扬尘。</w:t>
      </w:r>
    </w:p>
    <w:p w14:paraId="3A7380E1">
      <w:pPr>
        <w:pStyle w:val="24"/>
        <w:snapToGrid w:val="0"/>
        <w:ind w:left="0" w:leftChars="0" w:firstLine="0" w:firstLineChars="0"/>
        <w:jc w:val="left"/>
        <w:rPr>
          <w:rFonts w:hint="default" w:ascii="Times New Roman" w:hAnsi="Times New Roman" w:eastAsia="华文中宋" w:cs="Times New Roman"/>
          <w:b/>
          <w:bCs/>
          <w:color w:val="auto"/>
          <w:lang w:val="en-US" w:eastAsia="zh-CN"/>
        </w:rPr>
      </w:pPr>
      <w:r>
        <w:rPr>
          <w:rFonts w:hint="eastAsia" w:ascii="Times New Roman" w:hAnsi="Times New Roman" w:cs="Times New Roman"/>
          <w:b/>
          <w:bCs/>
          <w:color w:val="auto"/>
          <w:lang w:val="en-US" w:eastAsia="zh-CN"/>
        </w:rPr>
        <w:t>5.1.1.2</w:t>
      </w:r>
      <w:r>
        <w:rPr>
          <w:rFonts w:hint="default" w:ascii="Times New Roman" w:hAnsi="Times New Roman" w:eastAsia="华文中宋" w:cs="Times New Roman"/>
          <w:b/>
          <w:bCs/>
          <w:color w:val="auto"/>
          <w:lang w:val="en-US" w:eastAsia="zh-CN"/>
        </w:rPr>
        <w:t>扬尘对大气环境的影响分析</w:t>
      </w:r>
    </w:p>
    <w:p w14:paraId="375D0AA8">
      <w:pPr>
        <w:pStyle w:val="24"/>
        <w:snapToGrid w:val="0"/>
        <w:jc w:val="left"/>
        <w:rPr>
          <w:rFonts w:hint="default" w:ascii="Times New Roman" w:hAnsi="Times New Roman" w:eastAsia="华文中宋" w:cs="Times New Roman"/>
          <w:color w:val="auto"/>
          <w:lang w:val="en-US" w:eastAsia="zh-CN"/>
        </w:rPr>
      </w:pPr>
      <w:r>
        <w:rPr>
          <w:rFonts w:hint="eastAsia" w:ascii="Calibri" w:hAnsi="Calibri" w:cs="Calibri"/>
          <w:color w:val="auto"/>
          <w:lang w:val="en-US" w:eastAsia="zh-CN"/>
        </w:rPr>
        <w:t>（1）</w:t>
      </w:r>
      <w:r>
        <w:rPr>
          <w:rFonts w:hint="default" w:ascii="Times New Roman" w:hAnsi="Times New Roman" w:eastAsia="华文中宋" w:cs="Times New Roman"/>
          <w:color w:val="auto"/>
          <w:lang w:val="en-US" w:eastAsia="zh-CN"/>
        </w:rPr>
        <w:t>施工扬尘</w:t>
      </w:r>
    </w:p>
    <w:p w14:paraId="74522705">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扬尘的产生跟风力大小及气候有一定关系，项目区气候干燥，降雨不多，多风天气较多，项目扬尘的影响范围可能会大于150m。</w:t>
      </w:r>
    </w:p>
    <w:p w14:paraId="0377097F">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施工和汽车通过矿区内部道路扬尘的源强大小与污染源的距离有关，根据类比资料显示：</w:t>
      </w:r>
    </w:p>
    <w:p w14:paraId="4D39697E">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无</w:t>
      </w:r>
      <w:r>
        <w:rPr>
          <w:rFonts w:hint="eastAsia" w:ascii="Times New Roman" w:hAnsi="Times New Roman" w:cs="Times New Roman"/>
          <w:color w:val="auto"/>
          <w:lang w:val="en-US" w:eastAsia="zh-CN"/>
        </w:rPr>
        <w:t>围挡</w:t>
      </w:r>
      <w:r>
        <w:rPr>
          <w:rFonts w:hint="default" w:ascii="Times New Roman" w:hAnsi="Times New Roman" w:eastAsia="华文中宋" w:cs="Times New Roman"/>
          <w:color w:val="auto"/>
          <w:lang w:val="en-US" w:eastAsia="zh-CN"/>
        </w:rPr>
        <w:t>情况下，施工扬尘十分严重，扬尘范围在工地下风向200m内是对照点的1.87倍。</w:t>
      </w:r>
    </w:p>
    <w:p w14:paraId="05C14D6C">
      <w:pPr>
        <w:pStyle w:val="24"/>
        <w:snapToGrid w:val="0"/>
        <w:jc w:val="left"/>
        <w:rPr>
          <w:rFonts w:hint="eastAsia"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有</w:t>
      </w:r>
      <w:r>
        <w:rPr>
          <w:rFonts w:hint="eastAsia" w:ascii="Times New Roman" w:hAnsi="Times New Roman" w:cs="Times New Roman"/>
          <w:color w:val="auto"/>
          <w:lang w:val="en-US" w:eastAsia="zh-CN"/>
        </w:rPr>
        <w:t>围挡</w:t>
      </w:r>
      <w:r>
        <w:rPr>
          <w:rFonts w:hint="default" w:ascii="Times New Roman" w:hAnsi="Times New Roman" w:eastAsia="华文中宋" w:cs="Times New Roman"/>
          <w:color w:val="auto"/>
          <w:lang w:val="en-US" w:eastAsia="zh-CN"/>
        </w:rPr>
        <w:t>施工扬尘有明显改善，扬尘污染范围在工地下风向200m内是对照点的1.4倍。</w:t>
      </w:r>
    </w:p>
    <w:p w14:paraId="71F33062">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运输车辆在施工场地</w:t>
      </w:r>
      <w:r>
        <w:rPr>
          <w:rFonts w:hint="eastAsia" w:ascii="Times New Roman" w:hAnsi="Times New Roman" w:cs="Times New Roman"/>
          <w:color w:val="auto"/>
          <w:lang w:val="en-US" w:eastAsia="zh-CN"/>
        </w:rPr>
        <w:t>行驶</w:t>
      </w:r>
      <w:r>
        <w:rPr>
          <w:rFonts w:hint="default" w:ascii="Times New Roman" w:hAnsi="Times New Roman" w:eastAsia="华文中宋" w:cs="Times New Roman"/>
          <w:color w:val="auto"/>
          <w:lang w:val="en-US" w:eastAsia="zh-CN"/>
        </w:rPr>
        <w:t>产生的扬尘占施工扬尘总量的60%，这与场地状况有很大关系。场地在自然风作用下产生的扬尘一般影响范围在100m以内。</w:t>
      </w:r>
    </w:p>
    <w:p w14:paraId="7E1B9949">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为了抑制施工期间的车辆</w:t>
      </w:r>
      <w:r>
        <w:rPr>
          <w:rFonts w:hint="eastAsia" w:ascii="Times New Roman" w:hAnsi="Times New Roman" w:cs="Times New Roman"/>
          <w:color w:val="auto"/>
          <w:lang w:val="en-US" w:eastAsia="zh-CN"/>
        </w:rPr>
        <w:t>行驶</w:t>
      </w:r>
      <w:r>
        <w:rPr>
          <w:rFonts w:hint="default" w:ascii="Times New Roman" w:hAnsi="Times New Roman" w:eastAsia="华文中宋" w:cs="Times New Roman"/>
          <w:color w:val="auto"/>
          <w:lang w:val="en-US" w:eastAsia="zh-CN"/>
        </w:rPr>
        <w:t>扬尘，通常会在车辆</w:t>
      </w:r>
      <w:r>
        <w:rPr>
          <w:rFonts w:hint="eastAsia" w:ascii="Times New Roman" w:hAnsi="Times New Roman" w:cs="Times New Roman"/>
          <w:color w:val="auto"/>
          <w:lang w:val="en-US" w:eastAsia="zh-CN"/>
        </w:rPr>
        <w:t>行驶</w:t>
      </w:r>
      <w:r>
        <w:rPr>
          <w:rFonts w:hint="default" w:ascii="Times New Roman" w:hAnsi="Times New Roman" w:eastAsia="华文中宋" w:cs="Times New Roman"/>
          <w:color w:val="auto"/>
          <w:lang w:val="en-US" w:eastAsia="zh-CN"/>
        </w:rPr>
        <w:t>的路面实施洒水抑尘，每天定时适量洒水，可使扬尘减少70%。施工场地实施洒水抑尘后，扬尘污染可缩小至20m～50m范围。</w:t>
      </w:r>
    </w:p>
    <w:p w14:paraId="4EF31C18">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施工现场物料、弃土堆积等过程也会产生扬尘，类比分析，扬尘量约为0.12kg/m</w:t>
      </w:r>
      <w:r>
        <w:rPr>
          <w:rFonts w:hint="default" w:ascii="Times New Roman" w:hAnsi="Times New Roman" w:eastAsia="华文中宋" w:cs="Times New Roman"/>
          <w:color w:val="auto"/>
          <w:vertAlign w:val="superscript"/>
          <w:lang w:val="en-US" w:eastAsia="zh-CN"/>
        </w:rPr>
        <w:t>3</w:t>
      </w:r>
      <w:r>
        <w:rPr>
          <w:rFonts w:hint="default" w:ascii="Times New Roman" w:hAnsi="Times New Roman" w:eastAsia="华文中宋" w:cs="Times New Roman"/>
          <w:color w:val="auto"/>
          <w:lang w:val="en-US" w:eastAsia="zh-CN"/>
        </w:rPr>
        <w:t>物料。若使用帆布遮盖等措施，排放量可降至10%。</w:t>
      </w:r>
    </w:p>
    <w:p w14:paraId="482251FE">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本工程施工期间会有扬尘产生，其施工扬尘的影响主要集中在施工材料运输产生的运输道路扬尘的影响。本工程材料运输量小，道路运输扬尘产生量小，故施工期只要加强环境管理，对运输道路和施工场地及时洒水，影响范围可控制在100m范围以内，即可有效的抑制扬尘的产生，对区域大气环境影响甚微，且扬尘影响将随着施工期结束而消失。</w:t>
      </w:r>
    </w:p>
    <w:p w14:paraId="37B405CF">
      <w:pPr>
        <w:pStyle w:val="24"/>
        <w:snapToGrid w:val="0"/>
        <w:jc w:val="left"/>
        <w:rPr>
          <w:rFonts w:hint="default" w:ascii="Times New Roman" w:hAnsi="Times New Roman" w:eastAsia="华文中宋" w:cs="Times New Roman"/>
          <w:color w:val="auto"/>
          <w:lang w:val="en-US" w:eastAsia="zh-CN"/>
        </w:rPr>
      </w:pPr>
      <w:r>
        <w:rPr>
          <w:rFonts w:hint="eastAsia" w:ascii="Calibri" w:hAnsi="Calibri" w:cs="Calibri"/>
          <w:color w:val="auto"/>
          <w:lang w:val="en-US" w:eastAsia="zh-CN"/>
        </w:rPr>
        <w:t>（2）</w:t>
      </w:r>
      <w:r>
        <w:rPr>
          <w:rFonts w:hint="default" w:ascii="Times New Roman" w:hAnsi="Times New Roman" w:eastAsia="华文中宋" w:cs="Times New Roman"/>
          <w:color w:val="auto"/>
          <w:lang w:val="en-US" w:eastAsia="zh-CN"/>
        </w:rPr>
        <w:t>道路扬尘</w:t>
      </w:r>
    </w:p>
    <w:p w14:paraId="60E8EAA2">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主要来自施工期间运输车辆道路扬尘。</w:t>
      </w:r>
    </w:p>
    <w:p w14:paraId="14199709">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①</w:t>
      </w:r>
      <w:r>
        <w:rPr>
          <w:rFonts w:hint="default" w:ascii="Times New Roman" w:hAnsi="Times New Roman" w:eastAsia="华文中宋" w:cs="Times New Roman"/>
          <w:color w:val="auto"/>
          <w:lang w:val="en-US" w:eastAsia="zh-CN"/>
        </w:rPr>
        <w:t>道路施工扬尘影响分析</w:t>
      </w:r>
    </w:p>
    <w:p w14:paraId="77E99B7C">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类比一般道路施工工程，扬尘影响的范围在200m以内。根据对建设道路沿线进行调查，影响范围主要集中在道路两侧附近。本工程道路施工作业量较少，同时对施工道路进行洒水降尘，可有效减轻对施工人员的影响。</w:t>
      </w:r>
    </w:p>
    <w:p w14:paraId="13B4FFD4">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②</w:t>
      </w:r>
      <w:r>
        <w:rPr>
          <w:rFonts w:hint="default" w:ascii="Times New Roman" w:hAnsi="Times New Roman" w:eastAsia="华文中宋" w:cs="Times New Roman"/>
          <w:color w:val="auto"/>
          <w:lang w:val="en-US" w:eastAsia="zh-CN"/>
        </w:rPr>
        <w:t>运输车辆道路扬尘</w:t>
      </w:r>
    </w:p>
    <w:p w14:paraId="1D3DB415">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建设期将施工机械设备、原材料及土石方运到施工现场，道路扬尘的起尘量与运输车辆的车速、载重量、车流量、路面含尘量、相对湿度等因素有关。一般而言，扬尘污染与路面湿度呈负相关，而与运行速度及车流量呈正相关，扬尘影响范围也只局限于道路两侧的近距离内。</w:t>
      </w:r>
    </w:p>
    <w:p w14:paraId="1BBBBB22">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根据同类工程建设期运输道路扬尘的类比参数，风速选取年平均风速3.0m/s，大气稳定度选取D类，根据国家环保局推荐的CALINE4模式</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当风向与线源垂直）预测，得出不同起尘强度时运输道路下风向扬尘预测结果，见表5.1-1。</w:t>
      </w:r>
    </w:p>
    <w:p w14:paraId="13BAD7E2">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eastAsia" w:ascii="Times New Roman" w:hAnsi="Times New Roman" w:eastAsia="华文中宋" w:cs="Times New Roman"/>
          <w:b/>
          <w:szCs w:val="21"/>
          <w:lang w:val="en-US" w:eastAsia="zh-CN"/>
        </w:rPr>
        <w:t>表5.1-1  不同起尘强度时运输道路下风向扬尘预测结果  单位：mg/m</w:t>
      </w:r>
      <w:r>
        <w:rPr>
          <w:rFonts w:hint="eastAsia" w:ascii="Times New Roman" w:hAnsi="Times New Roman" w:eastAsia="华文中宋" w:cs="Times New Roman"/>
          <w:b/>
          <w:szCs w:val="21"/>
          <w:vertAlign w:val="superscript"/>
          <w:lang w:val="en-US" w:eastAsia="zh-CN"/>
        </w:rPr>
        <w:t>3</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0"/>
        <w:gridCol w:w="1422"/>
      </w:tblGrid>
      <w:tr w14:paraId="63A53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833" w:type="pct"/>
            <w:vMerge w:val="restart"/>
          </w:tcPr>
          <w:p w14:paraId="3FB5926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下风向距离（m）</w:t>
            </w:r>
          </w:p>
        </w:tc>
        <w:tc>
          <w:tcPr>
            <w:tcW w:w="4166" w:type="pct"/>
            <w:gridSpan w:val="5"/>
          </w:tcPr>
          <w:p w14:paraId="646F341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不同起尘强度</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mg/ms）</w:t>
            </w:r>
          </w:p>
        </w:tc>
      </w:tr>
      <w:tr w14:paraId="64246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tcPr>
          <w:p w14:paraId="09826552">
            <w:pPr>
              <w:spacing w:line="300" w:lineRule="exact"/>
              <w:jc w:val="center"/>
              <w:rPr>
                <w:rFonts w:hint="eastAsia" w:ascii="Times New Roman" w:hAnsi="Times New Roman" w:eastAsia="华文中宋" w:cs="Times New Roman"/>
                <w:szCs w:val="21"/>
                <w:lang w:val="en-US" w:eastAsia="zh-CN"/>
              </w:rPr>
            </w:pPr>
          </w:p>
        </w:tc>
        <w:tc>
          <w:tcPr>
            <w:tcW w:w="833" w:type="pct"/>
          </w:tcPr>
          <w:p w14:paraId="502A993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4.40</w:t>
            </w:r>
          </w:p>
        </w:tc>
        <w:tc>
          <w:tcPr>
            <w:tcW w:w="833" w:type="pct"/>
          </w:tcPr>
          <w:p w14:paraId="14EF376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5.80</w:t>
            </w:r>
          </w:p>
        </w:tc>
        <w:tc>
          <w:tcPr>
            <w:tcW w:w="833" w:type="pct"/>
          </w:tcPr>
          <w:p w14:paraId="45C9F5D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7.20</w:t>
            </w:r>
          </w:p>
        </w:tc>
        <w:tc>
          <w:tcPr>
            <w:tcW w:w="833" w:type="pct"/>
          </w:tcPr>
          <w:p w14:paraId="014061E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8.60</w:t>
            </w:r>
          </w:p>
        </w:tc>
        <w:tc>
          <w:tcPr>
            <w:tcW w:w="833" w:type="pct"/>
          </w:tcPr>
          <w:p w14:paraId="167DC90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10.00</w:t>
            </w:r>
          </w:p>
        </w:tc>
      </w:tr>
      <w:tr w14:paraId="00DB0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Pr>
          <w:p w14:paraId="10276FD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c>
          <w:tcPr>
            <w:tcW w:w="833" w:type="pct"/>
          </w:tcPr>
          <w:p w14:paraId="6A09E04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0.636</w:t>
            </w:r>
          </w:p>
        </w:tc>
        <w:tc>
          <w:tcPr>
            <w:tcW w:w="833" w:type="pct"/>
          </w:tcPr>
          <w:p w14:paraId="3882CB3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0.838</w:t>
            </w:r>
          </w:p>
        </w:tc>
        <w:tc>
          <w:tcPr>
            <w:tcW w:w="833" w:type="pct"/>
          </w:tcPr>
          <w:p w14:paraId="42A38B6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1.040</w:t>
            </w:r>
          </w:p>
        </w:tc>
        <w:tc>
          <w:tcPr>
            <w:tcW w:w="833" w:type="pct"/>
          </w:tcPr>
          <w:p w14:paraId="0AF4ED6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1.243</w:t>
            </w:r>
          </w:p>
        </w:tc>
        <w:tc>
          <w:tcPr>
            <w:tcW w:w="833" w:type="pct"/>
          </w:tcPr>
          <w:p w14:paraId="5A98379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1.445</w:t>
            </w:r>
          </w:p>
        </w:tc>
      </w:tr>
      <w:tr w14:paraId="3D156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Pr>
          <w:p w14:paraId="753B6760">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20</w:t>
            </w:r>
          </w:p>
        </w:tc>
        <w:tc>
          <w:tcPr>
            <w:tcW w:w="833" w:type="pct"/>
          </w:tcPr>
          <w:p w14:paraId="2D7FBBA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0.571</w:t>
            </w:r>
          </w:p>
        </w:tc>
        <w:tc>
          <w:tcPr>
            <w:tcW w:w="833" w:type="pct"/>
          </w:tcPr>
          <w:p w14:paraId="719202B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0.752</w:t>
            </w:r>
          </w:p>
        </w:tc>
        <w:tc>
          <w:tcPr>
            <w:tcW w:w="833" w:type="pct"/>
          </w:tcPr>
          <w:p w14:paraId="71422D0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0.934</w:t>
            </w:r>
          </w:p>
        </w:tc>
        <w:tc>
          <w:tcPr>
            <w:tcW w:w="833" w:type="pct"/>
          </w:tcPr>
          <w:p w14:paraId="6F95D020">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1.116</w:t>
            </w:r>
          </w:p>
        </w:tc>
        <w:tc>
          <w:tcPr>
            <w:tcW w:w="833" w:type="pct"/>
          </w:tcPr>
          <w:p w14:paraId="1D02972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1.297</w:t>
            </w:r>
          </w:p>
        </w:tc>
      </w:tr>
      <w:tr w14:paraId="26CC7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Pr>
          <w:p w14:paraId="31510877">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30</w:t>
            </w:r>
          </w:p>
        </w:tc>
        <w:tc>
          <w:tcPr>
            <w:tcW w:w="833" w:type="pct"/>
          </w:tcPr>
          <w:p w14:paraId="7E5C579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0.517</w:t>
            </w:r>
          </w:p>
        </w:tc>
        <w:tc>
          <w:tcPr>
            <w:tcW w:w="833" w:type="pct"/>
          </w:tcPr>
          <w:p w14:paraId="7DF5955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0.681</w:t>
            </w:r>
          </w:p>
        </w:tc>
        <w:tc>
          <w:tcPr>
            <w:tcW w:w="833" w:type="pct"/>
          </w:tcPr>
          <w:p w14:paraId="50F1B15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0.845</w:t>
            </w:r>
          </w:p>
        </w:tc>
        <w:tc>
          <w:tcPr>
            <w:tcW w:w="833" w:type="pct"/>
          </w:tcPr>
          <w:p w14:paraId="4B3FD78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1.010</w:t>
            </w:r>
          </w:p>
        </w:tc>
        <w:tc>
          <w:tcPr>
            <w:tcW w:w="833" w:type="pct"/>
          </w:tcPr>
          <w:p w14:paraId="380D609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1.174</w:t>
            </w:r>
          </w:p>
        </w:tc>
      </w:tr>
      <w:tr w14:paraId="781A5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Pr>
          <w:p w14:paraId="37C0A30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40</w:t>
            </w:r>
          </w:p>
        </w:tc>
        <w:tc>
          <w:tcPr>
            <w:tcW w:w="833" w:type="pct"/>
          </w:tcPr>
          <w:p w14:paraId="530DC74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0.471</w:t>
            </w:r>
          </w:p>
        </w:tc>
        <w:tc>
          <w:tcPr>
            <w:tcW w:w="833" w:type="pct"/>
          </w:tcPr>
          <w:p w14:paraId="77444CE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0.621</w:t>
            </w:r>
          </w:p>
        </w:tc>
        <w:tc>
          <w:tcPr>
            <w:tcW w:w="833" w:type="pct"/>
          </w:tcPr>
          <w:p w14:paraId="6DA8D580">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0.771</w:t>
            </w:r>
          </w:p>
        </w:tc>
        <w:tc>
          <w:tcPr>
            <w:tcW w:w="833" w:type="pct"/>
          </w:tcPr>
          <w:p w14:paraId="3277438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0.921</w:t>
            </w:r>
          </w:p>
        </w:tc>
        <w:tc>
          <w:tcPr>
            <w:tcW w:w="833" w:type="pct"/>
          </w:tcPr>
          <w:p w14:paraId="2EA8058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1.071</w:t>
            </w:r>
          </w:p>
        </w:tc>
      </w:tr>
      <w:tr w14:paraId="3AAC2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Pr>
          <w:p w14:paraId="43441D20">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50</w:t>
            </w:r>
          </w:p>
        </w:tc>
        <w:tc>
          <w:tcPr>
            <w:tcW w:w="833" w:type="pct"/>
          </w:tcPr>
          <w:p w14:paraId="04BA50D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0.433</w:t>
            </w:r>
          </w:p>
        </w:tc>
        <w:tc>
          <w:tcPr>
            <w:tcW w:w="833" w:type="pct"/>
          </w:tcPr>
          <w:p w14:paraId="4267E4C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0.570</w:t>
            </w:r>
          </w:p>
        </w:tc>
        <w:tc>
          <w:tcPr>
            <w:tcW w:w="833" w:type="pct"/>
          </w:tcPr>
          <w:p w14:paraId="1E5E338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0.708</w:t>
            </w:r>
          </w:p>
        </w:tc>
        <w:tc>
          <w:tcPr>
            <w:tcW w:w="833" w:type="pct"/>
          </w:tcPr>
          <w:p w14:paraId="798E5D5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0.846</w:t>
            </w:r>
          </w:p>
        </w:tc>
        <w:tc>
          <w:tcPr>
            <w:tcW w:w="833" w:type="pct"/>
          </w:tcPr>
          <w:p w14:paraId="317D808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0983</w:t>
            </w:r>
          </w:p>
        </w:tc>
      </w:tr>
      <w:tr w14:paraId="6CA64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Pr>
          <w:p w14:paraId="3CDDC35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60</w:t>
            </w:r>
          </w:p>
        </w:tc>
        <w:tc>
          <w:tcPr>
            <w:tcW w:w="833" w:type="pct"/>
          </w:tcPr>
          <w:p w14:paraId="2DA1290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0.400</w:t>
            </w:r>
          </w:p>
        </w:tc>
        <w:tc>
          <w:tcPr>
            <w:tcW w:w="833" w:type="pct"/>
          </w:tcPr>
          <w:p w14:paraId="6BE9EDB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0.527</w:t>
            </w:r>
          </w:p>
        </w:tc>
        <w:tc>
          <w:tcPr>
            <w:tcW w:w="833" w:type="pct"/>
          </w:tcPr>
          <w:p w14:paraId="3A6076D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0.654</w:t>
            </w:r>
          </w:p>
        </w:tc>
        <w:tc>
          <w:tcPr>
            <w:tcW w:w="833" w:type="pct"/>
          </w:tcPr>
          <w:p w14:paraId="533D8AD7">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0.781</w:t>
            </w:r>
          </w:p>
        </w:tc>
        <w:tc>
          <w:tcPr>
            <w:tcW w:w="833" w:type="pct"/>
          </w:tcPr>
          <w:p w14:paraId="5C9E3CF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0.909</w:t>
            </w:r>
          </w:p>
        </w:tc>
      </w:tr>
      <w:tr w14:paraId="76232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Pr>
          <w:p w14:paraId="2341068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70</w:t>
            </w:r>
          </w:p>
        </w:tc>
        <w:tc>
          <w:tcPr>
            <w:tcW w:w="833" w:type="pct"/>
          </w:tcPr>
          <w:p w14:paraId="08B0AF9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0.371</w:t>
            </w:r>
          </w:p>
        </w:tc>
        <w:tc>
          <w:tcPr>
            <w:tcW w:w="833" w:type="pct"/>
          </w:tcPr>
          <w:p w14:paraId="067B4B8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0.490</w:t>
            </w:r>
          </w:p>
        </w:tc>
        <w:tc>
          <w:tcPr>
            <w:tcW w:w="833" w:type="pct"/>
          </w:tcPr>
          <w:p w14:paraId="2C09D74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0.608</w:t>
            </w:r>
          </w:p>
        </w:tc>
        <w:tc>
          <w:tcPr>
            <w:tcW w:w="833" w:type="pct"/>
          </w:tcPr>
          <w:p w14:paraId="4970476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0.726</w:t>
            </w:r>
          </w:p>
        </w:tc>
        <w:tc>
          <w:tcPr>
            <w:tcW w:w="833" w:type="pct"/>
          </w:tcPr>
          <w:p w14:paraId="4BEA1EC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0.844</w:t>
            </w:r>
          </w:p>
        </w:tc>
      </w:tr>
      <w:tr w14:paraId="13251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Pr>
          <w:p w14:paraId="393F6A7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80</w:t>
            </w:r>
          </w:p>
        </w:tc>
        <w:tc>
          <w:tcPr>
            <w:tcW w:w="833" w:type="pct"/>
          </w:tcPr>
          <w:p w14:paraId="32D5F8D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0.347</w:t>
            </w:r>
          </w:p>
        </w:tc>
        <w:tc>
          <w:tcPr>
            <w:tcW w:w="833" w:type="pct"/>
          </w:tcPr>
          <w:p w14:paraId="1801B5E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0.457</w:t>
            </w:r>
          </w:p>
        </w:tc>
        <w:tc>
          <w:tcPr>
            <w:tcW w:w="833" w:type="pct"/>
          </w:tcPr>
          <w:p w14:paraId="15E7DB20">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0.567</w:t>
            </w:r>
          </w:p>
        </w:tc>
        <w:tc>
          <w:tcPr>
            <w:tcW w:w="833" w:type="pct"/>
          </w:tcPr>
          <w:p w14:paraId="7E3F0D20">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0.677</w:t>
            </w:r>
          </w:p>
        </w:tc>
        <w:tc>
          <w:tcPr>
            <w:tcW w:w="833" w:type="pct"/>
          </w:tcPr>
          <w:p w14:paraId="0C0CCEA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0.788</w:t>
            </w:r>
          </w:p>
        </w:tc>
      </w:tr>
      <w:tr w14:paraId="2EC95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Pr>
          <w:p w14:paraId="484E31A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90</w:t>
            </w:r>
          </w:p>
        </w:tc>
        <w:tc>
          <w:tcPr>
            <w:tcW w:w="833" w:type="pct"/>
          </w:tcPr>
          <w:p w14:paraId="60535D8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0.325</w:t>
            </w:r>
          </w:p>
        </w:tc>
        <w:tc>
          <w:tcPr>
            <w:tcW w:w="833" w:type="pct"/>
          </w:tcPr>
          <w:p w14:paraId="049A0C5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0.428</w:t>
            </w:r>
          </w:p>
        </w:tc>
        <w:tc>
          <w:tcPr>
            <w:tcW w:w="833" w:type="pct"/>
          </w:tcPr>
          <w:p w14:paraId="5004E05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0.532</w:t>
            </w:r>
          </w:p>
        </w:tc>
        <w:tc>
          <w:tcPr>
            <w:tcW w:w="833" w:type="pct"/>
          </w:tcPr>
          <w:p w14:paraId="0A53425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0.635</w:t>
            </w:r>
          </w:p>
        </w:tc>
        <w:tc>
          <w:tcPr>
            <w:tcW w:w="833" w:type="pct"/>
          </w:tcPr>
          <w:p w14:paraId="4753528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0.738</w:t>
            </w:r>
          </w:p>
        </w:tc>
      </w:tr>
      <w:tr w14:paraId="2AEEC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Pr>
          <w:p w14:paraId="0623C25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100</w:t>
            </w:r>
          </w:p>
        </w:tc>
        <w:tc>
          <w:tcPr>
            <w:tcW w:w="833" w:type="pct"/>
          </w:tcPr>
          <w:p w14:paraId="671ABCC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0.306</w:t>
            </w:r>
          </w:p>
        </w:tc>
        <w:tc>
          <w:tcPr>
            <w:tcW w:w="833" w:type="pct"/>
          </w:tcPr>
          <w:p w14:paraId="4E96B4E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0.403</w:t>
            </w:r>
          </w:p>
        </w:tc>
        <w:tc>
          <w:tcPr>
            <w:tcW w:w="833" w:type="pct"/>
          </w:tcPr>
          <w:p w14:paraId="6E7344F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0.500</w:t>
            </w:r>
          </w:p>
        </w:tc>
        <w:tc>
          <w:tcPr>
            <w:tcW w:w="833" w:type="pct"/>
          </w:tcPr>
          <w:p w14:paraId="45EDAA5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0.597</w:t>
            </w:r>
          </w:p>
        </w:tc>
        <w:tc>
          <w:tcPr>
            <w:tcW w:w="833" w:type="pct"/>
          </w:tcPr>
          <w:p w14:paraId="3B3590C0">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0.694</w:t>
            </w:r>
          </w:p>
        </w:tc>
      </w:tr>
    </w:tbl>
    <w:p w14:paraId="7C20DF87">
      <w:pPr>
        <w:pStyle w:val="24"/>
        <w:snapToGrid w:val="0"/>
        <w:jc w:val="left"/>
        <w:rPr>
          <w:rFonts w:hint="default" w:ascii="Times New Roman" w:hAnsi="Times New Roman" w:eastAsia="华文中宋" w:cs="Times New Roman"/>
          <w:color w:val="auto"/>
          <w:lang w:val="en-US" w:eastAsia="zh-CN"/>
        </w:rPr>
      </w:pPr>
      <w:bookmarkStart w:id="131" w:name="_Toc244919039"/>
      <w:bookmarkStart w:id="132" w:name="_Toc355439066"/>
      <w:bookmarkStart w:id="133" w:name="_Toc22970"/>
      <w:bookmarkStart w:id="134" w:name="_Toc245541354"/>
      <w:bookmarkStart w:id="135" w:name="_Toc256374989"/>
      <w:bookmarkStart w:id="136" w:name="_Toc253495556"/>
      <w:bookmarkStart w:id="137" w:name="_Toc387741451"/>
      <w:r>
        <w:rPr>
          <w:rFonts w:hint="default" w:ascii="Times New Roman" w:hAnsi="Times New Roman" w:eastAsia="华文中宋" w:cs="Times New Roman"/>
          <w:color w:val="auto"/>
          <w:lang w:val="en-US" w:eastAsia="zh-CN"/>
        </w:rPr>
        <w:t>由表5.1-1可知，建设期运输道路下风向TSP轴线净增浓度主要对道路两侧各50m范围影响较大，将形成扬尘污染带（最高允许浓度1.0mg/m</w:t>
      </w:r>
      <w:r>
        <w:rPr>
          <w:rFonts w:hint="eastAsia" w:ascii="Times New Roman" w:hAnsi="Times New Roman" w:eastAsia="华文中宋" w:cs="Times New Roman"/>
          <w:color w:val="auto"/>
          <w:vertAlign w:val="superscript"/>
          <w:lang w:val="en-US" w:eastAsia="zh-CN"/>
        </w:rPr>
        <w:t>3</w:t>
      </w:r>
      <w:r>
        <w:rPr>
          <w:rFonts w:hint="default" w:ascii="Times New Roman" w:hAnsi="Times New Roman" w:eastAsia="华文中宋" w:cs="Times New Roman"/>
          <w:color w:val="auto"/>
          <w:lang w:val="en-US" w:eastAsia="zh-CN"/>
        </w:rPr>
        <w:t>）。由于施工扬尘粒径较大，飘移距离短，采取洒水抑尘、限速等措施后，施工影响范围有限，施工扬尘对区域环境空气质量影响不大。</w:t>
      </w:r>
    </w:p>
    <w:p w14:paraId="32DC3555">
      <w:pPr>
        <w:pStyle w:val="4"/>
        <w:spacing w:before="120" w:after="120" w:line="500" w:lineRule="exact"/>
        <w:rPr>
          <w:rFonts w:hint="default" w:ascii="Times New Roman" w:hAnsi="Times New Roman" w:eastAsia="华文中宋" w:cs="Times New Roman"/>
          <w:kern w:val="0"/>
          <w:sz w:val="24"/>
          <w:szCs w:val="24"/>
          <w:lang w:val="zh-CN" w:eastAsia="zh-CN"/>
        </w:rPr>
      </w:pPr>
      <w:bookmarkStart w:id="138" w:name="_Toc20248"/>
      <w:r>
        <w:rPr>
          <w:rFonts w:hint="default" w:ascii="Times New Roman" w:hAnsi="Times New Roman" w:eastAsia="华文中宋" w:cs="Times New Roman"/>
          <w:kern w:val="0"/>
          <w:sz w:val="24"/>
          <w:szCs w:val="24"/>
          <w:lang w:val="en-US" w:eastAsia="zh-CN"/>
        </w:rPr>
        <w:t>5.1.2</w:t>
      </w:r>
      <w:r>
        <w:rPr>
          <w:rFonts w:hint="default" w:ascii="Times New Roman" w:hAnsi="Times New Roman" w:eastAsia="华文中宋" w:cs="Times New Roman"/>
          <w:kern w:val="0"/>
          <w:sz w:val="24"/>
          <w:szCs w:val="24"/>
          <w:lang w:val="zh-CN" w:eastAsia="zh-CN"/>
        </w:rPr>
        <w:t>施工废水对环境的影响</w:t>
      </w:r>
      <w:bookmarkEnd w:id="131"/>
      <w:bookmarkEnd w:id="132"/>
      <w:bookmarkEnd w:id="133"/>
      <w:bookmarkEnd w:id="134"/>
      <w:bookmarkEnd w:id="135"/>
      <w:bookmarkEnd w:id="136"/>
      <w:bookmarkEnd w:id="137"/>
      <w:bookmarkEnd w:id="138"/>
    </w:p>
    <w:p w14:paraId="303FEC8C">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建设期对地下水环境的影响主要为：施工废水和生活污水排放对地下水水质的影响，这些影响主要在施工区范围内。建设单位需先行建设地埋式一体化污水处理设施，建设期人员生活污水经集中收集后，经矿区先行建设的地埋式一体化污水处理设施处理后回用于</w:t>
      </w:r>
      <w:r>
        <w:rPr>
          <w:rFonts w:hint="eastAsia" w:ascii="Times New Roman" w:hAnsi="Times New Roman" w:eastAsia="华文中宋" w:cs="Times New Roman"/>
          <w:color w:val="auto"/>
          <w:lang w:val="en-US" w:eastAsia="zh-CN"/>
        </w:rPr>
        <w:t>矿区及周边降尘</w:t>
      </w:r>
      <w:r>
        <w:rPr>
          <w:rFonts w:hint="default" w:ascii="Times New Roman" w:hAnsi="Times New Roman" w:eastAsia="华文中宋" w:cs="Times New Roman"/>
          <w:color w:val="auto"/>
          <w:lang w:val="en-US" w:eastAsia="zh-CN"/>
        </w:rPr>
        <w:t>，严禁随意排放。施工废水在场地设置沉淀池，沉淀处理后回用于施工用水、降尘洒水。采取上述措施后对地下水环境影响较小。</w:t>
      </w:r>
    </w:p>
    <w:p w14:paraId="201A5E15">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综上所述，项目建设期对地下水环境的影响环节及影响程度均较小，在采取合理环保措施后，这种不利影响是轻微的、短暂的，也是环境可接受的。</w:t>
      </w:r>
    </w:p>
    <w:p w14:paraId="356D495A">
      <w:pPr>
        <w:pStyle w:val="4"/>
        <w:spacing w:before="120" w:after="120" w:line="500" w:lineRule="exact"/>
        <w:rPr>
          <w:rFonts w:hint="default" w:ascii="Times New Roman" w:hAnsi="Times New Roman" w:eastAsia="华文中宋" w:cs="Times New Roman"/>
          <w:kern w:val="0"/>
          <w:sz w:val="24"/>
          <w:szCs w:val="24"/>
          <w:lang w:val="en-US" w:eastAsia="zh-CN"/>
        </w:rPr>
      </w:pPr>
      <w:bookmarkStart w:id="139" w:name="_Toc355439065"/>
      <w:bookmarkStart w:id="140" w:name="_Toc253495555"/>
      <w:bookmarkStart w:id="141" w:name="_Toc245541353"/>
      <w:bookmarkStart w:id="142" w:name="_Toc256374988"/>
      <w:bookmarkStart w:id="143" w:name="_Toc244919038"/>
      <w:bookmarkStart w:id="144" w:name="_Toc4866"/>
      <w:bookmarkStart w:id="145" w:name="_Toc387741450"/>
      <w:bookmarkStart w:id="146" w:name="_Toc533"/>
      <w:r>
        <w:rPr>
          <w:rFonts w:hint="default" w:ascii="Times New Roman" w:hAnsi="Times New Roman" w:eastAsia="华文中宋" w:cs="Times New Roman"/>
          <w:kern w:val="0"/>
          <w:sz w:val="24"/>
          <w:szCs w:val="24"/>
          <w:lang w:val="en-US" w:eastAsia="zh-CN"/>
        </w:rPr>
        <w:t>5.1.3施工期声环境影响</w:t>
      </w:r>
      <w:bookmarkEnd w:id="139"/>
      <w:bookmarkEnd w:id="140"/>
      <w:bookmarkEnd w:id="141"/>
      <w:bookmarkEnd w:id="142"/>
      <w:bookmarkEnd w:id="143"/>
      <w:bookmarkEnd w:id="144"/>
      <w:bookmarkEnd w:id="145"/>
      <w:bookmarkEnd w:id="146"/>
    </w:p>
    <w:p w14:paraId="59751D9D">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华文中宋" w:cs="Times New Roman"/>
          <w:snapToGrid w:val="0"/>
          <w:color w:val="auto"/>
          <w:kern w:val="0"/>
          <w:sz w:val="24"/>
          <w:szCs w:val="20"/>
          <w:lang w:val="en-US" w:eastAsia="zh-CN" w:bidi="ar-SA"/>
        </w:rPr>
      </w:pPr>
      <w:r>
        <w:rPr>
          <w:rFonts w:hint="default" w:ascii="Times New Roman" w:hAnsi="Times New Roman" w:eastAsia="华文中宋" w:cs="Times New Roman"/>
          <w:snapToGrid w:val="0"/>
          <w:color w:val="auto"/>
          <w:kern w:val="0"/>
          <w:sz w:val="24"/>
          <w:szCs w:val="20"/>
          <w:lang w:val="en-US" w:eastAsia="zh-CN" w:bidi="ar-SA"/>
        </w:rPr>
        <w:t>施工期地面工程主要噪声源混凝土搅拌机、挖掘机</w:t>
      </w:r>
      <w:r>
        <w:rPr>
          <w:rFonts w:hint="eastAsia" w:ascii="Times New Roman" w:hAnsi="Times New Roman" w:eastAsia="华文中宋" w:cs="Times New Roman"/>
          <w:snapToGrid w:val="0"/>
          <w:color w:val="auto"/>
          <w:kern w:val="0"/>
          <w:sz w:val="24"/>
          <w:szCs w:val="20"/>
          <w:lang w:val="en-US" w:eastAsia="zh-CN" w:bidi="ar-SA"/>
        </w:rPr>
        <w:t>及</w:t>
      </w:r>
      <w:r>
        <w:rPr>
          <w:rFonts w:hint="default" w:ascii="Times New Roman" w:hAnsi="Times New Roman" w:eastAsia="华文中宋" w:cs="Times New Roman"/>
          <w:snapToGrid w:val="0"/>
          <w:color w:val="auto"/>
          <w:kern w:val="0"/>
          <w:sz w:val="24"/>
          <w:szCs w:val="20"/>
          <w:lang w:val="en-US" w:eastAsia="zh-CN" w:bidi="ar-SA"/>
        </w:rPr>
        <w:t>汽车运输等产生的噪声和金属的碰撞声、敲打声等。声值可达85dB～96dB（A）。施工期间噪声影响距离见表5.1-2</w:t>
      </w:r>
    </w:p>
    <w:p w14:paraId="216DE342">
      <w:pPr>
        <w:adjustRightInd w:val="0"/>
        <w:snapToGrid w:val="0"/>
        <w:spacing w:before="250" w:beforeLines="50"/>
        <w:ind w:firstLine="422" w:firstLineChars="200"/>
        <w:jc w:val="center"/>
        <w:rPr>
          <w:rFonts w:hint="eastAsia" w:ascii="Times New Roman" w:hAnsi="Times New Roman" w:eastAsia="华文中宋" w:cs="Times New Roman"/>
          <w:b/>
          <w:szCs w:val="21"/>
          <w:lang w:val="en-US" w:eastAsia="zh-CN"/>
        </w:rPr>
      </w:pPr>
      <w:r>
        <w:rPr>
          <w:rFonts w:hint="eastAsia" w:ascii="Times New Roman" w:hAnsi="Times New Roman" w:eastAsia="华文中宋" w:cs="Times New Roman"/>
          <w:b/>
          <w:szCs w:val="21"/>
          <w:lang w:val="en-US" w:eastAsia="zh-CN"/>
        </w:rPr>
        <w:t>表5.1-2  施工噪声影响预测结果</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1250"/>
        <w:gridCol w:w="1267"/>
        <w:gridCol w:w="866"/>
        <w:gridCol w:w="917"/>
        <w:gridCol w:w="900"/>
        <w:gridCol w:w="850"/>
        <w:gridCol w:w="867"/>
        <w:gridCol w:w="847"/>
      </w:tblGrid>
      <w:tr w14:paraId="65AD4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Merge w:val="restart"/>
            <w:vAlign w:val="center"/>
          </w:tcPr>
          <w:p w14:paraId="4FB86AE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施工阶段</w:t>
            </w:r>
          </w:p>
        </w:tc>
        <w:tc>
          <w:tcPr>
            <w:tcW w:w="1250" w:type="dxa"/>
            <w:vMerge w:val="restart"/>
            <w:vAlign w:val="center"/>
          </w:tcPr>
          <w:p w14:paraId="5783F47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主要噪声源</w:t>
            </w:r>
          </w:p>
        </w:tc>
        <w:tc>
          <w:tcPr>
            <w:tcW w:w="1267" w:type="dxa"/>
            <w:vMerge w:val="restart"/>
            <w:vAlign w:val="center"/>
          </w:tcPr>
          <w:p w14:paraId="1A2088F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声源声级dB（A）</w:t>
            </w:r>
          </w:p>
        </w:tc>
        <w:tc>
          <w:tcPr>
            <w:tcW w:w="5247" w:type="dxa"/>
            <w:gridSpan w:val="6"/>
            <w:vAlign w:val="center"/>
          </w:tcPr>
          <w:p w14:paraId="05E95C0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不同距离的噪声级dB（A）</w:t>
            </w:r>
          </w:p>
        </w:tc>
      </w:tr>
      <w:tr w14:paraId="22596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Merge w:val="continue"/>
            <w:vAlign w:val="center"/>
          </w:tcPr>
          <w:p w14:paraId="45B370EA">
            <w:pPr>
              <w:spacing w:line="300" w:lineRule="exact"/>
              <w:jc w:val="center"/>
              <w:rPr>
                <w:rFonts w:hint="default" w:ascii="Times New Roman" w:hAnsi="Times New Roman" w:eastAsia="华文中宋" w:cs="Times New Roman"/>
                <w:szCs w:val="21"/>
                <w:lang w:val="en-US" w:eastAsia="zh-CN"/>
              </w:rPr>
            </w:pPr>
          </w:p>
        </w:tc>
        <w:tc>
          <w:tcPr>
            <w:tcW w:w="1250" w:type="dxa"/>
            <w:vMerge w:val="continue"/>
            <w:vAlign w:val="center"/>
          </w:tcPr>
          <w:p w14:paraId="792A242E">
            <w:pPr>
              <w:spacing w:line="300" w:lineRule="exact"/>
              <w:jc w:val="center"/>
              <w:rPr>
                <w:rFonts w:hint="default" w:ascii="Times New Roman" w:hAnsi="Times New Roman" w:eastAsia="华文中宋" w:cs="Times New Roman"/>
                <w:szCs w:val="21"/>
                <w:lang w:val="en-US" w:eastAsia="zh-CN"/>
              </w:rPr>
            </w:pPr>
          </w:p>
        </w:tc>
        <w:tc>
          <w:tcPr>
            <w:tcW w:w="1267" w:type="dxa"/>
            <w:vMerge w:val="continue"/>
            <w:vAlign w:val="center"/>
          </w:tcPr>
          <w:p w14:paraId="3FF23EE4">
            <w:pPr>
              <w:spacing w:line="300" w:lineRule="exact"/>
              <w:jc w:val="center"/>
              <w:rPr>
                <w:rFonts w:hint="default" w:ascii="Times New Roman" w:hAnsi="Times New Roman" w:eastAsia="华文中宋" w:cs="Times New Roman"/>
                <w:szCs w:val="21"/>
                <w:lang w:val="en-US" w:eastAsia="zh-CN"/>
              </w:rPr>
            </w:pPr>
          </w:p>
        </w:tc>
        <w:tc>
          <w:tcPr>
            <w:tcW w:w="866" w:type="dxa"/>
            <w:vAlign w:val="center"/>
          </w:tcPr>
          <w:p w14:paraId="7EADD60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40m</w:t>
            </w:r>
          </w:p>
        </w:tc>
        <w:tc>
          <w:tcPr>
            <w:tcW w:w="917" w:type="dxa"/>
            <w:vAlign w:val="center"/>
          </w:tcPr>
          <w:p w14:paraId="41C948E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60m</w:t>
            </w:r>
          </w:p>
        </w:tc>
        <w:tc>
          <w:tcPr>
            <w:tcW w:w="900" w:type="dxa"/>
            <w:vAlign w:val="center"/>
          </w:tcPr>
          <w:p w14:paraId="57C5E3C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80m</w:t>
            </w:r>
          </w:p>
        </w:tc>
        <w:tc>
          <w:tcPr>
            <w:tcW w:w="850" w:type="dxa"/>
            <w:vAlign w:val="center"/>
          </w:tcPr>
          <w:p w14:paraId="1DDDAE2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100m</w:t>
            </w:r>
          </w:p>
        </w:tc>
        <w:tc>
          <w:tcPr>
            <w:tcW w:w="867" w:type="dxa"/>
            <w:vAlign w:val="center"/>
          </w:tcPr>
          <w:p w14:paraId="76AEBF5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200m</w:t>
            </w:r>
          </w:p>
        </w:tc>
        <w:tc>
          <w:tcPr>
            <w:tcW w:w="847" w:type="dxa"/>
            <w:vAlign w:val="center"/>
          </w:tcPr>
          <w:p w14:paraId="14828660">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400m</w:t>
            </w:r>
          </w:p>
        </w:tc>
      </w:tr>
      <w:tr w14:paraId="078FD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14:paraId="09320F2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土石方</w:t>
            </w:r>
          </w:p>
        </w:tc>
        <w:tc>
          <w:tcPr>
            <w:tcW w:w="1250" w:type="dxa"/>
            <w:vAlign w:val="center"/>
          </w:tcPr>
          <w:p w14:paraId="3A34029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堆土机、推土机、运输车辆</w:t>
            </w:r>
          </w:p>
        </w:tc>
        <w:tc>
          <w:tcPr>
            <w:tcW w:w="1267" w:type="dxa"/>
            <w:vAlign w:val="center"/>
          </w:tcPr>
          <w:p w14:paraId="0B2B218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92~102</w:t>
            </w:r>
          </w:p>
        </w:tc>
        <w:tc>
          <w:tcPr>
            <w:tcW w:w="866" w:type="dxa"/>
            <w:vAlign w:val="center"/>
          </w:tcPr>
          <w:p w14:paraId="486DBF2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60~72</w:t>
            </w:r>
          </w:p>
        </w:tc>
        <w:tc>
          <w:tcPr>
            <w:tcW w:w="917" w:type="dxa"/>
            <w:vAlign w:val="center"/>
          </w:tcPr>
          <w:p w14:paraId="1AA6104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56~66</w:t>
            </w:r>
          </w:p>
        </w:tc>
        <w:tc>
          <w:tcPr>
            <w:tcW w:w="900" w:type="dxa"/>
            <w:vAlign w:val="center"/>
          </w:tcPr>
          <w:p w14:paraId="48A3621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54~64</w:t>
            </w:r>
          </w:p>
        </w:tc>
        <w:tc>
          <w:tcPr>
            <w:tcW w:w="850" w:type="dxa"/>
            <w:vAlign w:val="center"/>
          </w:tcPr>
          <w:p w14:paraId="25184FB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52~62</w:t>
            </w:r>
          </w:p>
        </w:tc>
        <w:tc>
          <w:tcPr>
            <w:tcW w:w="867" w:type="dxa"/>
            <w:vAlign w:val="center"/>
          </w:tcPr>
          <w:p w14:paraId="3C01242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46~56</w:t>
            </w:r>
          </w:p>
        </w:tc>
        <w:tc>
          <w:tcPr>
            <w:tcW w:w="847" w:type="dxa"/>
            <w:vAlign w:val="center"/>
          </w:tcPr>
          <w:p w14:paraId="2E294CC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40~50</w:t>
            </w:r>
          </w:p>
        </w:tc>
      </w:tr>
      <w:tr w14:paraId="7D581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14:paraId="671F9B5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结构</w:t>
            </w:r>
          </w:p>
        </w:tc>
        <w:tc>
          <w:tcPr>
            <w:tcW w:w="1250" w:type="dxa"/>
            <w:vAlign w:val="center"/>
          </w:tcPr>
          <w:p w14:paraId="0539A21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混凝土搅拌机</w:t>
            </w:r>
          </w:p>
        </w:tc>
        <w:tc>
          <w:tcPr>
            <w:tcW w:w="1267" w:type="dxa"/>
            <w:vAlign w:val="center"/>
          </w:tcPr>
          <w:p w14:paraId="05E263E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92~102</w:t>
            </w:r>
          </w:p>
        </w:tc>
        <w:tc>
          <w:tcPr>
            <w:tcW w:w="866" w:type="dxa"/>
            <w:vAlign w:val="center"/>
          </w:tcPr>
          <w:p w14:paraId="6AD4D6B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60~70</w:t>
            </w:r>
          </w:p>
        </w:tc>
        <w:tc>
          <w:tcPr>
            <w:tcW w:w="917" w:type="dxa"/>
            <w:vAlign w:val="center"/>
          </w:tcPr>
          <w:p w14:paraId="4DDA3CF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56~66</w:t>
            </w:r>
          </w:p>
        </w:tc>
        <w:tc>
          <w:tcPr>
            <w:tcW w:w="900" w:type="dxa"/>
            <w:vAlign w:val="center"/>
          </w:tcPr>
          <w:p w14:paraId="374A9C1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54~64</w:t>
            </w:r>
          </w:p>
        </w:tc>
        <w:tc>
          <w:tcPr>
            <w:tcW w:w="850" w:type="dxa"/>
            <w:vAlign w:val="center"/>
          </w:tcPr>
          <w:p w14:paraId="42E766D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52~62</w:t>
            </w:r>
          </w:p>
        </w:tc>
        <w:tc>
          <w:tcPr>
            <w:tcW w:w="867" w:type="dxa"/>
            <w:vAlign w:val="center"/>
          </w:tcPr>
          <w:p w14:paraId="1F1BD6D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46~56</w:t>
            </w:r>
          </w:p>
        </w:tc>
        <w:tc>
          <w:tcPr>
            <w:tcW w:w="847" w:type="dxa"/>
            <w:vAlign w:val="center"/>
          </w:tcPr>
          <w:p w14:paraId="0017483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40~50</w:t>
            </w:r>
          </w:p>
        </w:tc>
      </w:tr>
      <w:tr w14:paraId="72D48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14:paraId="0C626C7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安装</w:t>
            </w:r>
          </w:p>
        </w:tc>
        <w:tc>
          <w:tcPr>
            <w:tcW w:w="1250" w:type="dxa"/>
            <w:vAlign w:val="center"/>
          </w:tcPr>
          <w:p w14:paraId="13FDCE4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电焊、电钻</w:t>
            </w:r>
          </w:p>
        </w:tc>
        <w:tc>
          <w:tcPr>
            <w:tcW w:w="1267" w:type="dxa"/>
            <w:vAlign w:val="center"/>
          </w:tcPr>
          <w:p w14:paraId="4C1D735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77~87</w:t>
            </w:r>
          </w:p>
        </w:tc>
        <w:tc>
          <w:tcPr>
            <w:tcW w:w="866" w:type="dxa"/>
            <w:vAlign w:val="center"/>
          </w:tcPr>
          <w:p w14:paraId="437F753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45~51</w:t>
            </w:r>
          </w:p>
        </w:tc>
        <w:tc>
          <w:tcPr>
            <w:tcW w:w="917" w:type="dxa"/>
            <w:vAlign w:val="center"/>
          </w:tcPr>
          <w:p w14:paraId="761D1F2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41~51</w:t>
            </w:r>
          </w:p>
        </w:tc>
        <w:tc>
          <w:tcPr>
            <w:tcW w:w="900" w:type="dxa"/>
            <w:vAlign w:val="center"/>
          </w:tcPr>
          <w:p w14:paraId="02786747">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39~49</w:t>
            </w:r>
          </w:p>
        </w:tc>
        <w:tc>
          <w:tcPr>
            <w:tcW w:w="850" w:type="dxa"/>
            <w:vAlign w:val="center"/>
          </w:tcPr>
          <w:p w14:paraId="46CC0DD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37~47</w:t>
            </w:r>
          </w:p>
        </w:tc>
        <w:tc>
          <w:tcPr>
            <w:tcW w:w="867" w:type="dxa"/>
            <w:vAlign w:val="center"/>
          </w:tcPr>
          <w:p w14:paraId="08DF09C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31~41</w:t>
            </w:r>
          </w:p>
        </w:tc>
        <w:tc>
          <w:tcPr>
            <w:tcW w:w="847" w:type="dxa"/>
            <w:vAlign w:val="center"/>
          </w:tcPr>
          <w:p w14:paraId="648F4DD0">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25~35</w:t>
            </w:r>
          </w:p>
        </w:tc>
      </w:tr>
    </w:tbl>
    <w:p w14:paraId="5447328A">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从表5.1-2可知，昼间施工挖掘机、推土机和搅拌机等作业设备周围40m左右可满足《建筑施工场界环境噪声排放标准》（GB12523-2011）的要求；装载机等</w:t>
      </w:r>
      <w:r>
        <w:rPr>
          <w:rFonts w:hint="eastAsia" w:ascii="Times New Roman" w:hAnsi="Times New Roman" w:cs="Times New Roman"/>
          <w:color w:val="auto"/>
          <w:lang w:val="en-US" w:eastAsia="zh-CN"/>
        </w:rPr>
        <w:t>其他施工</w:t>
      </w:r>
      <w:r>
        <w:rPr>
          <w:rFonts w:hint="default" w:ascii="Times New Roman" w:hAnsi="Times New Roman" w:eastAsia="华文中宋" w:cs="Times New Roman"/>
          <w:color w:val="auto"/>
          <w:lang w:val="en-US" w:eastAsia="zh-CN"/>
        </w:rPr>
        <w:t>机械作业噪声昼间达标距离为40m左右。夜间达标距离：挖掘机、推土机超过100m。本工程区内无风景名胜区、自然保护区、饮用水源保护区等生态敏感区域分布，矿区1km范围内无常住居民等环境敏感保护目标。故施工机械作业噪声对生活区的噪声影响不大。</w:t>
      </w:r>
    </w:p>
    <w:p w14:paraId="0CD95B5C">
      <w:pPr>
        <w:pStyle w:val="4"/>
        <w:spacing w:before="120" w:after="120" w:line="500" w:lineRule="exact"/>
        <w:rPr>
          <w:rFonts w:hint="default" w:ascii="Times New Roman" w:hAnsi="Times New Roman" w:eastAsia="华文中宋" w:cs="Times New Roman"/>
          <w:kern w:val="0"/>
          <w:sz w:val="24"/>
          <w:szCs w:val="24"/>
          <w:lang w:val="zh-CN"/>
        </w:rPr>
      </w:pPr>
      <w:bookmarkStart w:id="147" w:name="_Toc256374990"/>
      <w:bookmarkStart w:id="148" w:name="_Toc253495557"/>
      <w:bookmarkStart w:id="149" w:name="_Toc244919040"/>
      <w:bookmarkStart w:id="150" w:name="_Toc245541355"/>
      <w:bookmarkStart w:id="151" w:name="_Toc355439067"/>
      <w:bookmarkStart w:id="152" w:name="_Toc25487"/>
      <w:bookmarkStart w:id="153" w:name="_Toc387741452"/>
      <w:bookmarkStart w:id="154" w:name="_Toc5587"/>
      <w:r>
        <w:rPr>
          <w:rFonts w:hint="default" w:ascii="Times New Roman" w:hAnsi="Times New Roman" w:eastAsia="华文中宋" w:cs="Times New Roman"/>
          <w:kern w:val="0"/>
          <w:sz w:val="24"/>
          <w:szCs w:val="24"/>
          <w:lang w:val="en-US" w:eastAsia="zh-CN"/>
        </w:rPr>
        <w:t>5.1.4</w:t>
      </w:r>
      <w:r>
        <w:rPr>
          <w:rFonts w:hint="default" w:ascii="Times New Roman" w:hAnsi="Times New Roman" w:eastAsia="华文中宋" w:cs="Times New Roman"/>
          <w:kern w:val="0"/>
          <w:sz w:val="24"/>
          <w:szCs w:val="24"/>
          <w:lang w:val="zh-CN"/>
        </w:rPr>
        <w:t>施工固废对环境影响分析</w:t>
      </w:r>
      <w:bookmarkEnd w:id="147"/>
      <w:bookmarkEnd w:id="148"/>
      <w:bookmarkEnd w:id="149"/>
      <w:bookmarkEnd w:id="150"/>
      <w:bookmarkEnd w:id="151"/>
      <w:bookmarkEnd w:id="152"/>
      <w:bookmarkEnd w:id="153"/>
      <w:bookmarkEnd w:id="154"/>
    </w:p>
    <w:p w14:paraId="00440D87">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施工期的固体废物主要来自</w:t>
      </w:r>
      <w:r>
        <w:rPr>
          <w:rFonts w:hint="eastAsia" w:ascii="Times New Roman" w:hAnsi="Times New Roman" w:eastAsia="华文中宋" w:cs="Times New Roman"/>
          <w:color w:val="auto"/>
          <w:lang w:val="en-US" w:eastAsia="zh-CN"/>
        </w:rPr>
        <w:t>土岩剥离物</w:t>
      </w:r>
      <w:r>
        <w:rPr>
          <w:rFonts w:hint="default" w:ascii="Times New Roman" w:hAnsi="Times New Roman" w:eastAsia="华文中宋" w:cs="Times New Roman"/>
          <w:color w:val="auto"/>
          <w:lang w:val="en-US" w:eastAsia="zh-CN"/>
        </w:rPr>
        <w:t>和施工人员排放的少量生活垃圾。</w:t>
      </w:r>
    </w:p>
    <w:p w14:paraId="467EADA8">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施工工程中产生的土岩剥离物约为</w:t>
      </w:r>
      <w:r>
        <w:rPr>
          <w:rFonts w:hint="eastAsia" w:ascii="Times New Roman" w:hAnsi="Times New Roman" w:cs="Times New Roman"/>
          <w:color w:val="auto"/>
          <w:lang w:val="en-US" w:eastAsia="zh-CN"/>
        </w:rPr>
        <w:t>3930</w:t>
      </w:r>
      <w:r>
        <w:rPr>
          <w:rFonts w:hint="default" w:ascii="Times New Roman" w:hAnsi="Times New Roman" w:eastAsia="华文中宋" w:cs="Times New Roman"/>
          <w:color w:val="auto"/>
          <w:lang w:val="en-US" w:eastAsia="zh-CN"/>
        </w:rPr>
        <w:t>m</w:t>
      </w:r>
      <w:r>
        <w:rPr>
          <w:rFonts w:hint="default" w:ascii="Times New Roman" w:hAnsi="Times New Roman" w:eastAsia="华文中宋" w:cs="Times New Roman"/>
          <w:color w:val="auto"/>
          <w:vertAlign w:val="superscript"/>
          <w:lang w:val="en-US" w:eastAsia="zh-CN"/>
        </w:rPr>
        <w:t>3</w:t>
      </w:r>
      <w:r>
        <w:rPr>
          <w:rFonts w:hint="default" w:ascii="Times New Roman" w:hAnsi="Times New Roman" w:eastAsia="华文中宋" w:cs="Times New Roman"/>
          <w:color w:val="auto"/>
          <w:lang w:val="en-US" w:eastAsia="zh-CN"/>
        </w:rPr>
        <w:t>，全部运至</w:t>
      </w:r>
      <w:r>
        <w:rPr>
          <w:rFonts w:hint="eastAsia" w:ascii="Times New Roman" w:hAnsi="Times New Roman" w:cs="Times New Roman"/>
          <w:color w:val="auto"/>
          <w:lang w:val="en-US" w:eastAsia="zh-CN"/>
        </w:rPr>
        <w:t>废石堆</w:t>
      </w:r>
      <w:r>
        <w:rPr>
          <w:rFonts w:hint="default" w:ascii="Times New Roman" w:hAnsi="Times New Roman" w:eastAsia="华文中宋" w:cs="Times New Roman"/>
          <w:color w:val="auto"/>
          <w:lang w:val="en-US" w:eastAsia="zh-CN"/>
        </w:rPr>
        <w:t>场有序堆存。生活垃圾包括残剩食物、塑料、废纸、各种玻璃瓶、动物骨刺皮壳等。这些固废处置不当将会影响景观，污染土壤和水体，生活垃圾还会散发恶臭。处置不当会占用大量土地，对生态环境造成不利影响。因此要求生活垃圾集中收集堆放，由环卫部门定期集中运往</w:t>
      </w:r>
      <w:r>
        <w:rPr>
          <w:rFonts w:hint="eastAsia" w:ascii="Times New Roman" w:hAnsi="Times New Roman" w:cs="Times New Roman"/>
          <w:color w:val="auto"/>
          <w:lang w:val="en-US" w:eastAsia="zh-CN"/>
        </w:rPr>
        <w:t>民丰县</w:t>
      </w:r>
      <w:r>
        <w:rPr>
          <w:rFonts w:hint="default" w:ascii="Times New Roman" w:hAnsi="Times New Roman" w:eastAsia="华文中宋" w:cs="Times New Roman"/>
          <w:color w:val="auto"/>
          <w:lang w:val="en-US" w:eastAsia="zh-CN"/>
        </w:rPr>
        <w:t>生活垃圾填埋场处置。</w:t>
      </w:r>
    </w:p>
    <w:p w14:paraId="74CBEF30">
      <w:pPr>
        <w:pStyle w:val="4"/>
        <w:spacing w:before="120" w:after="120" w:line="500" w:lineRule="exact"/>
        <w:rPr>
          <w:rFonts w:hint="default" w:ascii="Times New Roman" w:hAnsi="Times New Roman" w:eastAsia="华文中宋" w:cs="Times New Roman"/>
          <w:kern w:val="0"/>
          <w:sz w:val="24"/>
          <w:szCs w:val="24"/>
          <w:lang w:val="en-US" w:eastAsia="zh-CN"/>
        </w:rPr>
      </w:pPr>
      <w:bookmarkStart w:id="155" w:name="_Toc4652"/>
      <w:r>
        <w:rPr>
          <w:rFonts w:hint="default" w:ascii="Times New Roman" w:hAnsi="Times New Roman" w:eastAsia="华文中宋" w:cs="Times New Roman"/>
          <w:kern w:val="0"/>
          <w:sz w:val="24"/>
          <w:szCs w:val="24"/>
          <w:lang w:val="en-US" w:eastAsia="zh-CN"/>
        </w:rPr>
        <w:t>5.1.5施工期生态环境影响分析</w:t>
      </w:r>
      <w:bookmarkEnd w:id="155"/>
    </w:p>
    <w:p w14:paraId="281E2E2B">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本工程的建设使土地利用格局由</w:t>
      </w:r>
      <w:r>
        <w:rPr>
          <w:rFonts w:hint="eastAsia" w:ascii="Times New Roman" w:hAnsi="Times New Roman" w:cs="Times New Roman"/>
          <w:color w:val="auto"/>
          <w:lang w:val="en-US" w:eastAsia="zh-CN"/>
        </w:rPr>
        <w:t>原有天然牧草地转换</w:t>
      </w:r>
      <w:r>
        <w:rPr>
          <w:rFonts w:hint="default" w:ascii="Times New Roman" w:hAnsi="Times New Roman" w:eastAsia="华文中宋" w:cs="Times New Roman"/>
          <w:color w:val="auto"/>
          <w:lang w:val="en-US" w:eastAsia="zh-CN"/>
        </w:rPr>
        <w:t>为工矿用地。工程建设对区域生态体系稳定性影响的主要途径是地表扰动。对区域景观的影响随着项目开发建设，挖毁地貌、修建人工设施、废弃物堆置、地表变形等景观格局的变化，使区域固有的自然生态功能部分丧失。同时产生了水土流失、生态污染的问题。而且随着时间的推移和建设规模的扩大，这种景观结构的变化有可能不断延伸、扩大。总而言之，本项目的建设将导致项目所在区域景观生态结构与功能的变化。同时还会引起项目区内环境质量变化，具体表现在以下几方面：</w:t>
      </w:r>
    </w:p>
    <w:p w14:paraId="618939EC">
      <w:pPr>
        <w:pStyle w:val="24"/>
        <w:snapToGrid w:val="0"/>
        <w:jc w:val="left"/>
        <w:rPr>
          <w:rFonts w:hint="default" w:ascii="Times New Roman" w:hAnsi="Times New Roman" w:eastAsia="华文中宋" w:cs="Times New Roman"/>
          <w:color w:val="auto"/>
          <w:lang w:val="zh-CN" w:eastAsia="zh-CN"/>
        </w:rPr>
      </w:pPr>
      <w:r>
        <w:rPr>
          <w:rFonts w:hint="default" w:ascii="Times New Roman" w:hAnsi="Times New Roman" w:eastAsia="华文中宋" w:cs="Times New Roman"/>
          <w:color w:val="auto"/>
          <w:lang w:val="zh-CN" w:eastAsia="zh-CN"/>
        </w:rPr>
        <w:t>项目施工期主要生态环境影响为占地、植被破坏、水土流失以及对野生动物的惊扰影响。</w:t>
      </w:r>
    </w:p>
    <w:p w14:paraId="2A8163D2">
      <w:pPr>
        <w:pStyle w:val="24"/>
        <w:snapToGrid w:val="0"/>
        <w:jc w:val="left"/>
        <w:rPr>
          <w:rFonts w:hint="default" w:ascii="Times New Roman" w:hAnsi="Times New Roman" w:eastAsia="华文中宋" w:cs="Times New Roman"/>
          <w:color w:val="auto"/>
          <w:lang w:val="zh-CN" w:eastAsia="zh-CN"/>
        </w:rPr>
      </w:pPr>
      <w:r>
        <w:rPr>
          <w:rFonts w:hint="default" w:ascii="Times New Roman" w:hAnsi="Times New Roman" w:eastAsia="华文中宋" w:cs="Times New Roman"/>
          <w:color w:val="auto"/>
          <w:lang w:val="zh-CN" w:eastAsia="zh-CN"/>
        </w:rPr>
        <w:t>矿区</w:t>
      </w:r>
      <w:r>
        <w:rPr>
          <w:rFonts w:hint="eastAsia" w:ascii="Times New Roman" w:hAnsi="Times New Roman" w:cs="Times New Roman"/>
          <w:color w:val="auto"/>
          <w:lang w:val="en-US" w:eastAsia="zh-CN"/>
        </w:rPr>
        <w:t>内工程</w:t>
      </w:r>
      <w:r>
        <w:rPr>
          <w:rFonts w:hint="default" w:ascii="Times New Roman" w:hAnsi="Times New Roman" w:eastAsia="华文中宋" w:cs="Times New Roman"/>
          <w:color w:val="auto"/>
          <w:lang w:val="zh-CN" w:eastAsia="zh-CN"/>
        </w:rPr>
        <w:t>修建，占用土地、破坏植被，造成水土流失。</w:t>
      </w:r>
    </w:p>
    <w:p w14:paraId="6302252A">
      <w:pPr>
        <w:pStyle w:val="24"/>
        <w:snapToGrid w:val="0"/>
        <w:jc w:val="left"/>
        <w:rPr>
          <w:rFonts w:hint="default" w:ascii="Times New Roman" w:hAnsi="Times New Roman" w:eastAsia="华文中宋" w:cs="Times New Roman"/>
          <w:color w:val="auto"/>
          <w:lang w:val="zh-CN" w:eastAsia="zh-CN"/>
        </w:rPr>
      </w:pPr>
      <w:r>
        <w:rPr>
          <w:rFonts w:hint="default" w:ascii="Times New Roman" w:hAnsi="Times New Roman" w:eastAsia="华文中宋" w:cs="Times New Roman"/>
          <w:color w:val="auto"/>
          <w:lang w:val="zh-CN" w:eastAsia="zh-CN"/>
        </w:rPr>
        <w:t>施工便道的修建，占用土地、破坏植被，造成水土流失。</w:t>
      </w:r>
    </w:p>
    <w:p w14:paraId="3E452F6F">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val="zh-CN" w:eastAsia="zh-CN"/>
        </w:rPr>
        <w:t>施工机械噪声、运输材料车辆噪声等对区域内野生动物产生惊扰影响。</w:t>
      </w:r>
    </w:p>
    <w:p w14:paraId="6F894B45">
      <w:pPr>
        <w:pStyle w:val="24"/>
        <w:snapToGrid w:val="0"/>
        <w:ind w:left="0" w:leftChars="0" w:firstLine="0" w:firstLineChars="0"/>
        <w:jc w:val="left"/>
        <w:rPr>
          <w:rFonts w:hint="default" w:ascii="Times New Roman" w:hAnsi="Times New Roman" w:eastAsia="华文中宋" w:cs="Times New Roman"/>
          <w:b/>
          <w:bCs/>
          <w:color w:val="auto"/>
          <w:lang w:val="en-US" w:eastAsia="zh-CN"/>
        </w:rPr>
      </w:pPr>
      <w:r>
        <w:rPr>
          <w:rFonts w:hint="eastAsia" w:ascii="Times New Roman" w:hAnsi="Times New Roman" w:cs="Times New Roman"/>
          <w:b/>
          <w:bCs/>
          <w:color w:val="auto"/>
          <w:lang w:val="en-US" w:eastAsia="zh-CN"/>
        </w:rPr>
        <w:t>5.1.5.1</w:t>
      </w:r>
      <w:r>
        <w:rPr>
          <w:rFonts w:hint="default" w:ascii="Times New Roman" w:hAnsi="Times New Roman" w:eastAsia="华文中宋" w:cs="Times New Roman"/>
          <w:b/>
          <w:bCs/>
          <w:color w:val="auto"/>
          <w:lang w:val="en-US" w:eastAsia="zh-CN"/>
        </w:rPr>
        <w:t>施工期占地影响分析</w:t>
      </w:r>
    </w:p>
    <w:p w14:paraId="35F65B3C">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rPr>
        <w:t>项目建设对土壤的影响范围较广，主要影响表现在：改变土地的使用功能、地表覆盖层的类型及性质、土壤的坚实度、通透性和机械物理性质。</w:t>
      </w:r>
    </w:p>
    <w:p w14:paraId="1E4FB9E8">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rPr>
        <w:t>项目建</w:t>
      </w:r>
      <w:r>
        <w:rPr>
          <w:rFonts w:hint="eastAsia" w:ascii="Times New Roman" w:hAnsi="Times New Roman" w:eastAsia="华文中宋" w:cs="Times New Roman"/>
          <w:color w:val="auto"/>
          <w:lang w:val="en-US" w:eastAsia="zh-CN"/>
        </w:rPr>
        <w:t>成</w:t>
      </w:r>
      <w:r>
        <w:rPr>
          <w:rFonts w:hint="default" w:ascii="Times New Roman" w:hAnsi="Times New Roman" w:eastAsia="华文中宋" w:cs="Times New Roman"/>
          <w:color w:val="auto"/>
        </w:rPr>
        <w:t>后永久性占地包括露天采区</w:t>
      </w:r>
      <w:r>
        <w:rPr>
          <w:rFonts w:hint="default"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eastAsia="zh-CN"/>
        </w:rPr>
        <w:t>废石</w:t>
      </w:r>
      <w:r>
        <w:rPr>
          <w:rFonts w:hint="default" w:ascii="Times New Roman" w:hAnsi="Times New Roman" w:eastAsia="华文中宋" w:cs="Times New Roman"/>
          <w:color w:val="auto"/>
          <w:lang w:val="en-US" w:eastAsia="zh-CN"/>
        </w:rPr>
        <w:t>堆放</w:t>
      </w:r>
      <w:r>
        <w:rPr>
          <w:rFonts w:hint="default" w:ascii="Times New Roman" w:hAnsi="Times New Roman" w:eastAsia="华文中宋" w:cs="Times New Roman"/>
          <w:color w:val="auto"/>
        </w:rPr>
        <w:t>场</w:t>
      </w:r>
      <w:r>
        <w:rPr>
          <w:rFonts w:hint="default" w:ascii="Times New Roman" w:hAnsi="Times New Roman" w:eastAsia="华文中宋" w:cs="Times New Roman"/>
          <w:color w:val="auto"/>
          <w:lang w:val="en-US" w:eastAsia="zh-CN"/>
        </w:rPr>
        <w:t>、表土堆放场</w:t>
      </w:r>
      <w:r>
        <w:rPr>
          <w:rFonts w:hint="default" w:ascii="Times New Roman" w:hAnsi="Times New Roman" w:eastAsia="华文中宋" w:cs="Times New Roman"/>
          <w:color w:val="auto"/>
        </w:rPr>
        <w:t>道路等，基础设施建设使地表土壤被彻底清除或被覆盖，失去部分使用功能。从根本上改变了所占区域地表覆盖层类型和性质，地表土壤永久不可恢复。</w:t>
      </w:r>
    </w:p>
    <w:p w14:paraId="2705D5A3">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eastAsia="zh-CN"/>
        </w:rPr>
        <w:t>（</w:t>
      </w:r>
      <w:r>
        <w:rPr>
          <w:rFonts w:hint="default" w:ascii="Times New Roman" w:hAnsi="Times New Roman" w:eastAsia="华文中宋" w:cs="Times New Roman"/>
          <w:color w:val="auto"/>
          <w:lang w:val="en-US" w:eastAsia="zh-CN"/>
        </w:rPr>
        <w:t>1</w:t>
      </w:r>
      <w:r>
        <w:rPr>
          <w:rFonts w:hint="default" w:ascii="Times New Roman" w:hAnsi="Times New Roman" w:eastAsia="华文中宋" w:cs="Times New Roman"/>
          <w:color w:val="auto"/>
          <w:lang w:eastAsia="zh-CN"/>
        </w:rPr>
        <w:t>）</w:t>
      </w:r>
      <w:r>
        <w:rPr>
          <w:rFonts w:hint="default" w:ascii="Times New Roman" w:hAnsi="Times New Roman" w:eastAsia="华文中宋" w:cs="Times New Roman"/>
          <w:color w:val="auto"/>
        </w:rPr>
        <w:t>项目永久性占地影响分析</w:t>
      </w:r>
    </w:p>
    <w:p w14:paraId="1801D6C4">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rPr>
        <w:t>露天采场、</w:t>
      </w:r>
      <w:r>
        <w:rPr>
          <w:rFonts w:hint="default" w:ascii="Times New Roman" w:hAnsi="Times New Roman" w:eastAsia="华文中宋" w:cs="Times New Roman"/>
          <w:color w:val="auto"/>
          <w:lang w:eastAsia="zh-CN"/>
        </w:rPr>
        <w:t>废石</w:t>
      </w:r>
      <w:r>
        <w:rPr>
          <w:rFonts w:hint="default" w:ascii="Times New Roman" w:hAnsi="Times New Roman" w:eastAsia="华文中宋" w:cs="Times New Roman"/>
          <w:color w:val="auto"/>
          <w:lang w:val="en-US" w:eastAsia="zh-CN"/>
        </w:rPr>
        <w:t>堆放</w:t>
      </w:r>
      <w:r>
        <w:rPr>
          <w:rFonts w:hint="default" w:ascii="Times New Roman" w:hAnsi="Times New Roman" w:eastAsia="华文中宋" w:cs="Times New Roman"/>
          <w:color w:val="auto"/>
        </w:rPr>
        <w:t>场</w:t>
      </w:r>
      <w:r>
        <w:rPr>
          <w:rFonts w:hint="default" w:ascii="Times New Roman" w:hAnsi="Times New Roman" w:eastAsia="华文中宋" w:cs="Times New Roman"/>
          <w:color w:val="auto"/>
          <w:lang w:eastAsia="zh-CN"/>
        </w:rPr>
        <w:t>、</w:t>
      </w:r>
      <w:r>
        <w:rPr>
          <w:rFonts w:hint="default" w:ascii="Times New Roman" w:hAnsi="Times New Roman" w:eastAsia="华文中宋" w:cs="Times New Roman"/>
          <w:color w:val="auto"/>
          <w:lang w:val="en-US" w:eastAsia="zh-CN"/>
        </w:rPr>
        <w:t>表土堆放场</w:t>
      </w:r>
      <w:r>
        <w:rPr>
          <w:rFonts w:hint="default" w:ascii="Times New Roman" w:hAnsi="Times New Roman" w:eastAsia="华文中宋" w:cs="Times New Roman"/>
          <w:color w:val="auto"/>
        </w:rPr>
        <w:t>等为永久性占用，使土地利用结构发生变化，属不可逆影响。运输公路的修建对原有的地形、地貌改变不大。施工期间，路线的选择要在讲求效率的基础上，力求减少对生态环境的影响。</w:t>
      </w:r>
    </w:p>
    <w:p w14:paraId="0E245163">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eastAsia="zh-CN"/>
        </w:rPr>
        <w:t>（</w:t>
      </w:r>
      <w:r>
        <w:rPr>
          <w:rFonts w:hint="default" w:ascii="Times New Roman" w:hAnsi="Times New Roman" w:eastAsia="华文中宋" w:cs="Times New Roman"/>
          <w:color w:val="auto"/>
          <w:lang w:val="en-US" w:eastAsia="zh-CN"/>
        </w:rPr>
        <w:t>2</w:t>
      </w:r>
      <w:r>
        <w:rPr>
          <w:rFonts w:hint="default" w:ascii="Times New Roman" w:hAnsi="Times New Roman" w:eastAsia="华文中宋" w:cs="Times New Roman"/>
          <w:color w:val="auto"/>
          <w:lang w:eastAsia="zh-CN"/>
        </w:rPr>
        <w:t>）</w:t>
      </w:r>
      <w:r>
        <w:rPr>
          <w:rFonts w:hint="default" w:ascii="Times New Roman" w:hAnsi="Times New Roman" w:eastAsia="华文中宋" w:cs="Times New Roman"/>
          <w:color w:val="auto"/>
        </w:rPr>
        <w:t>项目临时性占地影响分析</w:t>
      </w:r>
    </w:p>
    <w:p w14:paraId="152EBF24">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临时性占地是工程施工过程中施工人员活动，施工机械碾压，施工材料堆放，施工料场开挖，施工临时设施建设，施工场地平整所占用的场地，其影响主要表现在两个方面：一是植被未恢复之前地表失去保护层；二是留下的临时设施既不利用又不拆除，影响景观的恢复。在这两方面中影响较大也是重点防患的是第二方面，临时占地的影响性质是暂时性的，在施工过程结束后采取一定的措施和随着时间的推移，破坏的土地能够得以恢复，属可逆影响。但施工对生态环境所造成的破坏，则往往需要很长时间才能恢复。另外，工程项目的施工还会对土壤理化性质带来一定的影响，但影响范围不大。因此，施工期应对原料堆放、机械设备及运输车辆的行走路线做好规划工作，充分利用现有场地，尽量减少临时占地数量，要求将对生态的负效应减少到最低的程度。</w:t>
      </w:r>
    </w:p>
    <w:p w14:paraId="61B0B3FC">
      <w:pPr>
        <w:pStyle w:val="24"/>
        <w:snapToGrid w:val="0"/>
        <w:ind w:left="0" w:leftChars="0" w:firstLine="0" w:firstLineChars="0"/>
        <w:jc w:val="left"/>
        <w:rPr>
          <w:rFonts w:hint="default" w:ascii="Times New Roman" w:hAnsi="Times New Roman" w:eastAsia="华文中宋" w:cs="Times New Roman"/>
          <w:b/>
          <w:bCs/>
          <w:color w:val="auto"/>
          <w:lang w:val="en-US" w:eastAsia="zh-CN"/>
        </w:rPr>
      </w:pPr>
      <w:r>
        <w:rPr>
          <w:rFonts w:hint="eastAsia" w:ascii="Times New Roman" w:hAnsi="Times New Roman" w:cs="Times New Roman"/>
          <w:b/>
          <w:bCs/>
          <w:color w:val="auto"/>
          <w:lang w:val="en-US" w:eastAsia="zh-CN"/>
        </w:rPr>
        <w:t>5.1.5.2</w:t>
      </w:r>
      <w:r>
        <w:rPr>
          <w:rFonts w:hint="default" w:ascii="Times New Roman" w:hAnsi="Times New Roman" w:eastAsia="华文中宋" w:cs="Times New Roman"/>
          <w:b/>
          <w:bCs/>
          <w:color w:val="auto"/>
          <w:lang w:val="en-US" w:eastAsia="zh-CN"/>
        </w:rPr>
        <w:t>施工期对植被的影响</w:t>
      </w:r>
    </w:p>
    <w:p w14:paraId="31C47FF9">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项目植被造成一定的影响。本项目对植被的主要影响形式是土地的占用、施工阶段清场过程中对地表植被的清理以及施工过程中的碾压。工程结束后土地逐渐恢复到相对自然的状态，但地表植被及地表结构却发生了较大的变化。地表保护层被破坏后，其稳定性下降，防止水土流失的能力也随之下降。</w:t>
      </w:r>
    </w:p>
    <w:p w14:paraId="46F8F5C9">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根据现场调查，工程建设区域为天然牧草地，但地表植被覆盖度较低。然而本项目的建设，将在占地范围内的地表土层结构变得疏松，将在短期内失去这部分地貌的原有特征。施工活动中，施工机械、车辆的频繁使用、碾压、施工工人踩踏及临时道路的修筑，将使活动范围内土壤的自然结构受到破坏，有的地方可能变得松软、有的地方可能变得密实坚硬，影响土壤的通透性，加快土壤水分的蒸发，影响地表植物的生长。</w:t>
      </w:r>
    </w:p>
    <w:p w14:paraId="3920E46D">
      <w:pPr>
        <w:pStyle w:val="24"/>
        <w:snapToGrid w:val="0"/>
        <w:ind w:left="0" w:leftChars="0" w:firstLine="0" w:firstLineChars="0"/>
        <w:jc w:val="left"/>
        <w:rPr>
          <w:rFonts w:hint="default" w:ascii="Times New Roman" w:hAnsi="Times New Roman" w:eastAsia="华文中宋" w:cs="Times New Roman"/>
          <w:color w:val="auto"/>
          <w:lang w:val="en-US" w:eastAsia="zh-CN"/>
        </w:rPr>
      </w:pPr>
      <w:r>
        <w:rPr>
          <w:rFonts w:hint="eastAsia" w:ascii="Times New Roman" w:hAnsi="Times New Roman" w:cs="Times New Roman"/>
          <w:b/>
          <w:bCs/>
          <w:color w:val="auto"/>
          <w:lang w:val="en-US" w:eastAsia="zh-CN"/>
        </w:rPr>
        <w:t>5.1.5.3</w:t>
      </w:r>
      <w:r>
        <w:rPr>
          <w:rFonts w:hint="default" w:ascii="Times New Roman" w:hAnsi="Times New Roman" w:eastAsia="华文中宋" w:cs="Times New Roman"/>
          <w:b/>
          <w:bCs/>
          <w:color w:val="auto"/>
          <w:lang w:val="en-US" w:eastAsia="zh-CN"/>
        </w:rPr>
        <w:t>施工对野生动物的影响分析</w:t>
      </w:r>
    </w:p>
    <w:p w14:paraId="510DE212">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工程占地和人类的活动将破坏野生动物赖以生存的环境。区域内各种野生动物经过长期的适应已形成较稳定的取食、饮水、栖息活动范围和分布，矿山开发过程中的采场开挖和地面建设占地将使原有的野生动物的分布、栖息活动范围受到压缩。人为活动的干扰使得开发区域上空活动的鸟类相对于人类未干扰区要少，而使得局部地段中的爬行类（啮齿类）和昆虫数量有所增加或活动频度增大。这些占地影响对地面活动的野生动物种类产生隔离作用，使原分布区内的种类向外扩，野生动物对新环境适应后其活动和分布范围亦将恢复。由于评价区域不是动物的栖息地，故该建设项目对动物区域性生境不会产生明显影响。</w:t>
      </w:r>
    </w:p>
    <w:p w14:paraId="0DC3C077">
      <w:pPr>
        <w:pStyle w:val="24"/>
        <w:snapToGrid w:val="0"/>
        <w:ind w:left="0" w:leftChars="0" w:firstLine="0" w:firstLineChars="0"/>
        <w:jc w:val="left"/>
        <w:rPr>
          <w:rFonts w:hint="default" w:ascii="Times New Roman" w:hAnsi="Times New Roman" w:eastAsia="华文中宋" w:cs="Times New Roman"/>
          <w:color w:val="auto"/>
          <w:lang w:val="en-US" w:eastAsia="zh-CN"/>
        </w:rPr>
      </w:pPr>
      <w:r>
        <w:rPr>
          <w:rFonts w:hint="eastAsia" w:ascii="Times New Roman" w:hAnsi="Times New Roman" w:cs="Times New Roman"/>
          <w:b/>
          <w:bCs/>
          <w:color w:val="auto"/>
          <w:lang w:val="en-US" w:eastAsia="zh-CN"/>
        </w:rPr>
        <w:t>5.1.5.4</w:t>
      </w:r>
      <w:r>
        <w:rPr>
          <w:rFonts w:hint="default" w:ascii="Times New Roman" w:hAnsi="Times New Roman" w:eastAsia="华文中宋" w:cs="Times New Roman"/>
          <w:b/>
          <w:bCs/>
          <w:color w:val="auto"/>
          <w:lang w:val="en-US" w:eastAsia="zh-CN"/>
        </w:rPr>
        <w:t>道路建设对生态影响</w:t>
      </w:r>
    </w:p>
    <w:p w14:paraId="0E0D049E">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项目道路建设将改变原有地形地貌，并造成地表扰动，对原有景观进行分割。矿区内</w:t>
      </w:r>
      <w:r>
        <w:rPr>
          <w:rFonts w:hint="eastAsia" w:ascii="Times New Roman" w:hAnsi="Times New Roman" w:cs="Times New Roman"/>
          <w:color w:val="auto"/>
          <w:lang w:val="en-US" w:eastAsia="zh-CN"/>
        </w:rPr>
        <w:t>外</w:t>
      </w:r>
      <w:r>
        <w:rPr>
          <w:rFonts w:hint="default" w:ascii="Times New Roman" w:hAnsi="Times New Roman" w:eastAsia="华文中宋" w:cs="Times New Roman"/>
          <w:color w:val="auto"/>
          <w:lang w:val="en-US" w:eastAsia="zh-CN"/>
        </w:rPr>
        <w:t>道路建设选址范围内均</w:t>
      </w:r>
      <w:r>
        <w:rPr>
          <w:rFonts w:hint="eastAsia" w:ascii="Times New Roman" w:hAnsi="Times New Roman" w:cs="Times New Roman"/>
          <w:color w:val="auto"/>
          <w:lang w:val="en-US" w:eastAsia="zh-CN"/>
        </w:rPr>
        <w:t>涉及占用</w:t>
      </w:r>
      <w:r>
        <w:rPr>
          <w:rFonts w:hint="default" w:ascii="Times New Roman" w:hAnsi="Times New Roman" w:eastAsia="华文中宋" w:cs="Times New Roman"/>
          <w:color w:val="auto"/>
          <w:lang w:val="en-US" w:eastAsia="zh-CN"/>
        </w:rPr>
        <w:t>天然牧草地，根据</w:t>
      </w:r>
      <w:r>
        <w:rPr>
          <w:rFonts w:hint="eastAsia" w:ascii="Times New Roman" w:hAnsi="Times New Roman" w:cs="Times New Roman"/>
          <w:color w:val="auto"/>
          <w:lang w:val="en-US" w:eastAsia="zh-CN"/>
        </w:rPr>
        <w:t>现场调查，项目区植被覆盖度较低，道路建设选址范围内植被较少</w:t>
      </w:r>
      <w:r>
        <w:rPr>
          <w:rFonts w:hint="default" w:ascii="Times New Roman" w:hAnsi="Times New Roman" w:eastAsia="华文中宋" w:cs="Times New Roman"/>
          <w:color w:val="auto"/>
          <w:lang w:val="en-US" w:eastAsia="zh-CN"/>
        </w:rPr>
        <w:t>，因此对生态环境影响很小。</w:t>
      </w:r>
    </w:p>
    <w:p w14:paraId="7E774FC1">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道路建设期间造成地表土壤扰动，造成土壤侵蚀，道路建设期间无挖方，只对道路进行平整，形成简易碎石道路。由于道路建设选址范围内无地表植被，因此对生态环境影响较小。</w:t>
      </w:r>
    </w:p>
    <w:p w14:paraId="76CAF554">
      <w:pPr>
        <w:pStyle w:val="24"/>
        <w:snapToGrid w:val="0"/>
        <w:ind w:left="0" w:leftChars="0" w:firstLine="0" w:firstLineChars="0"/>
        <w:jc w:val="left"/>
        <w:rPr>
          <w:rFonts w:hint="default" w:ascii="Times New Roman" w:hAnsi="Times New Roman" w:eastAsia="华文中宋" w:cs="Times New Roman"/>
          <w:color w:val="auto"/>
          <w:lang w:val="en-US" w:eastAsia="zh-CN"/>
        </w:rPr>
      </w:pPr>
      <w:r>
        <w:rPr>
          <w:rFonts w:hint="eastAsia" w:ascii="Times New Roman" w:hAnsi="Times New Roman" w:cs="Times New Roman"/>
          <w:b/>
          <w:bCs/>
          <w:color w:val="auto"/>
          <w:lang w:val="en-US" w:eastAsia="zh-CN"/>
        </w:rPr>
        <w:t>5.1.5.5</w:t>
      </w:r>
      <w:r>
        <w:rPr>
          <w:rFonts w:hint="default" w:ascii="Times New Roman" w:hAnsi="Times New Roman" w:eastAsia="华文中宋" w:cs="Times New Roman"/>
          <w:b/>
          <w:bCs/>
          <w:color w:val="auto"/>
          <w:lang w:val="en-US" w:eastAsia="zh-CN"/>
        </w:rPr>
        <w:t>施工期对土地利用的影响</w:t>
      </w:r>
    </w:p>
    <w:p w14:paraId="7C13F622">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项目占用土地主要包括临时性占用和永久性占地两种。临时占地最终全部转变为永久占地，临时占地范围始终在永久占地范围内，但无论是临时性占地还是永久性占地都将对土地利用的原有功能产生改变。</w:t>
      </w:r>
    </w:p>
    <w:p w14:paraId="4B9BCC5D">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临时性占地时施工阶段工棚、堆料场、施工机械停放占用土地；施工过程中的生活垃圾、弃石、建筑垃圾的堆放也占用土地。这些占地将改变原有的使用功能，如破坏植被、土地等，植被的破坏使植被面积减少。地面裸露，增加水土流失。但临时性占地的影响是暂时的，施工结束后，施工临时占地将转变为永久占地。</w:t>
      </w:r>
    </w:p>
    <w:p w14:paraId="0CD8E89A">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项目用地建设性质为工矿用地，但由于用地性质的改变减少了原有土地植被面积，形成的边坡如不搞好水土保持，恢复植被，可能增大当地的水土流失。因此，必须加强土地管理，尽可能避免土地资源的浪费和破坏。同时须严格控制施工作业范围，严禁越界开采。</w:t>
      </w:r>
    </w:p>
    <w:p w14:paraId="44E31DF7">
      <w:pPr>
        <w:pStyle w:val="24"/>
        <w:snapToGrid w:val="0"/>
        <w:ind w:left="0" w:leftChars="0" w:firstLine="0" w:firstLineChars="0"/>
        <w:jc w:val="left"/>
        <w:rPr>
          <w:rFonts w:hint="default" w:ascii="Times New Roman" w:hAnsi="Times New Roman" w:eastAsia="华文中宋" w:cs="Times New Roman"/>
          <w:color w:val="auto"/>
          <w:lang w:val="en-US" w:eastAsia="zh-CN"/>
        </w:rPr>
      </w:pPr>
      <w:r>
        <w:rPr>
          <w:rFonts w:hint="eastAsia" w:ascii="Times New Roman" w:hAnsi="Times New Roman" w:cs="Times New Roman"/>
          <w:b/>
          <w:bCs/>
          <w:color w:val="auto"/>
          <w:lang w:val="en-US" w:eastAsia="zh-CN"/>
        </w:rPr>
        <w:t>5.1.5.6</w:t>
      </w:r>
      <w:r>
        <w:rPr>
          <w:rFonts w:hint="default" w:ascii="Times New Roman" w:hAnsi="Times New Roman" w:eastAsia="华文中宋" w:cs="Times New Roman"/>
          <w:b/>
          <w:bCs/>
          <w:color w:val="auto"/>
          <w:lang w:val="en-US" w:eastAsia="zh-CN"/>
        </w:rPr>
        <w:t>施工期水土流失的影响</w:t>
      </w:r>
    </w:p>
    <w:p w14:paraId="4E7BF9B2">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根据</w:t>
      </w:r>
      <w:r>
        <w:rPr>
          <w:rFonts w:hint="eastAsia" w:ascii="Times New Roman" w:hAnsi="Times New Roman" w:cs="Times New Roman"/>
          <w:color w:val="auto"/>
          <w:lang w:val="en-US" w:eastAsia="zh-CN"/>
        </w:rPr>
        <w:t>水利部办公厅《关于印发〈全国水土保持规划国家级水土流失重点预防区和重点治理区复核划分成果〉的通知》（水保办</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20</w:t>
      </w:r>
      <w:r>
        <w:rPr>
          <w:rFonts w:hint="eastAsia" w:ascii="Times New Roman" w:hAnsi="Times New Roman" w:cs="Times New Roman"/>
          <w:color w:val="auto"/>
          <w:lang w:val="en-US" w:eastAsia="zh-CN"/>
        </w:rPr>
        <w:t>13</w:t>
      </w:r>
      <w:r>
        <w:rPr>
          <w:rFonts w:hint="eastAsia" w:ascii="Times New Roman" w:hAnsi="Times New Roman" w:eastAsia="华文中宋" w:cs="Times New Roman"/>
          <w:color w:val="auto"/>
          <w:lang w:val="en-US" w:eastAsia="zh-CN"/>
        </w:rPr>
        <w:t>〕</w:t>
      </w:r>
      <w:r>
        <w:rPr>
          <w:rFonts w:hint="eastAsia" w:ascii="Times New Roman" w:hAnsi="Times New Roman" w:cs="Times New Roman"/>
          <w:color w:val="auto"/>
          <w:lang w:val="en-US" w:eastAsia="zh-CN"/>
        </w:rPr>
        <w:t>188号）以及</w:t>
      </w:r>
      <w:r>
        <w:rPr>
          <w:rFonts w:hint="eastAsia" w:ascii="Times New Roman" w:hAnsi="Times New Roman" w:eastAsia="华文中宋" w:cs="Times New Roman"/>
          <w:color w:val="auto"/>
          <w:lang w:val="en-US" w:eastAsia="zh-CN"/>
        </w:rPr>
        <w:t>《关于印发新疆自治区级水土流失重点预防保护区和重点治理区复核划分成果的通知》（新水水保〔</w:t>
      </w:r>
      <w:r>
        <w:rPr>
          <w:rFonts w:hint="default" w:ascii="Times New Roman" w:hAnsi="Times New Roman" w:eastAsia="华文中宋" w:cs="Times New Roman"/>
          <w:color w:val="auto"/>
          <w:lang w:val="en-US" w:eastAsia="zh-CN"/>
        </w:rPr>
        <w:t>2019</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4</w:t>
      </w:r>
      <w:r>
        <w:rPr>
          <w:rFonts w:hint="eastAsia" w:ascii="Times New Roman" w:hAnsi="Times New Roman" w:eastAsia="华文中宋" w:cs="Times New Roman"/>
          <w:color w:val="auto"/>
          <w:lang w:val="en-US" w:eastAsia="zh-CN"/>
        </w:rPr>
        <w:t>号），民丰县属于</w:t>
      </w:r>
      <w:r>
        <w:rPr>
          <w:rFonts w:hint="eastAsia" w:ascii="Times New Roman" w:hAnsi="Times New Roman" w:cs="Times New Roman"/>
          <w:color w:val="auto"/>
          <w:lang w:val="en-US" w:eastAsia="zh-CN"/>
        </w:rPr>
        <w:t>塔里木河国家级水土流失重点预防区</w:t>
      </w:r>
      <w:r>
        <w:rPr>
          <w:rFonts w:hint="eastAsia" w:ascii="Times New Roman" w:hAnsi="Times New Roman" w:eastAsia="华文中宋" w:cs="Times New Roman"/>
          <w:color w:val="auto"/>
          <w:lang w:val="en-US" w:eastAsia="zh-CN"/>
        </w:rPr>
        <w:t>。</w:t>
      </w:r>
    </w:p>
    <w:p w14:paraId="2F6415D3">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val="en-US" w:eastAsia="zh-CN"/>
        </w:rPr>
        <w:t>矿区表层剥离、矿区道路建设等施工，要进行开挖地表和地面建设，施工活动对实施区域的地</w:t>
      </w:r>
      <w:r>
        <w:rPr>
          <w:rFonts w:hint="default" w:ascii="Times New Roman" w:hAnsi="Times New Roman" w:eastAsia="华文中宋" w:cs="Times New Roman"/>
          <w:color w:val="auto"/>
        </w:rPr>
        <w:t>表造成局地性破坏和扰动，不同程度</w:t>
      </w:r>
      <w:r>
        <w:rPr>
          <w:rFonts w:hint="default" w:ascii="Times New Roman" w:hAnsi="Times New Roman" w:eastAsia="华文中宋" w:cs="Times New Roman"/>
          <w:color w:val="auto"/>
          <w:lang w:eastAsia="zh-CN"/>
        </w:rPr>
        <w:t>地</w:t>
      </w:r>
      <w:r>
        <w:rPr>
          <w:rFonts w:hint="default" w:ascii="Times New Roman" w:hAnsi="Times New Roman" w:eastAsia="华文中宋" w:cs="Times New Roman"/>
          <w:color w:val="auto"/>
        </w:rPr>
        <w:t>破坏施工区域的土壤结构，扰动地表土壤层，导致土壤中水分的损失，易引起水土流失。此外，施工中机械碾压、人员践踏、土方堆放等等，也将扰动原有相对稳定的地表，使土壤变得疏松，产生一定面积的裸露地面，地表无植被覆盖，土壤肥力降低，极易发生土壤侵蚀，造成水土流失。平整施工区、矿区道路建设、生产设施建设等工程，要进行开挖地表和地面建设，造成施工区域内的地表扰动，从而可能引起一定的土壤侵蚀。</w:t>
      </w:r>
    </w:p>
    <w:p w14:paraId="62C1124F">
      <w:pPr>
        <w:pStyle w:val="24"/>
        <w:snapToGrid w:val="0"/>
        <w:ind w:left="0" w:leftChars="0" w:firstLine="0" w:firstLineChars="0"/>
        <w:jc w:val="left"/>
        <w:rPr>
          <w:rFonts w:hint="default" w:ascii="Times New Roman" w:hAnsi="Times New Roman" w:eastAsia="华文中宋" w:cs="Times New Roman"/>
          <w:color w:val="auto"/>
          <w:lang w:val="en-US" w:eastAsia="zh-CN"/>
        </w:rPr>
      </w:pPr>
      <w:r>
        <w:rPr>
          <w:rFonts w:hint="eastAsia" w:ascii="Times New Roman" w:hAnsi="Times New Roman" w:cs="Times New Roman"/>
          <w:b/>
          <w:bCs/>
          <w:color w:val="auto"/>
          <w:lang w:val="en-US" w:eastAsia="zh-CN"/>
        </w:rPr>
        <w:t>5.1.5.7</w:t>
      </w:r>
      <w:r>
        <w:rPr>
          <w:rFonts w:hint="default" w:ascii="Times New Roman" w:hAnsi="Times New Roman" w:eastAsia="华文中宋" w:cs="Times New Roman"/>
          <w:b/>
          <w:bCs/>
          <w:color w:val="auto"/>
          <w:lang w:val="en-US" w:eastAsia="zh-CN"/>
        </w:rPr>
        <w:t>对自然景观的影响</w:t>
      </w:r>
    </w:p>
    <w:p w14:paraId="65EDAA47">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rPr>
        <w:t>矿山的开发建设将原有景观变为开采作业区、</w:t>
      </w:r>
      <w:r>
        <w:rPr>
          <w:rFonts w:hint="default" w:ascii="Times New Roman" w:hAnsi="Times New Roman" w:eastAsia="华文中宋" w:cs="Times New Roman"/>
          <w:color w:val="auto"/>
          <w:lang w:eastAsia="zh-CN"/>
        </w:rPr>
        <w:t>废石</w:t>
      </w:r>
      <w:r>
        <w:rPr>
          <w:rFonts w:hint="default" w:ascii="Times New Roman" w:hAnsi="Times New Roman" w:eastAsia="华文中宋" w:cs="Times New Roman"/>
          <w:color w:val="auto"/>
          <w:lang w:val="en-US" w:eastAsia="zh-CN"/>
        </w:rPr>
        <w:t>堆放</w:t>
      </w:r>
      <w:r>
        <w:rPr>
          <w:rFonts w:hint="default" w:ascii="Times New Roman" w:hAnsi="Times New Roman" w:eastAsia="华文中宋" w:cs="Times New Roman"/>
          <w:color w:val="auto"/>
        </w:rPr>
        <w:t>场、</w:t>
      </w:r>
      <w:r>
        <w:rPr>
          <w:rFonts w:hint="default" w:ascii="Times New Roman" w:hAnsi="Times New Roman" w:eastAsia="华文中宋" w:cs="Times New Roman"/>
          <w:color w:val="auto"/>
          <w:lang w:val="en-US" w:eastAsia="zh-CN"/>
        </w:rPr>
        <w:t>表土堆放场、</w:t>
      </w:r>
      <w:r>
        <w:rPr>
          <w:rFonts w:hint="default" w:ascii="Times New Roman" w:hAnsi="Times New Roman" w:eastAsia="华文中宋" w:cs="Times New Roman"/>
          <w:color w:val="auto"/>
        </w:rPr>
        <w:t>运输道路等，使原地表形态、地层层序等发生直接的破坏，将使施工区域内的自然景观遭受一定程度的破坏；使局部地区由单纯的自然生态景观向着人工化、工业化、多样化的方向发展，使原来的自然景观类型变为容纳道路、</w:t>
      </w:r>
      <w:r>
        <w:rPr>
          <w:rFonts w:hint="default" w:ascii="Times New Roman" w:hAnsi="Times New Roman" w:eastAsia="华文中宋" w:cs="Times New Roman"/>
          <w:color w:val="auto"/>
          <w:lang w:eastAsia="zh-CN"/>
        </w:rPr>
        <w:t>供电通信</w:t>
      </w:r>
      <w:r>
        <w:rPr>
          <w:rFonts w:hint="default" w:ascii="Times New Roman" w:hAnsi="Times New Roman" w:eastAsia="华文中宋" w:cs="Times New Roman"/>
          <w:color w:val="auto"/>
        </w:rPr>
        <w:t>线路等人为景观，而且会对原来的景观进行</w:t>
      </w:r>
      <w:r>
        <w:rPr>
          <w:rFonts w:hint="eastAsia" w:ascii="Times New Roman" w:hAnsi="Times New Roman" w:cs="Times New Roman"/>
          <w:color w:val="auto"/>
          <w:lang w:eastAsia="zh-CN"/>
        </w:rPr>
        <w:t>分割</w:t>
      </w:r>
      <w:r>
        <w:rPr>
          <w:rFonts w:hint="default" w:ascii="Times New Roman" w:hAnsi="Times New Roman" w:eastAsia="华文中宋" w:cs="Times New Roman"/>
          <w:color w:val="auto"/>
        </w:rPr>
        <w:t>，造成空间上的非连续性和一些人为的劣质景观，造成与周围自然环境的不相协调。</w:t>
      </w:r>
    </w:p>
    <w:p w14:paraId="6D78E08F">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rPr>
        <w:t>在矿山建设和开采过程中由于地表扰动使区域内原有的自然景观受到影响，由于本项目为</w:t>
      </w:r>
      <w:r>
        <w:rPr>
          <w:rFonts w:hint="default" w:ascii="Times New Roman" w:hAnsi="Times New Roman" w:eastAsia="华文中宋" w:cs="Times New Roman"/>
          <w:color w:val="auto"/>
          <w:lang w:eastAsia="zh-CN"/>
        </w:rPr>
        <w:t>新</w:t>
      </w:r>
      <w:r>
        <w:rPr>
          <w:rFonts w:hint="default" w:ascii="Times New Roman" w:hAnsi="Times New Roman" w:eastAsia="华文中宋" w:cs="Times New Roman"/>
          <w:color w:val="auto"/>
        </w:rPr>
        <w:t>建项目，</w:t>
      </w:r>
      <w:r>
        <w:rPr>
          <w:rFonts w:hint="eastAsia" w:ascii="Times New Roman" w:hAnsi="Times New Roman" w:cs="Times New Roman"/>
          <w:color w:val="auto"/>
          <w:lang w:val="en-US" w:eastAsia="zh-CN"/>
        </w:rPr>
        <w:t>目前项目区自然景观状况良好，基本未受到影响</w:t>
      </w:r>
      <w:r>
        <w:rPr>
          <w:rFonts w:hint="default" w:ascii="Times New Roman" w:hAnsi="Times New Roman" w:eastAsia="华文中宋" w:cs="Times New Roman"/>
          <w:color w:val="auto"/>
        </w:rPr>
        <w:t>。</w:t>
      </w:r>
    </w:p>
    <w:p w14:paraId="2D5ED028">
      <w:pPr>
        <w:pStyle w:val="4"/>
        <w:spacing w:before="120" w:after="120" w:line="500" w:lineRule="exact"/>
        <w:rPr>
          <w:rFonts w:hint="default" w:ascii="Times New Roman" w:hAnsi="Times New Roman" w:eastAsia="华文中宋" w:cs="Times New Roman"/>
          <w:kern w:val="0"/>
          <w:sz w:val="24"/>
          <w:szCs w:val="24"/>
          <w:lang w:val="en-US" w:eastAsia="zh-CN"/>
        </w:rPr>
      </w:pPr>
      <w:bookmarkStart w:id="156" w:name="_Toc32081"/>
      <w:r>
        <w:rPr>
          <w:rFonts w:hint="default" w:ascii="Times New Roman" w:hAnsi="Times New Roman" w:eastAsia="华文中宋" w:cs="Times New Roman"/>
          <w:kern w:val="0"/>
          <w:sz w:val="24"/>
          <w:szCs w:val="24"/>
          <w:lang w:val="en-US" w:eastAsia="zh-CN"/>
        </w:rPr>
        <w:t>5.1.6施工活动对周边沙化土地的影响</w:t>
      </w:r>
      <w:bookmarkEnd w:id="156"/>
    </w:p>
    <w:p w14:paraId="7297D38D">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（1）项目区占地</w:t>
      </w:r>
    </w:p>
    <w:p w14:paraId="36AB4C5D">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eastAsia" w:ascii="Times New Roman" w:hAnsi="Times New Roman" w:eastAsia="华文中宋" w:cs="Times New Roman"/>
          <w:sz w:val="24"/>
          <w:highlight w:val="none"/>
          <w:lang w:val="en-US" w:eastAsia="zh-CN"/>
        </w:rPr>
        <w:t>本项目</w:t>
      </w:r>
      <w:r>
        <w:rPr>
          <w:rFonts w:hint="default" w:ascii="Times New Roman" w:hAnsi="Times New Roman" w:eastAsia="华文中宋" w:cs="Times New Roman"/>
          <w:sz w:val="24"/>
          <w:highlight w:val="none"/>
          <w:lang w:val="en-US" w:eastAsia="zh-CN"/>
        </w:rPr>
        <w:t>拟建矿区面积为0.9168km</w:t>
      </w:r>
      <w:r>
        <w:rPr>
          <w:rFonts w:hint="default" w:ascii="Times New Roman" w:hAnsi="Times New Roman" w:eastAsia="华文中宋" w:cs="Times New Roman"/>
          <w:sz w:val="24"/>
          <w:highlight w:val="none"/>
          <w:vertAlign w:val="superscript"/>
          <w:lang w:val="en-US" w:eastAsia="zh-CN"/>
        </w:rPr>
        <w:t>2</w:t>
      </w:r>
      <w:r>
        <w:rPr>
          <w:rFonts w:hint="default" w:ascii="Times New Roman" w:hAnsi="Times New Roman" w:eastAsia="华文中宋" w:cs="Times New Roman"/>
          <w:sz w:val="24"/>
          <w:highlight w:val="none"/>
          <w:lang w:val="en-US" w:eastAsia="zh-CN"/>
        </w:rPr>
        <w:t>，</w:t>
      </w:r>
      <w:r>
        <w:rPr>
          <w:rFonts w:hint="eastAsia" w:ascii="Times New Roman" w:hAnsi="Times New Roman" w:eastAsia="华文中宋" w:cs="Times New Roman"/>
          <w:sz w:val="24"/>
          <w:highlight w:val="none"/>
          <w:lang w:val="en-US" w:eastAsia="zh-CN"/>
        </w:rPr>
        <w:t>主要</w:t>
      </w:r>
      <w:r>
        <w:rPr>
          <w:rFonts w:hint="default" w:ascii="Times New Roman" w:hAnsi="Times New Roman" w:eastAsia="华文中宋" w:cs="Times New Roman"/>
          <w:sz w:val="24"/>
          <w:highlight w:val="none"/>
          <w:lang w:val="en-US" w:eastAsia="zh-CN"/>
        </w:rPr>
        <w:t>为天然牧草地，</w:t>
      </w:r>
      <w:r>
        <w:rPr>
          <w:rFonts w:hint="eastAsia" w:ascii="Times New Roman" w:hAnsi="Times New Roman" w:eastAsia="华文中宋" w:cs="Times New Roman"/>
          <w:sz w:val="24"/>
          <w:highlight w:val="none"/>
          <w:lang w:val="en-US" w:eastAsia="zh-CN"/>
        </w:rPr>
        <w:t>矿区外道路占用面积为0.04918</w:t>
      </w:r>
      <w:r>
        <w:rPr>
          <w:rFonts w:hint="default" w:ascii="Times New Roman" w:hAnsi="Times New Roman" w:eastAsia="华文中宋" w:cs="Times New Roman"/>
          <w:sz w:val="24"/>
          <w:highlight w:val="none"/>
          <w:lang w:val="en-US" w:eastAsia="zh-CN"/>
        </w:rPr>
        <w:t>km</w:t>
      </w:r>
      <w:r>
        <w:rPr>
          <w:rFonts w:hint="default" w:ascii="Times New Roman" w:hAnsi="Times New Roman" w:eastAsia="华文中宋" w:cs="Times New Roman"/>
          <w:sz w:val="24"/>
          <w:highlight w:val="none"/>
          <w:vertAlign w:val="superscript"/>
          <w:lang w:val="en-US" w:eastAsia="zh-CN"/>
        </w:rPr>
        <w:t>2</w:t>
      </w:r>
      <w:r>
        <w:rPr>
          <w:rFonts w:hint="eastAsia" w:ascii="Times New Roman" w:hAnsi="Times New Roman" w:eastAsia="华文中宋" w:cs="Times New Roman"/>
          <w:sz w:val="24"/>
          <w:highlight w:val="none"/>
          <w:lang w:val="en-US" w:eastAsia="zh-CN"/>
        </w:rPr>
        <w:t>，其中0.03732</w:t>
      </w:r>
      <w:r>
        <w:rPr>
          <w:rFonts w:hint="default" w:ascii="Times New Roman" w:hAnsi="Times New Roman" w:eastAsia="华文中宋" w:cs="Times New Roman"/>
          <w:sz w:val="24"/>
          <w:highlight w:val="none"/>
          <w:lang w:val="en-US" w:eastAsia="zh-CN"/>
        </w:rPr>
        <w:t>km</w:t>
      </w:r>
      <w:r>
        <w:rPr>
          <w:rFonts w:hint="default" w:ascii="Times New Roman" w:hAnsi="Times New Roman" w:eastAsia="华文中宋" w:cs="Times New Roman"/>
          <w:sz w:val="24"/>
          <w:highlight w:val="none"/>
          <w:vertAlign w:val="superscript"/>
          <w:lang w:val="en-US" w:eastAsia="zh-CN"/>
        </w:rPr>
        <w:t>2</w:t>
      </w:r>
      <w:r>
        <w:rPr>
          <w:rFonts w:hint="eastAsia" w:ascii="Times New Roman" w:hAnsi="Times New Roman" w:eastAsia="华文中宋" w:cs="Times New Roman"/>
          <w:sz w:val="24"/>
          <w:highlight w:val="none"/>
          <w:lang w:val="en-US" w:eastAsia="zh-CN"/>
        </w:rPr>
        <w:t>为天然牧草地，0.01186</w:t>
      </w:r>
      <w:r>
        <w:rPr>
          <w:rFonts w:hint="default" w:ascii="Times New Roman" w:hAnsi="Times New Roman" w:eastAsia="华文中宋" w:cs="Times New Roman"/>
          <w:sz w:val="24"/>
          <w:highlight w:val="none"/>
          <w:lang w:val="en-US" w:eastAsia="zh-CN"/>
        </w:rPr>
        <w:t>km</w:t>
      </w:r>
      <w:r>
        <w:rPr>
          <w:rFonts w:hint="default" w:ascii="Times New Roman" w:hAnsi="Times New Roman" w:eastAsia="华文中宋" w:cs="Times New Roman"/>
          <w:sz w:val="24"/>
          <w:highlight w:val="none"/>
          <w:vertAlign w:val="superscript"/>
          <w:lang w:val="en-US" w:eastAsia="zh-CN"/>
        </w:rPr>
        <w:t>2</w:t>
      </w:r>
      <w:r>
        <w:rPr>
          <w:rFonts w:hint="eastAsia" w:ascii="Times New Roman" w:hAnsi="Times New Roman" w:eastAsia="华文中宋" w:cs="Times New Roman"/>
          <w:sz w:val="24"/>
          <w:highlight w:val="none"/>
          <w:lang w:val="en-US" w:eastAsia="zh-CN"/>
        </w:rPr>
        <w:t>为未利用裸土地。</w:t>
      </w:r>
    </w:p>
    <w:p w14:paraId="45ED3E9E">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（2）施工临建设施对当地土地沙化和沙尘天气的影响</w:t>
      </w:r>
    </w:p>
    <w:p w14:paraId="5D08F422">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项目施工建设过程中对原地貌的扰动，将降低项目占地范围内的土壤抗侵蚀能力，为土地沙化创造条件；此外，由于项目地处内陆地区，风沙较大，空气干燥，加上地表植被覆盖度低，若项目石方临时堆存过程中未采取防尘网苫盖、洒水抑尘等措施，地表沙化的土壤及废土等遇大风天气易产生严重的扬尘，形成沙尘天气。</w:t>
      </w:r>
    </w:p>
    <w:p w14:paraId="7E749C3C">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（3）损坏的防沙治沙设施（包括生物、物理或化学固沙等措施）</w:t>
      </w:r>
    </w:p>
    <w:p w14:paraId="554178B5">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拟建项目占地主要为天然牧草地，永久占地及临时占地范围均不涉及已建设的防沙治沙设施。</w:t>
      </w:r>
    </w:p>
    <w:p w14:paraId="6637928D">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（4）可能造成的土地沙化和沙尘等生态危害</w:t>
      </w:r>
    </w:p>
    <w:p w14:paraId="03702E40">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项目施工期主要是基建开挖过程中可能造成土壤逐渐沙化。此外，在施工过程中，各种车辆（尤其是重型卡车）在项目区行驶将使经过的土壤变紧实，严重的经过多次碾压后植物很难再生长，甚至退化为沙地。上述施工作业过程中，对原地貌的扰动大大降低了项目占地范围内的土壤抗侵蚀能力，若未采取相应的防护措施，遇大风天气，极易加重区域沙尘天气。</w:t>
      </w:r>
    </w:p>
    <w:p w14:paraId="760875A3">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（5）防沙治沙影响分析</w:t>
      </w:r>
    </w:p>
    <w:p w14:paraId="6BF3F6B8">
      <w:pPr>
        <w:adjustRightInd w:val="0"/>
        <w:snapToGrid w:val="0"/>
        <w:spacing w:line="500" w:lineRule="exact"/>
        <w:ind w:firstLine="480" w:firstLineChars="200"/>
        <w:jc w:val="left"/>
        <w:rPr>
          <w:rFonts w:hint="default" w:ascii="Times New Roman" w:hAnsi="Times New Roman" w:eastAsia="华文中宋" w:cs="Times New Roman"/>
          <w:sz w:val="24"/>
        </w:rPr>
      </w:pPr>
      <w:r>
        <w:rPr>
          <w:rFonts w:hint="default" w:ascii="Times New Roman" w:hAnsi="Times New Roman" w:eastAsia="华文中宋" w:cs="Times New Roman"/>
          <w:sz w:val="24"/>
        </w:rPr>
        <w:t>项目建设过程中对原地貌的扰动将降低项目占地范围内的土壤抗侵蚀能力，造成土地沙化；此外，由于项目地处内陆地区，风沙较大，空气干燥，加上地表植被覆盖度低，若项目土石方堆存过程中未采取防尘网苫盖、洒水抑尘等措施，地表沙化的土壤及废土、废渣遇大风天气易产生严重的扬尘，形成沙尘天气。施工期间应划定施工活动范围，严格控制和管理运输车辆及重型机械的运行线路和范围，不得离开运输道路及随意行驶，由专人负责，以防破坏土壤和植被，加剧土地荒漠化。道路工程施工完毕，</w:t>
      </w:r>
      <w:r>
        <w:rPr>
          <w:rFonts w:hint="default" w:ascii="Times New Roman" w:hAnsi="Times New Roman" w:eastAsia="华文中宋" w:cs="Times New Roman"/>
          <w:sz w:val="24"/>
          <w:lang w:eastAsia="zh-CN"/>
        </w:rPr>
        <w:t>恢复原地貌</w:t>
      </w:r>
      <w:r>
        <w:rPr>
          <w:rFonts w:hint="default" w:ascii="Times New Roman" w:hAnsi="Times New Roman" w:eastAsia="华文中宋" w:cs="Times New Roman"/>
          <w:sz w:val="24"/>
        </w:rPr>
        <w:t>。</w:t>
      </w:r>
    </w:p>
    <w:p w14:paraId="00EAF14F">
      <w:pPr>
        <w:adjustRightInd w:val="0"/>
        <w:snapToGrid w:val="0"/>
        <w:spacing w:line="500" w:lineRule="exact"/>
        <w:ind w:firstLine="480" w:firstLineChars="200"/>
        <w:jc w:val="left"/>
        <w:rPr>
          <w:rFonts w:hint="default" w:ascii="Times New Roman" w:hAnsi="Times New Roman" w:eastAsia="华文中宋" w:cs="Times New Roman"/>
          <w:sz w:val="24"/>
        </w:rPr>
      </w:pPr>
      <w:r>
        <w:rPr>
          <w:rFonts w:hint="default" w:ascii="Times New Roman" w:hAnsi="Times New Roman" w:eastAsia="华文中宋" w:cs="Times New Roman"/>
          <w:sz w:val="24"/>
        </w:rPr>
        <w:t>本项目防沙治沙措施实施后，可降低项目实施对区域沙化影响，总体影响较小。</w:t>
      </w:r>
    </w:p>
    <w:p w14:paraId="2FA2FB51">
      <w:pPr>
        <w:pStyle w:val="4"/>
        <w:spacing w:before="120" w:after="120" w:line="500" w:lineRule="exact"/>
        <w:rPr>
          <w:rFonts w:hint="default" w:ascii="Times New Roman" w:hAnsi="Times New Roman" w:eastAsia="华文中宋" w:cs="Times New Roman"/>
          <w:kern w:val="0"/>
          <w:sz w:val="24"/>
          <w:szCs w:val="24"/>
          <w:lang w:val="zh-CN"/>
        </w:rPr>
      </w:pPr>
      <w:bookmarkStart w:id="157" w:name="_Toc387741453"/>
      <w:bookmarkStart w:id="158" w:name="_Toc18047"/>
      <w:bookmarkStart w:id="159" w:name="_Toc11910"/>
      <w:r>
        <w:rPr>
          <w:rFonts w:hint="default" w:ascii="Times New Roman" w:hAnsi="Times New Roman" w:eastAsia="华文中宋" w:cs="Times New Roman"/>
          <w:kern w:val="0"/>
          <w:sz w:val="24"/>
          <w:szCs w:val="24"/>
          <w:lang w:val="en-US" w:eastAsia="zh-CN"/>
        </w:rPr>
        <w:t>5</w:t>
      </w:r>
      <w:r>
        <w:rPr>
          <w:rFonts w:hint="default" w:ascii="Times New Roman" w:hAnsi="Times New Roman" w:eastAsia="华文中宋" w:cs="Times New Roman"/>
          <w:kern w:val="0"/>
          <w:sz w:val="24"/>
          <w:szCs w:val="24"/>
          <w:lang w:val="zh-CN"/>
        </w:rPr>
        <w:t>.</w:t>
      </w:r>
      <w:r>
        <w:rPr>
          <w:rFonts w:hint="default" w:ascii="Times New Roman" w:hAnsi="Times New Roman" w:eastAsia="华文中宋" w:cs="Times New Roman"/>
          <w:kern w:val="0"/>
          <w:sz w:val="24"/>
          <w:szCs w:val="24"/>
          <w:lang w:val="en-US" w:eastAsia="zh-CN"/>
        </w:rPr>
        <w:t>1.7施工期</w:t>
      </w:r>
      <w:r>
        <w:rPr>
          <w:rFonts w:hint="default" w:ascii="Times New Roman" w:hAnsi="Times New Roman" w:eastAsia="华文中宋" w:cs="Times New Roman"/>
          <w:kern w:val="0"/>
          <w:sz w:val="24"/>
          <w:szCs w:val="24"/>
          <w:lang w:val="zh-CN"/>
        </w:rPr>
        <w:t>交通运输影响分析</w:t>
      </w:r>
      <w:bookmarkEnd w:id="157"/>
      <w:bookmarkEnd w:id="158"/>
      <w:bookmarkEnd w:id="159"/>
    </w:p>
    <w:p w14:paraId="7F353506">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rPr>
        <w:t>施工期间各种材料、设备的运输会使进出矿区车辆短期内有所增加，但增加量不大，由于项目区交通运输条件一般</w:t>
      </w:r>
      <w:r>
        <w:rPr>
          <w:rFonts w:hint="default" w:ascii="Times New Roman" w:hAnsi="Times New Roman" w:eastAsia="华文中宋" w:cs="Times New Roman"/>
          <w:color w:val="auto"/>
          <w:lang w:val="en-US" w:eastAsia="zh-CN"/>
        </w:rPr>
        <w:t>，</w:t>
      </w:r>
      <w:r>
        <w:rPr>
          <w:rFonts w:hint="default" w:ascii="Times New Roman" w:hAnsi="Times New Roman" w:eastAsia="华文中宋" w:cs="Times New Roman"/>
          <w:color w:val="auto"/>
        </w:rPr>
        <w:t>应严格限定运输线路，避免施工车辆碾压区域土壤、植被，降低施工期物料运输过程引发的交通噪声、道路扬尘，施工期交通运输对周围环境的影响较轻微，随施工期的结束而消失。</w:t>
      </w:r>
    </w:p>
    <w:p w14:paraId="03F3EC2F">
      <w:pPr>
        <w:pStyle w:val="4"/>
        <w:spacing w:before="120" w:after="120" w:line="500" w:lineRule="exact"/>
        <w:rPr>
          <w:rFonts w:hint="default" w:ascii="Times New Roman" w:hAnsi="Times New Roman" w:eastAsia="华文中宋" w:cs="Times New Roman"/>
          <w:kern w:val="0"/>
          <w:sz w:val="24"/>
          <w:szCs w:val="24"/>
          <w:lang w:val="en-US" w:eastAsia="zh-CN"/>
        </w:rPr>
      </w:pPr>
      <w:bookmarkStart w:id="160" w:name="_Toc387741454"/>
      <w:bookmarkStart w:id="161" w:name="_Toc19692"/>
      <w:bookmarkStart w:id="162" w:name="_Toc2447"/>
      <w:r>
        <w:rPr>
          <w:rFonts w:hint="default" w:ascii="Times New Roman" w:hAnsi="Times New Roman" w:eastAsia="华文中宋" w:cs="Times New Roman"/>
          <w:kern w:val="0"/>
          <w:sz w:val="24"/>
          <w:szCs w:val="24"/>
          <w:lang w:val="en-US" w:eastAsia="zh-CN"/>
        </w:rPr>
        <w:t>5.1.8施工期环境影响小结</w:t>
      </w:r>
      <w:bookmarkEnd w:id="160"/>
      <w:bookmarkEnd w:id="161"/>
      <w:bookmarkEnd w:id="162"/>
    </w:p>
    <w:p w14:paraId="4BDC442A">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rPr>
        <w:t>项目施工期对所在区域空气环境、水环境、声环境及固体废物造成的影响是暂时的，在项目建成完工后便可消除，不会对其所在的区域造成长期的不良影响。</w:t>
      </w:r>
    </w:p>
    <w:p w14:paraId="3F71D42D">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rPr>
        <w:t>项目施工期对所在区域生态环境的改变及影响是不可逆转的，伴随项目施工建设的进行直至建设完成，占地区域内原有生态环境将被硬化场地及人工绿化取代，使评价区域的土地利用格局产生了变化，但是项目区周围及生活区在建设完成后会进行相应的绿化和地面硬化措施，故本工程建设使土地利用类型发生的变化并不会导致生态环境质量的降低。建设单位应在施工期切实做好各项生态保护措施，并及时完成场区绿化对区域生态环境进行补偿。</w:t>
      </w:r>
      <w:bookmarkStart w:id="163" w:name="_Toc343503624"/>
      <w:bookmarkStart w:id="164" w:name="_Toc387741455"/>
      <w:bookmarkStart w:id="165" w:name="_Toc2500"/>
    </w:p>
    <w:p w14:paraId="5A09D7CE">
      <w:pPr>
        <w:pStyle w:val="4"/>
        <w:spacing w:before="120" w:after="120" w:line="500" w:lineRule="exact"/>
        <w:rPr>
          <w:rFonts w:hint="default" w:ascii="Times New Roman" w:hAnsi="Times New Roman" w:eastAsia="华文中宋" w:cs="Times New Roman"/>
          <w:kern w:val="0"/>
          <w:sz w:val="24"/>
          <w:szCs w:val="24"/>
          <w:lang w:val="en-US" w:eastAsia="zh-CN"/>
        </w:rPr>
      </w:pPr>
      <w:bookmarkStart w:id="166" w:name="_Toc26949"/>
      <w:r>
        <w:rPr>
          <w:rFonts w:hint="default" w:ascii="Times New Roman" w:hAnsi="Times New Roman" w:eastAsia="华文中宋" w:cs="Times New Roman"/>
          <w:kern w:val="0"/>
          <w:sz w:val="24"/>
          <w:szCs w:val="24"/>
          <w:lang w:val="en-US" w:eastAsia="zh-CN"/>
        </w:rPr>
        <w:t>5.1.9施工期环境管理</w:t>
      </w:r>
      <w:bookmarkEnd w:id="163"/>
      <w:bookmarkEnd w:id="164"/>
      <w:bookmarkEnd w:id="165"/>
      <w:bookmarkEnd w:id="166"/>
    </w:p>
    <w:p w14:paraId="419DB3AB">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rPr>
        <w:t>施工承包商在进行工程承包时，应将施工期的环境污染控制列入承包内容，并在工程开工前和施工过程中制定相应的环保防治措施和工程计划。本项目施工时应设专人负责管理，培训工作人员，以正确的工作方法，控制施工中产生的不利环境影响；必要时，还需在监测和检查工程施工的环境影响和实施缓解措施方面进行培训，以确保项目施工各项环保控制措施的落实。工程建设单位有责任配合当地环保主管机构，对施工过程的环境影响进行环境监测，以保证施工期的环保措施得以完善和持续执行，使项目建设施工范围的环境质量得到充分有效保证。</w:t>
      </w:r>
    </w:p>
    <w:p w14:paraId="109AAE45">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rPr>
        <w:t>并应采取以下措施：</w:t>
      </w:r>
    </w:p>
    <w:p w14:paraId="7DDCCE48">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rPr>
        <w:t>（1）在拟建工程实施前，要制定详尽的环保措施方案，该方案经有关主管部门批准后要严格执行。施工过程中要设置环保人员，加强现场监督、管理与考核，以便及时发现问题及时解决。</w:t>
      </w:r>
    </w:p>
    <w:p w14:paraId="6A0B0277">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rPr>
        <w:t>（2）施工期间应及时清运施工中产生的建筑垃圾及生活垃圾，送到指定</w:t>
      </w:r>
      <w:r>
        <w:rPr>
          <w:rFonts w:hint="default" w:ascii="Times New Roman" w:hAnsi="Times New Roman" w:eastAsia="华文中宋" w:cs="Times New Roman"/>
          <w:color w:val="auto"/>
          <w:lang w:eastAsia="zh-CN"/>
        </w:rPr>
        <w:t>地点</w:t>
      </w:r>
      <w:r>
        <w:rPr>
          <w:rFonts w:hint="default" w:ascii="Times New Roman" w:hAnsi="Times New Roman" w:eastAsia="华文中宋" w:cs="Times New Roman"/>
          <w:color w:val="auto"/>
        </w:rPr>
        <w:t>进行处置，施工期间产生的生活污水严禁随意排放。</w:t>
      </w:r>
    </w:p>
    <w:p w14:paraId="10E63002">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rPr>
        <w:t>（3）加强施工人员及施工机械的管理，增强环保意识，注意保护自然环境。</w:t>
      </w:r>
    </w:p>
    <w:p w14:paraId="4CF93804">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rPr>
        <w:t>（4）工程建设中，要做好矿区及其周围的绿化工作。</w:t>
      </w:r>
    </w:p>
    <w:p w14:paraId="7D1E6DBF">
      <w:pPr>
        <w:pStyle w:val="3"/>
        <w:spacing w:before="120" w:after="120" w:line="500" w:lineRule="exact"/>
        <w:ind w:left="375" w:hanging="375" w:firstLineChars="0"/>
        <w:contextualSpacing/>
        <w:rPr>
          <w:rFonts w:hint="default" w:ascii="Times New Roman" w:hAnsi="Times New Roman" w:eastAsia="华文中宋" w:cs="Times New Roman"/>
          <w:snapToGrid w:val="0"/>
          <w:kern w:val="0"/>
          <w:sz w:val="28"/>
          <w:szCs w:val="28"/>
          <w:lang w:val="en-US" w:eastAsia="zh-CN"/>
        </w:rPr>
      </w:pPr>
      <w:bookmarkStart w:id="167" w:name="_Toc19525"/>
      <w:bookmarkStart w:id="168" w:name="_Toc358"/>
      <w:r>
        <w:rPr>
          <w:rFonts w:hint="default" w:ascii="Times New Roman" w:hAnsi="Times New Roman" w:eastAsia="华文中宋" w:cs="Times New Roman"/>
          <w:snapToGrid w:val="0"/>
          <w:kern w:val="0"/>
          <w:sz w:val="28"/>
          <w:szCs w:val="28"/>
          <w:lang w:val="en-US" w:eastAsia="zh-CN"/>
        </w:rPr>
        <w:t>5.2运营期环境影响预测与评价</w:t>
      </w:r>
      <w:bookmarkEnd w:id="167"/>
      <w:bookmarkEnd w:id="168"/>
    </w:p>
    <w:p w14:paraId="7BA45F59">
      <w:pPr>
        <w:pStyle w:val="4"/>
        <w:spacing w:before="120" w:after="120" w:line="500" w:lineRule="exact"/>
        <w:rPr>
          <w:rFonts w:hint="default" w:ascii="Times New Roman" w:hAnsi="Times New Roman" w:eastAsia="华文中宋" w:cs="Times New Roman"/>
          <w:kern w:val="0"/>
          <w:sz w:val="24"/>
          <w:szCs w:val="24"/>
          <w:lang w:val="en-US" w:eastAsia="zh-CN"/>
        </w:rPr>
      </w:pPr>
      <w:bookmarkStart w:id="169" w:name="_Toc15717"/>
      <w:r>
        <w:rPr>
          <w:rFonts w:hint="default" w:ascii="Times New Roman" w:hAnsi="Times New Roman" w:eastAsia="华文中宋" w:cs="Times New Roman"/>
          <w:kern w:val="0"/>
          <w:sz w:val="24"/>
          <w:szCs w:val="24"/>
          <w:lang w:val="en-US" w:eastAsia="zh-CN"/>
        </w:rPr>
        <w:t>5.2.1大气环境影响预测与评价</w:t>
      </w:r>
      <w:bookmarkEnd w:id="169"/>
    </w:p>
    <w:p w14:paraId="2974167B">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eastAsiaTheme="minorEastAsia"/>
          <w:color w:val="auto"/>
          <w:sz w:val="24"/>
          <w:lang w:val="en-US" w:eastAsia="zh-CN"/>
        </w:rPr>
      </w:pPr>
      <w:r>
        <w:rPr>
          <w:rFonts w:hint="eastAsia" w:ascii="Times New Roman" w:hAnsi="Times New Roman" w:cs="Times New Roman" w:eastAsiaTheme="minorEastAsia"/>
          <w:b/>
          <w:bCs/>
          <w:color w:val="auto"/>
          <w:kern w:val="0"/>
          <w:sz w:val="24"/>
          <w:szCs w:val="24"/>
          <w:lang w:val="en-US" w:eastAsia="zh-CN" w:bidi="ar-SA"/>
        </w:rPr>
        <w:t>5.2.1.</w:t>
      </w:r>
      <w:r>
        <w:rPr>
          <w:rFonts w:hint="eastAsia" w:ascii="Times New Roman" w:hAnsi="Times New Roman" w:cs="Times New Roman"/>
          <w:b/>
          <w:bCs/>
          <w:color w:val="auto"/>
          <w:kern w:val="0"/>
          <w:sz w:val="24"/>
          <w:szCs w:val="24"/>
          <w:lang w:val="en-US" w:eastAsia="zh-CN" w:bidi="ar-SA"/>
        </w:rPr>
        <w:t>1</w:t>
      </w:r>
      <w:r>
        <w:rPr>
          <w:rFonts w:hint="default" w:ascii="Times New Roman" w:hAnsi="Times New Roman" w:cs="Times New Roman" w:eastAsiaTheme="minorEastAsia"/>
          <w:b/>
          <w:bCs/>
          <w:color w:val="auto"/>
          <w:sz w:val="24"/>
          <w:lang w:val="en-US" w:eastAsia="zh-CN"/>
        </w:rPr>
        <w:t>大气环境影响</w:t>
      </w:r>
      <w:r>
        <w:rPr>
          <w:rFonts w:hint="eastAsia" w:ascii="Times New Roman" w:hAnsi="Times New Roman" w:cs="Times New Roman"/>
          <w:b/>
          <w:bCs/>
          <w:color w:val="auto"/>
          <w:sz w:val="24"/>
          <w:lang w:val="en-US" w:eastAsia="zh-CN"/>
        </w:rPr>
        <w:t>预测</w:t>
      </w:r>
      <w:r>
        <w:rPr>
          <w:rFonts w:hint="default" w:ascii="Times New Roman" w:hAnsi="Times New Roman" w:cs="Times New Roman" w:eastAsiaTheme="minorEastAsia"/>
          <w:b/>
          <w:bCs/>
          <w:color w:val="auto"/>
          <w:sz w:val="24"/>
          <w:lang w:val="en-US" w:eastAsia="zh-CN"/>
        </w:rPr>
        <w:t>与评价</w:t>
      </w:r>
    </w:p>
    <w:p w14:paraId="5FCDAAA9">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（1）估算</w:t>
      </w:r>
      <w:r>
        <w:rPr>
          <w:rFonts w:hint="default" w:ascii="Times New Roman" w:hAnsi="Times New Roman" w:eastAsia="华文中宋" w:cs="Times New Roman"/>
          <w:sz w:val="24"/>
          <w:lang w:val="en-US" w:eastAsia="zh-CN"/>
        </w:rPr>
        <w:t>内容</w:t>
      </w:r>
    </w:p>
    <w:p w14:paraId="0167610A">
      <w:pPr>
        <w:adjustRightInd w:val="0"/>
        <w:snapToGrid w:val="0"/>
        <w:spacing w:line="500" w:lineRule="exact"/>
        <w:ind w:firstLine="480" w:firstLineChars="200"/>
        <w:jc w:val="left"/>
        <w:rPr>
          <w:rFonts w:hint="default" w:ascii="Times New Roman" w:hAnsi="Times New Roman" w:eastAsia="华文中宋" w:cs="Times New Roman"/>
          <w:sz w:val="24"/>
        </w:rPr>
      </w:pPr>
      <w:r>
        <w:rPr>
          <w:rFonts w:hint="default" w:ascii="Times New Roman" w:hAnsi="Times New Roman" w:eastAsia="华文中宋" w:cs="Times New Roman"/>
          <w:sz w:val="24"/>
          <w:lang w:val="en-US" w:eastAsia="zh-CN"/>
        </w:rPr>
        <w:t>根据《环境影响评价技术导则</w:t>
      </w:r>
      <w:r>
        <w:rPr>
          <w:rFonts w:hint="eastAsia" w:ascii="Times New Roman" w:hAnsi="Times New Roman" w:eastAsia="华文中宋" w:cs="Times New Roman"/>
          <w:sz w:val="24"/>
          <w:lang w:val="en-US" w:eastAsia="zh-CN"/>
        </w:rPr>
        <w:t xml:space="preserve"> </w:t>
      </w:r>
      <w:r>
        <w:rPr>
          <w:rFonts w:hint="default" w:ascii="Times New Roman" w:hAnsi="Times New Roman" w:eastAsia="华文中宋" w:cs="Times New Roman"/>
          <w:sz w:val="24"/>
          <w:lang w:val="en-US" w:eastAsia="zh-CN"/>
        </w:rPr>
        <w:t>大气环境》（HJ2.2-2018）中推荐模式中的AERSCREEN估算模式对项目排放影响程度进行估算，选取占标率较大、影响较大并有环境质量标准的污染因子进行估算。</w:t>
      </w:r>
    </w:p>
    <w:p w14:paraId="4A295028">
      <w:pPr>
        <w:adjustRightInd w:val="0"/>
        <w:snapToGrid w:val="0"/>
        <w:spacing w:line="500" w:lineRule="exact"/>
        <w:ind w:firstLine="480" w:firstLineChars="200"/>
        <w:jc w:val="left"/>
        <w:rPr>
          <w:rFonts w:hint="default" w:ascii="Times New Roman" w:hAnsi="Times New Roman" w:eastAsia="华文中宋" w:cs="Times New Roman"/>
          <w:sz w:val="24"/>
          <w:lang w:eastAsia="zh-CN"/>
        </w:rPr>
      </w:pPr>
      <w:bookmarkStart w:id="170" w:name="_Toc9093"/>
      <w:bookmarkStart w:id="171" w:name="_Toc28488"/>
      <w:bookmarkStart w:id="172" w:name="_Toc20642"/>
      <w:r>
        <w:rPr>
          <w:rFonts w:hint="eastAsia" w:ascii="Times New Roman" w:hAnsi="Times New Roman" w:eastAsia="华文中宋" w:cs="Times New Roman"/>
          <w:sz w:val="24"/>
          <w:lang w:val="en-US" w:eastAsia="zh-CN"/>
        </w:rPr>
        <w:t>（2）估算</w:t>
      </w:r>
      <w:r>
        <w:rPr>
          <w:rFonts w:hint="default" w:ascii="Times New Roman" w:hAnsi="Times New Roman" w:eastAsia="华文中宋" w:cs="Times New Roman"/>
          <w:sz w:val="24"/>
          <w:lang w:eastAsia="zh-CN"/>
        </w:rPr>
        <w:t>范围</w:t>
      </w:r>
      <w:bookmarkEnd w:id="170"/>
      <w:bookmarkEnd w:id="171"/>
      <w:bookmarkEnd w:id="172"/>
    </w:p>
    <w:p w14:paraId="06198EC0">
      <w:pPr>
        <w:adjustRightInd w:val="0"/>
        <w:snapToGrid w:val="0"/>
        <w:spacing w:line="500" w:lineRule="exact"/>
        <w:ind w:firstLine="480" w:firstLineChars="200"/>
        <w:jc w:val="left"/>
        <w:rPr>
          <w:rFonts w:hint="default" w:ascii="Times New Roman" w:hAnsi="Times New Roman" w:eastAsia="华文中宋" w:cs="Times New Roman"/>
          <w:sz w:val="24"/>
          <w:lang w:eastAsia="zh-CN"/>
        </w:rPr>
      </w:pPr>
      <w:r>
        <w:rPr>
          <w:rFonts w:hint="default" w:ascii="Times New Roman" w:hAnsi="Times New Roman" w:eastAsia="华文中宋" w:cs="Times New Roman"/>
          <w:sz w:val="24"/>
          <w:lang w:eastAsia="zh-CN"/>
        </w:rPr>
        <w:t>根据《环境影响评价技术导则</w:t>
      </w:r>
      <w:r>
        <w:rPr>
          <w:rFonts w:hint="eastAsia" w:ascii="Times New Roman" w:hAnsi="Times New Roman" w:eastAsia="华文中宋" w:cs="Times New Roman"/>
          <w:sz w:val="24"/>
          <w:lang w:val="en-US" w:eastAsia="zh-CN"/>
        </w:rPr>
        <w:t xml:space="preserve"> </w:t>
      </w:r>
      <w:r>
        <w:rPr>
          <w:rFonts w:hint="default" w:ascii="Times New Roman" w:hAnsi="Times New Roman" w:eastAsia="华文中宋" w:cs="Times New Roman"/>
          <w:sz w:val="24"/>
          <w:lang w:eastAsia="zh-CN"/>
        </w:rPr>
        <w:t>大气环境》（HJ2.2-2018）中关于大气环境影响评价范围的划分，确定本项目的大气</w:t>
      </w:r>
      <w:r>
        <w:rPr>
          <w:rFonts w:hint="eastAsia" w:ascii="Times New Roman" w:hAnsi="Times New Roman" w:eastAsia="华文中宋" w:cs="Times New Roman"/>
          <w:sz w:val="24"/>
          <w:lang w:val="en-US" w:eastAsia="zh-CN"/>
        </w:rPr>
        <w:t>估算</w:t>
      </w:r>
      <w:r>
        <w:rPr>
          <w:rFonts w:hint="default" w:ascii="Times New Roman" w:hAnsi="Times New Roman" w:eastAsia="华文中宋" w:cs="Times New Roman"/>
          <w:sz w:val="24"/>
          <w:lang w:eastAsia="zh-CN"/>
        </w:rPr>
        <w:t>范围为以</w:t>
      </w:r>
      <w:r>
        <w:rPr>
          <w:rFonts w:hint="default" w:ascii="Times New Roman" w:hAnsi="Times New Roman" w:eastAsia="华文中宋" w:cs="Times New Roman"/>
          <w:sz w:val="24"/>
          <w:lang w:val="en-US" w:eastAsia="zh-CN"/>
        </w:rPr>
        <w:t>矿区为中心边长5km</w:t>
      </w:r>
      <w:r>
        <w:rPr>
          <w:rFonts w:hint="default" w:ascii="Times New Roman" w:hAnsi="Times New Roman" w:eastAsia="华文中宋" w:cs="Times New Roman"/>
          <w:sz w:val="24"/>
          <w:lang w:eastAsia="zh-CN"/>
        </w:rPr>
        <w:t>的矩形区域。</w:t>
      </w:r>
    </w:p>
    <w:p w14:paraId="4703CC9E">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bookmarkStart w:id="173" w:name="_Toc3933"/>
      <w:bookmarkStart w:id="174" w:name="_Toc8474"/>
      <w:bookmarkStart w:id="175" w:name="_Toc19435"/>
      <w:r>
        <w:rPr>
          <w:rFonts w:hint="eastAsia" w:ascii="Times New Roman" w:hAnsi="Times New Roman" w:eastAsia="华文中宋" w:cs="Times New Roman"/>
          <w:sz w:val="24"/>
          <w:highlight w:val="none"/>
          <w:lang w:val="en-US" w:eastAsia="zh-CN"/>
        </w:rPr>
        <w:t>（3）</w:t>
      </w:r>
      <w:r>
        <w:rPr>
          <w:rFonts w:hint="default" w:ascii="Times New Roman" w:hAnsi="Times New Roman" w:eastAsia="华文中宋" w:cs="Times New Roman"/>
          <w:sz w:val="24"/>
          <w:highlight w:val="none"/>
          <w:lang w:val="en-US" w:eastAsia="zh-CN"/>
        </w:rPr>
        <w:t>污染源参数</w:t>
      </w:r>
      <w:bookmarkEnd w:id="173"/>
      <w:bookmarkEnd w:id="174"/>
      <w:bookmarkEnd w:id="175"/>
    </w:p>
    <w:p w14:paraId="535D215C">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根据废气污染源章节中废气污染源的核算，面源无组织粉尘污染物排放参数见表5.2</w:t>
      </w:r>
      <w:r>
        <w:rPr>
          <w:rFonts w:hint="eastAsia" w:ascii="Times New Roman" w:hAnsi="Times New Roman" w:eastAsia="华文中宋" w:cs="Times New Roman"/>
          <w:sz w:val="24"/>
          <w:highlight w:val="none"/>
          <w:lang w:val="en-US" w:eastAsia="zh-CN"/>
        </w:rPr>
        <w:t>-1</w:t>
      </w:r>
      <w:r>
        <w:rPr>
          <w:rFonts w:hint="default" w:ascii="Times New Roman" w:hAnsi="Times New Roman" w:eastAsia="华文中宋" w:cs="Times New Roman"/>
          <w:sz w:val="24"/>
          <w:highlight w:val="none"/>
          <w:lang w:val="en-US" w:eastAsia="zh-CN"/>
        </w:rPr>
        <w:t>。</w:t>
      </w:r>
    </w:p>
    <w:p w14:paraId="2EC5337D">
      <w:pPr>
        <w:adjustRightInd w:val="0"/>
        <w:snapToGrid w:val="0"/>
        <w:spacing w:before="250" w:beforeLines="50"/>
        <w:ind w:firstLine="422" w:firstLineChars="200"/>
        <w:jc w:val="center"/>
        <w:rPr>
          <w:rFonts w:hint="default" w:ascii="Times New Roman" w:hAnsi="Times New Roman" w:eastAsia="华文中宋" w:cs="Times New Roman"/>
          <w:b/>
          <w:szCs w:val="21"/>
          <w:highlight w:val="none"/>
          <w:lang w:val="en-US" w:eastAsia="zh-CN"/>
        </w:rPr>
      </w:pPr>
      <w:r>
        <w:rPr>
          <w:rFonts w:hint="default" w:ascii="Times New Roman" w:hAnsi="Times New Roman" w:eastAsia="华文中宋" w:cs="Times New Roman"/>
          <w:b/>
          <w:szCs w:val="21"/>
          <w:highlight w:val="none"/>
          <w:lang w:val="en-US" w:eastAsia="zh-CN"/>
        </w:rPr>
        <w:t>表5.2-</w:t>
      </w:r>
      <w:r>
        <w:rPr>
          <w:rFonts w:hint="eastAsia" w:ascii="Times New Roman" w:hAnsi="Times New Roman" w:eastAsia="华文中宋" w:cs="Times New Roman"/>
          <w:b/>
          <w:szCs w:val="21"/>
          <w:highlight w:val="none"/>
          <w:lang w:val="en-US" w:eastAsia="zh-CN"/>
        </w:rPr>
        <w:t xml:space="preserve">1  </w:t>
      </w:r>
      <w:r>
        <w:rPr>
          <w:rFonts w:hint="default" w:ascii="Times New Roman" w:hAnsi="Times New Roman" w:eastAsia="华文中宋" w:cs="Times New Roman"/>
          <w:b/>
          <w:szCs w:val="21"/>
          <w:highlight w:val="none"/>
          <w:lang w:val="en-US" w:eastAsia="zh-CN"/>
        </w:rPr>
        <w:t>面源参数表</w:t>
      </w:r>
    </w:p>
    <w:tbl>
      <w:tblPr>
        <w:tblStyle w:val="19"/>
        <w:tblW w:w="4998"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413"/>
        <w:gridCol w:w="1347"/>
        <w:gridCol w:w="1028"/>
        <w:gridCol w:w="1147"/>
        <w:gridCol w:w="1222"/>
        <w:gridCol w:w="1084"/>
        <w:gridCol w:w="1278"/>
      </w:tblGrid>
      <w:tr w14:paraId="731321C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23" w:hRule="atLeast"/>
        </w:trPr>
        <w:tc>
          <w:tcPr>
            <w:tcW w:w="829" w:type="pct"/>
            <w:vMerge w:val="restart"/>
            <w:vAlign w:val="center"/>
          </w:tcPr>
          <w:p w14:paraId="06EB8664">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污染源名称</w:t>
            </w:r>
          </w:p>
        </w:tc>
        <w:tc>
          <w:tcPr>
            <w:tcW w:w="790" w:type="pct"/>
            <w:vMerge w:val="restart"/>
            <w:vAlign w:val="center"/>
          </w:tcPr>
          <w:p w14:paraId="11D29D5B">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海拔高度</w:t>
            </w:r>
            <w:r>
              <w:rPr>
                <w:rFonts w:hint="default" w:ascii="Times New Roman" w:hAnsi="Times New Roman" w:eastAsia="华文中宋" w:cs="Times New Roman"/>
                <w:szCs w:val="21"/>
                <w:highlight w:val="none"/>
                <w:lang w:eastAsia="zh-CN"/>
              </w:rPr>
              <w:t>（</w:t>
            </w:r>
            <w:r>
              <w:rPr>
                <w:rFonts w:hint="default" w:ascii="Times New Roman" w:hAnsi="Times New Roman" w:eastAsia="华文中宋" w:cs="Times New Roman"/>
                <w:szCs w:val="21"/>
                <w:highlight w:val="none"/>
              </w:rPr>
              <w:t>m</w:t>
            </w:r>
            <w:r>
              <w:rPr>
                <w:rFonts w:hint="default" w:ascii="Times New Roman" w:hAnsi="Times New Roman" w:eastAsia="华文中宋" w:cs="Times New Roman"/>
                <w:szCs w:val="21"/>
                <w:highlight w:val="none"/>
                <w:lang w:eastAsia="zh-CN"/>
              </w:rPr>
              <w:t>）</w:t>
            </w:r>
          </w:p>
        </w:tc>
        <w:tc>
          <w:tcPr>
            <w:tcW w:w="1993" w:type="pct"/>
            <w:gridSpan w:val="3"/>
            <w:vAlign w:val="center"/>
          </w:tcPr>
          <w:p w14:paraId="5580FA1F">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矩形面源</w:t>
            </w:r>
          </w:p>
        </w:tc>
        <w:tc>
          <w:tcPr>
            <w:tcW w:w="1385" w:type="pct"/>
            <w:gridSpan w:val="2"/>
            <w:vAlign w:val="center"/>
          </w:tcPr>
          <w:p w14:paraId="7F201B5A">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污染物排放速率</w:t>
            </w:r>
            <w:r>
              <w:rPr>
                <w:rFonts w:hint="default" w:ascii="Times New Roman" w:hAnsi="Times New Roman" w:eastAsia="华文中宋" w:cs="Times New Roman"/>
                <w:szCs w:val="21"/>
                <w:highlight w:val="none"/>
                <w:lang w:eastAsia="zh-CN"/>
              </w:rPr>
              <w:t>（</w:t>
            </w:r>
            <w:r>
              <w:rPr>
                <w:rFonts w:hint="default" w:ascii="Times New Roman" w:hAnsi="Times New Roman" w:eastAsia="华文中宋" w:cs="Times New Roman"/>
                <w:szCs w:val="21"/>
                <w:highlight w:val="none"/>
              </w:rPr>
              <w:t>kg/h</w:t>
            </w:r>
            <w:r>
              <w:rPr>
                <w:rFonts w:hint="default" w:ascii="Times New Roman" w:hAnsi="Times New Roman" w:eastAsia="华文中宋" w:cs="Times New Roman"/>
                <w:szCs w:val="21"/>
                <w:highlight w:val="none"/>
                <w:lang w:eastAsia="zh-CN"/>
              </w:rPr>
              <w:t>）</w:t>
            </w:r>
          </w:p>
        </w:tc>
      </w:tr>
      <w:tr w14:paraId="00DCE87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28" w:hRule="atLeast"/>
        </w:trPr>
        <w:tc>
          <w:tcPr>
            <w:tcW w:w="829" w:type="pct"/>
            <w:vMerge w:val="continue"/>
            <w:vAlign w:val="center"/>
          </w:tcPr>
          <w:p w14:paraId="1E30C191">
            <w:pPr>
              <w:spacing w:line="300" w:lineRule="exact"/>
              <w:jc w:val="center"/>
              <w:rPr>
                <w:rFonts w:hint="default" w:ascii="Times New Roman" w:hAnsi="Times New Roman" w:eastAsia="华文中宋" w:cs="Times New Roman"/>
                <w:szCs w:val="21"/>
                <w:highlight w:val="none"/>
              </w:rPr>
            </w:pPr>
          </w:p>
        </w:tc>
        <w:tc>
          <w:tcPr>
            <w:tcW w:w="790" w:type="pct"/>
            <w:vMerge w:val="continue"/>
            <w:vAlign w:val="center"/>
          </w:tcPr>
          <w:p w14:paraId="1658C975">
            <w:pPr>
              <w:spacing w:line="300" w:lineRule="exact"/>
              <w:jc w:val="center"/>
              <w:rPr>
                <w:rFonts w:hint="default" w:ascii="Times New Roman" w:hAnsi="Times New Roman" w:eastAsia="华文中宋" w:cs="Times New Roman"/>
                <w:szCs w:val="21"/>
                <w:highlight w:val="none"/>
              </w:rPr>
            </w:pPr>
          </w:p>
        </w:tc>
        <w:tc>
          <w:tcPr>
            <w:tcW w:w="603" w:type="pct"/>
            <w:vAlign w:val="center"/>
          </w:tcPr>
          <w:p w14:paraId="574A9B15">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长度</w:t>
            </w:r>
            <w:r>
              <w:rPr>
                <w:rFonts w:hint="default" w:ascii="Times New Roman" w:hAnsi="Times New Roman" w:eastAsia="华文中宋" w:cs="Times New Roman"/>
                <w:szCs w:val="21"/>
                <w:highlight w:val="none"/>
                <w:lang w:eastAsia="zh-CN"/>
              </w:rPr>
              <w:t>（</w:t>
            </w:r>
            <w:r>
              <w:rPr>
                <w:rFonts w:hint="default" w:ascii="Times New Roman" w:hAnsi="Times New Roman" w:eastAsia="华文中宋" w:cs="Times New Roman"/>
                <w:szCs w:val="21"/>
                <w:highlight w:val="none"/>
              </w:rPr>
              <w:t>m</w:t>
            </w:r>
            <w:r>
              <w:rPr>
                <w:rFonts w:hint="default" w:ascii="Times New Roman" w:hAnsi="Times New Roman" w:eastAsia="华文中宋" w:cs="Times New Roman"/>
                <w:szCs w:val="21"/>
                <w:highlight w:val="none"/>
                <w:lang w:eastAsia="zh-CN"/>
              </w:rPr>
              <w:t>）</w:t>
            </w:r>
          </w:p>
        </w:tc>
        <w:tc>
          <w:tcPr>
            <w:tcW w:w="673" w:type="pct"/>
            <w:vAlign w:val="center"/>
          </w:tcPr>
          <w:p w14:paraId="0375DB54">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宽度</w:t>
            </w:r>
            <w:r>
              <w:rPr>
                <w:rFonts w:hint="default" w:ascii="Times New Roman" w:hAnsi="Times New Roman" w:eastAsia="华文中宋" w:cs="Times New Roman"/>
                <w:szCs w:val="21"/>
                <w:highlight w:val="none"/>
                <w:lang w:eastAsia="zh-CN"/>
              </w:rPr>
              <w:t>（</w:t>
            </w:r>
            <w:r>
              <w:rPr>
                <w:rFonts w:hint="default" w:ascii="Times New Roman" w:hAnsi="Times New Roman" w:eastAsia="华文中宋" w:cs="Times New Roman"/>
                <w:szCs w:val="21"/>
                <w:highlight w:val="none"/>
              </w:rPr>
              <w:t>m</w:t>
            </w:r>
            <w:r>
              <w:rPr>
                <w:rFonts w:hint="default" w:ascii="Times New Roman" w:hAnsi="Times New Roman" w:eastAsia="华文中宋" w:cs="Times New Roman"/>
                <w:szCs w:val="21"/>
                <w:highlight w:val="none"/>
                <w:lang w:eastAsia="zh-CN"/>
              </w:rPr>
              <w:t>）</w:t>
            </w:r>
          </w:p>
        </w:tc>
        <w:tc>
          <w:tcPr>
            <w:tcW w:w="716" w:type="pct"/>
            <w:vAlign w:val="center"/>
          </w:tcPr>
          <w:p w14:paraId="15A646EE">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有效高度</w:t>
            </w:r>
            <w:r>
              <w:rPr>
                <w:rFonts w:hint="default" w:ascii="Times New Roman" w:hAnsi="Times New Roman" w:eastAsia="华文中宋" w:cs="Times New Roman"/>
                <w:szCs w:val="21"/>
                <w:highlight w:val="none"/>
                <w:lang w:eastAsia="zh-CN"/>
              </w:rPr>
              <w:t>（</w:t>
            </w:r>
            <w:r>
              <w:rPr>
                <w:rFonts w:hint="default" w:ascii="Times New Roman" w:hAnsi="Times New Roman" w:eastAsia="华文中宋" w:cs="Times New Roman"/>
                <w:szCs w:val="21"/>
                <w:highlight w:val="none"/>
              </w:rPr>
              <w:t>m</w:t>
            </w:r>
            <w:r>
              <w:rPr>
                <w:rFonts w:hint="default" w:ascii="Times New Roman" w:hAnsi="Times New Roman" w:eastAsia="华文中宋" w:cs="Times New Roman"/>
                <w:szCs w:val="21"/>
                <w:highlight w:val="none"/>
                <w:lang w:eastAsia="zh-CN"/>
              </w:rPr>
              <w:t>）</w:t>
            </w:r>
          </w:p>
        </w:tc>
        <w:tc>
          <w:tcPr>
            <w:tcW w:w="636" w:type="pct"/>
            <w:vAlign w:val="center"/>
          </w:tcPr>
          <w:p w14:paraId="73F9A82C">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TSP</w:t>
            </w:r>
          </w:p>
        </w:tc>
        <w:tc>
          <w:tcPr>
            <w:tcW w:w="749" w:type="pct"/>
            <w:vAlign w:val="center"/>
          </w:tcPr>
          <w:p w14:paraId="133F8B10">
            <w:pPr>
              <w:spacing w:line="300" w:lineRule="exact"/>
              <w:jc w:val="center"/>
              <w:rPr>
                <w:rFonts w:hint="eastAsia"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铅（pb）</w:t>
            </w:r>
          </w:p>
        </w:tc>
      </w:tr>
      <w:tr w14:paraId="016C8AE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29" w:type="pct"/>
            <w:vAlign w:val="center"/>
          </w:tcPr>
          <w:p w14:paraId="568ED9F5">
            <w:pPr>
              <w:spacing w:line="300" w:lineRule="exact"/>
              <w:jc w:val="center"/>
              <w:rPr>
                <w:rFonts w:hint="eastAsia"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rPr>
              <w:t>北露天采矿</w:t>
            </w:r>
            <w:r>
              <w:rPr>
                <w:rFonts w:hint="eastAsia" w:ascii="Times New Roman" w:hAnsi="Times New Roman" w:eastAsia="华文中宋" w:cs="Times New Roman"/>
                <w:szCs w:val="21"/>
                <w:highlight w:val="none"/>
                <w:lang w:val="en-US" w:eastAsia="zh-CN"/>
              </w:rPr>
              <w:t>场</w:t>
            </w:r>
          </w:p>
        </w:tc>
        <w:tc>
          <w:tcPr>
            <w:tcW w:w="790" w:type="pct"/>
            <w:vAlign w:val="center"/>
          </w:tcPr>
          <w:p w14:paraId="663426DF">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5130.00</w:t>
            </w:r>
          </w:p>
        </w:tc>
        <w:tc>
          <w:tcPr>
            <w:tcW w:w="603" w:type="pct"/>
            <w:vAlign w:val="center"/>
          </w:tcPr>
          <w:p w14:paraId="505067F3">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720.00</w:t>
            </w:r>
          </w:p>
        </w:tc>
        <w:tc>
          <w:tcPr>
            <w:tcW w:w="673" w:type="pct"/>
            <w:vAlign w:val="center"/>
          </w:tcPr>
          <w:p w14:paraId="51A8DE49">
            <w:pPr>
              <w:spacing w:line="300" w:lineRule="exact"/>
              <w:jc w:val="center"/>
              <w:rPr>
                <w:rFonts w:hint="default" w:ascii="Times New Roman" w:hAnsi="Times New Roman" w:eastAsia="华文中宋" w:cs="Times New Roman"/>
                <w:szCs w:val="21"/>
                <w:highlight w:val="none"/>
              </w:rPr>
            </w:pPr>
            <w:r>
              <w:rPr>
                <w:rFonts w:hint="eastAsia" w:ascii="Times New Roman" w:hAnsi="Times New Roman" w:eastAsia="华文中宋" w:cs="Times New Roman"/>
                <w:szCs w:val="21"/>
                <w:highlight w:val="none"/>
                <w:lang w:val="en-US" w:eastAsia="zh-CN"/>
              </w:rPr>
              <w:t>100</w:t>
            </w:r>
            <w:r>
              <w:rPr>
                <w:rFonts w:hint="default" w:ascii="Times New Roman" w:hAnsi="Times New Roman" w:eastAsia="华文中宋" w:cs="Times New Roman"/>
                <w:szCs w:val="21"/>
                <w:highlight w:val="none"/>
              </w:rPr>
              <w:t>.00</w:t>
            </w:r>
          </w:p>
        </w:tc>
        <w:tc>
          <w:tcPr>
            <w:tcW w:w="716" w:type="pct"/>
            <w:vAlign w:val="center"/>
          </w:tcPr>
          <w:p w14:paraId="3B43FCF9">
            <w:pPr>
              <w:spacing w:line="300" w:lineRule="exact"/>
              <w:jc w:val="center"/>
              <w:rPr>
                <w:rFonts w:hint="default" w:ascii="Times New Roman" w:hAnsi="Times New Roman" w:eastAsia="华文中宋" w:cs="Times New Roman"/>
                <w:szCs w:val="21"/>
                <w:highlight w:val="none"/>
              </w:rPr>
            </w:pPr>
            <w:r>
              <w:rPr>
                <w:rFonts w:hint="eastAsia" w:ascii="Times New Roman" w:hAnsi="Times New Roman" w:eastAsia="华文中宋" w:cs="Times New Roman"/>
                <w:szCs w:val="21"/>
                <w:highlight w:val="none"/>
                <w:lang w:val="en-US" w:eastAsia="zh-CN"/>
              </w:rPr>
              <w:t>64</w:t>
            </w:r>
            <w:r>
              <w:rPr>
                <w:rFonts w:hint="default" w:ascii="Times New Roman" w:hAnsi="Times New Roman" w:eastAsia="华文中宋" w:cs="Times New Roman"/>
                <w:szCs w:val="21"/>
                <w:highlight w:val="none"/>
              </w:rPr>
              <w:t>.00</w:t>
            </w:r>
          </w:p>
        </w:tc>
        <w:tc>
          <w:tcPr>
            <w:tcW w:w="636" w:type="pct"/>
            <w:vAlign w:val="center"/>
          </w:tcPr>
          <w:p w14:paraId="396F29CE">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0.252</w:t>
            </w:r>
          </w:p>
        </w:tc>
        <w:tc>
          <w:tcPr>
            <w:tcW w:w="749" w:type="pct"/>
            <w:vAlign w:val="center"/>
          </w:tcPr>
          <w:p w14:paraId="126BAC3C">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1.675×10</w:t>
            </w:r>
            <w:r>
              <w:rPr>
                <w:rFonts w:hint="eastAsia" w:ascii="Times New Roman" w:hAnsi="Times New Roman" w:eastAsia="华文中宋" w:cs="Times New Roman"/>
                <w:szCs w:val="21"/>
                <w:highlight w:val="none"/>
                <w:vertAlign w:val="superscript"/>
                <w:lang w:val="en-US" w:eastAsia="zh-CN"/>
              </w:rPr>
              <w:t>-3</w:t>
            </w:r>
          </w:p>
        </w:tc>
      </w:tr>
      <w:tr w14:paraId="7AB7FFC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29" w:hRule="atLeast"/>
        </w:trPr>
        <w:tc>
          <w:tcPr>
            <w:tcW w:w="829" w:type="pct"/>
            <w:vAlign w:val="center"/>
          </w:tcPr>
          <w:p w14:paraId="6336C429">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南露天采矿场</w:t>
            </w:r>
          </w:p>
        </w:tc>
        <w:tc>
          <w:tcPr>
            <w:tcW w:w="790" w:type="pct"/>
            <w:vAlign w:val="center"/>
          </w:tcPr>
          <w:p w14:paraId="4A4A7721">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5125.00</w:t>
            </w:r>
          </w:p>
        </w:tc>
        <w:tc>
          <w:tcPr>
            <w:tcW w:w="603" w:type="pct"/>
            <w:vAlign w:val="center"/>
          </w:tcPr>
          <w:p w14:paraId="17AED277">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420.00</w:t>
            </w:r>
          </w:p>
        </w:tc>
        <w:tc>
          <w:tcPr>
            <w:tcW w:w="673" w:type="pct"/>
            <w:vAlign w:val="center"/>
          </w:tcPr>
          <w:p w14:paraId="2DA333EF">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96.00</w:t>
            </w:r>
          </w:p>
        </w:tc>
        <w:tc>
          <w:tcPr>
            <w:tcW w:w="716" w:type="pct"/>
            <w:vAlign w:val="center"/>
          </w:tcPr>
          <w:p w14:paraId="4720B6AA">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44.00</w:t>
            </w:r>
          </w:p>
        </w:tc>
        <w:tc>
          <w:tcPr>
            <w:tcW w:w="636" w:type="pct"/>
            <w:vAlign w:val="center"/>
          </w:tcPr>
          <w:p w14:paraId="3DAF4464">
            <w:pPr>
              <w:spacing w:line="300" w:lineRule="exact"/>
              <w:jc w:val="center"/>
              <w:rPr>
                <w:rFonts w:hint="default" w:ascii="Times New Roman" w:hAnsi="Times New Roman" w:eastAsia="华文中宋" w:cs="Times New Roman"/>
                <w:szCs w:val="21"/>
                <w:highlight w:val="none"/>
                <w:lang w:val="en-US"/>
              </w:rPr>
            </w:pPr>
            <w:r>
              <w:rPr>
                <w:rFonts w:hint="eastAsia" w:ascii="Times New Roman" w:hAnsi="Times New Roman" w:eastAsia="华文中宋" w:cs="Times New Roman"/>
                <w:szCs w:val="21"/>
                <w:highlight w:val="none"/>
                <w:lang w:val="en-US" w:eastAsia="zh-CN"/>
              </w:rPr>
              <w:t>0.252</w:t>
            </w:r>
          </w:p>
        </w:tc>
        <w:tc>
          <w:tcPr>
            <w:tcW w:w="749" w:type="pct"/>
            <w:vAlign w:val="center"/>
          </w:tcPr>
          <w:p w14:paraId="6E86D3D3">
            <w:pPr>
              <w:spacing w:line="300" w:lineRule="exact"/>
              <w:jc w:val="center"/>
              <w:rPr>
                <w:rFonts w:hint="eastAsia"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1.675×10</w:t>
            </w:r>
            <w:r>
              <w:rPr>
                <w:rFonts w:hint="eastAsia" w:ascii="Times New Roman" w:hAnsi="Times New Roman" w:eastAsia="华文中宋" w:cs="Times New Roman"/>
                <w:szCs w:val="21"/>
                <w:highlight w:val="none"/>
                <w:vertAlign w:val="superscript"/>
                <w:lang w:val="en-US" w:eastAsia="zh-CN"/>
              </w:rPr>
              <w:t>-3</w:t>
            </w:r>
          </w:p>
        </w:tc>
      </w:tr>
      <w:tr w14:paraId="4C849F7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5" w:hRule="atLeast"/>
        </w:trPr>
        <w:tc>
          <w:tcPr>
            <w:tcW w:w="829" w:type="pct"/>
            <w:vAlign w:val="center"/>
          </w:tcPr>
          <w:p w14:paraId="3CDC8AF9">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废石堆放场</w:t>
            </w:r>
          </w:p>
        </w:tc>
        <w:tc>
          <w:tcPr>
            <w:tcW w:w="790" w:type="pct"/>
            <w:vAlign w:val="center"/>
          </w:tcPr>
          <w:p w14:paraId="1CC7C2CF">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5130.00</w:t>
            </w:r>
          </w:p>
        </w:tc>
        <w:tc>
          <w:tcPr>
            <w:tcW w:w="603" w:type="pct"/>
            <w:vAlign w:val="center"/>
          </w:tcPr>
          <w:p w14:paraId="77E5A98B">
            <w:pPr>
              <w:spacing w:line="300" w:lineRule="exact"/>
              <w:jc w:val="center"/>
              <w:rPr>
                <w:rFonts w:hint="default" w:ascii="Times New Roman" w:hAnsi="Times New Roman" w:eastAsia="华文中宋" w:cs="Times New Roman"/>
                <w:szCs w:val="21"/>
                <w:highlight w:val="none"/>
              </w:rPr>
            </w:pPr>
            <w:r>
              <w:rPr>
                <w:rFonts w:hint="eastAsia" w:ascii="Times New Roman" w:hAnsi="Times New Roman" w:eastAsia="华文中宋" w:cs="Times New Roman"/>
                <w:szCs w:val="21"/>
                <w:highlight w:val="none"/>
                <w:lang w:val="en-US" w:eastAsia="zh-CN"/>
              </w:rPr>
              <w:t>260</w:t>
            </w:r>
            <w:r>
              <w:rPr>
                <w:rFonts w:hint="default" w:ascii="Times New Roman" w:hAnsi="Times New Roman" w:eastAsia="华文中宋" w:cs="Times New Roman"/>
                <w:szCs w:val="21"/>
                <w:highlight w:val="none"/>
              </w:rPr>
              <w:t>.00</w:t>
            </w:r>
          </w:p>
        </w:tc>
        <w:tc>
          <w:tcPr>
            <w:tcW w:w="673" w:type="pct"/>
            <w:vAlign w:val="center"/>
          </w:tcPr>
          <w:p w14:paraId="2A0CE89C">
            <w:pPr>
              <w:spacing w:line="300" w:lineRule="exact"/>
              <w:jc w:val="center"/>
              <w:rPr>
                <w:rFonts w:hint="default" w:ascii="Times New Roman" w:hAnsi="Times New Roman" w:eastAsia="华文中宋" w:cs="Times New Roman"/>
                <w:szCs w:val="21"/>
                <w:highlight w:val="none"/>
              </w:rPr>
            </w:pPr>
            <w:r>
              <w:rPr>
                <w:rFonts w:hint="eastAsia" w:ascii="Times New Roman" w:hAnsi="Times New Roman" w:eastAsia="华文中宋" w:cs="Times New Roman"/>
                <w:szCs w:val="21"/>
                <w:highlight w:val="none"/>
                <w:lang w:val="en-US" w:eastAsia="zh-CN"/>
              </w:rPr>
              <w:t>270.</w:t>
            </w:r>
            <w:r>
              <w:rPr>
                <w:rFonts w:hint="default" w:ascii="Times New Roman" w:hAnsi="Times New Roman" w:eastAsia="华文中宋" w:cs="Times New Roman"/>
                <w:szCs w:val="21"/>
                <w:highlight w:val="none"/>
              </w:rPr>
              <w:t>00</w:t>
            </w:r>
          </w:p>
        </w:tc>
        <w:tc>
          <w:tcPr>
            <w:tcW w:w="716" w:type="pct"/>
            <w:vAlign w:val="center"/>
          </w:tcPr>
          <w:p w14:paraId="1531CF3F">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30.00</w:t>
            </w:r>
          </w:p>
        </w:tc>
        <w:tc>
          <w:tcPr>
            <w:tcW w:w="636" w:type="pct"/>
            <w:vAlign w:val="center"/>
          </w:tcPr>
          <w:p w14:paraId="6E8786CC">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0.088</w:t>
            </w:r>
          </w:p>
        </w:tc>
        <w:tc>
          <w:tcPr>
            <w:tcW w:w="749" w:type="pct"/>
            <w:vAlign w:val="center"/>
          </w:tcPr>
          <w:p w14:paraId="02AF7FAD">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0.000</w:t>
            </w:r>
          </w:p>
        </w:tc>
      </w:tr>
      <w:tr w14:paraId="56D205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17" w:hRule="atLeast"/>
        </w:trPr>
        <w:tc>
          <w:tcPr>
            <w:tcW w:w="829" w:type="pct"/>
            <w:vAlign w:val="center"/>
          </w:tcPr>
          <w:p w14:paraId="77B001FE">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表土堆放场</w:t>
            </w:r>
          </w:p>
        </w:tc>
        <w:tc>
          <w:tcPr>
            <w:tcW w:w="790" w:type="pct"/>
            <w:vAlign w:val="center"/>
          </w:tcPr>
          <w:p w14:paraId="6B11F2E2">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5117.00</w:t>
            </w:r>
          </w:p>
        </w:tc>
        <w:tc>
          <w:tcPr>
            <w:tcW w:w="603" w:type="pct"/>
            <w:vAlign w:val="center"/>
          </w:tcPr>
          <w:p w14:paraId="68D7BC1D">
            <w:pPr>
              <w:spacing w:line="300" w:lineRule="exact"/>
              <w:jc w:val="center"/>
              <w:rPr>
                <w:rFonts w:hint="default" w:ascii="Times New Roman" w:hAnsi="Times New Roman" w:eastAsia="华文中宋" w:cs="Times New Roman"/>
                <w:szCs w:val="21"/>
                <w:highlight w:val="none"/>
              </w:rPr>
            </w:pPr>
            <w:r>
              <w:rPr>
                <w:rFonts w:hint="eastAsia" w:ascii="Times New Roman" w:hAnsi="Times New Roman" w:eastAsia="华文中宋" w:cs="Times New Roman"/>
                <w:szCs w:val="21"/>
                <w:highlight w:val="none"/>
                <w:lang w:val="en-US" w:eastAsia="zh-CN"/>
              </w:rPr>
              <w:t>100</w:t>
            </w:r>
            <w:r>
              <w:rPr>
                <w:rFonts w:hint="default" w:ascii="Times New Roman" w:hAnsi="Times New Roman" w:eastAsia="华文中宋" w:cs="Times New Roman"/>
                <w:szCs w:val="21"/>
                <w:highlight w:val="none"/>
              </w:rPr>
              <w:t>.00</w:t>
            </w:r>
          </w:p>
        </w:tc>
        <w:tc>
          <w:tcPr>
            <w:tcW w:w="673" w:type="pct"/>
            <w:vAlign w:val="center"/>
          </w:tcPr>
          <w:p w14:paraId="0F7A0A8C">
            <w:pPr>
              <w:spacing w:line="300" w:lineRule="exact"/>
              <w:jc w:val="center"/>
              <w:rPr>
                <w:rFonts w:hint="default" w:ascii="Times New Roman" w:hAnsi="Times New Roman" w:eastAsia="华文中宋" w:cs="Times New Roman"/>
                <w:szCs w:val="21"/>
                <w:highlight w:val="none"/>
              </w:rPr>
            </w:pPr>
            <w:r>
              <w:rPr>
                <w:rFonts w:hint="eastAsia" w:ascii="Times New Roman" w:hAnsi="Times New Roman" w:eastAsia="华文中宋" w:cs="Times New Roman"/>
                <w:szCs w:val="21"/>
                <w:highlight w:val="none"/>
                <w:lang w:val="en-US" w:eastAsia="zh-CN"/>
              </w:rPr>
              <w:t>80</w:t>
            </w:r>
            <w:r>
              <w:rPr>
                <w:rFonts w:hint="default" w:ascii="Times New Roman" w:hAnsi="Times New Roman" w:eastAsia="华文中宋" w:cs="Times New Roman"/>
                <w:szCs w:val="21"/>
                <w:highlight w:val="none"/>
              </w:rPr>
              <w:t>.00</w:t>
            </w:r>
          </w:p>
        </w:tc>
        <w:tc>
          <w:tcPr>
            <w:tcW w:w="716" w:type="pct"/>
            <w:vAlign w:val="center"/>
          </w:tcPr>
          <w:p w14:paraId="074CAEF9">
            <w:pPr>
              <w:spacing w:line="300" w:lineRule="exact"/>
              <w:jc w:val="center"/>
              <w:rPr>
                <w:rFonts w:hint="default" w:ascii="Times New Roman" w:hAnsi="Times New Roman" w:eastAsia="华文中宋" w:cs="Times New Roman"/>
                <w:szCs w:val="21"/>
                <w:highlight w:val="none"/>
              </w:rPr>
            </w:pPr>
            <w:r>
              <w:rPr>
                <w:rFonts w:hint="eastAsia" w:ascii="Times New Roman" w:hAnsi="Times New Roman" w:eastAsia="华文中宋" w:cs="Times New Roman"/>
                <w:szCs w:val="21"/>
                <w:highlight w:val="none"/>
                <w:lang w:val="en-US" w:eastAsia="zh-CN"/>
              </w:rPr>
              <w:t>15</w:t>
            </w:r>
            <w:r>
              <w:rPr>
                <w:rFonts w:hint="default" w:ascii="Times New Roman" w:hAnsi="Times New Roman" w:eastAsia="华文中宋" w:cs="Times New Roman"/>
                <w:szCs w:val="21"/>
                <w:highlight w:val="none"/>
              </w:rPr>
              <w:t>.00</w:t>
            </w:r>
          </w:p>
        </w:tc>
        <w:tc>
          <w:tcPr>
            <w:tcW w:w="636" w:type="pct"/>
            <w:vAlign w:val="center"/>
          </w:tcPr>
          <w:p w14:paraId="578F5C43">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0.040</w:t>
            </w:r>
          </w:p>
        </w:tc>
        <w:tc>
          <w:tcPr>
            <w:tcW w:w="749" w:type="pct"/>
            <w:vAlign w:val="center"/>
          </w:tcPr>
          <w:p w14:paraId="11C96B7E">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6.772×10</w:t>
            </w:r>
            <w:r>
              <w:rPr>
                <w:rFonts w:hint="eastAsia" w:ascii="Times New Roman" w:hAnsi="Times New Roman" w:eastAsia="华文中宋" w:cs="Times New Roman"/>
                <w:szCs w:val="21"/>
                <w:highlight w:val="none"/>
                <w:vertAlign w:val="superscript"/>
                <w:lang w:val="en-US" w:eastAsia="zh-CN"/>
              </w:rPr>
              <w:t>-7</w:t>
            </w:r>
          </w:p>
        </w:tc>
      </w:tr>
      <w:tr w14:paraId="7FAC2AB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17" w:hRule="atLeast"/>
        </w:trPr>
        <w:tc>
          <w:tcPr>
            <w:tcW w:w="829" w:type="pct"/>
            <w:vAlign w:val="center"/>
          </w:tcPr>
          <w:p w14:paraId="50C9F80F">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矿石转运场</w:t>
            </w:r>
          </w:p>
        </w:tc>
        <w:tc>
          <w:tcPr>
            <w:tcW w:w="790" w:type="pct"/>
            <w:vAlign w:val="center"/>
          </w:tcPr>
          <w:p w14:paraId="637DBC60">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5122.00</w:t>
            </w:r>
          </w:p>
        </w:tc>
        <w:tc>
          <w:tcPr>
            <w:tcW w:w="603" w:type="pct"/>
            <w:vAlign w:val="center"/>
          </w:tcPr>
          <w:p w14:paraId="08A44CAD">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65.00</w:t>
            </w:r>
          </w:p>
        </w:tc>
        <w:tc>
          <w:tcPr>
            <w:tcW w:w="673" w:type="pct"/>
            <w:vAlign w:val="center"/>
          </w:tcPr>
          <w:p w14:paraId="63473C9E">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80.00</w:t>
            </w:r>
          </w:p>
        </w:tc>
        <w:tc>
          <w:tcPr>
            <w:tcW w:w="716" w:type="pct"/>
            <w:vAlign w:val="center"/>
          </w:tcPr>
          <w:p w14:paraId="15ABC894">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15.00</w:t>
            </w:r>
          </w:p>
        </w:tc>
        <w:tc>
          <w:tcPr>
            <w:tcW w:w="636" w:type="pct"/>
            <w:vAlign w:val="center"/>
          </w:tcPr>
          <w:p w14:paraId="37A38BDF">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0.005</w:t>
            </w:r>
          </w:p>
        </w:tc>
        <w:tc>
          <w:tcPr>
            <w:tcW w:w="749" w:type="pct"/>
            <w:vAlign w:val="center"/>
          </w:tcPr>
          <w:p w14:paraId="18905A34">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2.957×10</w:t>
            </w:r>
            <w:r>
              <w:rPr>
                <w:rFonts w:hint="eastAsia" w:ascii="Times New Roman" w:hAnsi="Times New Roman" w:eastAsia="华文中宋" w:cs="Times New Roman"/>
                <w:szCs w:val="21"/>
                <w:highlight w:val="none"/>
                <w:vertAlign w:val="superscript"/>
                <w:lang w:val="en-US" w:eastAsia="zh-CN"/>
              </w:rPr>
              <w:t>-4</w:t>
            </w:r>
          </w:p>
        </w:tc>
      </w:tr>
    </w:tbl>
    <w:p w14:paraId="5ACA552D">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（4）</w:t>
      </w:r>
      <w:r>
        <w:rPr>
          <w:rFonts w:hint="default" w:ascii="Times New Roman" w:hAnsi="Times New Roman" w:eastAsia="华文中宋" w:cs="Times New Roman"/>
          <w:sz w:val="24"/>
          <w:lang w:val="en-US" w:eastAsia="zh-CN"/>
        </w:rPr>
        <w:t>计算点</w:t>
      </w:r>
    </w:p>
    <w:p w14:paraId="107086C7">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网格点定义采用直角坐标，网格剖分采用50～100m间隔的单元格进行剖分，按照污染源附近加密的原则对评价区域的规划范围内进行加密剖分。</w:t>
      </w:r>
    </w:p>
    <w:p w14:paraId="614DC4B4">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（5）</w:t>
      </w:r>
      <w:r>
        <w:rPr>
          <w:rFonts w:hint="default" w:ascii="Times New Roman" w:hAnsi="Times New Roman" w:eastAsia="华文中宋" w:cs="Times New Roman"/>
          <w:sz w:val="24"/>
          <w:lang w:val="en-US" w:eastAsia="zh-CN"/>
        </w:rPr>
        <w:t>评价方法和评价标准</w:t>
      </w:r>
    </w:p>
    <w:p w14:paraId="6C358606">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本项目的预测因子为TSP</w:t>
      </w:r>
      <w:r>
        <w:rPr>
          <w:rFonts w:hint="eastAsia" w:ascii="Times New Roman" w:hAnsi="Times New Roman" w:eastAsia="华文中宋" w:cs="Times New Roman"/>
          <w:sz w:val="24"/>
          <w:lang w:val="en-US" w:eastAsia="zh-CN"/>
        </w:rPr>
        <w:t>、铅（pb）</w:t>
      </w:r>
      <w:r>
        <w:rPr>
          <w:rFonts w:hint="default" w:ascii="Times New Roman" w:hAnsi="Times New Roman" w:eastAsia="华文中宋" w:cs="Times New Roman"/>
          <w:sz w:val="24"/>
          <w:lang w:val="en-US" w:eastAsia="zh-CN"/>
        </w:rPr>
        <w:t>，根据《环境影响评价技术导则</w:t>
      </w:r>
      <w:r>
        <w:rPr>
          <w:rFonts w:hint="eastAsia" w:ascii="Times New Roman" w:hAnsi="Times New Roman" w:eastAsia="华文中宋" w:cs="Times New Roman"/>
          <w:sz w:val="24"/>
          <w:lang w:val="en-US" w:eastAsia="zh-CN"/>
        </w:rPr>
        <w:t xml:space="preserve"> </w:t>
      </w:r>
      <w:r>
        <w:rPr>
          <w:rFonts w:hint="default" w:ascii="Times New Roman" w:hAnsi="Times New Roman" w:eastAsia="华文中宋" w:cs="Times New Roman"/>
          <w:sz w:val="24"/>
          <w:lang w:val="en-US" w:eastAsia="zh-CN"/>
        </w:rPr>
        <w:t>大气环境》（HJ2.2-2018）中推荐的AERSCREEN估算模式进行估算判断，评价因子、评价标准、估算模型参数详见表5.2-</w:t>
      </w:r>
      <w:r>
        <w:rPr>
          <w:rFonts w:hint="eastAsia" w:ascii="Times New Roman" w:hAnsi="Times New Roman" w:eastAsia="华文中宋" w:cs="Times New Roman"/>
          <w:sz w:val="24"/>
          <w:lang w:val="en-US" w:eastAsia="zh-CN"/>
        </w:rPr>
        <w:t>2</w:t>
      </w:r>
      <w:r>
        <w:rPr>
          <w:rFonts w:hint="default" w:ascii="Times New Roman" w:hAnsi="Times New Roman" w:eastAsia="华文中宋" w:cs="Times New Roman"/>
          <w:sz w:val="24"/>
          <w:lang w:val="en-US" w:eastAsia="zh-CN"/>
        </w:rPr>
        <w:t>、5.2-</w:t>
      </w:r>
      <w:r>
        <w:rPr>
          <w:rFonts w:hint="eastAsia" w:ascii="Times New Roman" w:hAnsi="Times New Roman" w:eastAsia="华文中宋" w:cs="Times New Roman"/>
          <w:sz w:val="24"/>
          <w:lang w:val="en-US" w:eastAsia="zh-CN"/>
        </w:rPr>
        <w:t>3</w:t>
      </w:r>
      <w:r>
        <w:rPr>
          <w:rFonts w:hint="default" w:ascii="Times New Roman" w:hAnsi="Times New Roman" w:eastAsia="华文中宋" w:cs="Times New Roman"/>
          <w:sz w:val="24"/>
          <w:lang w:val="en-US" w:eastAsia="zh-CN"/>
        </w:rPr>
        <w:t>。</w:t>
      </w:r>
    </w:p>
    <w:p w14:paraId="715A9653">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表5.2-</w:t>
      </w:r>
      <w:r>
        <w:rPr>
          <w:rFonts w:hint="eastAsia" w:ascii="Times New Roman" w:hAnsi="Times New Roman" w:eastAsia="华文中宋" w:cs="Times New Roman"/>
          <w:b/>
          <w:szCs w:val="21"/>
          <w:lang w:val="en-US" w:eastAsia="zh-CN"/>
        </w:rPr>
        <w:t>2</w:t>
      </w:r>
      <w:r>
        <w:rPr>
          <w:rFonts w:hint="default" w:ascii="Times New Roman" w:hAnsi="Times New Roman" w:eastAsia="华文中宋" w:cs="Times New Roman"/>
          <w:b/>
          <w:szCs w:val="21"/>
          <w:lang w:val="en-US" w:eastAsia="zh-CN"/>
        </w:rPr>
        <w:t xml:space="preserve">  评价因子和评价标准表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3"/>
        <w:gridCol w:w="1700"/>
        <w:gridCol w:w="1717"/>
        <w:gridCol w:w="3586"/>
      </w:tblGrid>
      <w:tr w14:paraId="52610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3" w:type="dxa"/>
            <w:tcBorders>
              <w:tl2br w:val="nil"/>
              <w:tr2bl w:val="nil"/>
            </w:tcBorders>
            <w:noWrap w:val="0"/>
            <w:vAlign w:val="center"/>
          </w:tcPr>
          <w:p w14:paraId="7041CE7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评价因子</w:t>
            </w:r>
          </w:p>
        </w:tc>
        <w:tc>
          <w:tcPr>
            <w:tcW w:w="1700" w:type="dxa"/>
            <w:tcBorders>
              <w:tl2br w:val="nil"/>
              <w:tr2bl w:val="nil"/>
            </w:tcBorders>
            <w:noWrap w:val="0"/>
            <w:vAlign w:val="center"/>
          </w:tcPr>
          <w:p w14:paraId="3B07406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平均时段</w:t>
            </w:r>
          </w:p>
        </w:tc>
        <w:tc>
          <w:tcPr>
            <w:tcW w:w="1717" w:type="dxa"/>
            <w:tcBorders>
              <w:tl2br w:val="nil"/>
              <w:tr2bl w:val="nil"/>
            </w:tcBorders>
            <w:noWrap w:val="0"/>
            <w:vAlign w:val="center"/>
          </w:tcPr>
          <w:p w14:paraId="1D4D0DC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标准值（μg/m</w:t>
            </w:r>
            <w:r>
              <w:rPr>
                <w:rFonts w:hint="default" w:ascii="Times New Roman" w:hAnsi="Times New Roman" w:eastAsia="华文中宋" w:cs="Times New Roman"/>
                <w:szCs w:val="21"/>
                <w:vertAlign w:val="superscript"/>
                <w:lang w:val="en-US" w:eastAsia="zh-CN"/>
              </w:rPr>
              <w:t>3</w:t>
            </w:r>
            <w:r>
              <w:rPr>
                <w:rFonts w:hint="default" w:ascii="Times New Roman" w:hAnsi="Times New Roman" w:eastAsia="华文中宋" w:cs="Times New Roman"/>
                <w:szCs w:val="21"/>
                <w:lang w:val="en-US" w:eastAsia="zh-CN"/>
              </w:rPr>
              <w:t>）</w:t>
            </w:r>
          </w:p>
        </w:tc>
        <w:tc>
          <w:tcPr>
            <w:tcW w:w="3586" w:type="dxa"/>
            <w:tcBorders>
              <w:tl2br w:val="nil"/>
              <w:tr2bl w:val="nil"/>
            </w:tcBorders>
            <w:noWrap w:val="0"/>
            <w:vAlign w:val="center"/>
          </w:tcPr>
          <w:p w14:paraId="76B4A33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标准来源</w:t>
            </w:r>
          </w:p>
        </w:tc>
      </w:tr>
      <w:tr w14:paraId="51F5C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3" w:type="dxa"/>
            <w:tcBorders>
              <w:tl2br w:val="nil"/>
              <w:tr2bl w:val="nil"/>
            </w:tcBorders>
            <w:noWrap w:val="0"/>
            <w:vAlign w:val="center"/>
          </w:tcPr>
          <w:p w14:paraId="454B471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TSP</w:t>
            </w:r>
          </w:p>
        </w:tc>
        <w:tc>
          <w:tcPr>
            <w:tcW w:w="1700" w:type="dxa"/>
            <w:tcBorders>
              <w:tl2br w:val="nil"/>
              <w:tr2bl w:val="nil"/>
            </w:tcBorders>
            <w:noWrap w:val="0"/>
            <w:vAlign w:val="center"/>
          </w:tcPr>
          <w:p w14:paraId="3EB8819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24h平均值</w:t>
            </w:r>
          </w:p>
        </w:tc>
        <w:tc>
          <w:tcPr>
            <w:tcW w:w="1717" w:type="dxa"/>
            <w:tcBorders>
              <w:tl2br w:val="nil"/>
              <w:tr2bl w:val="nil"/>
            </w:tcBorders>
            <w:noWrap w:val="0"/>
            <w:vAlign w:val="center"/>
          </w:tcPr>
          <w:p w14:paraId="5B7110C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300</w:t>
            </w:r>
          </w:p>
        </w:tc>
        <w:tc>
          <w:tcPr>
            <w:tcW w:w="3586" w:type="dxa"/>
            <w:vMerge w:val="restart"/>
            <w:tcBorders>
              <w:tl2br w:val="nil"/>
              <w:tr2bl w:val="nil"/>
            </w:tcBorders>
            <w:noWrap w:val="0"/>
            <w:vAlign w:val="center"/>
          </w:tcPr>
          <w:p w14:paraId="3A39265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《环境空气质量标准》（GB3095-2012）中的二类环境空气功能区标准要求</w:t>
            </w:r>
          </w:p>
        </w:tc>
      </w:tr>
      <w:tr w14:paraId="06991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3" w:type="dxa"/>
            <w:vMerge w:val="restart"/>
            <w:tcBorders>
              <w:tl2br w:val="nil"/>
              <w:tr2bl w:val="nil"/>
            </w:tcBorders>
            <w:noWrap w:val="0"/>
            <w:vAlign w:val="center"/>
          </w:tcPr>
          <w:p w14:paraId="31AD21F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铅（pb）</w:t>
            </w:r>
          </w:p>
        </w:tc>
        <w:tc>
          <w:tcPr>
            <w:tcW w:w="1700" w:type="dxa"/>
            <w:tcBorders>
              <w:tl2br w:val="nil"/>
              <w:tr2bl w:val="nil"/>
            </w:tcBorders>
            <w:noWrap w:val="0"/>
            <w:vAlign w:val="center"/>
          </w:tcPr>
          <w:p w14:paraId="4CD6DB0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年平均</w:t>
            </w:r>
          </w:p>
        </w:tc>
        <w:tc>
          <w:tcPr>
            <w:tcW w:w="1717" w:type="dxa"/>
            <w:tcBorders>
              <w:tl2br w:val="nil"/>
              <w:tr2bl w:val="nil"/>
            </w:tcBorders>
            <w:noWrap w:val="0"/>
            <w:vAlign w:val="center"/>
          </w:tcPr>
          <w:p w14:paraId="2F887FC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0.5</w:t>
            </w:r>
          </w:p>
        </w:tc>
        <w:tc>
          <w:tcPr>
            <w:tcW w:w="3586" w:type="dxa"/>
            <w:vMerge w:val="continue"/>
            <w:tcBorders>
              <w:tl2br w:val="nil"/>
              <w:tr2bl w:val="nil"/>
            </w:tcBorders>
            <w:noWrap w:val="0"/>
            <w:vAlign w:val="center"/>
          </w:tcPr>
          <w:p w14:paraId="16E721AC">
            <w:pPr>
              <w:spacing w:line="300" w:lineRule="exact"/>
              <w:jc w:val="center"/>
              <w:rPr>
                <w:rFonts w:hint="default" w:ascii="Times New Roman" w:hAnsi="Times New Roman" w:eastAsia="华文中宋" w:cs="Times New Roman"/>
                <w:szCs w:val="21"/>
                <w:lang w:val="en-US" w:eastAsia="zh-CN"/>
              </w:rPr>
            </w:pPr>
          </w:p>
        </w:tc>
      </w:tr>
      <w:tr w14:paraId="68E2B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3" w:type="dxa"/>
            <w:vMerge w:val="continue"/>
            <w:tcBorders>
              <w:tl2br w:val="nil"/>
              <w:tr2bl w:val="nil"/>
            </w:tcBorders>
            <w:noWrap w:val="0"/>
            <w:vAlign w:val="center"/>
          </w:tcPr>
          <w:p w14:paraId="5FA56445">
            <w:pPr>
              <w:spacing w:line="300" w:lineRule="exact"/>
              <w:jc w:val="center"/>
              <w:rPr>
                <w:rFonts w:hint="eastAsia" w:ascii="Times New Roman" w:hAnsi="Times New Roman" w:eastAsia="华文中宋" w:cs="Times New Roman"/>
                <w:szCs w:val="21"/>
                <w:lang w:val="en-US" w:eastAsia="zh-CN"/>
              </w:rPr>
            </w:pPr>
          </w:p>
        </w:tc>
        <w:tc>
          <w:tcPr>
            <w:tcW w:w="1700" w:type="dxa"/>
            <w:tcBorders>
              <w:tl2br w:val="nil"/>
              <w:tr2bl w:val="nil"/>
            </w:tcBorders>
            <w:shd w:val="clear" w:color="auto" w:fill="auto"/>
            <w:noWrap w:val="0"/>
            <w:vAlign w:val="center"/>
          </w:tcPr>
          <w:p w14:paraId="45596B97">
            <w:pPr>
              <w:spacing w:line="300" w:lineRule="exact"/>
              <w:jc w:val="center"/>
              <w:rPr>
                <w:rFonts w:hint="eastAsia" w:ascii="Times New Roman" w:hAnsi="Times New Roman" w:eastAsia="华文中宋" w:cs="Times New Roman"/>
                <w:kern w:val="2"/>
                <w:sz w:val="21"/>
                <w:szCs w:val="21"/>
                <w:lang w:val="en-US" w:eastAsia="zh-CN" w:bidi="ar-SA"/>
              </w:rPr>
            </w:pPr>
            <w:r>
              <w:rPr>
                <w:rFonts w:hint="eastAsia" w:ascii="Times New Roman" w:hAnsi="Times New Roman" w:eastAsia="华文中宋" w:cs="Times New Roman"/>
                <w:szCs w:val="21"/>
                <w:lang w:val="en-US" w:eastAsia="zh-CN"/>
              </w:rPr>
              <w:t>季平均</w:t>
            </w:r>
          </w:p>
        </w:tc>
        <w:tc>
          <w:tcPr>
            <w:tcW w:w="1717" w:type="dxa"/>
            <w:tcBorders>
              <w:tl2br w:val="nil"/>
              <w:tr2bl w:val="nil"/>
            </w:tcBorders>
            <w:shd w:val="clear" w:color="auto" w:fill="auto"/>
            <w:noWrap w:val="0"/>
            <w:vAlign w:val="center"/>
          </w:tcPr>
          <w:p w14:paraId="35AAC18C">
            <w:pPr>
              <w:spacing w:line="300" w:lineRule="exact"/>
              <w:jc w:val="center"/>
              <w:rPr>
                <w:rFonts w:hint="eastAsia" w:ascii="Times New Roman" w:hAnsi="Times New Roman" w:eastAsia="华文中宋" w:cs="Times New Roman"/>
                <w:kern w:val="2"/>
                <w:sz w:val="21"/>
                <w:szCs w:val="21"/>
                <w:lang w:val="en-US" w:eastAsia="zh-CN" w:bidi="ar-SA"/>
              </w:rPr>
            </w:pPr>
            <w:r>
              <w:rPr>
                <w:rFonts w:hint="eastAsia" w:ascii="Times New Roman" w:hAnsi="Times New Roman" w:eastAsia="华文中宋" w:cs="Times New Roman"/>
                <w:szCs w:val="21"/>
                <w:lang w:val="en-US" w:eastAsia="zh-CN"/>
              </w:rPr>
              <w:t>1</w:t>
            </w:r>
          </w:p>
        </w:tc>
        <w:tc>
          <w:tcPr>
            <w:tcW w:w="3586" w:type="dxa"/>
            <w:tcBorders>
              <w:tl2br w:val="nil"/>
              <w:tr2bl w:val="nil"/>
            </w:tcBorders>
            <w:noWrap w:val="0"/>
            <w:vAlign w:val="center"/>
          </w:tcPr>
          <w:p w14:paraId="605C651F">
            <w:pPr>
              <w:spacing w:line="300" w:lineRule="exact"/>
              <w:jc w:val="center"/>
              <w:rPr>
                <w:rFonts w:hint="default" w:ascii="Times New Roman" w:hAnsi="Times New Roman" w:eastAsia="华文中宋" w:cs="Times New Roman"/>
                <w:szCs w:val="21"/>
                <w:lang w:val="en-US" w:eastAsia="zh-CN"/>
              </w:rPr>
            </w:pPr>
          </w:p>
        </w:tc>
      </w:tr>
    </w:tbl>
    <w:p w14:paraId="7F99E43D">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表5.2-</w:t>
      </w:r>
      <w:r>
        <w:rPr>
          <w:rFonts w:hint="eastAsia" w:ascii="Times New Roman" w:hAnsi="Times New Roman" w:eastAsia="华文中宋" w:cs="Times New Roman"/>
          <w:b/>
          <w:szCs w:val="21"/>
          <w:lang w:val="en-US" w:eastAsia="zh-CN"/>
        </w:rPr>
        <w:t>3</w:t>
      </w:r>
      <w:r>
        <w:rPr>
          <w:rFonts w:hint="default" w:ascii="Times New Roman" w:hAnsi="Times New Roman" w:eastAsia="华文中宋" w:cs="Times New Roman"/>
          <w:b/>
          <w:szCs w:val="21"/>
          <w:lang w:val="en-US" w:eastAsia="zh-CN"/>
        </w:rPr>
        <w:t xml:space="preserve">  估算模式计算参数选择</w:t>
      </w:r>
    </w:p>
    <w:tbl>
      <w:tblPr>
        <w:tblStyle w:val="19"/>
        <w:tblW w:w="8527"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932"/>
        <w:gridCol w:w="3629"/>
        <w:gridCol w:w="2966"/>
      </w:tblGrid>
      <w:tr w14:paraId="6F964C2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0" w:hRule="atLeast"/>
        </w:trPr>
        <w:tc>
          <w:tcPr>
            <w:tcW w:w="0" w:type="dxa"/>
            <w:gridSpan w:val="2"/>
            <w:vAlign w:val="center"/>
          </w:tcPr>
          <w:p w14:paraId="6FCFF25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参数</w:t>
            </w:r>
          </w:p>
        </w:tc>
        <w:tc>
          <w:tcPr>
            <w:tcW w:w="0" w:type="dxa"/>
            <w:vAlign w:val="center"/>
          </w:tcPr>
          <w:p w14:paraId="72C8E36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取值</w:t>
            </w:r>
          </w:p>
        </w:tc>
      </w:tr>
      <w:tr w14:paraId="6042CD0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0" w:type="dxa"/>
            <w:vMerge w:val="restart"/>
            <w:vAlign w:val="center"/>
          </w:tcPr>
          <w:p w14:paraId="215AC14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城市/农村选项</w:t>
            </w:r>
          </w:p>
        </w:tc>
        <w:tc>
          <w:tcPr>
            <w:tcW w:w="0" w:type="dxa"/>
            <w:vAlign w:val="center"/>
          </w:tcPr>
          <w:p w14:paraId="45749DE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城市/农村</w:t>
            </w:r>
          </w:p>
        </w:tc>
        <w:tc>
          <w:tcPr>
            <w:tcW w:w="0" w:type="dxa"/>
            <w:vAlign w:val="center"/>
          </w:tcPr>
          <w:p w14:paraId="365E6B3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农村</w:t>
            </w:r>
          </w:p>
        </w:tc>
      </w:tr>
      <w:tr w14:paraId="06FFA7E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0" w:hRule="atLeast"/>
        </w:trPr>
        <w:tc>
          <w:tcPr>
            <w:tcW w:w="0" w:type="dxa"/>
            <w:vMerge w:val="continue"/>
            <w:vAlign w:val="center"/>
          </w:tcPr>
          <w:p w14:paraId="125F0E50">
            <w:pPr>
              <w:spacing w:line="300" w:lineRule="exact"/>
              <w:jc w:val="center"/>
              <w:rPr>
                <w:rFonts w:hint="default" w:ascii="Times New Roman" w:hAnsi="Times New Roman" w:eastAsia="华文中宋" w:cs="Times New Roman"/>
                <w:szCs w:val="21"/>
                <w:lang w:val="en-US" w:eastAsia="zh-CN"/>
              </w:rPr>
            </w:pPr>
          </w:p>
        </w:tc>
        <w:tc>
          <w:tcPr>
            <w:tcW w:w="0" w:type="dxa"/>
            <w:vAlign w:val="center"/>
          </w:tcPr>
          <w:p w14:paraId="34CC59E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人口数（城市人口数）</w:t>
            </w:r>
          </w:p>
        </w:tc>
        <w:tc>
          <w:tcPr>
            <w:tcW w:w="0" w:type="dxa"/>
            <w:vAlign w:val="center"/>
          </w:tcPr>
          <w:p w14:paraId="7F02970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w:t>
            </w:r>
          </w:p>
        </w:tc>
      </w:tr>
      <w:tr w14:paraId="47B6061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35" w:hRule="atLeast"/>
        </w:trPr>
        <w:tc>
          <w:tcPr>
            <w:tcW w:w="0" w:type="dxa"/>
            <w:gridSpan w:val="2"/>
            <w:vAlign w:val="center"/>
          </w:tcPr>
          <w:p w14:paraId="4BE05DC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最高环境温度</w:t>
            </w:r>
          </w:p>
        </w:tc>
        <w:tc>
          <w:tcPr>
            <w:tcW w:w="0" w:type="dxa"/>
            <w:vAlign w:val="center"/>
          </w:tcPr>
          <w:p w14:paraId="11B28E9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25.0</w:t>
            </w:r>
          </w:p>
        </w:tc>
      </w:tr>
      <w:tr w14:paraId="5BDCF2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0" w:type="dxa"/>
            <w:gridSpan w:val="2"/>
            <w:vAlign w:val="center"/>
          </w:tcPr>
          <w:p w14:paraId="0EE3ABE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最低环境温度</w:t>
            </w:r>
          </w:p>
        </w:tc>
        <w:tc>
          <w:tcPr>
            <w:tcW w:w="0" w:type="dxa"/>
            <w:vAlign w:val="center"/>
          </w:tcPr>
          <w:p w14:paraId="2E42E9D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-40.0</w:t>
            </w:r>
          </w:p>
        </w:tc>
      </w:tr>
      <w:tr w14:paraId="7345A3F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0" w:type="dxa"/>
            <w:gridSpan w:val="2"/>
            <w:vAlign w:val="center"/>
          </w:tcPr>
          <w:p w14:paraId="5E8290F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土地利用类型</w:t>
            </w:r>
          </w:p>
        </w:tc>
        <w:tc>
          <w:tcPr>
            <w:tcW w:w="0" w:type="dxa"/>
            <w:vAlign w:val="center"/>
          </w:tcPr>
          <w:p w14:paraId="101ED76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草地</w:t>
            </w:r>
          </w:p>
        </w:tc>
      </w:tr>
      <w:tr w14:paraId="23B91F7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0" w:type="dxa"/>
            <w:gridSpan w:val="2"/>
            <w:vAlign w:val="center"/>
          </w:tcPr>
          <w:p w14:paraId="35ECA22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区域湿度条件</w:t>
            </w:r>
          </w:p>
        </w:tc>
        <w:tc>
          <w:tcPr>
            <w:tcW w:w="0" w:type="dxa"/>
            <w:vAlign w:val="center"/>
          </w:tcPr>
          <w:p w14:paraId="7FCAA99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干燥</w:t>
            </w:r>
          </w:p>
        </w:tc>
      </w:tr>
      <w:tr w14:paraId="3709963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0" w:type="dxa"/>
            <w:vMerge w:val="restart"/>
            <w:vAlign w:val="center"/>
          </w:tcPr>
          <w:p w14:paraId="5991B7A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是否考虑地形</w:t>
            </w:r>
          </w:p>
        </w:tc>
        <w:tc>
          <w:tcPr>
            <w:tcW w:w="0" w:type="dxa"/>
            <w:vAlign w:val="center"/>
          </w:tcPr>
          <w:p w14:paraId="3F2B998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考虑地形</w:t>
            </w:r>
          </w:p>
        </w:tc>
        <w:tc>
          <w:tcPr>
            <w:tcW w:w="0" w:type="dxa"/>
            <w:vAlign w:val="center"/>
          </w:tcPr>
          <w:p w14:paraId="2185766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是</w:t>
            </w:r>
          </w:p>
        </w:tc>
      </w:tr>
      <w:tr w14:paraId="0FD8E48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0" w:type="dxa"/>
            <w:vMerge w:val="continue"/>
            <w:vAlign w:val="center"/>
          </w:tcPr>
          <w:p w14:paraId="3749EB69">
            <w:pPr>
              <w:spacing w:line="300" w:lineRule="exact"/>
              <w:jc w:val="center"/>
              <w:rPr>
                <w:rFonts w:hint="default" w:ascii="Times New Roman" w:hAnsi="Times New Roman" w:eastAsia="华文中宋" w:cs="Times New Roman"/>
                <w:szCs w:val="21"/>
                <w:lang w:val="en-US" w:eastAsia="zh-CN"/>
              </w:rPr>
            </w:pPr>
          </w:p>
        </w:tc>
        <w:tc>
          <w:tcPr>
            <w:tcW w:w="0" w:type="dxa"/>
            <w:vAlign w:val="center"/>
          </w:tcPr>
          <w:p w14:paraId="73E3E0A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地形数据分辨率（m）</w:t>
            </w:r>
          </w:p>
        </w:tc>
        <w:tc>
          <w:tcPr>
            <w:tcW w:w="0" w:type="dxa"/>
            <w:vAlign w:val="center"/>
          </w:tcPr>
          <w:p w14:paraId="1BD72B3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90</w:t>
            </w:r>
          </w:p>
        </w:tc>
      </w:tr>
      <w:tr w14:paraId="7921944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0" w:type="dxa"/>
            <w:vMerge w:val="restart"/>
            <w:vAlign w:val="center"/>
          </w:tcPr>
          <w:p w14:paraId="427C07F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是否考虑岸线熏烟</w:t>
            </w:r>
          </w:p>
        </w:tc>
        <w:tc>
          <w:tcPr>
            <w:tcW w:w="0" w:type="dxa"/>
            <w:vAlign w:val="center"/>
          </w:tcPr>
          <w:p w14:paraId="3056B98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考虑岸线熏烟</w:t>
            </w:r>
          </w:p>
        </w:tc>
        <w:tc>
          <w:tcPr>
            <w:tcW w:w="0" w:type="dxa"/>
            <w:vAlign w:val="center"/>
          </w:tcPr>
          <w:p w14:paraId="1DD9CBA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否</w:t>
            </w:r>
          </w:p>
        </w:tc>
      </w:tr>
      <w:tr w14:paraId="75EE2A2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0" w:type="dxa"/>
            <w:vMerge w:val="continue"/>
            <w:vAlign w:val="center"/>
          </w:tcPr>
          <w:p w14:paraId="66AD5250">
            <w:pPr>
              <w:spacing w:line="300" w:lineRule="exact"/>
              <w:jc w:val="center"/>
              <w:rPr>
                <w:rFonts w:hint="default" w:ascii="Times New Roman" w:hAnsi="Times New Roman" w:eastAsia="华文中宋" w:cs="Times New Roman"/>
                <w:szCs w:val="21"/>
                <w:lang w:val="en-US" w:eastAsia="zh-CN"/>
              </w:rPr>
            </w:pPr>
          </w:p>
        </w:tc>
        <w:tc>
          <w:tcPr>
            <w:tcW w:w="0" w:type="dxa"/>
            <w:vAlign w:val="center"/>
          </w:tcPr>
          <w:p w14:paraId="09C561F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岸线距离/m</w:t>
            </w:r>
          </w:p>
        </w:tc>
        <w:tc>
          <w:tcPr>
            <w:tcW w:w="0" w:type="dxa"/>
            <w:vAlign w:val="center"/>
          </w:tcPr>
          <w:p w14:paraId="499A8C5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w:t>
            </w:r>
          </w:p>
        </w:tc>
      </w:tr>
      <w:tr w14:paraId="0A85D3A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10" w:hRule="atLeast"/>
        </w:trPr>
        <w:tc>
          <w:tcPr>
            <w:tcW w:w="0" w:type="dxa"/>
            <w:vMerge w:val="continue"/>
            <w:vAlign w:val="center"/>
          </w:tcPr>
          <w:p w14:paraId="0FA014EE">
            <w:pPr>
              <w:spacing w:line="300" w:lineRule="exact"/>
              <w:jc w:val="center"/>
              <w:rPr>
                <w:rFonts w:hint="default" w:ascii="Times New Roman" w:hAnsi="Times New Roman" w:eastAsia="华文中宋" w:cs="Times New Roman"/>
                <w:szCs w:val="21"/>
                <w:lang w:val="en-US" w:eastAsia="zh-CN"/>
              </w:rPr>
            </w:pPr>
          </w:p>
        </w:tc>
        <w:tc>
          <w:tcPr>
            <w:tcW w:w="0" w:type="dxa"/>
            <w:vAlign w:val="center"/>
          </w:tcPr>
          <w:p w14:paraId="0B819FE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岸线方向/°</w:t>
            </w:r>
          </w:p>
        </w:tc>
        <w:tc>
          <w:tcPr>
            <w:tcW w:w="0" w:type="dxa"/>
            <w:vAlign w:val="center"/>
          </w:tcPr>
          <w:p w14:paraId="724AD7B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w:t>
            </w:r>
          </w:p>
        </w:tc>
      </w:tr>
    </w:tbl>
    <w:p w14:paraId="7BD2AB2F">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cs="Times New Roman"/>
          <w:color w:val="auto"/>
          <w:lang w:val="en-US" w:eastAsia="zh-CN"/>
        </w:rPr>
        <w:t>（6）</w:t>
      </w:r>
      <w:r>
        <w:rPr>
          <w:rFonts w:hint="default" w:ascii="Times New Roman" w:hAnsi="Times New Roman" w:eastAsia="华文中宋" w:cs="Times New Roman"/>
          <w:color w:val="auto"/>
          <w:lang w:val="en-US" w:eastAsia="zh-CN"/>
        </w:rPr>
        <w:t>初步预测（估算模式）</w:t>
      </w:r>
    </w:p>
    <w:p w14:paraId="5BCF4EEF">
      <w:pPr>
        <w:pStyle w:val="24"/>
        <w:snapToGrid w:val="0"/>
        <w:jc w:val="left"/>
        <w:rPr>
          <w:rFonts w:hint="default" w:ascii="Times New Roman" w:hAnsi="Times New Roman" w:cs="Times New Roman"/>
          <w:color w:val="auto"/>
          <w:lang w:val="en-US" w:eastAsia="zh-CN"/>
        </w:rPr>
      </w:pPr>
      <w:r>
        <w:rPr>
          <w:rFonts w:hint="default" w:ascii="Times New Roman" w:hAnsi="Times New Roman" w:eastAsia="华文中宋" w:cs="Times New Roman"/>
          <w:color w:val="auto"/>
          <w:lang w:val="en-US" w:eastAsia="zh-CN"/>
        </w:rPr>
        <w:t>根据《环境影响评价技术导则 大气</w:t>
      </w:r>
      <w:r>
        <w:rPr>
          <w:rFonts w:hint="eastAsia" w:ascii="Times New Roman" w:hAnsi="Times New Roman" w:cs="Times New Roman"/>
          <w:color w:val="auto"/>
          <w:lang w:val="en-US" w:eastAsia="zh-CN"/>
        </w:rPr>
        <w:t>环境</w:t>
      </w:r>
      <w:r>
        <w:rPr>
          <w:rFonts w:hint="default" w:ascii="Times New Roman" w:hAnsi="Times New Roman" w:eastAsia="华文中宋" w:cs="Times New Roman"/>
          <w:color w:val="auto"/>
          <w:lang w:val="en-US" w:eastAsia="zh-CN"/>
        </w:rPr>
        <w:t>》（HJ2.2-2018），采用附录A推</w:t>
      </w:r>
      <w:r>
        <w:rPr>
          <w:rFonts w:hint="default" w:ascii="Times New Roman" w:hAnsi="Times New Roman" w:cs="Times New Roman"/>
          <w:color w:val="auto"/>
          <w:lang w:val="en-US" w:eastAsia="zh-CN"/>
        </w:rPr>
        <w:t>荐模型中估算模型分别计算项目污染源的最大环境影响。</w:t>
      </w:r>
    </w:p>
    <w:p w14:paraId="4DCF2ADB">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cs="Times New Roman"/>
          <w:color w:val="auto"/>
          <w:lang w:val="en-US" w:eastAsia="zh-CN"/>
        </w:rPr>
        <w:t>（7）主要</w:t>
      </w:r>
      <w:r>
        <w:rPr>
          <w:rFonts w:hint="default" w:ascii="Times New Roman" w:hAnsi="Times New Roman" w:eastAsia="华文中宋" w:cs="Times New Roman"/>
          <w:color w:val="auto"/>
          <w:lang w:val="en-US" w:eastAsia="zh-CN"/>
        </w:rPr>
        <w:t>污染源估算模型计算结果汇总</w:t>
      </w:r>
    </w:p>
    <w:p w14:paraId="6E846D18">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①正常情况</w:t>
      </w:r>
    </w:p>
    <w:p w14:paraId="7CD4EA61">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正常情况下本项目排放的各污染物最大落地浓度和占标率以及评价范围的落地浓度及占标率见表5.2-</w:t>
      </w:r>
      <w:r>
        <w:rPr>
          <w:rFonts w:hint="eastAsia" w:ascii="Times New Roman" w:hAnsi="Times New Roman" w:cs="Times New Roman"/>
          <w:color w:val="auto"/>
          <w:lang w:val="en-US" w:eastAsia="zh-CN"/>
        </w:rPr>
        <w:t>4</w:t>
      </w:r>
      <w:r>
        <w:rPr>
          <w:rFonts w:hint="default" w:ascii="Times New Roman" w:hAnsi="Times New Roman" w:eastAsia="华文中宋" w:cs="Times New Roman"/>
          <w:color w:val="auto"/>
          <w:lang w:val="en-US" w:eastAsia="zh-CN"/>
        </w:rPr>
        <w:t>。</w:t>
      </w:r>
    </w:p>
    <w:p w14:paraId="2FDA9270">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表5.2-</w:t>
      </w:r>
      <w:r>
        <w:rPr>
          <w:rFonts w:hint="eastAsia" w:ascii="Times New Roman" w:hAnsi="Times New Roman" w:eastAsia="华文中宋" w:cs="Times New Roman"/>
          <w:b/>
          <w:szCs w:val="21"/>
          <w:lang w:val="en-US" w:eastAsia="zh-CN"/>
        </w:rPr>
        <w:t xml:space="preserve">4  </w:t>
      </w:r>
      <w:r>
        <w:rPr>
          <w:rFonts w:hint="default" w:ascii="Times New Roman" w:hAnsi="Times New Roman" w:eastAsia="华文中宋" w:cs="Times New Roman"/>
          <w:b/>
          <w:szCs w:val="21"/>
          <w:lang w:val="en-US" w:eastAsia="zh-CN"/>
        </w:rPr>
        <w:t>无组织大气污染物估算模式计算结果表</w:t>
      </w:r>
    </w:p>
    <w:tbl>
      <w:tblPr>
        <w:tblStyle w:val="19"/>
        <w:tblW w:w="4998"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961"/>
        <w:gridCol w:w="1667"/>
        <w:gridCol w:w="2223"/>
        <w:gridCol w:w="1403"/>
        <w:gridCol w:w="1265"/>
      </w:tblGrid>
      <w:tr w14:paraId="3831B20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11" w:hRule="atLeast"/>
        </w:trPr>
        <w:tc>
          <w:tcPr>
            <w:tcW w:w="1150" w:type="pct"/>
            <w:vAlign w:val="center"/>
          </w:tcPr>
          <w:p w14:paraId="1CD6B83B">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污染源名称</w:t>
            </w:r>
          </w:p>
        </w:tc>
        <w:tc>
          <w:tcPr>
            <w:tcW w:w="978" w:type="pct"/>
            <w:vAlign w:val="center"/>
          </w:tcPr>
          <w:p w14:paraId="6327F822">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评价因子</w:t>
            </w:r>
          </w:p>
        </w:tc>
        <w:tc>
          <w:tcPr>
            <w:tcW w:w="1304" w:type="pct"/>
            <w:vAlign w:val="center"/>
          </w:tcPr>
          <w:p w14:paraId="04405936">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评价标准（μg/m³）</w:t>
            </w:r>
          </w:p>
        </w:tc>
        <w:tc>
          <w:tcPr>
            <w:tcW w:w="823" w:type="pct"/>
            <w:vAlign w:val="center"/>
          </w:tcPr>
          <w:p w14:paraId="5ACF34E5">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Cmax</w:t>
            </w:r>
          </w:p>
        </w:tc>
        <w:tc>
          <w:tcPr>
            <w:tcW w:w="742" w:type="pct"/>
            <w:vAlign w:val="center"/>
          </w:tcPr>
          <w:p w14:paraId="141E8124">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Pmax(%)</w:t>
            </w:r>
          </w:p>
        </w:tc>
      </w:tr>
      <w:tr w14:paraId="7F807E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3" w:hRule="atLeast"/>
        </w:trPr>
        <w:tc>
          <w:tcPr>
            <w:tcW w:w="1150" w:type="pct"/>
            <w:vMerge w:val="restart"/>
            <w:vAlign w:val="center"/>
          </w:tcPr>
          <w:p w14:paraId="6D221510">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南露天采矿场</w:t>
            </w:r>
          </w:p>
        </w:tc>
        <w:tc>
          <w:tcPr>
            <w:tcW w:w="978" w:type="pct"/>
            <w:vAlign w:val="center"/>
          </w:tcPr>
          <w:p w14:paraId="3897321D">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TSP</w:t>
            </w:r>
          </w:p>
        </w:tc>
        <w:tc>
          <w:tcPr>
            <w:tcW w:w="1304" w:type="pct"/>
            <w:vAlign w:val="center"/>
          </w:tcPr>
          <w:p w14:paraId="666CB23E">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900.0</w:t>
            </w:r>
          </w:p>
        </w:tc>
        <w:tc>
          <w:tcPr>
            <w:tcW w:w="823" w:type="pct"/>
            <w:vAlign w:val="center"/>
          </w:tcPr>
          <w:p w14:paraId="7A8D2DFD">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14.67</w:t>
            </w:r>
          </w:p>
        </w:tc>
        <w:tc>
          <w:tcPr>
            <w:tcW w:w="742" w:type="pct"/>
            <w:vAlign w:val="center"/>
          </w:tcPr>
          <w:p w14:paraId="17754D4E">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1.63</w:t>
            </w:r>
          </w:p>
        </w:tc>
      </w:tr>
      <w:tr w14:paraId="4B7F68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150" w:type="pct"/>
            <w:vMerge w:val="continue"/>
            <w:vAlign w:val="center"/>
          </w:tcPr>
          <w:p w14:paraId="322D40EE">
            <w:pPr>
              <w:spacing w:line="300" w:lineRule="exact"/>
              <w:jc w:val="center"/>
              <w:rPr>
                <w:rFonts w:hint="default" w:ascii="Times New Roman" w:hAnsi="Times New Roman" w:eastAsia="华文中宋" w:cs="Times New Roman"/>
                <w:szCs w:val="21"/>
                <w:highlight w:val="none"/>
                <w:lang w:val="en-US" w:eastAsia="zh-CN"/>
              </w:rPr>
            </w:pPr>
          </w:p>
        </w:tc>
        <w:tc>
          <w:tcPr>
            <w:tcW w:w="978" w:type="pct"/>
            <w:vAlign w:val="center"/>
          </w:tcPr>
          <w:p w14:paraId="22E1760C">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铅（pb）</w:t>
            </w:r>
          </w:p>
        </w:tc>
        <w:tc>
          <w:tcPr>
            <w:tcW w:w="1304" w:type="pct"/>
            <w:vAlign w:val="center"/>
          </w:tcPr>
          <w:p w14:paraId="64E9BA13">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3</w:t>
            </w:r>
          </w:p>
        </w:tc>
        <w:tc>
          <w:tcPr>
            <w:tcW w:w="823" w:type="pct"/>
            <w:vAlign w:val="center"/>
          </w:tcPr>
          <w:p w14:paraId="53B058B0">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0.293</w:t>
            </w:r>
          </w:p>
        </w:tc>
        <w:tc>
          <w:tcPr>
            <w:tcW w:w="742" w:type="pct"/>
            <w:vAlign w:val="center"/>
          </w:tcPr>
          <w:p w14:paraId="63361CFB">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9.77</w:t>
            </w:r>
          </w:p>
        </w:tc>
      </w:tr>
      <w:tr w14:paraId="1CF0420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91" w:hRule="atLeast"/>
        </w:trPr>
        <w:tc>
          <w:tcPr>
            <w:tcW w:w="1150" w:type="pct"/>
            <w:vMerge w:val="restart"/>
            <w:vAlign w:val="center"/>
          </w:tcPr>
          <w:p w14:paraId="7E1F05F9">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表土堆放场</w:t>
            </w:r>
          </w:p>
        </w:tc>
        <w:tc>
          <w:tcPr>
            <w:tcW w:w="978" w:type="pct"/>
            <w:vAlign w:val="center"/>
          </w:tcPr>
          <w:p w14:paraId="22E65248">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TSP</w:t>
            </w:r>
          </w:p>
        </w:tc>
        <w:tc>
          <w:tcPr>
            <w:tcW w:w="1304" w:type="pct"/>
            <w:vAlign w:val="center"/>
          </w:tcPr>
          <w:p w14:paraId="3086941B">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900.0</w:t>
            </w:r>
          </w:p>
        </w:tc>
        <w:tc>
          <w:tcPr>
            <w:tcW w:w="823" w:type="pct"/>
            <w:vAlign w:val="center"/>
          </w:tcPr>
          <w:p w14:paraId="34F11418">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8.19</w:t>
            </w:r>
          </w:p>
        </w:tc>
        <w:tc>
          <w:tcPr>
            <w:tcW w:w="742" w:type="pct"/>
            <w:vAlign w:val="center"/>
          </w:tcPr>
          <w:p w14:paraId="5A50B983">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0.91</w:t>
            </w:r>
          </w:p>
        </w:tc>
      </w:tr>
      <w:tr w14:paraId="1055E2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2" w:hRule="atLeast"/>
        </w:trPr>
        <w:tc>
          <w:tcPr>
            <w:tcW w:w="1150" w:type="pct"/>
            <w:vMerge w:val="continue"/>
            <w:vAlign w:val="center"/>
          </w:tcPr>
          <w:p w14:paraId="19E96DF9">
            <w:pPr>
              <w:spacing w:line="300" w:lineRule="exact"/>
              <w:jc w:val="center"/>
              <w:rPr>
                <w:rFonts w:hint="default" w:ascii="Times New Roman" w:hAnsi="Times New Roman" w:eastAsia="华文中宋" w:cs="Times New Roman"/>
                <w:szCs w:val="21"/>
                <w:highlight w:val="none"/>
                <w:lang w:val="en-US" w:eastAsia="zh-CN"/>
              </w:rPr>
            </w:pPr>
          </w:p>
        </w:tc>
        <w:tc>
          <w:tcPr>
            <w:tcW w:w="978" w:type="pct"/>
            <w:vAlign w:val="center"/>
          </w:tcPr>
          <w:p w14:paraId="5B9FA32B">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铅（pb）</w:t>
            </w:r>
          </w:p>
        </w:tc>
        <w:tc>
          <w:tcPr>
            <w:tcW w:w="1304" w:type="pct"/>
            <w:vAlign w:val="center"/>
          </w:tcPr>
          <w:p w14:paraId="56ACDD31">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3</w:t>
            </w:r>
          </w:p>
        </w:tc>
        <w:tc>
          <w:tcPr>
            <w:tcW w:w="823" w:type="pct"/>
            <w:vAlign w:val="center"/>
          </w:tcPr>
          <w:p w14:paraId="29C7CABB">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0.0003</w:t>
            </w:r>
          </w:p>
        </w:tc>
        <w:tc>
          <w:tcPr>
            <w:tcW w:w="742" w:type="pct"/>
            <w:vAlign w:val="center"/>
          </w:tcPr>
          <w:p w14:paraId="1FF19471">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0.01</w:t>
            </w:r>
          </w:p>
        </w:tc>
      </w:tr>
      <w:tr w14:paraId="4C52951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20" w:hRule="atLeast"/>
        </w:trPr>
        <w:tc>
          <w:tcPr>
            <w:tcW w:w="1150" w:type="pct"/>
            <w:vMerge w:val="restart"/>
            <w:vAlign w:val="center"/>
          </w:tcPr>
          <w:p w14:paraId="45776E35">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北露天采矿场</w:t>
            </w:r>
          </w:p>
        </w:tc>
        <w:tc>
          <w:tcPr>
            <w:tcW w:w="978" w:type="pct"/>
            <w:vAlign w:val="center"/>
          </w:tcPr>
          <w:p w14:paraId="57CBB063">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TSP</w:t>
            </w:r>
          </w:p>
        </w:tc>
        <w:tc>
          <w:tcPr>
            <w:tcW w:w="1304" w:type="pct"/>
            <w:vAlign w:val="center"/>
          </w:tcPr>
          <w:p w14:paraId="353C53C0">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900.0</w:t>
            </w:r>
          </w:p>
        </w:tc>
        <w:tc>
          <w:tcPr>
            <w:tcW w:w="823" w:type="pct"/>
            <w:vAlign w:val="center"/>
          </w:tcPr>
          <w:p w14:paraId="55DA420E">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11.61</w:t>
            </w:r>
          </w:p>
        </w:tc>
        <w:tc>
          <w:tcPr>
            <w:tcW w:w="742" w:type="pct"/>
            <w:vAlign w:val="center"/>
          </w:tcPr>
          <w:p w14:paraId="5139F77A">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1.29</w:t>
            </w:r>
          </w:p>
        </w:tc>
      </w:tr>
      <w:tr w14:paraId="0BEEF88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7" w:hRule="atLeast"/>
        </w:trPr>
        <w:tc>
          <w:tcPr>
            <w:tcW w:w="1150" w:type="pct"/>
            <w:vMerge w:val="continue"/>
            <w:vAlign w:val="center"/>
          </w:tcPr>
          <w:p w14:paraId="10AD21A1">
            <w:pPr>
              <w:spacing w:line="300" w:lineRule="exact"/>
              <w:jc w:val="center"/>
              <w:rPr>
                <w:rFonts w:hint="default" w:ascii="Times New Roman" w:hAnsi="Times New Roman" w:eastAsia="华文中宋" w:cs="Times New Roman"/>
                <w:szCs w:val="21"/>
                <w:highlight w:val="none"/>
                <w:lang w:val="en-US" w:eastAsia="zh-CN"/>
              </w:rPr>
            </w:pPr>
          </w:p>
        </w:tc>
        <w:tc>
          <w:tcPr>
            <w:tcW w:w="978" w:type="pct"/>
            <w:vAlign w:val="center"/>
          </w:tcPr>
          <w:p w14:paraId="37F71DCD">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铅（pb）</w:t>
            </w:r>
          </w:p>
        </w:tc>
        <w:tc>
          <w:tcPr>
            <w:tcW w:w="1304" w:type="pct"/>
            <w:vAlign w:val="center"/>
          </w:tcPr>
          <w:p w14:paraId="44383505">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3</w:t>
            </w:r>
          </w:p>
        </w:tc>
        <w:tc>
          <w:tcPr>
            <w:tcW w:w="823" w:type="pct"/>
            <w:vAlign w:val="center"/>
          </w:tcPr>
          <w:p w14:paraId="6821F616">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0.231</w:t>
            </w:r>
          </w:p>
        </w:tc>
        <w:tc>
          <w:tcPr>
            <w:tcW w:w="742" w:type="pct"/>
            <w:vAlign w:val="center"/>
          </w:tcPr>
          <w:p w14:paraId="3866F61C">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7.69</w:t>
            </w:r>
          </w:p>
        </w:tc>
      </w:tr>
      <w:tr w14:paraId="5309FA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73" w:hRule="atLeast"/>
        </w:trPr>
        <w:tc>
          <w:tcPr>
            <w:tcW w:w="1150" w:type="pct"/>
            <w:vMerge w:val="restart"/>
            <w:vAlign w:val="center"/>
          </w:tcPr>
          <w:p w14:paraId="3D221CF6">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废石堆放场</w:t>
            </w:r>
          </w:p>
        </w:tc>
        <w:tc>
          <w:tcPr>
            <w:tcW w:w="978" w:type="pct"/>
            <w:vAlign w:val="center"/>
          </w:tcPr>
          <w:p w14:paraId="7752163B">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TSP</w:t>
            </w:r>
          </w:p>
        </w:tc>
        <w:tc>
          <w:tcPr>
            <w:tcW w:w="1304" w:type="pct"/>
            <w:vAlign w:val="center"/>
          </w:tcPr>
          <w:p w14:paraId="4F3D6269">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900.0</w:t>
            </w:r>
          </w:p>
        </w:tc>
        <w:tc>
          <w:tcPr>
            <w:tcW w:w="823" w:type="pct"/>
            <w:vAlign w:val="center"/>
          </w:tcPr>
          <w:p w14:paraId="50BF8B99">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2.79</w:t>
            </w:r>
          </w:p>
        </w:tc>
        <w:tc>
          <w:tcPr>
            <w:tcW w:w="742" w:type="pct"/>
            <w:vAlign w:val="center"/>
          </w:tcPr>
          <w:p w14:paraId="792A72D0">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0.31</w:t>
            </w:r>
          </w:p>
        </w:tc>
      </w:tr>
      <w:tr w14:paraId="6A134AD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62" w:hRule="atLeast"/>
        </w:trPr>
        <w:tc>
          <w:tcPr>
            <w:tcW w:w="1150" w:type="pct"/>
            <w:vMerge w:val="continue"/>
            <w:vAlign w:val="center"/>
          </w:tcPr>
          <w:p w14:paraId="6A54A77E">
            <w:pPr>
              <w:spacing w:line="300" w:lineRule="exact"/>
              <w:jc w:val="center"/>
              <w:rPr>
                <w:rFonts w:hint="default" w:ascii="Times New Roman" w:hAnsi="Times New Roman" w:eastAsia="华文中宋" w:cs="Times New Roman"/>
                <w:szCs w:val="21"/>
                <w:highlight w:val="none"/>
                <w:lang w:val="en-US" w:eastAsia="zh-CN"/>
              </w:rPr>
            </w:pPr>
          </w:p>
        </w:tc>
        <w:tc>
          <w:tcPr>
            <w:tcW w:w="978" w:type="pct"/>
            <w:vAlign w:val="center"/>
          </w:tcPr>
          <w:p w14:paraId="71D108FB">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铅（pb）</w:t>
            </w:r>
          </w:p>
        </w:tc>
        <w:tc>
          <w:tcPr>
            <w:tcW w:w="1304" w:type="pct"/>
            <w:vAlign w:val="center"/>
          </w:tcPr>
          <w:p w14:paraId="7C5602D7">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3</w:t>
            </w:r>
          </w:p>
        </w:tc>
        <w:tc>
          <w:tcPr>
            <w:tcW w:w="823" w:type="pct"/>
            <w:vAlign w:val="center"/>
          </w:tcPr>
          <w:p w14:paraId="065DDBC4">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0.000</w:t>
            </w:r>
          </w:p>
        </w:tc>
        <w:tc>
          <w:tcPr>
            <w:tcW w:w="742" w:type="pct"/>
            <w:vAlign w:val="center"/>
          </w:tcPr>
          <w:p w14:paraId="33BF6500">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w:t>
            </w:r>
          </w:p>
        </w:tc>
      </w:tr>
      <w:tr w14:paraId="54E909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5" w:hRule="atLeast"/>
        </w:trPr>
        <w:tc>
          <w:tcPr>
            <w:tcW w:w="1150" w:type="pct"/>
            <w:vMerge w:val="restart"/>
            <w:vAlign w:val="center"/>
          </w:tcPr>
          <w:p w14:paraId="3CC4D433">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矿石转运场</w:t>
            </w:r>
          </w:p>
        </w:tc>
        <w:tc>
          <w:tcPr>
            <w:tcW w:w="978" w:type="pct"/>
            <w:vAlign w:val="center"/>
          </w:tcPr>
          <w:p w14:paraId="204C10C4">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TSP</w:t>
            </w:r>
          </w:p>
        </w:tc>
        <w:tc>
          <w:tcPr>
            <w:tcW w:w="1304" w:type="pct"/>
            <w:vAlign w:val="center"/>
          </w:tcPr>
          <w:p w14:paraId="51E6DE41">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900.0</w:t>
            </w:r>
          </w:p>
        </w:tc>
        <w:tc>
          <w:tcPr>
            <w:tcW w:w="823" w:type="pct"/>
            <w:vAlign w:val="center"/>
          </w:tcPr>
          <w:p w14:paraId="5E1F369F">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1.26</w:t>
            </w:r>
          </w:p>
        </w:tc>
        <w:tc>
          <w:tcPr>
            <w:tcW w:w="742" w:type="pct"/>
            <w:vAlign w:val="center"/>
          </w:tcPr>
          <w:p w14:paraId="61FA529B">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0.14</w:t>
            </w:r>
          </w:p>
        </w:tc>
      </w:tr>
      <w:tr w14:paraId="6D155C1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1150" w:type="pct"/>
            <w:vMerge w:val="continue"/>
            <w:vAlign w:val="center"/>
          </w:tcPr>
          <w:p w14:paraId="3769CD4B">
            <w:pPr>
              <w:spacing w:line="300" w:lineRule="exact"/>
              <w:jc w:val="center"/>
              <w:rPr>
                <w:rFonts w:hint="eastAsia" w:ascii="Times New Roman" w:hAnsi="Times New Roman" w:eastAsia="华文中宋" w:cs="Times New Roman"/>
                <w:szCs w:val="21"/>
                <w:highlight w:val="none"/>
                <w:lang w:val="en-US" w:eastAsia="zh-CN"/>
              </w:rPr>
            </w:pPr>
          </w:p>
        </w:tc>
        <w:tc>
          <w:tcPr>
            <w:tcW w:w="978" w:type="pct"/>
            <w:vAlign w:val="center"/>
          </w:tcPr>
          <w:p w14:paraId="4C3525F0">
            <w:pPr>
              <w:spacing w:line="300" w:lineRule="exact"/>
              <w:jc w:val="center"/>
              <w:rPr>
                <w:rFonts w:hint="eastAsia"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铅（pb）</w:t>
            </w:r>
          </w:p>
        </w:tc>
        <w:tc>
          <w:tcPr>
            <w:tcW w:w="1304" w:type="pct"/>
            <w:vAlign w:val="center"/>
          </w:tcPr>
          <w:p w14:paraId="03B304B9">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3</w:t>
            </w:r>
          </w:p>
        </w:tc>
        <w:tc>
          <w:tcPr>
            <w:tcW w:w="823" w:type="pct"/>
            <w:vAlign w:val="center"/>
          </w:tcPr>
          <w:p w14:paraId="405A0FD2">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0.229</w:t>
            </w:r>
          </w:p>
        </w:tc>
        <w:tc>
          <w:tcPr>
            <w:tcW w:w="742" w:type="pct"/>
            <w:vAlign w:val="center"/>
          </w:tcPr>
          <w:p w14:paraId="12353C52">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7.62</w:t>
            </w:r>
          </w:p>
        </w:tc>
      </w:tr>
    </w:tbl>
    <w:p w14:paraId="19C58573">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default" w:ascii="Times New Roman" w:hAnsi="Times New Roman" w:eastAsia="华文中宋" w:cs="Times New Roman"/>
          <w:sz w:val="24"/>
          <w:highlight w:val="none"/>
          <w:lang w:val="en-US" w:eastAsia="zh-CN"/>
        </w:rPr>
        <w:t>根据估算模式AERSCREEN计算结果表明，本项目TSPP</w:t>
      </w:r>
      <w:r>
        <w:rPr>
          <w:rFonts w:hint="default" w:ascii="Times New Roman" w:hAnsi="Times New Roman" w:eastAsia="华文中宋" w:cs="Times New Roman"/>
          <w:sz w:val="24"/>
          <w:highlight w:val="none"/>
          <w:vertAlign w:val="subscript"/>
          <w:lang w:val="en-US" w:eastAsia="zh-CN"/>
        </w:rPr>
        <w:t>max</w:t>
      </w:r>
      <w:r>
        <w:rPr>
          <w:rFonts w:hint="default" w:ascii="Times New Roman" w:hAnsi="Times New Roman" w:eastAsia="华文中宋" w:cs="Times New Roman"/>
          <w:sz w:val="24"/>
          <w:highlight w:val="none"/>
          <w:lang w:val="en-US" w:eastAsia="zh-CN"/>
        </w:rPr>
        <w:t>最大值出现</w:t>
      </w:r>
      <w:r>
        <w:rPr>
          <w:rFonts w:hint="eastAsia" w:ascii="Times New Roman" w:hAnsi="Times New Roman" w:eastAsia="华文中宋" w:cs="Times New Roman"/>
          <w:sz w:val="24"/>
          <w:highlight w:val="none"/>
          <w:lang w:val="en-US" w:eastAsia="zh-CN"/>
        </w:rPr>
        <w:t>在南露天采场</w:t>
      </w:r>
      <w:r>
        <w:rPr>
          <w:rFonts w:hint="default" w:ascii="Times New Roman" w:hAnsi="Times New Roman" w:eastAsia="华文中宋" w:cs="Times New Roman"/>
          <w:sz w:val="24"/>
          <w:highlight w:val="none"/>
          <w:lang w:val="en-US" w:eastAsia="zh-CN"/>
        </w:rPr>
        <w:t>排放</w:t>
      </w:r>
      <w:r>
        <w:rPr>
          <w:rFonts w:hint="eastAsia" w:ascii="Times New Roman" w:hAnsi="Times New Roman" w:eastAsia="华文中宋" w:cs="Times New Roman"/>
          <w:sz w:val="24"/>
          <w:highlight w:val="none"/>
          <w:lang w:val="en-US" w:eastAsia="zh-CN"/>
        </w:rPr>
        <w:t>面源</w:t>
      </w:r>
      <w:r>
        <w:rPr>
          <w:rFonts w:hint="default" w:ascii="Times New Roman" w:hAnsi="Times New Roman" w:eastAsia="华文中宋" w:cs="Times New Roman"/>
          <w:sz w:val="24"/>
          <w:highlight w:val="none"/>
          <w:lang w:val="en-US" w:eastAsia="zh-CN"/>
        </w:rPr>
        <w:t>，P</w:t>
      </w:r>
      <w:r>
        <w:rPr>
          <w:rFonts w:hint="default" w:ascii="Times New Roman" w:hAnsi="Times New Roman" w:eastAsia="华文中宋" w:cs="Times New Roman"/>
          <w:sz w:val="24"/>
          <w:highlight w:val="none"/>
          <w:vertAlign w:val="subscript"/>
          <w:lang w:val="en-US" w:eastAsia="zh-CN"/>
        </w:rPr>
        <w:t>max</w:t>
      </w:r>
      <w:r>
        <w:rPr>
          <w:rFonts w:hint="default" w:ascii="Times New Roman" w:hAnsi="Times New Roman" w:eastAsia="华文中宋" w:cs="Times New Roman"/>
          <w:sz w:val="24"/>
          <w:highlight w:val="none"/>
          <w:lang w:val="en-US" w:eastAsia="zh-CN"/>
        </w:rPr>
        <w:t>值为</w:t>
      </w:r>
      <w:r>
        <w:rPr>
          <w:rFonts w:hint="eastAsia" w:ascii="Times New Roman" w:hAnsi="Times New Roman" w:eastAsia="华文中宋" w:cs="Times New Roman"/>
          <w:sz w:val="24"/>
          <w:highlight w:val="none"/>
          <w:lang w:val="en-US" w:eastAsia="zh-CN"/>
        </w:rPr>
        <w:t>1.63</w:t>
      </w:r>
      <w:r>
        <w:rPr>
          <w:rFonts w:hint="default" w:ascii="Times New Roman" w:hAnsi="Times New Roman" w:eastAsia="华文中宋" w:cs="Times New Roman"/>
          <w:sz w:val="24"/>
          <w:highlight w:val="none"/>
          <w:lang w:val="en-US" w:eastAsia="zh-CN"/>
        </w:rPr>
        <w:t>%，C</w:t>
      </w:r>
      <w:r>
        <w:rPr>
          <w:rFonts w:hint="default" w:ascii="Times New Roman" w:hAnsi="Times New Roman" w:eastAsia="华文中宋" w:cs="Times New Roman"/>
          <w:sz w:val="24"/>
          <w:highlight w:val="none"/>
          <w:vertAlign w:val="subscript"/>
          <w:lang w:val="en-US" w:eastAsia="zh-CN"/>
        </w:rPr>
        <w:t>max</w:t>
      </w:r>
      <w:r>
        <w:rPr>
          <w:rFonts w:hint="default" w:ascii="Times New Roman" w:hAnsi="Times New Roman" w:eastAsia="华文中宋" w:cs="Times New Roman"/>
          <w:sz w:val="24"/>
          <w:highlight w:val="none"/>
          <w:lang w:val="en-US" w:eastAsia="zh-CN"/>
        </w:rPr>
        <w:t>为</w:t>
      </w:r>
      <w:r>
        <w:rPr>
          <w:rFonts w:hint="eastAsia" w:ascii="Times New Roman" w:hAnsi="Times New Roman" w:eastAsia="华文中宋" w:cs="Times New Roman"/>
          <w:sz w:val="24"/>
          <w:highlight w:val="none"/>
          <w:lang w:val="en-US" w:eastAsia="zh-CN"/>
        </w:rPr>
        <w:t>14.67</w:t>
      </w:r>
      <w:r>
        <w:rPr>
          <w:rFonts w:hint="default" w:ascii="Times New Roman" w:hAnsi="Times New Roman" w:eastAsia="华文中宋" w:cs="Times New Roman"/>
          <w:sz w:val="24"/>
          <w:highlight w:val="none"/>
          <w:lang w:val="en-US" w:eastAsia="zh-CN"/>
        </w:rPr>
        <w:t>μg/m³</w:t>
      </w:r>
      <w:r>
        <w:rPr>
          <w:rFonts w:hint="default" w:ascii="Times New Roman" w:hAnsi="Times New Roman" w:eastAsia="华文中宋" w:cs="Times New Roman"/>
          <w:sz w:val="24"/>
          <w:highlight w:val="none"/>
        </w:rPr>
        <w:t>，</w:t>
      </w:r>
      <w:r>
        <w:rPr>
          <w:rFonts w:hint="default" w:ascii="Times New Roman" w:hAnsi="Times New Roman" w:eastAsia="华文中宋" w:cs="Times New Roman"/>
          <w:sz w:val="24"/>
          <w:highlight w:val="none"/>
          <w:lang w:val="en-US" w:eastAsia="zh-CN"/>
        </w:rPr>
        <w:t>属于1%≤P</w:t>
      </w:r>
      <w:r>
        <w:rPr>
          <w:rFonts w:hint="default" w:ascii="Times New Roman" w:hAnsi="Times New Roman" w:eastAsia="华文中宋" w:cs="Times New Roman"/>
          <w:sz w:val="24"/>
          <w:highlight w:val="none"/>
          <w:vertAlign w:val="subscript"/>
          <w:lang w:val="en-US" w:eastAsia="zh-CN"/>
        </w:rPr>
        <w:t>max</w:t>
      </w:r>
      <w:r>
        <w:rPr>
          <w:rFonts w:hint="default" w:ascii="Times New Roman" w:hAnsi="Times New Roman" w:eastAsia="华文中宋" w:cs="Times New Roman"/>
          <w:sz w:val="24"/>
          <w:highlight w:val="none"/>
          <w:lang w:val="en-US" w:eastAsia="zh-CN"/>
        </w:rPr>
        <w:t>＜10%，</w:t>
      </w:r>
      <w:r>
        <w:rPr>
          <w:rFonts w:hint="eastAsia" w:ascii="Times New Roman" w:hAnsi="Times New Roman" w:eastAsia="华文中宋" w:cs="Times New Roman"/>
          <w:sz w:val="24"/>
          <w:highlight w:val="none"/>
          <w:lang w:val="en-US" w:eastAsia="zh-CN"/>
        </w:rPr>
        <w:t>本项目铅（pb）最大值出现在南露天采场，</w:t>
      </w:r>
      <w:r>
        <w:rPr>
          <w:rFonts w:hint="default" w:ascii="Times New Roman" w:hAnsi="Times New Roman" w:eastAsia="华文中宋" w:cs="Times New Roman"/>
          <w:sz w:val="24"/>
          <w:highlight w:val="none"/>
          <w:lang w:val="en-US" w:eastAsia="zh-CN"/>
        </w:rPr>
        <w:t>P</w:t>
      </w:r>
      <w:r>
        <w:rPr>
          <w:rFonts w:hint="default" w:ascii="Times New Roman" w:hAnsi="Times New Roman" w:eastAsia="华文中宋" w:cs="Times New Roman"/>
          <w:sz w:val="24"/>
          <w:highlight w:val="none"/>
          <w:vertAlign w:val="subscript"/>
          <w:lang w:val="en-US" w:eastAsia="zh-CN"/>
        </w:rPr>
        <w:t>max</w:t>
      </w:r>
      <w:r>
        <w:rPr>
          <w:rFonts w:hint="default" w:ascii="Times New Roman" w:hAnsi="Times New Roman" w:eastAsia="华文中宋" w:cs="Times New Roman"/>
          <w:sz w:val="24"/>
          <w:highlight w:val="none"/>
          <w:lang w:val="en-US" w:eastAsia="zh-CN"/>
        </w:rPr>
        <w:t>值为</w:t>
      </w:r>
      <w:r>
        <w:rPr>
          <w:rFonts w:hint="eastAsia" w:ascii="Times New Roman" w:hAnsi="Times New Roman" w:eastAsia="华文中宋" w:cs="Times New Roman"/>
          <w:sz w:val="24"/>
          <w:highlight w:val="none"/>
          <w:lang w:val="en-US" w:eastAsia="zh-CN"/>
        </w:rPr>
        <w:t>9.77</w:t>
      </w:r>
      <w:r>
        <w:rPr>
          <w:rFonts w:hint="default" w:ascii="Times New Roman" w:hAnsi="Times New Roman" w:eastAsia="华文中宋" w:cs="Times New Roman"/>
          <w:sz w:val="24"/>
          <w:highlight w:val="none"/>
          <w:lang w:val="en-US" w:eastAsia="zh-CN"/>
        </w:rPr>
        <w:t>%，C</w:t>
      </w:r>
      <w:r>
        <w:rPr>
          <w:rFonts w:hint="default" w:ascii="Times New Roman" w:hAnsi="Times New Roman" w:eastAsia="华文中宋" w:cs="Times New Roman"/>
          <w:sz w:val="24"/>
          <w:highlight w:val="none"/>
          <w:vertAlign w:val="subscript"/>
          <w:lang w:val="en-US" w:eastAsia="zh-CN"/>
        </w:rPr>
        <w:t>max</w:t>
      </w:r>
      <w:r>
        <w:rPr>
          <w:rFonts w:hint="default" w:ascii="Times New Roman" w:hAnsi="Times New Roman" w:eastAsia="华文中宋" w:cs="Times New Roman"/>
          <w:sz w:val="24"/>
          <w:highlight w:val="none"/>
          <w:lang w:val="en-US" w:eastAsia="zh-CN"/>
        </w:rPr>
        <w:t>为</w:t>
      </w:r>
      <w:r>
        <w:rPr>
          <w:rFonts w:hint="eastAsia" w:ascii="Times New Roman" w:hAnsi="Times New Roman" w:eastAsia="华文中宋" w:cs="Times New Roman"/>
          <w:sz w:val="24"/>
          <w:highlight w:val="none"/>
          <w:lang w:val="en-US" w:eastAsia="zh-CN"/>
        </w:rPr>
        <w:t>0.293</w:t>
      </w:r>
      <w:r>
        <w:rPr>
          <w:rFonts w:hint="default" w:ascii="Times New Roman" w:hAnsi="Times New Roman" w:eastAsia="华文中宋" w:cs="Times New Roman"/>
          <w:sz w:val="24"/>
          <w:highlight w:val="none"/>
          <w:lang w:val="en-US" w:eastAsia="zh-CN"/>
        </w:rPr>
        <w:t>μg/m³</w:t>
      </w:r>
      <w:r>
        <w:rPr>
          <w:rFonts w:hint="default" w:ascii="Times New Roman" w:hAnsi="Times New Roman" w:eastAsia="华文中宋" w:cs="Times New Roman"/>
          <w:sz w:val="24"/>
          <w:highlight w:val="none"/>
        </w:rPr>
        <w:t>，</w:t>
      </w:r>
      <w:r>
        <w:rPr>
          <w:rFonts w:hint="default" w:ascii="Times New Roman" w:hAnsi="Times New Roman" w:eastAsia="华文中宋" w:cs="Times New Roman"/>
          <w:sz w:val="24"/>
          <w:highlight w:val="none"/>
          <w:lang w:val="en-US" w:eastAsia="zh-CN"/>
        </w:rPr>
        <w:t>属于1%≤P</w:t>
      </w:r>
      <w:r>
        <w:rPr>
          <w:rFonts w:hint="default" w:ascii="Times New Roman" w:hAnsi="Times New Roman" w:eastAsia="华文中宋" w:cs="Times New Roman"/>
          <w:sz w:val="24"/>
          <w:highlight w:val="none"/>
          <w:vertAlign w:val="subscript"/>
          <w:lang w:val="en-US" w:eastAsia="zh-CN"/>
        </w:rPr>
        <w:t>max</w:t>
      </w:r>
      <w:r>
        <w:rPr>
          <w:rFonts w:hint="default" w:ascii="Times New Roman" w:hAnsi="Times New Roman" w:eastAsia="华文中宋" w:cs="Times New Roman"/>
          <w:sz w:val="24"/>
          <w:highlight w:val="none"/>
          <w:lang w:val="en-US" w:eastAsia="zh-CN"/>
        </w:rPr>
        <w:t>＜10%，</w:t>
      </w:r>
      <w:r>
        <w:rPr>
          <w:rFonts w:hint="default" w:ascii="Times New Roman" w:hAnsi="Times New Roman" w:eastAsia="华文中宋" w:cs="Times New Roman"/>
          <w:sz w:val="24"/>
          <w:highlight w:val="none"/>
        </w:rPr>
        <w:t>根据《环境影响评价技术导则大气环境》（HJ2.2-2018）分级判据，确定本项目大气环境影响评价工作等级为二级</w:t>
      </w:r>
      <w:r>
        <w:rPr>
          <w:rFonts w:hint="default" w:ascii="Times New Roman" w:hAnsi="Times New Roman" w:eastAsia="华文中宋" w:cs="Times New Roman"/>
          <w:sz w:val="24"/>
          <w:highlight w:val="none"/>
          <w:lang w:eastAsia="zh-CN"/>
        </w:rPr>
        <w:t>。</w:t>
      </w:r>
    </w:p>
    <w:p w14:paraId="271DAC0E">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②非正常工况</w:t>
      </w:r>
    </w:p>
    <w:p w14:paraId="58E366A3">
      <w:pPr>
        <w:pStyle w:val="24"/>
        <w:snapToGrid w:val="0"/>
        <w:jc w:val="left"/>
        <w:rPr>
          <w:rFonts w:hint="default" w:ascii="Times New Roman" w:hAnsi="Times New Roman" w:eastAsia="华文中宋" w:cs="Times New Roman"/>
          <w:color w:val="auto"/>
          <w:szCs w:val="24"/>
          <w:lang w:val="en-US" w:eastAsia="zh-CN"/>
        </w:rPr>
      </w:pPr>
      <w:r>
        <w:rPr>
          <w:rFonts w:hint="default" w:ascii="Times New Roman" w:hAnsi="Times New Roman" w:eastAsia="华文中宋" w:cs="Times New Roman"/>
          <w:color w:val="auto"/>
          <w:lang w:val="en-US" w:eastAsia="zh-CN"/>
        </w:rPr>
        <w:t>结合《环境影响评价技术导则</w:t>
      </w:r>
      <w:r>
        <w:rPr>
          <w:rFonts w:hint="eastAsia" w:ascii="Times New Roman" w:hAnsi="Times New Roman" w:eastAsia="华文中宋" w:cs="Times New Roman"/>
          <w:color w:val="auto"/>
          <w:lang w:val="en-US" w:eastAsia="zh-CN"/>
        </w:rPr>
        <w:t xml:space="preserve"> </w:t>
      </w:r>
      <w:r>
        <w:rPr>
          <w:rFonts w:hint="default" w:ascii="Times New Roman" w:hAnsi="Times New Roman" w:eastAsia="华文中宋" w:cs="Times New Roman"/>
          <w:color w:val="auto"/>
          <w:lang w:val="en-US" w:eastAsia="zh-CN"/>
        </w:rPr>
        <w:t>大气环境》（HJ2.2-2018）要求，非正常排放指非正常工况</w:t>
      </w:r>
      <w:r>
        <w:rPr>
          <w:rFonts w:hint="default" w:ascii="Times New Roman" w:hAnsi="Times New Roman" w:eastAsia="华文中宋" w:cs="Times New Roman"/>
          <w:color w:val="auto"/>
          <w:szCs w:val="24"/>
          <w:lang w:val="en-US" w:eastAsia="zh-CN"/>
        </w:rPr>
        <w:t>下的污染物排放，如设备检修、污染物排放控制措施达不到应有效率、工艺设备运转异常等情况下的排放。以上情况属污染物控制措施失效导致污染最为严重，故选取采场和废石堆放场、表土堆场不进行洒水抑</w:t>
      </w:r>
      <w:r>
        <w:rPr>
          <w:rFonts w:hint="eastAsia" w:ascii="Times New Roman" w:hAnsi="Times New Roman" w:cs="Times New Roman"/>
          <w:color w:val="auto"/>
          <w:szCs w:val="24"/>
          <w:lang w:val="en-US" w:eastAsia="zh-CN"/>
        </w:rPr>
        <w:t>尘</w:t>
      </w:r>
      <w:r>
        <w:rPr>
          <w:rFonts w:hint="default" w:ascii="Times New Roman" w:hAnsi="Times New Roman" w:eastAsia="华文中宋" w:cs="Times New Roman"/>
          <w:color w:val="auto"/>
          <w:szCs w:val="24"/>
          <w:lang w:val="en-US" w:eastAsia="zh-CN"/>
        </w:rPr>
        <w:t>的情形作为非正常排放。本评价采用估算模式（AERSCREEN）对非正常工况下废气排放情况进行预测，预测结果如表5.2-</w:t>
      </w:r>
      <w:r>
        <w:rPr>
          <w:rFonts w:hint="eastAsia" w:ascii="Times New Roman" w:hAnsi="Times New Roman" w:cs="Times New Roman"/>
          <w:color w:val="auto"/>
          <w:szCs w:val="24"/>
          <w:lang w:val="en-US" w:eastAsia="zh-CN"/>
        </w:rPr>
        <w:t>5</w:t>
      </w:r>
      <w:r>
        <w:rPr>
          <w:rFonts w:hint="default" w:ascii="Times New Roman" w:hAnsi="Times New Roman" w:eastAsia="华文中宋" w:cs="Times New Roman"/>
          <w:color w:val="auto"/>
          <w:szCs w:val="24"/>
          <w:lang w:val="en-US" w:eastAsia="zh-CN"/>
        </w:rPr>
        <w:t>。</w:t>
      </w:r>
    </w:p>
    <w:p w14:paraId="176A4B52">
      <w:pPr>
        <w:adjustRightInd w:val="0"/>
        <w:snapToGrid w:val="0"/>
        <w:spacing w:before="250" w:beforeLines="50"/>
        <w:ind w:firstLine="422" w:firstLineChars="200"/>
        <w:jc w:val="center"/>
        <w:rPr>
          <w:rFonts w:hint="default" w:ascii="Times New Roman" w:hAnsi="Times New Roman" w:eastAsia="华文中宋" w:cs="Times New Roman"/>
          <w:b/>
          <w:szCs w:val="21"/>
          <w:highlight w:val="none"/>
          <w:lang w:val="en-US" w:eastAsia="zh-CN"/>
        </w:rPr>
      </w:pPr>
      <w:r>
        <w:rPr>
          <w:rFonts w:hint="default" w:ascii="Times New Roman" w:hAnsi="Times New Roman" w:eastAsia="华文中宋" w:cs="Times New Roman"/>
          <w:b/>
          <w:szCs w:val="21"/>
          <w:highlight w:val="none"/>
          <w:lang w:val="en-US" w:eastAsia="zh-CN"/>
        </w:rPr>
        <w:t>表5.2-</w:t>
      </w:r>
      <w:r>
        <w:rPr>
          <w:rFonts w:hint="eastAsia" w:ascii="Times New Roman" w:hAnsi="Times New Roman" w:eastAsia="华文中宋" w:cs="Times New Roman"/>
          <w:b/>
          <w:szCs w:val="21"/>
          <w:highlight w:val="none"/>
          <w:lang w:val="en-US" w:eastAsia="zh-CN"/>
        </w:rPr>
        <w:t>5</w:t>
      </w:r>
      <w:r>
        <w:rPr>
          <w:rFonts w:hint="default" w:ascii="Times New Roman" w:hAnsi="Times New Roman" w:eastAsia="华文中宋" w:cs="Times New Roman"/>
          <w:b/>
          <w:szCs w:val="21"/>
          <w:highlight w:val="none"/>
          <w:lang w:val="en-US" w:eastAsia="zh-CN"/>
        </w:rPr>
        <w:t xml:space="preserve">  非正常情况大气污染物估算模式预测结果</w:t>
      </w:r>
    </w:p>
    <w:tbl>
      <w:tblPr>
        <w:tblStyle w:val="19"/>
        <w:tblW w:w="8527" w:type="dxa"/>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925"/>
        <w:gridCol w:w="1250"/>
        <w:gridCol w:w="1716"/>
        <w:gridCol w:w="1450"/>
        <w:gridCol w:w="1117"/>
        <w:gridCol w:w="1069"/>
      </w:tblGrid>
      <w:tr w14:paraId="1EE86C6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74" w:hRule="atLeast"/>
          <w:jc w:val="center"/>
        </w:trPr>
        <w:tc>
          <w:tcPr>
            <w:tcW w:w="1925" w:type="dxa"/>
            <w:vAlign w:val="center"/>
          </w:tcPr>
          <w:p w14:paraId="1A38F2F0">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污染源名称</w:t>
            </w:r>
          </w:p>
        </w:tc>
        <w:tc>
          <w:tcPr>
            <w:tcW w:w="1250" w:type="dxa"/>
            <w:vAlign w:val="center"/>
          </w:tcPr>
          <w:p w14:paraId="1150B545">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评价因子</w:t>
            </w:r>
          </w:p>
        </w:tc>
        <w:tc>
          <w:tcPr>
            <w:tcW w:w="1716" w:type="dxa"/>
            <w:vAlign w:val="center"/>
          </w:tcPr>
          <w:p w14:paraId="4E1B16C5">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评价标准</w:t>
            </w:r>
            <w:r>
              <w:rPr>
                <w:rFonts w:hint="default" w:ascii="Times New Roman" w:hAnsi="Times New Roman" w:eastAsia="华文中宋" w:cs="Times New Roman"/>
                <w:szCs w:val="21"/>
                <w:highlight w:val="none"/>
                <w:lang w:eastAsia="zh-CN"/>
              </w:rPr>
              <w:t>（</w:t>
            </w:r>
            <w:r>
              <w:rPr>
                <w:rFonts w:hint="default" w:ascii="Times New Roman" w:hAnsi="Times New Roman" w:eastAsia="华文中宋" w:cs="Times New Roman"/>
                <w:szCs w:val="21"/>
                <w:highlight w:val="none"/>
              </w:rPr>
              <w:t>μg/m³</w:t>
            </w:r>
            <w:r>
              <w:rPr>
                <w:rFonts w:hint="default" w:ascii="Times New Roman" w:hAnsi="Times New Roman" w:eastAsia="华文中宋" w:cs="Times New Roman"/>
                <w:szCs w:val="21"/>
                <w:highlight w:val="none"/>
                <w:lang w:eastAsia="zh-CN"/>
              </w:rPr>
              <w:t>）</w:t>
            </w:r>
          </w:p>
        </w:tc>
        <w:tc>
          <w:tcPr>
            <w:tcW w:w="1450" w:type="dxa"/>
            <w:vAlign w:val="center"/>
          </w:tcPr>
          <w:p w14:paraId="0172F5F4">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Cmax(μg/m³)</w:t>
            </w:r>
          </w:p>
        </w:tc>
        <w:tc>
          <w:tcPr>
            <w:tcW w:w="1117" w:type="dxa"/>
            <w:vAlign w:val="center"/>
          </w:tcPr>
          <w:p w14:paraId="00430498">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Pmax(%)</w:t>
            </w:r>
          </w:p>
        </w:tc>
        <w:tc>
          <w:tcPr>
            <w:tcW w:w="1069" w:type="dxa"/>
            <w:vAlign w:val="center"/>
          </w:tcPr>
          <w:p w14:paraId="01D7DE5C">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D10%(m)</w:t>
            </w:r>
          </w:p>
        </w:tc>
      </w:tr>
      <w:tr w14:paraId="60BF43F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1925" w:type="dxa"/>
            <w:vMerge w:val="restart"/>
            <w:vAlign w:val="center"/>
          </w:tcPr>
          <w:p w14:paraId="513571A5">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南露天采矿场</w:t>
            </w:r>
          </w:p>
        </w:tc>
        <w:tc>
          <w:tcPr>
            <w:tcW w:w="1250" w:type="dxa"/>
            <w:vAlign w:val="center"/>
          </w:tcPr>
          <w:p w14:paraId="2502997A">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TSP</w:t>
            </w:r>
          </w:p>
        </w:tc>
        <w:tc>
          <w:tcPr>
            <w:tcW w:w="1716" w:type="dxa"/>
            <w:vAlign w:val="center"/>
          </w:tcPr>
          <w:p w14:paraId="0CEB31BE">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900.0</w:t>
            </w:r>
          </w:p>
        </w:tc>
        <w:tc>
          <w:tcPr>
            <w:tcW w:w="1450" w:type="dxa"/>
            <w:vAlign w:val="center"/>
          </w:tcPr>
          <w:p w14:paraId="34E1E925">
            <w:pPr>
              <w:tabs>
                <w:tab w:val="left" w:pos="441"/>
              </w:tabs>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153.000</w:t>
            </w:r>
          </w:p>
        </w:tc>
        <w:tc>
          <w:tcPr>
            <w:tcW w:w="1117" w:type="dxa"/>
            <w:vAlign w:val="center"/>
          </w:tcPr>
          <w:p w14:paraId="2AD16CE4">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17</w:t>
            </w:r>
          </w:p>
        </w:tc>
        <w:tc>
          <w:tcPr>
            <w:tcW w:w="1069" w:type="dxa"/>
            <w:vAlign w:val="center"/>
          </w:tcPr>
          <w:p w14:paraId="1BF1F768">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211</w:t>
            </w:r>
          </w:p>
        </w:tc>
      </w:tr>
      <w:tr w14:paraId="605AF10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1925" w:type="dxa"/>
            <w:vMerge w:val="continue"/>
            <w:vAlign w:val="center"/>
          </w:tcPr>
          <w:p w14:paraId="3A26187E">
            <w:pPr>
              <w:spacing w:line="300" w:lineRule="exact"/>
              <w:jc w:val="center"/>
              <w:rPr>
                <w:rFonts w:hint="default" w:ascii="Times New Roman" w:hAnsi="Times New Roman" w:eastAsia="华文中宋" w:cs="Times New Roman"/>
                <w:szCs w:val="21"/>
                <w:highlight w:val="none"/>
              </w:rPr>
            </w:pPr>
          </w:p>
        </w:tc>
        <w:tc>
          <w:tcPr>
            <w:tcW w:w="1250" w:type="dxa"/>
            <w:vAlign w:val="center"/>
          </w:tcPr>
          <w:p w14:paraId="28B183FB">
            <w:pPr>
              <w:spacing w:line="300" w:lineRule="exact"/>
              <w:jc w:val="center"/>
              <w:rPr>
                <w:rFonts w:hint="eastAsia"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铅（pb）</w:t>
            </w:r>
          </w:p>
        </w:tc>
        <w:tc>
          <w:tcPr>
            <w:tcW w:w="1716" w:type="dxa"/>
            <w:vAlign w:val="center"/>
          </w:tcPr>
          <w:p w14:paraId="5AFD1FE7">
            <w:pPr>
              <w:spacing w:line="300" w:lineRule="exact"/>
              <w:jc w:val="center"/>
              <w:rPr>
                <w:rFonts w:hint="eastAsia"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3</w:t>
            </w:r>
          </w:p>
        </w:tc>
        <w:tc>
          <w:tcPr>
            <w:tcW w:w="1450" w:type="dxa"/>
            <w:vAlign w:val="center"/>
          </w:tcPr>
          <w:p w14:paraId="3FF58A78">
            <w:pPr>
              <w:tabs>
                <w:tab w:val="left" w:pos="441"/>
              </w:tabs>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3.018</w:t>
            </w:r>
          </w:p>
        </w:tc>
        <w:tc>
          <w:tcPr>
            <w:tcW w:w="1117" w:type="dxa"/>
            <w:vAlign w:val="center"/>
          </w:tcPr>
          <w:p w14:paraId="00AFE581">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100.59</w:t>
            </w:r>
          </w:p>
        </w:tc>
        <w:tc>
          <w:tcPr>
            <w:tcW w:w="1069" w:type="dxa"/>
            <w:vAlign w:val="center"/>
          </w:tcPr>
          <w:p w14:paraId="603DB5CD">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211</w:t>
            </w:r>
          </w:p>
        </w:tc>
      </w:tr>
      <w:tr w14:paraId="2BE7ECA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1925" w:type="dxa"/>
            <w:vMerge w:val="restart"/>
            <w:vAlign w:val="center"/>
          </w:tcPr>
          <w:p w14:paraId="621A66DE">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表土堆放场</w:t>
            </w:r>
          </w:p>
        </w:tc>
        <w:tc>
          <w:tcPr>
            <w:tcW w:w="1250" w:type="dxa"/>
            <w:vAlign w:val="center"/>
          </w:tcPr>
          <w:p w14:paraId="293CB8C2">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TSP</w:t>
            </w:r>
          </w:p>
        </w:tc>
        <w:tc>
          <w:tcPr>
            <w:tcW w:w="1716" w:type="dxa"/>
            <w:vAlign w:val="center"/>
          </w:tcPr>
          <w:p w14:paraId="665DC560">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900.0</w:t>
            </w:r>
          </w:p>
        </w:tc>
        <w:tc>
          <w:tcPr>
            <w:tcW w:w="1450" w:type="dxa"/>
            <w:vAlign w:val="center"/>
          </w:tcPr>
          <w:p w14:paraId="5AA28C64">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31.770</w:t>
            </w:r>
          </w:p>
        </w:tc>
        <w:tc>
          <w:tcPr>
            <w:tcW w:w="1117" w:type="dxa"/>
            <w:vAlign w:val="center"/>
          </w:tcPr>
          <w:p w14:paraId="0AA3BC8C">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3.53</w:t>
            </w:r>
          </w:p>
        </w:tc>
        <w:tc>
          <w:tcPr>
            <w:tcW w:w="1069" w:type="dxa"/>
            <w:vAlign w:val="center"/>
          </w:tcPr>
          <w:p w14:paraId="3A193C3B">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w:t>
            </w:r>
          </w:p>
        </w:tc>
      </w:tr>
      <w:tr w14:paraId="0174B46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1925" w:type="dxa"/>
            <w:vMerge w:val="continue"/>
            <w:vAlign w:val="center"/>
          </w:tcPr>
          <w:p w14:paraId="7C7D8017">
            <w:pPr>
              <w:spacing w:line="300" w:lineRule="exact"/>
              <w:jc w:val="center"/>
              <w:rPr>
                <w:rFonts w:hint="default" w:ascii="Times New Roman" w:hAnsi="Times New Roman" w:eastAsia="华文中宋" w:cs="Times New Roman"/>
                <w:szCs w:val="21"/>
                <w:highlight w:val="none"/>
              </w:rPr>
            </w:pPr>
          </w:p>
        </w:tc>
        <w:tc>
          <w:tcPr>
            <w:tcW w:w="1250" w:type="dxa"/>
            <w:vAlign w:val="center"/>
          </w:tcPr>
          <w:p w14:paraId="7322BAF8">
            <w:pPr>
              <w:spacing w:line="300" w:lineRule="exact"/>
              <w:jc w:val="center"/>
              <w:rPr>
                <w:rFonts w:hint="default" w:ascii="Times New Roman" w:hAnsi="Times New Roman" w:eastAsia="华文中宋" w:cs="Times New Roman"/>
                <w:szCs w:val="21"/>
                <w:highlight w:val="none"/>
              </w:rPr>
            </w:pPr>
            <w:r>
              <w:rPr>
                <w:rFonts w:hint="eastAsia" w:ascii="Times New Roman" w:hAnsi="Times New Roman" w:eastAsia="华文中宋" w:cs="Times New Roman"/>
                <w:szCs w:val="21"/>
                <w:highlight w:val="none"/>
                <w:lang w:val="en-US" w:eastAsia="zh-CN"/>
              </w:rPr>
              <w:t>铅（pb）</w:t>
            </w:r>
          </w:p>
        </w:tc>
        <w:tc>
          <w:tcPr>
            <w:tcW w:w="1716" w:type="dxa"/>
            <w:vAlign w:val="center"/>
          </w:tcPr>
          <w:p w14:paraId="20F00706">
            <w:pPr>
              <w:spacing w:line="300" w:lineRule="exact"/>
              <w:jc w:val="center"/>
              <w:rPr>
                <w:rFonts w:hint="eastAsia"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3</w:t>
            </w:r>
          </w:p>
        </w:tc>
        <w:tc>
          <w:tcPr>
            <w:tcW w:w="1450" w:type="dxa"/>
            <w:vAlign w:val="center"/>
          </w:tcPr>
          <w:p w14:paraId="119424E5">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0.002</w:t>
            </w:r>
          </w:p>
        </w:tc>
        <w:tc>
          <w:tcPr>
            <w:tcW w:w="1117" w:type="dxa"/>
            <w:vAlign w:val="center"/>
          </w:tcPr>
          <w:p w14:paraId="35A290C9">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0.05</w:t>
            </w:r>
          </w:p>
        </w:tc>
        <w:tc>
          <w:tcPr>
            <w:tcW w:w="1069" w:type="dxa"/>
            <w:vAlign w:val="center"/>
          </w:tcPr>
          <w:p w14:paraId="1F39CB1D">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w:t>
            </w:r>
          </w:p>
        </w:tc>
      </w:tr>
      <w:tr w14:paraId="44AFAD3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1925" w:type="dxa"/>
            <w:vMerge w:val="restart"/>
            <w:vAlign w:val="center"/>
          </w:tcPr>
          <w:p w14:paraId="0FEA40D7">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北露天采矿</w:t>
            </w:r>
          </w:p>
        </w:tc>
        <w:tc>
          <w:tcPr>
            <w:tcW w:w="1250" w:type="dxa"/>
            <w:vAlign w:val="center"/>
          </w:tcPr>
          <w:p w14:paraId="30CB613A">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TSP</w:t>
            </w:r>
          </w:p>
        </w:tc>
        <w:tc>
          <w:tcPr>
            <w:tcW w:w="1716" w:type="dxa"/>
            <w:vAlign w:val="center"/>
          </w:tcPr>
          <w:p w14:paraId="4B01545C">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900.0</w:t>
            </w:r>
          </w:p>
        </w:tc>
        <w:tc>
          <w:tcPr>
            <w:tcW w:w="1450" w:type="dxa"/>
            <w:vAlign w:val="center"/>
          </w:tcPr>
          <w:p w14:paraId="475C6ACE">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120.510</w:t>
            </w:r>
          </w:p>
        </w:tc>
        <w:tc>
          <w:tcPr>
            <w:tcW w:w="1117" w:type="dxa"/>
            <w:vAlign w:val="center"/>
          </w:tcPr>
          <w:p w14:paraId="46679B6C">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13.39</w:t>
            </w:r>
          </w:p>
        </w:tc>
        <w:tc>
          <w:tcPr>
            <w:tcW w:w="1069" w:type="dxa"/>
            <w:vAlign w:val="center"/>
          </w:tcPr>
          <w:p w14:paraId="6B2D71E5">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361</w:t>
            </w:r>
          </w:p>
        </w:tc>
      </w:tr>
      <w:tr w14:paraId="4E630FE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1925" w:type="dxa"/>
            <w:vMerge w:val="continue"/>
            <w:vAlign w:val="center"/>
          </w:tcPr>
          <w:p w14:paraId="0E090516">
            <w:pPr>
              <w:spacing w:line="300" w:lineRule="exact"/>
              <w:jc w:val="center"/>
              <w:rPr>
                <w:rFonts w:hint="default" w:ascii="Times New Roman" w:hAnsi="Times New Roman" w:eastAsia="华文中宋" w:cs="Times New Roman"/>
                <w:szCs w:val="21"/>
                <w:highlight w:val="none"/>
              </w:rPr>
            </w:pPr>
          </w:p>
        </w:tc>
        <w:tc>
          <w:tcPr>
            <w:tcW w:w="1250" w:type="dxa"/>
            <w:vAlign w:val="center"/>
          </w:tcPr>
          <w:p w14:paraId="5B8D1601">
            <w:pPr>
              <w:spacing w:line="300" w:lineRule="exact"/>
              <w:jc w:val="center"/>
              <w:rPr>
                <w:rFonts w:hint="default" w:ascii="Times New Roman" w:hAnsi="Times New Roman" w:eastAsia="华文中宋" w:cs="Times New Roman"/>
                <w:szCs w:val="21"/>
                <w:highlight w:val="none"/>
              </w:rPr>
            </w:pPr>
            <w:r>
              <w:rPr>
                <w:rFonts w:hint="eastAsia" w:ascii="Times New Roman" w:hAnsi="Times New Roman" w:eastAsia="华文中宋" w:cs="Times New Roman"/>
                <w:szCs w:val="21"/>
                <w:highlight w:val="none"/>
                <w:lang w:val="en-US" w:eastAsia="zh-CN"/>
              </w:rPr>
              <w:t>铅（pb）</w:t>
            </w:r>
          </w:p>
        </w:tc>
        <w:tc>
          <w:tcPr>
            <w:tcW w:w="1716" w:type="dxa"/>
            <w:vAlign w:val="center"/>
          </w:tcPr>
          <w:p w14:paraId="0DD10992">
            <w:pPr>
              <w:spacing w:line="300" w:lineRule="exact"/>
              <w:jc w:val="center"/>
              <w:rPr>
                <w:rFonts w:hint="eastAsia"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3</w:t>
            </w:r>
          </w:p>
        </w:tc>
        <w:tc>
          <w:tcPr>
            <w:tcW w:w="1450" w:type="dxa"/>
            <w:vAlign w:val="center"/>
          </w:tcPr>
          <w:p w14:paraId="413482E7">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2.378</w:t>
            </w:r>
          </w:p>
        </w:tc>
        <w:tc>
          <w:tcPr>
            <w:tcW w:w="1117" w:type="dxa"/>
            <w:vAlign w:val="center"/>
          </w:tcPr>
          <w:p w14:paraId="15936700">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79.25</w:t>
            </w:r>
          </w:p>
        </w:tc>
        <w:tc>
          <w:tcPr>
            <w:tcW w:w="1069" w:type="dxa"/>
            <w:vAlign w:val="center"/>
          </w:tcPr>
          <w:p w14:paraId="509E0F7F">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361</w:t>
            </w:r>
          </w:p>
        </w:tc>
      </w:tr>
      <w:tr w14:paraId="654A1B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1925" w:type="dxa"/>
            <w:vMerge w:val="restart"/>
            <w:vAlign w:val="center"/>
          </w:tcPr>
          <w:p w14:paraId="68A57065">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废石堆放场</w:t>
            </w:r>
          </w:p>
        </w:tc>
        <w:tc>
          <w:tcPr>
            <w:tcW w:w="1250" w:type="dxa"/>
            <w:vAlign w:val="center"/>
          </w:tcPr>
          <w:p w14:paraId="64CC26EC">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TSP</w:t>
            </w:r>
          </w:p>
        </w:tc>
        <w:tc>
          <w:tcPr>
            <w:tcW w:w="1716" w:type="dxa"/>
            <w:vAlign w:val="center"/>
          </w:tcPr>
          <w:p w14:paraId="622CDE39">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900.0</w:t>
            </w:r>
          </w:p>
        </w:tc>
        <w:tc>
          <w:tcPr>
            <w:tcW w:w="1450" w:type="dxa"/>
            <w:vAlign w:val="center"/>
          </w:tcPr>
          <w:p w14:paraId="2C830F0C">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10.8</w:t>
            </w:r>
          </w:p>
        </w:tc>
        <w:tc>
          <w:tcPr>
            <w:tcW w:w="1117" w:type="dxa"/>
            <w:vAlign w:val="center"/>
          </w:tcPr>
          <w:p w14:paraId="62D0C9E0">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1.20</w:t>
            </w:r>
          </w:p>
        </w:tc>
        <w:tc>
          <w:tcPr>
            <w:tcW w:w="1069" w:type="dxa"/>
            <w:vAlign w:val="center"/>
          </w:tcPr>
          <w:p w14:paraId="342BCB4C">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w:t>
            </w:r>
          </w:p>
        </w:tc>
      </w:tr>
      <w:tr w14:paraId="1D2EB4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1925" w:type="dxa"/>
            <w:vMerge w:val="continue"/>
            <w:vAlign w:val="center"/>
          </w:tcPr>
          <w:p w14:paraId="13467C4E">
            <w:pPr>
              <w:spacing w:line="300" w:lineRule="exact"/>
              <w:jc w:val="center"/>
              <w:rPr>
                <w:rFonts w:hint="default" w:ascii="Times New Roman" w:hAnsi="Times New Roman" w:eastAsia="华文中宋" w:cs="Times New Roman"/>
                <w:szCs w:val="21"/>
                <w:highlight w:val="none"/>
              </w:rPr>
            </w:pPr>
          </w:p>
        </w:tc>
        <w:tc>
          <w:tcPr>
            <w:tcW w:w="1250" w:type="dxa"/>
            <w:vAlign w:val="center"/>
          </w:tcPr>
          <w:p w14:paraId="1B8EB333">
            <w:pPr>
              <w:spacing w:line="300" w:lineRule="exact"/>
              <w:jc w:val="center"/>
              <w:rPr>
                <w:rFonts w:hint="default" w:ascii="Times New Roman" w:hAnsi="Times New Roman" w:eastAsia="华文中宋" w:cs="Times New Roman"/>
                <w:szCs w:val="21"/>
                <w:highlight w:val="none"/>
              </w:rPr>
            </w:pPr>
            <w:r>
              <w:rPr>
                <w:rFonts w:hint="eastAsia" w:ascii="Times New Roman" w:hAnsi="Times New Roman" w:eastAsia="华文中宋" w:cs="Times New Roman"/>
                <w:szCs w:val="21"/>
                <w:highlight w:val="none"/>
                <w:lang w:val="en-US" w:eastAsia="zh-CN"/>
              </w:rPr>
              <w:t>铅（pb）</w:t>
            </w:r>
          </w:p>
        </w:tc>
        <w:tc>
          <w:tcPr>
            <w:tcW w:w="1716" w:type="dxa"/>
            <w:vAlign w:val="center"/>
          </w:tcPr>
          <w:p w14:paraId="25F0DAAE">
            <w:pPr>
              <w:spacing w:line="300" w:lineRule="exact"/>
              <w:jc w:val="center"/>
              <w:rPr>
                <w:rFonts w:hint="eastAsia"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3</w:t>
            </w:r>
          </w:p>
        </w:tc>
        <w:tc>
          <w:tcPr>
            <w:tcW w:w="1450" w:type="dxa"/>
            <w:vAlign w:val="center"/>
          </w:tcPr>
          <w:p w14:paraId="24AD7FA5">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0.000</w:t>
            </w:r>
          </w:p>
        </w:tc>
        <w:tc>
          <w:tcPr>
            <w:tcW w:w="1117" w:type="dxa"/>
            <w:vAlign w:val="center"/>
          </w:tcPr>
          <w:p w14:paraId="67F83969">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0.00</w:t>
            </w:r>
          </w:p>
        </w:tc>
        <w:tc>
          <w:tcPr>
            <w:tcW w:w="1069" w:type="dxa"/>
            <w:vAlign w:val="center"/>
          </w:tcPr>
          <w:p w14:paraId="0CE91AD8">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175</w:t>
            </w:r>
          </w:p>
        </w:tc>
      </w:tr>
      <w:tr w14:paraId="770AFEF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7" w:hRule="atLeast"/>
          <w:jc w:val="center"/>
        </w:trPr>
        <w:tc>
          <w:tcPr>
            <w:tcW w:w="1925" w:type="dxa"/>
            <w:vMerge w:val="restart"/>
            <w:vAlign w:val="center"/>
          </w:tcPr>
          <w:p w14:paraId="0F0889D0">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矿石转运场</w:t>
            </w:r>
          </w:p>
        </w:tc>
        <w:tc>
          <w:tcPr>
            <w:tcW w:w="1250" w:type="dxa"/>
            <w:shd w:val="clear" w:color="auto" w:fill="auto"/>
            <w:vAlign w:val="center"/>
          </w:tcPr>
          <w:p w14:paraId="5DF6A973">
            <w:pPr>
              <w:spacing w:line="300" w:lineRule="exact"/>
              <w:jc w:val="center"/>
              <w:rPr>
                <w:rFonts w:hint="default" w:ascii="Times New Roman" w:hAnsi="Times New Roman" w:eastAsia="华文中宋" w:cs="Times New Roman"/>
                <w:kern w:val="2"/>
                <w:sz w:val="21"/>
                <w:szCs w:val="21"/>
                <w:highlight w:val="none"/>
                <w:lang w:val="en-US" w:eastAsia="zh-CN" w:bidi="ar-SA"/>
              </w:rPr>
            </w:pPr>
            <w:r>
              <w:rPr>
                <w:rFonts w:hint="default" w:ascii="Times New Roman" w:hAnsi="Times New Roman" w:eastAsia="华文中宋" w:cs="Times New Roman"/>
                <w:szCs w:val="21"/>
                <w:highlight w:val="none"/>
              </w:rPr>
              <w:t>TSP</w:t>
            </w:r>
          </w:p>
        </w:tc>
        <w:tc>
          <w:tcPr>
            <w:tcW w:w="1716" w:type="dxa"/>
            <w:shd w:val="clear" w:color="auto" w:fill="auto"/>
            <w:vAlign w:val="center"/>
          </w:tcPr>
          <w:p w14:paraId="30CCB5DA">
            <w:pPr>
              <w:spacing w:line="300" w:lineRule="exact"/>
              <w:jc w:val="center"/>
              <w:rPr>
                <w:rFonts w:hint="default" w:ascii="Times New Roman" w:hAnsi="Times New Roman" w:eastAsia="华文中宋" w:cs="Times New Roman"/>
                <w:kern w:val="2"/>
                <w:sz w:val="21"/>
                <w:szCs w:val="21"/>
                <w:highlight w:val="none"/>
                <w:lang w:val="en-US" w:eastAsia="zh-CN" w:bidi="ar-SA"/>
              </w:rPr>
            </w:pPr>
            <w:r>
              <w:rPr>
                <w:rFonts w:hint="default" w:ascii="Times New Roman" w:hAnsi="Times New Roman" w:eastAsia="华文中宋" w:cs="Times New Roman"/>
                <w:szCs w:val="21"/>
                <w:highlight w:val="none"/>
              </w:rPr>
              <w:t>900.0</w:t>
            </w:r>
          </w:p>
        </w:tc>
        <w:tc>
          <w:tcPr>
            <w:tcW w:w="1450" w:type="dxa"/>
            <w:vAlign w:val="center"/>
          </w:tcPr>
          <w:p w14:paraId="3B4DCCE4">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33.48</w:t>
            </w:r>
          </w:p>
        </w:tc>
        <w:tc>
          <w:tcPr>
            <w:tcW w:w="1117" w:type="dxa"/>
            <w:vAlign w:val="center"/>
          </w:tcPr>
          <w:p w14:paraId="02C2A725">
            <w:pPr>
              <w:spacing w:line="300" w:lineRule="exact"/>
              <w:jc w:val="center"/>
              <w:rPr>
                <w:rFonts w:hint="default" w:ascii="Times New Roman" w:hAnsi="Times New Roman" w:eastAsia="华文中宋" w:cs="Times New Roman"/>
                <w:szCs w:val="21"/>
                <w:highlight w:val="none"/>
                <w:lang w:val="en-US"/>
              </w:rPr>
            </w:pPr>
            <w:r>
              <w:rPr>
                <w:rFonts w:hint="eastAsia" w:ascii="Times New Roman" w:hAnsi="Times New Roman" w:eastAsia="华文中宋" w:cs="Times New Roman"/>
                <w:szCs w:val="21"/>
                <w:highlight w:val="none"/>
                <w:lang w:val="en-US" w:eastAsia="zh-CN"/>
              </w:rPr>
              <w:t>3.72</w:t>
            </w:r>
          </w:p>
        </w:tc>
        <w:tc>
          <w:tcPr>
            <w:tcW w:w="1069" w:type="dxa"/>
            <w:vAlign w:val="center"/>
          </w:tcPr>
          <w:p w14:paraId="47CFB8F9">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w:t>
            </w:r>
          </w:p>
        </w:tc>
      </w:tr>
      <w:tr w14:paraId="4823213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1925" w:type="dxa"/>
            <w:vMerge w:val="continue"/>
            <w:vAlign w:val="center"/>
          </w:tcPr>
          <w:p w14:paraId="02824125">
            <w:pPr>
              <w:spacing w:line="300" w:lineRule="exact"/>
              <w:jc w:val="center"/>
              <w:rPr>
                <w:rFonts w:hint="eastAsia" w:ascii="Times New Roman" w:hAnsi="Times New Roman" w:eastAsia="华文中宋" w:cs="Times New Roman"/>
                <w:szCs w:val="21"/>
                <w:highlight w:val="none"/>
                <w:lang w:val="en-US" w:eastAsia="zh-CN"/>
              </w:rPr>
            </w:pPr>
          </w:p>
        </w:tc>
        <w:tc>
          <w:tcPr>
            <w:tcW w:w="1250" w:type="dxa"/>
            <w:shd w:val="clear" w:color="auto" w:fill="auto"/>
            <w:vAlign w:val="center"/>
          </w:tcPr>
          <w:p w14:paraId="1F5BDF66">
            <w:pPr>
              <w:spacing w:line="300" w:lineRule="exact"/>
              <w:jc w:val="center"/>
              <w:rPr>
                <w:rFonts w:hint="default" w:ascii="Times New Roman" w:hAnsi="Times New Roman" w:eastAsia="华文中宋" w:cs="Times New Roman"/>
                <w:szCs w:val="21"/>
                <w:highlight w:val="none"/>
              </w:rPr>
            </w:pPr>
            <w:r>
              <w:rPr>
                <w:rFonts w:hint="eastAsia" w:ascii="Times New Roman" w:hAnsi="Times New Roman" w:eastAsia="华文中宋" w:cs="Times New Roman"/>
                <w:szCs w:val="21"/>
                <w:highlight w:val="none"/>
                <w:lang w:val="en-US" w:eastAsia="zh-CN"/>
              </w:rPr>
              <w:t>铅（pb）</w:t>
            </w:r>
          </w:p>
        </w:tc>
        <w:tc>
          <w:tcPr>
            <w:tcW w:w="1716" w:type="dxa"/>
            <w:shd w:val="clear" w:color="auto" w:fill="auto"/>
            <w:vAlign w:val="center"/>
          </w:tcPr>
          <w:p w14:paraId="5086E25C">
            <w:pPr>
              <w:spacing w:line="300" w:lineRule="exact"/>
              <w:jc w:val="center"/>
              <w:rPr>
                <w:rFonts w:hint="eastAsia"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3</w:t>
            </w:r>
          </w:p>
        </w:tc>
        <w:tc>
          <w:tcPr>
            <w:tcW w:w="1450" w:type="dxa"/>
            <w:vAlign w:val="center"/>
          </w:tcPr>
          <w:p w14:paraId="523BCBC9">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6.092</w:t>
            </w:r>
          </w:p>
        </w:tc>
        <w:tc>
          <w:tcPr>
            <w:tcW w:w="1117" w:type="dxa"/>
            <w:vAlign w:val="center"/>
          </w:tcPr>
          <w:p w14:paraId="4728C87E">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203.06</w:t>
            </w:r>
          </w:p>
        </w:tc>
        <w:tc>
          <w:tcPr>
            <w:tcW w:w="1069" w:type="dxa"/>
            <w:vAlign w:val="center"/>
          </w:tcPr>
          <w:p w14:paraId="2D5CE338">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71</w:t>
            </w:r>
          </w:p>
        </w:tc>
      </w:tr>
    </w:tbl>
    <w:p w14:paraId="1525BF81">
      <w:pPr>
        <w:pStyle w:val="24"/>
        <w:snapToGrid w:val="0"/>
        <w:jc w:val="left"/>
        <w:rPr>
          <w:rFonts w:hint="default" w:ascii="Times New Roman" w:hAnsi="Times New Roman" w:eastAsia="华文中宋" w:cs="Times New Roman"/>
          <w:color w:val="auto"/>
          <w:highlight w:val="none"/>
          <w:lang w:val="en-US" w:eastAsia="zh-CN"/>
        </w:rPr>
      </w:pPr>
      <w:r>
        <w:rPr>
          <w:rFonts w:hint="default" w:ascii="Times New Roman" w:hAnsi="Times New Roman" w:eastAsia="华文中宋" w:cs="Times New Roman"/>
          <w:color w:val="auto"/>
          <w:highlight w:val="none"/>
        </w:rPr>
        <w:t>由表</w:t>
      </w:r>
      <w:r>
        <w:rPr>
          <w:rFonts w:hint="default" w:ascii="Times New Roman" w:hAnsi="Times New Roman" w:eastAsia="华文中宋" w:cs="Times New Roman"/>
          <w:color w:val="auto"/>
          <w:highlight w:val="none"/>
          <w:lang w:val="en-US" w:eastAsia="zh-CN"/>
        </w:rPr>
        <w:t>5.2-</w:t>
      </w:r>
      <w:r>
        <w:rPr>
          <w:rFonts w:hint="eastAsia" w:ascii="Times New Roman" w:hAnsi="Times New Roman" w:cs="Times New Roman"/>
          <w:color w:val="auto"/>
          <w:highlight w:val="none"/>
          <w:lang w:val="en-US" w:eastAsia="zh-CN"/>
        </w:rPr>
        <w:t>8</w:t>
      </w:r>
      <w:r>
        <w:rPr>
          <w:rFonts w:hint="default" w:ascii="Times New Roman" w:hAnsi="Times New Roman" w:eastAsia="华文中宋" w:cs="Times New Roman"/>
          <w:color w:val="auto"/>
          <w:highlight w:val="none"/>
        </w:rPr>
        <w:t>可以看出，非正常工况下，本项目</w:t>
      </w:r>
      <w:r>
        <w:rPr>
          <w:rFonts w:hint="default" w:ascii="Times New Roman" w:hAnsi="Times New Roman" w:eastAsia="华文中宋" w:cs="Times New Roman"/>
          <w:color w:val="auto"/>
          <w:highlight w:val="none"/>
          <w:lang w:val="en-US" w:eastAsia="zh-CN"/>
        </w:rPr>
        <w:t>废气污染源影响程度最大为</w:t>
      </w:r>
      <w:r>
        <w:rPr>
          <w:rFonts w:hint="eastAsia" w:ascii="Times New Roman" w:hAnsi="Times New Roman" w:cs="Times New Roman"/>
          <w:color w:val="auto"/>
          <w:highlight w:val="none"/>
          <w:lang w:val="en-US" w:eastAsia="zh-CN"/>
        </w:rPr>
        <w:t>南露天采场</w:t>
      </w:r>
      <w:r>
        <w:rPr>
          <w:rFonts w:hint="default" w:ascii="Times New Roman" w:hAnsi="Times New Roman" w:eastAsia="华文中宋" w:cs="Times New Roman"/>
          <w:color w:val="auto"/>
          <w:highlight w:val="none"/>
          <w:lang w:val="en-US" w:eastAsia="zh-CN"/>
        </w:rPr>
        <w:t>，TSP</w:t>
      </w:r>
      <w:r>
        <w:rPr>
          <w:rFonts w:hint="default" w:ascii="Times New Roman" w:hAnsi="Times New Roman" w:eastAsia="华文中宋" w:cs="Times New Roman"/>
          <w:color w:val="auto"/>
          <w:highlight w:val="none"/>
        </w:rPr>
        <w:t>最大落地浓度为</w:t>
      </w:r>
      <w:r>
        <w:rPr>
          <w:rFonts w:hint="eastAsia" w:ascii="Times New Roman" w:hAnsi="Times New Roman" w:cs="Times New Roman"/>
          <w:color w:val="auto"/>
          <w:highlight w:val="none"/>
          <w:lang w:val="en-US" w:eastAsia="zh-CN"/>
        </w:rPr>
        <w:t>153</w:t>
      </w:r>
      <w:r>
        <w:rPr>
          <w:rFonts w:hint="default" w:ascii="Times New Roman" w:hAnsi="Times New Roman" w:eastAsia="华文中宋" w:cs="Times New Roman"/>
          <w:color w:val="auto"/>
          <w:highlight w:val="none"/>
        </w:rPr>
        <w:t>μg/m</w:t>
      </w:r>
      <w:r>
        <w:rPr>
          <w:rFonts w:hint="default" w:ascii="Times New Roman" w:hAnsi="Times New Roman" w:eastAsia="华文中宋" w:cs="Times New Roman"/>
          <w:color w:val="auto"/>
          <w:highlight w:val="none"/>
          <w:vertAlign w:val="superscript"/>
        </w:rPr>
        <w:t>3</w:t>
      </w:r>
      <w:r>
        <w:rPr>
          <w:rFonts w:hint="default" w:ascii="Times New Roman" w:hAnsi="Times New Roman" w:eastAsia="华文中宋" w:cs="Times New Roman"/>
          <w:color w:val="auto"/>
          <w:highlight w:val="none"/>
          <w:lang w:eastAsia="zh-CN"/>
        </w:rPr>
        <w:t>、</w:t>
      </w:r>
      <w:r>
        <w:rPr>
          <w:rFonts w:hint="default" w:ascii="Times New Roman" w:hAnsi="Times New Roman" w:eastAsia="华文中宋" w:cs="Times New Roman"/>
          <w:color w:val="auto"/>
          <w:highlight w:val="none"/>
        </w:rPr>
        <w:t>占标率</w:t>
      </w:r>
      <w:r>
        <w:rPr>
          <w:rFonts w:hint="eastAsia" w:ascii="Times New Roman" w:hAnsi="Times New Roman" w:cs="Times New Roman"/>
          <w:color w:val="auto"/>
          <w:highlight w:val="none"/>
          <w:lang w:val="en-US" w:eastAsia="zh-CN"/>
        </w:rPr>
        <w:t>17</w:t>
      </w:r>
      <w:r>
        <w:rPr>
          <w:rFonts w:hint="default" w:ascii="Times New Roman" w:hAnsi="Times New Roman" w:eastAsia="华文中宋" w:cs="Times New Roman"/>
          <w:color w:val="auto"/>
          <w:highlight w:val="none"/>
        </w:rPr>
        <w:t>%，出现在下风向</w:t>
      </w:r>
      <w:r>
        <w:rPr>
          <w:rFonts w:hint="eastAsia" w:ascii="Times New Roman" w:hAnsi="Times New Roman" w:cs="Times New Roman"/>
          <w:color w:val="auto"/>
          <w:highlight w:val="none"/>
          <w:lang w:val="en-US" w:eastAsia="zh-CN"/>
        </w:rPr>
        <w:t>211</w:t>
      </w:r>
      <w:r>
        <w:rPr>
          <w:rFonts w:hint="default" w:ascii="Times New Roman" w:hAnsi="Times New Roman" w:eastAsia="华文中宋" w:cs="Times New Roman"/>
          <w:color w:val="auto"/>
          <w:highlight w:val="none"/>
        </w:rPr>
        <w:t>m</w:t>
      </w:r>
      <w:r>
        <w:rPr>
          <w:rFonts w:hint="default" w:ascii="Times New Roman" w:hAnsi="Times New Roman" w:eastAsia="华文中宋" w:cs="Times New Roman"/>
          <w:color w:val="auto"/>
          <w:highlight w:val="none"/>
          <w:lang w:eastAsia="zh-CN"/>
        </w:rPr>
        <w:t>，颗粒物下风向最大落地浓度占标率均大于</w:t>
      </w:r>
      <w:r>
        <w:rPr>
          <w:rFonts w:hint="default" w:ascii="Times New Roman" w:hAnsi="Times New Roman" w:eastAsia="华文中宋" w:cs="Times New Roman"/>
          <w:color w:val="auto"/>
          <w:highlight w:val="none"/>
          <w:lang w:val="en-US" w:eastAsia="zh-CN"/>
        </w:rPr>
        <w:t>10</w:t>
      </w:r>
      <w:r>
        <w:rPr>
          <w:rFonts w:hint="default" w:ascii="Times New Roman" w:hAnsi="Times New Roman" w:eastAsia="华文中宋" w:cs="Times New Roman"/>
          <w:color w:val="auto"/>
          <w:highlight w:val="none"/>
          <w:lang w:eastAsia="zh-CN"/>
        </w:rPr>
        <w:t>%</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铅（pb）</w:t>
      </w:r>
      <w:r>
        <w:rPr>
          <w:rFonts w:hint="default" w:ascii="Times New Roman" w:hAnsi="Times New Roman" w:eastAsia="华文中宋" w:cs="Times New Roman"/>
          <w:color w:val="auto"/>
          <w:highlight w:val="none"/>
        </w:rPr>
        <w:t>最大落地浓度为</w:t>
      </w:r>
      <w:r>
        <w:rPr>
          <w:rFonts w:hint="eastAsia" w:ascii="Times New Roman" w:hAnsi="Times New Roman" w:cs="Times New Roman"/>
          <w:color w:val="auto"/>
          <w:highlight w:val="none"/>
          <w:lang w:val="en-US" w:eastAsia="zh-CN"/>
        </w:rPr>
        <w:t>6.092</w:t>
      </w:r>
      <w:r>
        <w:rPr>
          <w:rFonts w:hint="default" w:ascii="Times New Roman" w:hAnsi="Times New Roman" w:eastAsia="华文中宋" w:cs="Times New Roman"/>
          <w:color w:val="auto"/>
          <w:highlight w:val="none"/>
        </w:rPr>
        <w:t>μg/m</w:t>
      </w:r>
      <w:r>
        <w:rPr>
          <w:rFonts w:hint="default" w:ascii="Times New Roman" w:hAnsi="Times New Roman" w:eastAsia="华文中宋" w:cs="Times New Roman"/>
          <w:color w:val="auto"/>
          <w:highlight w:val="none"/>
          <w:vertAlign w:val="superscript"/>
        </w:rPr>
        <w:t>3</w:t>
      </w:r>
      <w:r>
        <w:rPr>
          <w:rFonts w:hint="default" w:ascii="Times New Roman" w:hAnsi="Times New Roman" w:eastAsia="华文中宋" w:cs="Times New Roman"/>
          <w:color w:val="auto"/>
          <w:highlight w:val="none"/>
          <w:lang w:eastAsia="zh-CN"/>
        </w:rPr>
        <w:t>、</w:t>
      </w:r>
      <w:r>
        <w:rPr>
          <w:rFonts w:hint="default" w:ascii="Times New Roman" w:hAnsi="Times New Roman" w:eastAsia="华文中宋" w:cs="Times New Roman"/>
          <w:color w:val="auto"/>
          <w:highlight w:val="none"/>
        </w:rPr>
        <w:t>占标率</w:t>
      </w:r>
      <w:r>
        <w:rPr>
          <w:rFonts w:hint="eastAsia" w:ascii="Times New Roman" w:hAnsi="Times New Roman" w:cs="Times New Roman"/>
          <w:color w:val="auto"/>
          <w:highlight w:val="none"/>
          <w:lang w:val="en-US" w:eastAsia="zh-CN"/>
        </w:rPr>
        <w:t>203.06</w:t>
      </w:r>
      <w:r>
        <w:rPr>
          <w:rFonts w:hint="default" w:ascii="Times New Roman" w:hAnsi="Times New Roman" w:eastAsia="华文中宋" w:cs="Times New Roman"/>
          <w:color w:val="auto"/>
          <w:highlight w:val="none"/>
        </w:rPr>
        <w:t>%，出现在下风向</w:t>
      </w:r>
      <w:r>
        <w:rPr>
          <w:rFonts w:hint="eastAsia" w:ascii="Times New Roman" w:hAnsi="Times New Roman" w:cs="Times New Roman"/>
          <w:color w:val="auto"/>
          <w:highlight w:val="none"/>
          <w:lang w:val="en-US" w:eastAsia="zh-CN"/>
        </w:rPr>
        <w:t>71</w:t>
      </w:r>
      <w:r>
        <w:rPr>
          <w:rFonts w:hint="default" w:ascii="Times New Roman" w:hAnsi="Times New Roman" w:eastAsia="华文中宋" w:cs="Times New Roman"/>
          <w:color w:val="auto"/>
          <w:highlight w:val="none"/>
        </w:rPr>
        <w:t>m</w:t>
      </w:r>
      <w:r>
        <w:rPr>
          <w:rFonts w:hint="default" w:ascii="Times New Roman" w:hAnsi="Times New Roman" w:eastAsia="华文中宋" w:cs="Times New Roman"/>
          <w:color w:val="auto"/>
          <w:highlight w:val="none"/>
          <w:lang w:eastAsia="zh-CN"/>
        </w:rPr>
        <w:t>，</w:t>
      </w:r>
      <w:r>
        <w:rPr>
          <w:rFonts w:hint="eastAsia" w:ascii="Times New Roman" w:hAnsi="Times New Roman" w:cs="Times New Roman"/>
          <w:color w:val="auto"/>
          <w:highlight w:val="none"/>
          <w:lang w:val="en-US" w:eastAsia="zh-CN"/>
        </w:rPr>
        <w:t>铅（pb）</w:t>
      </w:r>
      <w:r>
        <w:rPr>
          <w:rFonts w:hint="default" w:ascii="Times New Roman" w:hAnsi="Times New Roman" w:eastAsia="华文中宋" w:cs="Times New Roman"/>
          <w:color w:val="auto"/>
          <w:highlight w:val="none"/>
          <w:lang w:eastAsia="zh-CN"/>
        </w:rPr>
        <w:t>下风向最大落地浓度占标率均大于</w:t>
      </w:r>
      <w:r>
        <w:rPr>
          <w:rFonts w:hint="default" w:ascii="Times New Roman" w:hAnsi="Times New Roman" w:eastAsia="华文中宋" w:cs="Times New Roman"/>
          <w:color w:val="auto"/>
          <w:highlight w:val="none"/>
          <w:lang w:val="en-US" w:eastAsia="zh-CN"/>
        </w:rPr>
        <w:t>10</w:t>
      </w:r>
      <w:r>
        <w:rPr>
          <w:rFonts w:hint="default" w:ascii="Times New Roman" w:hAnsi="Times New Roman" w:eastAsia="华文中宋" w:cs="Times New Roman"/>
          <w:color w:val="auto"/>
          <w:highlight w:val="none"/>
          <w:lang w:eastAsia="zh-CN"/>
        </w:rPr>
        <w:t>%，不满足《环境空气质量标准》（</w:t>
      </w:r>
      <w:r>
        <w:rPr>
          <w:rFonts w:hint="eastAsia" w:ascii="Times New Roman" w:hAnsi="Times New Roman" w:cs="Times New Roman"/>
          <w:color w:val="auto"/>
          <w:highlight w:val="none"/>
          <w:lang w:val="en-US" w:eastAsia="zh-CN"/>
        </w:rPr>
        <w:t>G</w:t>
      </w:r>
      <w:r>
        <w:rPr>
          <w:rFonts w:hint="default" w:ascii="Times New Roman" w:hAnsi="Times New Roman" w:eastAsia="华文中宋" w:cs="Times New Roman"/>
          <w:color w:val="auto"/>
          <w:highlight w:val="none"/>
          <w:lang w:val="en-US" w:eastAsia="zh-CN"/>
        </w:rPr>
        <w:t>B3095-2012）中的二类环境空气功能区标准要求；因此要求企业严格按照环评要求</w:t>
      </w:r>
      <w:r>
        <w:rPr>
          <w:rFonts w:hint="eastAsia" w:ascii="Times New Roman" w:hAnsi="Times New Roman" w:cs="Times New Roman"/>
          <w:color w:val="auto"/>
          <w:highlight w:val="none"/>
          <w:lang w:val="en-US" w:eastAsia="zh-CN"/>
        </w:rPr>
        <w:t>采取相应环保措施</w:t>
      </w:r>
      <w:r>
        <w:rPr>
          <w:rFonts w:hint="default" w:ascii="Times New Roman" w:hAnsi="Times New Roman" w:eastAsia="华文中宋" w:cs="Times New Roman"/>
          <w:color w:val="auto"/>
          <w:highlight w:val="none"/>
          <w:lang w:val="en-US" w:eastAsia="zh-CN"/>
        </w:rPr>
        <w:t>。</w:t>
      </w:r>
    </w:p>
    <w:p w14:paraId="52535E64">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（8）</w:t>
      </w:r>
      <w:r>
        <w:rPr>
          <w:rFonts w:hint="default" w:ascii="Times New Roman" w:hAnsi="Times New Roman" w:eastAsia="华文中宋" w:cs="Times New Roman"/>
          <w:color w:val="auto"/>
          <w:lang w:val="en-US" w:eastAsia="zh-CN"/>
        </w:rPr>
        <w:t>环境空气影响与评价</w:t>
      </w:r>
    </w:p>
    <w:p w14:paraId="13CD76A9">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①</w:t>
      </w:r>
      <w:r>
        <w:rPr>
          <w:rFonts w:hint="default" w:ascii="Times New Roman" w:hAnsi="Times New Roman" w:eastAsia="华文中宋" w:cs="Times New Roman"/>
          <w:color w:val="auto"/>
          <w:lang w:val="en-US" w:eastAsia="zh-CN"/>
        </w:rPr>
        <w:t>南露天采矿场扬尘预测</w:t>
      </w:r>
    </w:p>
    <w:p w14:paraId="33FB41DA">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大气环境影响预测中无组织排放源的预测考虑南露天采矿场连续性排放的粉尘影响。本次评价采用导则推荐的AERSCREEN估算模式估算粉尘的最大落地浓度。估算结果见表5.2-</w:t>
      </w:r>
      <w:r>
        <w:rPr>
          <w:rFonts w:hint="eastAsia" w:ascii="Times New Roman" w:hAnsi="Times New Roman" w:cs="Times New Roman"/>
          <w:color w:val="auto"/>
          <w:lang w:val="en-US" w:eastAsia="zh-CN"/>
        </w:rPr>
        <w:t>6</w:t>
      </w:r>
      <w:r>
        <w:rPr>
          <w:rFonts w:hint="default" w:ascii="Times New Roman" w:hAnsi="Times New Roman" w:eastAsia="华文中宋" w:cs="Times New Roman"/>
          <w:color w:val="auto"/>
          <w:lang w:val="en-US" w:eastAsia="zh-CN"/>
        </w:rPr>
        <w:t>。</w:t>
      </w:r>
    </w:p>
    <w:p w14:paraId="6D09D9D2">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表5.2</w:t>
      </w:r>
      <w:r>
        <w:rPr>
          <w:rFonts w:hint="eastAsia" w:ascii="Times New Roman" w:hAnsi="Times New Roman" w:eastAsia="华文中宋" w:cs="Times New Roman"/>
          <w:b/>
          <w:szCs w:val="21"/>
          <w:lang w:val="en-US" w:eastAsia="zh-CN"/>
        </w:rPr>
        <w:t>-6</w:t>
      </w:r>
      <w:r>
        <w:rPr>
          <w:rFonts w:hint="default" w:ascii="Times New Roman" w:hAnsi="Times New Roman" w:eastAsia="华文中宋" w:cs="Times New Roman"/>
          <w:b/>
          <w:szCs w:val="21"/>
          <w:lang w:val="en-US" w:eastAsia="zh-CN"/>
        </w:rPr>
        <w:t xml:space="preserve">  南露天采矿场预测结果一览表</w:t>
      </w:r>
    </w:p>
    <w:tbl>
      <w:tblPr>
        <w:tblStyle w:val="19"/>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824"/>
        <w:gridCol w:w="1643"/>
        <w:gridCol w:w="1442"/>
        <w:gridCol w:w="1900"/>
        <w:gridCol w:w="1713"/>
      </w:tblGrid>
      <w:tr w14:paraId="07DD9BC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0" w:type="auto"/>
            <w:vMerge w:val="restart"/>
            <w:vAlign w:val="center"/>
          </w:tcPr>
          <w:p w14:paraId="5F1170D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下风向距离</w:t>
            </w:r>
          </w:p>
        </w:tc>
        <w:tc>
          <w:tcPr>
            <w:tcW w:w="0" w:type="auto"/>
            <w:gridSpan w:val="4"/>
            <w:vAlign w:val="center"/>
          </w:tcPr>
          <w:p w14:paraId="4A1C041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南露天采矿场</w:t>
            </w:r>
          </w:p>
        </w:tc>
      </w:tr>
      <w:tr w14:paraId="35C8FDB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0" w:type="auto"/>
            <w:vMerge w:val="continue"/>
            <w:vAlign w:val="center"/>
          </w:tcPr>
          <w:p w14:paraId="1FAA465A">
            <w:pPr>
              <w:spacing w:line="300" w:lineRule="exact"/>
              <w:jc w:val="center"/>
              <w:rPr>
                <w:rFonts w:hint="default" w:ascii="Times New Roman" w:hAnsi="Times New Roman" w:eastAsia="华文中宋" w:cs="Times New Roman"/>
                <w:szCs w:val="21"/>
                <w:highlight w:val="none"/>
              </w:rPr>
            </w:pPr>
          </w:p>
        </w:tc>
        <w:tc>
          <w:tcPr>
            <w:tcW w:w="0" w:type="auto"/>
            <w:vAlign w:val="center"/>
          </w:tcPr>
          <w:p w14:paraId="2F245719">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TSP浓度</w:t>
            </w:r>
            <w:r>
              <w:rPr>
                <w:rFonts w:hint="default" w:ascii="Times New Roman" w:hAnsi="Times New Roman" w:eastAsia="华文中宋" w:cs="Times New Roman"/>
                <w:szCs w:val="21"/>
                <w:highlight w:val="none"/>
                <w:lang w:eastAsia="zh-CN"/>
              </w:rPr>
              <w:t>（</w:t>
            </w:r>
            <w:r>
              <w:rPr>
                <w:rFonts w:hint="default" w:ascii="Times New Roman" w:hAnsi="Times New Roman" w:eastAsia="华文中宋" w:cs="Times New Roman"/>
                <w:szCs w:val="21"/>
                <w:highlight w:val="none"/>
              </w:rPr>
              <w:t>μg/m³</w:t>
            </w:r>
            <w:r>
              <w:rPr>
                <w:rFonts w:hint="default" w:ascii="Times New Roman" w:hAnsi="Times New Roman" w:eastAsia="华文中宋" w:cs="Times New Roman"/>
                <w:szCs w:val="21"/>
                <w:highlight w:val="none"/>
                <w:lang w:eastAsia="zh-CN"/>
              </w:rPr>
              <w:t>）</w:t>
            </w:r>
          </w:p>
        </w:tc>
        <w:tc>
          <w:tcPr>
            <w:tcW w:w="0" w:type="auto"/>
            <w:vAlign w:val="center"/>
          </w:tcPr>
          <w:p w14:paraId="6F94D4EF">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TSP占标率</w:t>
            </w:r>
            <w:r>
              <w:rPr>
                <w:rFonts w:hint="default" w:ascii="Times New Roman" w:hAnsi="Times New Roman" w:eastAsia="华文中宋" w:cs="Times New Roman"/>
                <w:szCs w:val="21"/>
                <w:highlight w:val="none"/>
                <w:lang w:eastAsia="zh-CN"/>
              </w:rPr>
              <w:t>（</w:t>
            </w:r>
            <w:r>
              <w:rPr>
                <w:rFonts w:hint="default" w:ascii="Times New Roman" w:hAnsi="Times New Roman" w:eastAsia="华文中宋" w:cs="Times New Roman"/>
                <w:szCs w:val="21"/>
                <w:highlight w:val="none"/>
              </w:rPr>
              <w:t>%</w:t>
            </w:r>
            <w:r>
              <w:rPr>
                <w:rFonts w:hint="default" w:ascii="Times New Roman" w:hAnsi="Times New Roman" w:eastAsia="华文中宋" w:cs="Times New Roman"/>
                <w:szCs w:val="21"/>
                <w:highlight w:val="none"/>
                <w:lang w:eastAsia="zh-CN"/>
              </w:rPr>
              <w:t>）</w:t>
            </w:r>
          </w:p>
        </w:tc>
        <w:tc>
          <w:tcPr>
            <w:tcW w:w="0" w:type="auto"/>
            <w:shd w:val="clear" w:color="auto" w:fill="auto"/>
            <w:vAlign w:val="center"/>
          </w:tcPr>
          <w:p w14:paraId="695B76B8">
            <w:pPr>
              <w:spacing w:line="300" w:lineRule="exact"/>
              <w:jc w:val="center"/>
              <w:rPr>
                <w:rFonts w:hint="default" w:ascii="Times New Roman" w:hAnsi="Times New Roman" w:eastAsia="华文中宋" w:cs="Times New Roman"/>
                <w:kern w:val="2"/>
                <w:sz w:val="21"/>
                <w:szCs w:val="21"/>
                <w:highlight w:val="none"/>
                <w:lang w:val="en-US" w:eastAsia="zh-CN" w:bidi="ar-SA"/>
              </w:rPr>
            </w:pPr>
            <w:r>
              <w:rPr>
                <w:rFonts w:hint="eastAsia" w:ascii="Times New Roman" w:hAnsi="Times New Roman" w:eastAsia="华文中宋" w:cs="Times New Roman"/>
                <w:szCs w:val="21"/>
                <w:highlight w:val="none"/>
                <w:lang w:val="en-US" w:eastAsia="zh-CN"/>
              </w:rPr>
              <w:t>铅（pb）</w:t>
            </w:r>
            <w:r>
              <w:rPr>
                <w:rFonts w:hint="default" w:ascii="Times New Roman" w:hAnsi="Times New Roman" w:eastAsia="华文中宋" w:cs="Times New Roman"/>
                <w:szCs w:val="21"/>
                <w:highlight w:val="none"/>
              </w:rPr>
              <w:t>浓度</w:t>
            </w:r>
            <w:r>
              <w:rPr>
                <w:rFonts w:hint="default" w:ascii="Times New Roman" w:hAnsi="Times New Roman" w:eastAsia="华文中宋" w:cs="Times New Roman"/>
                <w:szCs w:val="21"/>
                <w:highlight w:val="none"/>
                <w:lang w:eastAsia="zh-CN"/>
              </w:rPr>
              <w:t>（</w:t>
            </w:r>
            <w:r>
              <w:rPr>
                <w:rFonts w:hint="default" w:ascii="Times New Roman" w:hAnsi="Times New Roman" w:eastAsia="华文中宋" w:cs="Times New Roman"/>
                <w:szCs w:val="21"/>
                <w:highlight w:val="none"/>
              </w:rPr>
              <w:t>μg/m³</w:t>
            </w:r>
            <w:r>
              <w:rPr>
                <w:rFonts w:hint="default" w:ascii="Times New Roman" w:hAnsi="Times New Roman" w:eastAsia="华文中宋" w:cs="Times New Roman"/>
                <w:szCs w:val="21"/>
                <w:highlight w:val="none"/>
                <w:lang w:eastAsia="zh-CN"/>
              </w:rPr>
              <w:t>）</w:t>
            </w:r>
          </w:p>
        </w:tc>
        <w:tc>
          <w:tcPr>
            <w:tcW w:w="0" w:type="auto"/>
            <w:shd w:val="clear" w:color="auto" w:fill="auto"/>
            <w:vAlign w:val="center"/>
          </w:tcPr>
          <w:p w14:paraId="59C3CF98">
            <w:pPr>
              <w:spacing w:line="300" w:lineRule="exact"/>
              <w:jc w:val="center"/>
              <w:rPr>
                <w:rFonts w:hint="default" w:ascii="Times New Roman" w:hAnsi="Times New Roman" w:eastAsia="华文中宋" w:cs="Times New Roman"/>
                <w:kern w:val="2"/>
                <w:sz w:val="21"/>
                <w:szCs w:val="21"/>
                <w:lang w:val="en-US" w:eastAsia="zh-CN" w:bidi="ar-SA"/>
              </w:rPr>
            </w:pPr>
            <w:r>
              <w:rPr>
                <w:rFonts w:hint="eastAsia" w:ascii="Times New Roman" w:hAnsi="Times New Roman" w:eastAsia="华文中宋" w:cs="Times New Roman"/>
                <w:szCs w:val="21"/>
                <w:highlight w:val="none"/>
                <w:lang w:val="en-US" w:eastAsia="zh-CN"/>
              </w:rPr>
              <w:t>铅（pb）</w:t>
            </w:r>
            <w:r>
              <w:rPr>
                <w:rFonts w:hint="default" w:ascii="Times New Roman" w:hAnsi="Times New Roman" w:eastAsia="华文中宋" w:cs="Times New Roman"/>
                <w:szCs w:val="21"/>
                <w:highlight w:val="none"/>
              </w:rPr>
              <w:t>占标率</w:t>
            </w:r>
            <w:r>
              <w:rPr>
                <w:rFonts w:hint="default" w:ascii="Times New Roman" w:hAnsi="Times New Roman" w:eastAsia="华文中宋" w:cs="Times New Roman"/>
                <w:szCs w:val="21"/>
                <w:highlight w:val="none"/>
                <w:lang w:eastAsia="zh-CN"/>
              </w:rPr>
              <w:t>（</w:t>
            </w:r>
            <w:r>
              <w:rPr>
                <w:rFonts w:hint="default" w:ascii="Times New Roman" w:hAnsi="Times New Roman" w:eastAsia="华文中宋" w:cs="Times New Roman"/>
                <w:szCs w:val="21"/>
              </w:rPr>
              <w:t>%</w:t>
            </w:r>
            <w:r>
              <w:rPr>
                <w:rFonts w:hint="default" w:ascii="Times New Roman" w:hAnsi="Times New Roman" w:eastAsia="华文中宋" w:cs="Times New Roman"/>
                <w:szCs w:val="21"/>
                <w:lang w:eastAsia="zh-CN"/>
              </w:rPr>
              <w:t>）</w:t>
            </w:r>
          </w:p>
        </w:tc>
      </w:tr>
      <w:tr w14:paraId="5360F01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5" w:hRule="atLeast"/>
        </w:trPr>
        <w:tc>
          <w:tcPr>
            <w:tcW w:w="0" w:type="auto"/>
            <w:vAlign w:val="center"/>
          </w:tcPr>
          <w:p w14:paraId="42450A8C">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50.0</w:t>
            </w:r>
          </w:p>
        </w:tc>
        <w:tc>
          <w:tcPr>
            <w:tcW w:w="0" w:type="auto"/>
            <w:vAlign w:val="center"/>
          </w:tcPr>
          <w:p w14:paraId="12A5472C">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12.60</w:t>
            </w:r>
          </w:p>
        </w:tc>
        <w:tc>
          <w:tcPr>
            <w:tcW w:w="0" w:type="auto"/>
            <w:vAlign w:val="center"/>
          </w:tcPr>
          <w:p w14:paraId="7FD39C5B">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1.40</w:t>
            </w:r>
          </w:p>
        </w:tc>
        <w:tc>
          <w:tcPr>
            <w:tcW w:w="0" w:type="auto"/>
            <w:vAlign w:val="center"/>
          </w:tcPr>
          <w:p w14:paraId="614A88E2">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0.251</w:t>
            </w:r>
          </w:p>
        </w:tc>
        <w:tc>
          <w:tcPr>
            <w:tcW w:w="0" w:type="auto"/>
            <w:vAlign w:val="center"/>
          </w:tcPr>
          <w:p w14:paraId="0EE8819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8.38</w:t>
            </w:r>
          </w:p>
        </w:tc>
      </w:tr>
      <w:tr w14:paraId="6323FF8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5" w:hRule="atLeast"/>
        </w:trPr>
        <w:tc>
          <w:tcPr>
            <w:tcW w:w="0" w:type="auto"/>
            <w:vAlign w:val="center"/>
          </w:tcPr>
          <w:p w14:paraId="5FAF68C2">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100.0</w:t>
            </w:r>
          </w:p>
        </w:tc>
        <w:tc>
          <w:tcPr>
            <w:tcW w:w="0" w:type="auto"/>
            <w:vAlign w:val="center"/>
          </w:tcPr>
          <w:p w14:paraId="5F2B7090">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13.32</w:t>
            </w:r>
          </w:p>
        </w:tc>
        <w:tc>
          <w:tcPr>
            <w:tcW w:w="0" w:type="auto"/>
            <w:vAlign w:val="center"/>
          </w:tcPr>
          <w:p w14:paraId="40A71401">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1.48</w:t>
            </w:r>
          </w:p>
        </w:tc>
        <w:tc>
          <w:tcPr>
            <w:tcW w:w="0" w:type="auto"/>
            <w:vAlign w:val="center"/>
          </w:tcPr>
          <w:p w14:paraId="190B6D6A">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0.266</w:t>
            </w:r>
          </w:p>
        </w:tc>
        <w:tc>
          <w:tcPr>
            <w:tcW w:w="0" w:type="auto"/>
            <w:vAlign w:val="center"/>
          </w:tcPr>
          <w:p w14:paraId="123ABAF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8.88</w:t>
            </w:r>
          </w:p>
        </w:tc>
      </w:tr>
      <w:tr w14:paraId="7DE695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0" w:type="auto"/>
            <w:vAlign w:val="center"/>
          </w:tcPr>
          <w:p w14:paraId="4A6338BD">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200.0</w:t>
            </w:r>
          </w:p>
        </w:tc>
        <w:tc>
          <w:tcPr>
            <w:tcW w:w="0" w:type="auto"/>
            <w:vAlign w:val="center"/>
          </w:tcPr>
          <w:p w14:paraId="6FBAAC30">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14.58</w:t>
            </w:r>
          </w:p>
        </w:tc>
        <w:tc>
          <w:tcPr>
            <w:tcW w:w="0" w:type="auto"/>
            <w:vAlign w:val="center"/>
          </w:tcPr>
          <w:p w14:paraId="2581FF0A">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1.62</w:t>
            </w:r>
          </w:p>
        </w:tc>
        <w:tc>
          <w:tcPr>
            <w:tcW w:w="0" w:type="auto"/>
            <w:vAlign w:val="center"/>
          </w:tcPr>
          <w:p w14:paraId="557EC12A">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0.291</w:t>
            </w:r>
          </w:p>
        </w:tc>
        <w:tc>
          <w:tcPr>
            <w:tcW w:w="0" w:type="auto"/>
            <w:vAlign w:val="center"/>
          </w:tcPr>
          <w:p w14:paraId="066CECE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9.69</w:t>
            </w:r>
          </w:p>
        </w:tc>
      </w:tr>
      <w:tr w14:paraId="3AA8C9A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0" w:type="auto"/>
            <w:vAlign w:val="center"/>
          </w:tcPr>
          <w:p w14:paraId="56F0C561">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300.0</w:t>
            </w:r>
          </w:p>
        </w:tc>
        <w:tc>
          <w:tcPr>
            <w:tcW w:w="0" w:type="auto"/>
            <w:vAlign w:val="center"/>
          </w:tcPr>
          <w:p w14:paraId="01FA1E71">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12.33</w:t>
            </w:r>
          </w:p>
        </w:tc>
        <w:tc>
          <w:tcPr>
            <w:tcW w:w="0" w:type="auto"/>
            <w:vAlign w:val="center"/>
          </w:tcPr>
          <w:p w14:paraId="34B70577">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1.37</w:t>
            </w:r>
          </w:p>
        </w:tc>
        <w:tc>
          <w:tcPr>
            <w:tcW w:w="0" w:type="auto"/>
            <w:vAlign w:val="center"/>
          </w:tcPr>
          <w:p w14:paraId="2A3DB36F">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0.247</w:t>
            </w:r>
          </w:p>
        </w:tc>
        <w:tc>
          <w:tcPr>
            <w:tcW w:w="0" w:type="auto"/>
            <w:vAlign w:val="center"/>
          </w:tcPr>
          <w:p w14:paraId="0A17A277">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8.22</w:t>
            </w:r>
          </w:p>
        </w:tc>
      </w:tr>
      <w:tr w14:paraId="6E06313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5" w:hRule="atLeast"/>
        </w:trPr>
        <w:tc>
          <w:tcPr>
            <w:tcW w:w="0" w:type="auto"/>
            <w:vAlign w:val="center"/>
          </w:tcPr>
          <w:p w14:paraId="2D065E61">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400.0</w:t>
            </w:r>
          </w:p>
        </w:tc>
        <w:tc>
          <w:tcPr>
            <w:tcW w:w="0" w:type="auto"/>
            <w:vAlign w:val="center"/>
          </w:tcPr>
          <w:p w14:paraId="2F773D98">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11.25</w:t>
            </w:r>
          </w:p>
        </w:tc>
        <w:tc>
          <w:tcPr>
            <w:tcW w:w="0" w:type="auto"/>
            <w:vAlign w:val="center"/>
          </w:tcPr>
          <w:p w14:paraId="05F01FFB">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1.25</w:t>
            </w:r>
          </w:p>
        </w:tc>
        <w:tc>
          <w:tcPr>
            <w:tcW w:w="0" w:type="auto"/>
            <w:vAlign w:val="center"/>
          </w:tcPr>
          <w:p w14:paraId="3C357AA6">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0.224</w:t>
            </w:r>
          </w:p>
        </w:tc>
        <w:tc>
          <w:tcPr>
            <w:tcW w:w="0" w:type="auto"/>
            <w:vAlign w:val="center"/>
          </w:tcPr>
          <w:p w14:paraId="06DB41E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7.47</w:t>
            </w:r>
          </w:p>
        </w:tc>
      </w:tr>
      <w:tr w14:paraId="696958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5" w:hRule="atLeast"/>
        </w:trPr>
        <w:tc>
          <w:tcPr>
            <w:tcW w:w="0" w:type="auto"/>
            <w:vAlign w:val="center"/>
          </w:tcPr>
          <w:p w14:paraId="01FE65E2">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500.0</w:t>
            </w:r>
          </w:p>
        </w:tc>
        <w:tc>
          <w:tcPr>
            <w:tcW w:w="0" w:type="auto"/>
            <w:vAlign w:val="center"/>
          </w:tcPr>
          <w:p w14:paraId="3F827019">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9.99</w:t>
            </w:r>
          </w:p>
        </w:tc>
        <w:tc>
          <w:tcPr>
            <w:tcW w:w="0" w:type="auto"/>
            <w:vAlign w:val="center"/>
          </w:tcPr>
          <w:p w14:paraId="2D4E76FA">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1.11</w:t>
            </w:r>
          </w:p>
        </w:tc>
        <w:tc>
          <w:tcPr>
            <w:tcW w:w="0" w:type="auto"/>
            <w:vAlign w:val="center"/>
          </w:tcPr>
          <w:p w14:paraId="2F722E9C">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0.206</w:t>
            </w:r>
          </w:p>
        </w:tc>
        <w:tc>
          <w:tcPr>
            <w:tcW w:w="0" w:type="auto"/>
            <w:vAlign w:val="center"/>
          </w:tcPr>
          <w:p w14:paraId="6C6C8DD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6.88</w:t>
            </w:r>
          </w:p>
        </w:tc>
      </w:tr>
      <w:tr w14:paraId="0A86584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0" w:type="auto"/>
            <w:vAlign w:val="center"/>
          </w:tcPr>
          <w:p w14:paraId="55113006">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下风向最大浓度</w:t>
            </w:r>
          </w:p>
        </w:tc>
        <w:tc>
          <w:tcPr>
            <w:tcW w:w="0" w:type="auto"/>
            <w:vAlign w:val="center"/>
          </w:tcPr>
          <w:p w14:paraId="23EF5E03">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14.67</w:t>
            </w:r>
          </w:p>
        </w:tc>
        <w:tc>
          <w:tcPr>
            <w:tcW w:w="0" w:type="auto"/>
            <w:vAlign w:val="center"/>
          </w:tcPr>
          <w:p w14:paraId="0D44FD89">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1.63</w:t>
            </w:r>
          </w:p>
        </w:tc>
        <w:tc>
          <w:tcPr>
            <w:tcW w:w="0" w:type="auto"/>
            <w:vAlign w:val="center"/>
          </w:tcPr>
          <w:p w14:paraId="74A45E52">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0.293</w:t>
            </w:r>
          </w:p>
        </w:tc>
        <w:tc>
          <w:tcPr>
            <w:tcW w:w="0" w:type="auto"/>
            <w:vAlign w:val="center"/>
          </w:tcPr>
          <w:p w14:paraId="404F0B80">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9.77</w:t>
            </w:r>
          </w:p>
        </w:tc>
      </w:tr>
      <w:tr w14:paraId="36A9C71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10" w:hRule="atLeast"/>
        </w:trPr>
        <w:tc>
          <w:tcPr>
            <w:tcW w:w="0" w:type="auto"/>
            <w:vAlign w:val="center"/>
          </w:tcPr>
          <w:p w14:paraId="3FBAB43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下风向最大浓度出现距离</w:t>
            </w:r>
          </w:p>
        </w:tc>
        <w:tc>
          <w:tcPr>
            <w:tcW w:w="0" w:type="auto"/>
            <w:gridSpan w:val="4"/>
            <w:vAlign w:val="center"/>
          </w:tcPr>
          <w:p w14:paraId="5F45345E">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211</w:t>
            </w:r>
          </w:p>
        </w:tc>
      </w:tr>
      <w:tr w14:paraId="2C560A9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0" w:type="auto"/>
            <w:vAlign w:val="center"/>
          </w:tcPr>
          <w:p w14:paraId="7BE0FAD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D10%最远距离</w:t>
            </w:r>
          </w:p>
        </w:tc>
        <w:tc>
          <w:tcPr>
            <w:tcW w:w="0" w:type="auto"/>
            <w:gridSpan w:val="4"/>
            <w:vAlign w:val="center"/>
          </w:tcPr>
          <w:p w14:paraId="0ED252A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w:t>
            </w:r>
          </w:p>
        </w:tc>
      </w:tr>
    </w:tbl>
    <w:p w14:paraId="00413A55">
      <w:pPr>
        <w:pStyle w:val="24"/>
        <w:snapToGrid w:val="0"/>
        <w:jc w:val="left"/>
        <w:rPr>
          <w:rFonts w:hint="default" w:ascii="Times New Roman" w:hAnsi="Times New Roman" w:eastAsia="华文中宋" w:cs="Times New Roman"/>
          <w:color w:val="auto"/>
          <w:highlight w:val="none"/>
          <w:lang w:val="en-US" w:eastAsia="zh-CN"/>
        </w:rPr>
      </w:pPr>
      <w:r>
        <w:rPr>
          <w:rFonts w:hint="default" w:ascii="Times New Roman" w:hAnsi="Times New Roman" w:eastAsia="华文中宋" w:cs="Times New Roman"/>
          <w:color w:val="auto"/>
          <w:highlight w:val="none"/>
          <w:lang w:val="en-US" w:eastAsia="zh-CN"/>
        </w:rPr>
        <w:t>通过预测可知，南露天采矿场粉尘无组织排放下风向最大落地浓度出现在下风向2</w:t>
      </w:r>
      <w:r>
        <w:rPr>
          <w:rFonts w:hint="eastAsia" w:ascii="Times New Roman" w:hAnsi="Times New Roman" w:cs="Times New Roman"/>
          <w:color w:val="auto"/>
          <w:highlight w:val="none"/>
          <w:lang w:val="en-US" w:eastAsia="zh-CN"/>
        </w:rPr>
        <w:t>11</w:t>
      </w:r>
      <w:r>
        <w:rPr>
          <w:rFonts w:hint="default" w:ascii="Times New Roman" w:hAnsi="Times New Roman" w:eastAsia="华文中宋" w:cs="Times New Roman"/>
          <w:color w:val="auto"/>
          <w:highlight w:val="none"/>
          <w:lang w:val="en-US" w:eastAsia="zh-CN"/>
        </w:rPr>
        <w:t>m处，</w:t>
      </w:r>
      <w:r>
        <w:rPr>
          <w:rFonts w:hint="eastAsia" w:ascii="Times New Roman" w:hAnsi="Times New Roman" w:cs="Times New Roman"/>
          <w:color w:val="auto"/>
          <w:highlight w:val="none"/>
          <w:lang w:val="en-US" w:eastAsia="zh-CN"/>
        </w:rPr>
        <w:t>TSP</w:t>
      </w:r>
      <w:r>
        <w:rPr>
          <w:rFonts w:hint="default" w:ascii="Times New Roman" w:hAnsi="Times New Roman" w:eastAsia="华文中宋" w:cs="Times New Roman"/>
          <w:color w:val="auto"/>
          <w:highlight w:val="none"/>
          <w:lang w:val="en-US" w:eastAsia="zh-CN"/>
        </w:rPr>
        <w:t>其浓度值为</w:t>
      </w:r>
      <w:r>
        <w:rPr>
          <w:rFonts w:hint="eastAsia" w:ascii="Times New Roman" w:hAnsi="Times New Roman" w:cs="Times New Roman"/>
          <w:color w:val="auto"/>
          <w:sz w:val="24"/>
          <w:szCs w:val="24"/>
          <w:highlight w:val="none"/>
          <w:lang w:val="en-US" w:eastAsia="zh-CN"/>
        </w:rPr>
        <w:t>14.67</w:t>
      </w:r>
      <w:r>
        <w:rPr>
          <w:rFonts w:hint="default" w:ascii="Times New Roman" w:hAnsi="Times New Roman" w:eastAsia="华文中宋" w:cs="Times New Roman"/>
          <w:color w:val="auto"/>
          <w:sz w:val="24"/>
          <w:szCs w:val="24"/>
          <w:highlight w:val="none"/>
        </w:rPr>
        <w:t>μ</w:t>
      </w:r>
      <w:r>
        <w:rPr>
          <w:rFonts w:hint="default" w:ascii="Times New Roman" w:hAnsi="Times New Roman" w:eastAsia="华文中宋" w:cs="Times New Roman"/>
          <w:color w:val="auto"/>
          <w:sz w:val="24"/>
          <w:szCs w:val="24"/>
          <w:highlight w:val="none"/>
          <w:lang w:val="en-US" w:eastAsia="zh-CN"/>
        </w:rPr>
        <w:t>g/m</w:t>
      </w:r>
      <w:r>
        <w:rPr>
          <w:rFonts w:hint="default" w:ascii="Times New Roman" w:hAnsi="Times New Roman" w:eastAsia="华文中宋" w:cs="Times New Roman"/>
          <w:color w:val="auto"/>
          <w:sz w:val="24"/>
          <w:szCs w:val="24"/>
          <w:highlight w:val="none"/>
          <w:vertAlign w:val="superscript"/>
          <w:lang w:val="en-US" w:eastAsia="zh-CN"/>
        </w:rPr>
        <w:t>3</w:t>
      </w:r>
      <w:r>
        <w:rPr>
          <w:rFonts w:hint="default" w:ascii="Times New Roman" w:hAnsi="Times New Roman" w:eastAsia="华文中宋" w:cs="Times New Roman"/>
          <w:sz w:val="24"/>
          <w:szCs w:val="24"/>
          <w:highlight w:val="none"/>
          <w:lang w:val="en-US" w:eastAsia="zh-CN"/>
        </w:rPr>
        <w:t>，</w:t>
      </w:r>
      <w:r>
        <w:rPr>
          <w:rFonts w:hint="default" w:ascii="Times New Roman" w:hAnsi="Times New Roman" w:eastAsia="华文中宋" w:cs="Times New Roman"/>
          <w:color w:val="auto"/>
          <w:highlight w:val="none"/>
          <w:lang w:val="en-US" w:eastAsia="zh-CN"/>
        </w:rPr>
        <w:t>占标率为</w:t>
      </w:r>
      <w:r>
        <w:rPr>
          <w:rFonts w:hint="eastAsia" w:ascii="Times New Roman" w:hAnsi="Times New Roman" w:cs="Times New Roman"/>
          <w:color w:val="auto"/>
          <w:highlight w:val="none"/>
          <w:lang w:val="en-US" w:eastAsia="zh-CN"/>
        </w:rPr>
        <w:t>1.63</w:t>
      </w:r>
      <w:r>
        <w:rPr>
          <w:rFonts w:hint="default" w:ascii="Times New Roman" w:hAnsi="Times New Roman" w:eastAsia="华文中宋" w:cs="Times New Roman"/>
          <w:color w:val="auto"/>
          <w:highlight w:val="none"/>
          <w:lang w:val="en-US" w:eastAsia="zh-CN"/>
        </w:rPr>
        <w:t>%，小于10%，</w:t>
      </w:r>
      <w:r>
        <w:rPr>
          <w:rFonts w:hint="eastAsia" w:ascii="Times New Roman" w:hAnsi="Times New Roman" w:cs="Times New Roman"/>
          <w:color w:val="auto"/>
          <w:highlight w:val="none"/>
          <w:lang w:val="en-US" w:eastAsia="zh-CN"/>
        </w:rPr>
        <w:t>铅（pb）</w:t>
      </w:r>
      <w:r>
        <w:rPr>
          <w:rFonts w:hint="default" w:ascii="Times New Roman" w:hAnsi="Times New Roman" w:eastAsia="华文中宋" w:cs="Times New Roman"/>
          <w:color w:val="auto"/>
          <w:highlight w:val="none"/>
          <w:lang w:val="en-US" w:eastAsia="zh-CN"/>
        </w:rPr>
        <w:t>其浓度值为</w:t>
      </w:r>
      <w:r>
        <w:rPr>
          <w:rFonts w:hint="eastAsia" w:ascii="Times New Roman" w:hAnsi="Times New Roman" w:cs="Times New Roman"/>
          <w:color w:val="auto"/>
          <w:sz w:val="24"/>
          <w:szCs w:val="24"/>
          <w:highlight w:val="none"/>
          <w:lang w:val="en-US" w:eastAsia="zh-CN"/>
        </w:rPr>
        <w:t>0.293</w:t>
      </w:r>
      <w:r>
        <w:rPr>
          <w:rFonts w:hint="default" w:ascii="Times New Roman" w:hAnsi="Times New Roman" w:eastAsia="华文中宋" w:cs="Times New Roman"/>
          <w:color w:val="auto"/>
          <w:sz w:val="24"/>
          <w:szCs w:val="24"/>
          <w:highlight w:val="none"/>
        </w:rPr>
        <w:t>μ</w:t>
      </w:r>
      <w:r>
        <w:rPr>
          <w:rFonts w:hint="default" w:ascii="Times New Roman" w:hAnsi="Times New Roman" w:eastAsia="华文中宋" w:cs="Times New Roman"/>
          <w:color w:val="auto"/>
          <w:sz w:val="24"/>
          <w:szCs w:val="24"/>
          <w:highlight w:val="none"/>
          <w:lang w:val="en-US" w:eastAsia="zh-CN"/>
        </w:rPr>
        <w:t>g/m</w:t>
      </w:r>
      <w:r>
        <w:rPr>
          <w:rFonts w:hint="default" w:ascii="Times New Roman" w:hAnsi="Times New Roman" w:eastAsia="华文中宋" w:cs="Times New Roman"/>
          <w:color w:val="auto"/>
          <w:sz w:val="24"/>
          <w:szCs w:val="24"/>
          <w:highlight w:val="none"/>
          <w:vertAlign w:val="superscript"/>
          <w:lang w:val="en-US" w:eastAsia="zh-CN"/>
        </w:rPr>
        <w:t>3</w:t>
      </w:r>
      <w:r>
        <w:rPr>
          <w:rFonts w:hint="default" w:ascii="Times New Roman" w:hAnsi="Times New Roman" w:eastAsia="华文中宋" w:cs="Times New Roman"/>
          <w:sz w:val="24"/>
          <w:szCs w:val="24"/>
          <w:highlight w:val="none"/>
          <w:lang w:val="en-US" w:eastAsia="zh-CN"/>
        </w:rPr>
        <w:t>，</w:t>
      </w:r>
      <w:r>
        <w:rPr>
          <w:rFonts w:hint="default" w:ascii="Times New Roman" w:hAnsi="Times New Roman" w:eastAsia="华文中宋" w:cs="Times New Roman"/>
          <w:color w:val="auto"/>
          <w:highlight w:val="none"/>
          <w:lang w:val="en-US" w:eastAsia="zh-CN"/>
        </w:rPr>
        <w:t>占标率为</w:t>
      </w:r>
      <w:r>
        <w:rPr>
          <w:rFonts w:hint="eastAsia" w:ascii="Times New Roman" w:hAnsi="Times New Roman" w:cs="Times New Roman"/>
          <w:color w:val="auto"/>
          <w:highlight w:val="none"/>
          <w:lang w:val="en-US" w:eastAsia="zh-CN"/>
        </w:rPr>
        <w:t>9.77</w:t>
      </w:r>
      <w:r>
        <w:rPr>
          <w:rFonts w:hint="default" w:ascii="Times New Roman" w:hAnsi="Times New Roman" w:eastAsia="华文中宋" w:cs="Times New Roman"/>
          <w:color w:val="auto"/>
          <w:highlight w:val="none"/>
          <w:lang w:val="en-US" w:eastAsia="zh-CN"/>
        </w:rPr>
        <w:t>%，小于10%，满足《环境空气质量标准》（GB3095-2012）二类区标准要求。</w:t>
      </w:r>
    </w:p>
    <w:p w14:paraId="1DEE13D0">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②北露天采矿场</w:t>
      </w:r>
    </w:p>
    <w:p w14:paraId="565AB400">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大气环境影响预测中无组织排放源的预测考虑北露天采矿场连续性排放的粉尘影响。本次评价采用导则推荐的AERSCREEN估算模式估算粉尘的最大落地浓度。估算结果见表5.2-</w:t>
      </w:r>
      <w:r>
        <w:rPr>
          <w:rFonts w:hint="eastAsia" w:ascii="Times New Roman" w:hAnsi="Times New Roman" w:cs="Times New Roman"/>
          <w:color w:val="auto"/>
          <w:lang w:val="en-US" w:eastAsia="zh-CN"/>
        </w:rPr>
        <w:t>7</w:t>
      </w:r>
      <w:r>
        <w:rPr>
          <w:rFonts w:hint="default" w:ascii="Times New Roman" w:hAnsi="Times New Roman" w:eastAsia="华文中宋" w:cs="Times New Roman"/>
          <w:color w:val="auto"/>
          <w:lang w:val="en-US" w:eastAsia="zh-CN"/>
        </w:rPr>
        <w:t>。</w:t>
      </w:r>
    </w:p>
    <w:p w14:paraId="583C52B7">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表5.2-</w:t>
      </w:r>
      <w:r>
        <w:rPr>
          <w:rFonts w:hint="eastAsia" w:ascii="Times New Roman" w:hAnsi="Times New Roman" w:eastAsia="华文中宋" w:cs="Times New Roman"/>
          <w:b/>
          <w:szCs w:val="21"/>
          <w:lang w:val="en-US" w:eastAsia="zh-CN"/>
        </w:rPr>
        <w:t>7</w:t>
      </w:r>
      <w:r>
        <w:rPr>
          <w:rFonts w:hint="default" w:ascii="Times New Roman" w:hAnsi="Times New Roman" w:eastAsia="华文中宋" w:cs="Times New Roman"/>
          <w:b/>
          <w:szCs w:val="21"/>
          <w:lang w:val="en-US" w:eastAsia="zh-CN"/>
        </w:rPr>
        <w:t xml:space="preserve">  北露天采矿场预测结果一览表</w:t>
      </w:r>
    </w:p>
    <w:tbl>
      <w:tblPr>
        <w:tblStyle w:val="19"/>
        <w:tblW w:w="8527"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842"/>
        <w:gridCol w:w="1394"/>
        <w:gridCol w:w="1224"/>
        <w:gridCol w:w="1612"/>
        <w:gridCol w:w="1455"/>
      </w:tblGrid>
      <w:tr w14:paraId="6784DC1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5" w:hRule="atLeast"/>
        </w:trPr>
        <w:tc>
          <w:tcPr>
            <w:tcW w:w="2842" w:type="dxa"/>
            <w:vMerge w:val="restart"/>
            <w:vAlign w:val="center"/>
          </w:tcPr>
          <w:p w14:paraId="44754170">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下风向距离</w:t>
            </w:r>
          </w:p>
        </w:tc>
        <w:tc>
          <w:tcPr>
            <w:tcW w:w="5685" w:type="dxa"/>
            <w:gridSpan w:val="4"/>
            <w:vAlign w:val="center"/>
          </w:tcPr>
          <w:p w14:paraId="50FE1D36">
            <w:pPr>
              <w:spacing w:line="300" w:lineRule="exact"/>
              <w:jc w:val="center"/>
              <w:rPr>
                <w:rFonts w:hint="default" w:ascii="Times New Roman" w:hAnsi="Times New Roman" w:eastAsia="华文中宋" w:cs="Times New Roman"/>
                <w:szCs w:val="21"/>
              </w:rPr>
            </w:pPr>
            <w:r>
              <w:rPr>
                <w:rFonts w:hint="eastAsia" w:ascii="Times New Roman" w:hAnsi="Times New Roman" w:eastAsia="华文中宋" w:cs="Times New Roman"/>
                <w:szCs w:val="21"/>
                <w:lang w:val="en-US" w:eastAsia="zh-CN"/>
              </w:rPr>
              <w:t>北</w:t>
            </w:r>
            <w:r>
              <w:rPr>
                <w:rFonts w:hint="default" w:ascii="Times New Roman" w:hAnsi="Times New Roman" w:eastAsia="华文中宋" w:cs="Times New Roman"/>
                <w:szCs w:val="21"/>
              </w:rPr>
              <w:t>露天采矿场</w:t>
            </w:r>
          </w:p>
        </w:tc>
      </w:tr>
      <w:tr w14:paraId="1ADF976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78" w:hRule="atLeast"/>
        </w:trPr>
        <w:tc>
          <w:tcPr>
            <w:tcW w:w="2842" w:type="dxa"/>
            <w:vMerge w:val="continue"/>
            <w:vAlign w:val="center"/>
          </w:tcPr>
          <w:p w14:paraId="60BD0F51">
            <w:pPr>
              <w:spacing w:line="300" w:lineRule="exact"/>
              <w:jc w:val="center"/>
              <w:rPr>
                <w:rFonts w:hint="default" w:ascii="Times New Roman" w:hAnsi="Times New Roman" w:eastAsia="华文中宋" w:cs="Times New Roman"/>
                <w:szCs w:val="21"/>
              </w:rPr>
            </w:pPr>
          </w:p>
        </w:tc>
        <w:tc>
          <w:tcPr>
            <w:tcW w:w="1394" w:type="dxa"/>
            <w:vAlign w:val="center"/>
          </w:tcPr>
          <w:p w14:paraId="58EE035F">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TSP浓度</w:t>
            </w:r>
            <w:r>
              <w:rPr>
                <w:rFonts w:hint="default" w:ascii="Times New Roman" w:hAnsi="Times New Roman" w:eastAsia="华文中宋" w:cs="Times New Roman"/>
                <w:szCs w:val="21"/>
                <w:highlight w:val="none"/>
                <w:lang w:eastAsia="zh-CN"/>
              </w:rPr>
              <w:t>（</w:t>
            </w:r>
            <w:r>
              <w:rPr>
                <w:rFonts w:hint="default" w:ascii="Times New Roman" w:hAnsi="Times New Roman" w:eastAsia="华文中宋" w:cs="Times New Roman"/>
                <w:szCs w:val="21"/>
                <w:highlight w:val="none"/>
              </w:rPr>
              <w:t>μg/m³</w:t>
            </w:r>
            <w:r>
              <w:rPr>
                <w:rFonts w:hint="default" w:ascii="Times New Roman" w:hAnsi="Times New Roman" w:eastAsia="华文中宋" w:cs="Times New Roman"/>
                <w:szCs w:val="21"/>
                <w:highlight w:val="none"/>
                <w:lang w:eastAsia="zh-CN"/>
              </w:rPr>
              <w:t>）</w:t>
            </w:r>
          </w:p>
        </w:tc>
        <w:tc>
          <w:tcPr>
            <w:tcW w:w="1224" w:type="dxa"/>
            <w:vAlign w:val="center"/>
          </w:tcPr>
          <w:p w14:paraId="03DB9F7B">
            <w:pPr>
              <w:spacing w:line="300" w:lineRule="exact"/>
              <w:jc w:val="center"/>
            </w:pPr>
            <w:r>
              <w:rPr>
                <w:rFonts w:hint="default" w:ascii="Times New Roman" w:hAnsi="Times New Roman" w:eastAsia="华文中宋" w:cs="Times New Roman"/>
                <w:szCs w:val="21"/>
              </w:rPr>
              <w:t>TSP占标率</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w:t>
            </w:r>
            <w:r>
              <w:rPr>
                <w:rFonts w:hint="default" w:ascii="Times New Roman" w:hAnsi="Times New Roman" w:eastAsia="华文中宋" w:cs="Times New Roman"/>
                <w:szCs w:val="21"/>
                <w:lang w:eastAsia="zh-CN"/>
              </w:rPr>
              <w:t>）</w:t>
            </w:r>
          </w:p>
        </w:tc>
        <w:tc>
          <w:tcPr>
            <w:tcW w:w="1612" w:type="dxa"/>
            <w:vAlign w:val="center"/>
          </w:tcPr>
          <w:p w14:paraId="0BDCB3B3">
            <w:pPr>
              <w:spacing w:line="300" w:lineRule="exact"/>
              <w:jc w:val="center"/>
              <w:rPr>
                <w:rFonts w:hint="default" w:ascii="Times New Roman" w:hAnsi="Times New Roman" w:eastAsia="华文中宋" w:cs="Times New Roman"/>
                <w:szCs w:val="21"/>
                <w:highlight w:val="none"/>
              </w:rPr>
            </w:pPr>
            <w:r>
              <w:rPr>
                <w:rFonts w:hint="eastAsia" w:ascii="Times New Roman" w:hAnsi="Times New Roman" w:eastAsia="华文中宋" w:cs="Times New Roman"/>
                <w:szCs w:val="21"/>
                <w:highlight w:val="none"/>
                <w:lang w:val="en-US" w:eastAsia="zh-CN"/>
              </w:rPr>
              <w:t>铅（pb）</w:t>
            </w:r>
            <w:r>
              <w:rPr>
                <w:rFonts w:hint="default" w:ascii="Times New Roman" w:hAnsi="Times New Roman" w:eastAsia="华文中宋" w:cs="Times New Roman"/>
                <w:szCs w:val="21"/>
                <w:highlight w:val="none"/>
              </w:rPr>
              <w:t>浓度</w:t>
            </w:r>
            <w:r>
              <w:rPr>
                <w:rFonts w:hint="default" w:ascii="Times New Roman" w:hAnsi="Times New Roman" w:eastAsia="华文中宋" w:cs="Times New Roman"/>
                <w:szCs w:val="21"/>
                <w:highlight w:val="none"/>
                <w:lang w:eastAsia="zh-CN"/>
              </w:rPr>
              <w:t>（</w:t>
            </w:r>
            <w:r>
              <w:rPr>
                <w:rFonts w:hint="default" w:ascii="Times New Roman" w:hAnsi="Times New Roman" w:eastAsia="华文中宋" w:cs="Times New Roman"/>
                <w:szCs w:val="21"/>
                <w:highlight w:val="none"/>
              </w:rPr>
              <w:t>μg/m³</w:t>
            </w:r>
            <w:r>
              <w:rPr>
                <w:rFonts w:hint="default" w:ascii="Times New Roman" w:hAnsi="Times New Roman" w:eastAsia="华文中宋" w:cs="Times New Roman"/>
                <w:szCs w:val="21"/>
                <w:highlight w:val="none"/>
                <w:lang w:eastAsia="zh-CN"/>
              </w:rPr>
              <w:t>）</w:t>
            </w:r>
          </w:p>
        </w:tc>
        <w:tc>
          <w:tcPr>
            <w:tcW w:w="1455" w:type="dxa"/>
            <w:vAlign w:val="center"/>
          </w:tcPr>
          <w:p w14:paraId="6E6DEB3E">
            <w:pPr>
              <w:spacing w:line="300" w:lineRule="exact"/>
              <w:jc w:val="center"/>
            </w:pPr>
            <w:r>
              <w:rPr>
                <w:rFonts w:hint="eastAsia" w:ascii="Times New Roman" w:hAnsi="Times New Roman" w:eastAsia="华文中宋" w:cs="Times New Roman"/>
                <w:szCs w:val="21"/>
                <w:highlight w:val="none"/>
                <w:lang w:val="en-US" w:eastAsia="zh-CN"/>
              </w:rPr>
              <w:t>铅（pb）</w:t>
            </w:r>
            <w:r>
              <w:rPr>
                <w:rFonts w:hint="default" w:ascii="Times New Roman" w:hAnsi="Times New Roman" w:eastAsia="华文中宋" w:cs="Times New Roman"/>
                <w:szCs w:val="21"/>
                <w:highlight w:val="none"/>
              </w:rPr>
              <w:t>占标率</w:t>
            </w:r>
            <w:r>
              <w:rPr>
                <w:rFonts w:hint="default" w:ascii="Times New Roman" w:hAnsi="Times New Roman" w:eastAsia="华文中宋" w:cs="Times New Roman"/>
                <w:szCs w:val="21"/>
                <w:highlight w:val="none"/>
                <w:lang w:eastAsia="zh-CN"/>
              </w:rPr>
              <w:t>（</w:t>
            </w:r>
            <w:r>
              <w:rPr>
                <w:rFonts w:hint="default" w:ascii="Times New Roman" w:hAnsi="Times New Roman" w:eastAsia="华文中宋" w:cs="Times New Roman"/>
                <w:szCs w:val="21"/>
              </w:rPr>
              <w:t>%</w:t>
            </w:r>
            <w:r>
              <w:rPr>
                <w:rFonts w:hint="default" w:ascii="Times New Roman" w:hAnsi="Times New Roman" w:eastAsia="华文中宋" w:cs="Times New Roman"/>
                <w:szCs w:val="21"/>
                <w:lang w:eastAsia="zh-CN"/>
              </w:rPr>
              <w:t>）</w:t>
            </w:r>
          </w:p>
        </w:tc>
      </w:tr>
      <w:tr w14:paraId="4936A52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29" w:hRule="atLeast"/>
        </w:trPr>
        <w:tc>
          <w:tcPr>
            <w:tcW w:w="2842" w:type="dxa"/>
            <w:vAlign w:val="center"/>
          </w:tcPr>
          <w:p w14:paraId="593CEE4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50.0</w:t>
            </w:r>
          </w:p>
        </w:tc>
        <w:tc>
          <w:tcPr>
            <w:tcW w:w="1394" w:type="dxa"/>
            <w:vAlign w:val="center"/>
          </w:tcPr>
          <w:p w14:paraId="73111F8C">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8.28</w:t>
            </w:r>
          </w:p>
        </w:tc>
        <w:tc>
          <w:tcPr>
            <w:tcW w:w="1224" w:type="dxa"/>
            <w:vAlign w:val="center"/>
          </w:tcPr>
          <w:p w14:paraId="74EF176A">
            <w:pPr>
              <w:spacing w:line="300" w:lineRule="exact"/>
              <w:jc w:val="center"/>
              <w:rPr>
                <w:rFonts w:hint="default"/>
                <w:lang w:val="en-US"/>
              </w:rPr>
            </w:pPr>
            <w:r>
              <w:rPr>
                <w:rFonts w:hint="eastAsia" w:ascii="Times New Roman" w:hAnsi="Times New Roman" w:eastAsia="华文中宋" w:cs="Times New Roman"/>
                <w:szCs w:val="21"/>
                <w:lang w:val="en-US" w:eastAsia="zh-CN"/>
              </w:rPr>
              <w:t>0.92</w:t>
            </w:r>
          </w:p>
        </w:tc>
        <w:tc>
          <w:tcPr>
            <w:tcW w:w="1612" w:type="dxa"/>
            <w:vAlign w:val="center"/>
          </w:tcPr>
          <w:p w14:paraId="6DFC063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0.166</w:t>
            </w:r>
          </w:p>
        </w:tc>
        <w:tc>
          <w:tcPr>
            <w:tcW w:w="1455" w:type="dxa"/>
            <w:vAlign w:val="center"/>
          </w:tcPr>
          <w:p w14:paraId="06A235B7">
            <w:pPr>
              <w:spacing w:line="300" w:lineRule="exact"/>
              <w:jc w:val="center"/>
              <w:rPr>
                <w:rFonts w:hint="default"/>
                <w:lang w:val="en-US"/>
              </w:rPr>
            </w:pPr>
            <w:r>
              <w:rPr>
                <w:rFonts w:hint="eastAsia" w:ascii="Times New Roman" w:hAnsi="Times New Roman" w:eastAsia="华文中宋" w:cs="Times New Roman"/>
                <w:szCs w:val="21"/>
                <w:lang w:val="en-US" w:eastAsia="zh-CN"/>
              </w:rPr>
              <w:t>5.53</w:t>
            </w:r>
          </w:p>
        </w:tc>
      </w:tr>
      <w:tr w14:paraId="0955189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2842" w:type="dxa"/>
            <w:vAlign w:val="center"/>
          </w:tcPr>
          <w:p w14:paraId="3562A7E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100.0</w:t>
            </w:r>
          </w:p>
        </w:tc>
        <w:tc>
          <w:tcPr>
            <w:tcW w:w="1394" w:type="dxa"/>
            <w:vAlign w:val="center"/>
          </w:tcPr>
          <w:p w14:paraId="22556CDD">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8.64</w:t>
            </w:r>
          </w:p>
        </w:tc>
        <w:tc>
          <w:tcPr>
            <w:tcW w:w="1224" w:type="dxa"/>
            <w:vAlign w:val="center"/>
          </w:tcPr>
          <w:p w14:paraId="79794CAA">
            <w:pPr>
              <w:spacing w:line="300" w:lineRule="exact"/>
              <w:jc w:val="center"/>
              <w:rPr>
                <w:rFonts w:hint="default"/>
                <w:lang w:val="en-US"/>
              </w:rPr>
            </w:pPr>
            <w:r>
              <w:rPr>
                <w:rFonts w:hint="eastAsia" w:ascii="Times New Roman" w:hAnsi="Times New Roman" w:eastAsia="华文中宋" w:cs="Times New Roman"/>
                <w:szCs w:val="21"/>
                <w:lang w:val="en-US" w:eastAsia="zh-CN"/>
              </w:rPr>
              <w:t>0.96</w:t>
            </w:r>
          </w:p>
        </w:tc>
        <w:tc>
          <w:tcPr>
            <w:tcW w:w="1612" w:type="dxa"/>
            <w:vAlign w:val="center"/>
          </w:tcPr>
          <w:p w14:paraId="4C6E9BA0">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0.172</w:t>
            </w:r>
          </w:p>
        </w:tc>
        <w:tc>
          <w:tcPr>
            <w:tcW w:w="1455" w:type="dxa"/>
            <w:vAlign w:val="center"/>
          </w:tcPr>
          <w:p w14:paraId="69E6DB07">
            <w:pPr>
              <w:spacing w:line="300" w:lineRule="exact"/>
              <w:jc w:val="center"/>
              <w:rPr>
                <w:rFonts w:hint="default"/>
                <w:lang w:val="en-US"/>
              </w:rPr>
            </w:pPr>
            <w:r>
              <w:rPr>
                <w:rFonts w:hint="eastAsia" w:ascii="Times New Roman" w:hAnsi="Times New Roman" w:eastAsia="华文中宋" w:cs="Times New Roman"/>
                <w:szCs w:val="21"/>
                <w:lang w:val="en-US" w:eastAsia="zh-CN"/>
              </w:rPr>
              <w:t>5.73</w:t>
            </w:r>
          </w:p>
        </w:tc>
      </w:tr>
      <w:tr w14:paraId="1539380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61" w:hRule="atLeast"/>
        </w:trPr>
        <w:tc>
          <w:tcPr>
            <w:tcW w:w="2842" w:type="dxa"/>
            <w:vAlign w:val="center"/>
          </w:tcPr>
          <w:p w14:paraId="59E5566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200.0</w:t>
            </w:r>
          </w:p>
        </w:tc>
        <w:tc>
          <w:tcPr>
            <w:tcW w:w="1394" w:type="dxa"/>
            <w:vAlign w:val="center"/>
          </w:tcPr>
          <w:p w14:paraId="616CD7D1">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9.45</w:t>
            </w:r>
          </w:p>
        </w:tc>
        <w:tc>
          <w:tcPr>
            <w:tcW w:w="1224" w:type="dxa"/>
            <w:vAlign w:val="center"/>
          </w:tcPr>
          <w:p w14:paraId="59E437DA">
            <w:pPr>
              <w:spacing w:line="300" w:lineRule="exact"/>
              <w:jc w:val="center"/>
              <w:rPr>
                <w:rFonts w:hint="default"/>
                <w:lang w:val="en-US"/>
              </w:rPr>
            </w:pPr>
            <w:r>
              <w:rPr>
                <w:rFonts w:hint="eastAsia" w:ascii="Times New Roman" w:hAnsi="Times New Roman" w:eastAsia="华文中宋" w:cs="Times New Roman"/>
                <w:szCs w:val="21"/>
                <w:lang w:val="en-US" w:eastAsia="zh-CN"/>
              </w:rPr>
              <w:t>1.05</w:t>
            </w:r>
          </w:p>
        </w:tc>
        <w:tc>
          <w:tcPr>
            <w:tcW w:w="1612" w:type="dxa"/>
            <w:vAlign w:val="center"/>
          </w:tcPr>
          <w:p w14:paraId="0E50B93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0.189</w:t>
            </w:r>
          </w:p>
        </w:tc>
        <w:tc>
          <w:tcPr>
            <w:tcW w:w="1455" w:type="dxa"/>
            <w:vAlign w:val="center"/>
          </w:tcPr>
          <w:p w14:paraId="26A544AE">
            <w:pPr>
              <w:spacing w:line="300" w:lineRule="exact"/>
              <w:jc w:val="center"/>
              <w:rPr>
                <w:rFonts w:hint="default"/>
                <w:lang w:val="en-US"/>
              </w:rPr>
            </w:pPr>
            <w:r>
              <w:rPr>
                <w:rFonts w:hint="eastAsia" w:ascii="Times New Roman" w:hAnsi="Times New Roman" w:eastAsia="华文中宋" w:cs="Times New Roman"/>
                <w:szCs w:val="21"/>
                <w:lang w:val="en-US" w:eastAsia="zh-CN"/>
              </w:rPr>
              <w:t>6.31</w:t>
            </w:r>
          </w:p>
        </w:tc>
      </w:tr>
      <w:tr w14:paraId="6A57DB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2842" w:type="dxa"/>
            <w:vAlign w:val="center"/>
          </w:tcPr>
          <w:p w14:paraId="12E4FF1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300.0</w:t>
            </w:r>
          </w:p>
        </w:tc>
        <w:tc>
          <w:tcPr>
            <w:tcW w:w="1394" w:type="dxa"/>
            <w:vAlign w:val="center"/>
          </w:tcPr>
          <w:p w14:paraId="3121FF8B">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10.80</w:t>
            </w:r>
          </w:p>
        </w:tc>
        <w:tc>
          <w:tcPr>
            <w:tcW w:w="1224" w:type="dxa"/>
            <w:vAlign w:val="center"/>
          </w:tcPr>
          <w:p w14:paraId="38FB13EB">
            <w:pPr>
              <w:spacing w:line="300" w:lineRule="exact"/>
              <w:jc w:val="center"/>
              <w:rPr>
                <w:rFonts w:hint="default"/>
                <w:lang w:val="en-US"/>
              </w:rPr>
            </w:pPr>
            <w:r>
              <w:rPr>
                <w:rFonts w:hint="eastAsia" w:ascii="Times New Roman" w:hAnsi="Times New Roman" w:eastAsia="华文中宋" w:cs="Times New Roman"/>
                <w:szCs w:val="21"/>
                <w:lang w:val="en-US" w:eastAsia="zh-CN"/>
              </w:rPr>
              <w:t>1.20</w:t>
            </w:r>
          </w:p>
        </w:tc>
        <w:tc>
          <w:tcPr>
            <w:tcW w:w="1612" w:type="dxa"/>
            <w:vAlign w:val="center"/>
          </w:tcPr>
          <w:p w14:paraId="2F254F1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0.215</w:t>
            </w:r>
          </w:p>
        </w:tc>
        <w:tc>
          <w:tcPr>
            <w:tcW w:w="1455" w:type="dxa"/>
            <w:vAlign w:val="center"/>
          </w:tcPr>
          <w:p w14:paraId="10475882">
            <w:pPr>
              <w:spacing w:line="300" w:lineRule="exact"/>
              <w:jc w:val="center"/>
              <w:rPr>
                <w:rFonts w:hint="default"/>
                <w:lang w:val="en-US"/>
              </w:rPr>
            </w:pPr>
            <w:r>
              <w:rPr>
                <w:rFonts w:hint="eastAsia" w:ascii="Times New Roman" w:hAnsi="Times New Roman" w:eastAsia="华文中宋" w:cs="Times New Roman"/>
                <w:szCs w:val="21"/>
                <w:lang w:val="en-US" w:eastAsia="zh-CN"/>
              </w:rPr>
              <w:t>7.18</w:t>
            </w:r>
          </w:p>
        </w:tc>
      </w:tr>
      <w:tr w14:paraId="1D75C57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2842" w:type="dxa"/>
            <w:vAlign w:val="center"/>
          </w:tcPr>
          <w:p w14:paraId="074B13D3">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400.0</w:t>
            </w:r>
          </w:p>
        </w:tc>
        <w:tc>
          <w:tcPr>
            <w:tcW w:w="1394" w:type="dxa"/>
            <w:vAlign w:val="center"/>
          </w:tcPr>
          <w:p w14:paraId="7CB05131">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11.34</w:t>
            </w:r>
          </w:p>
        </w:tc>
        <w:tc>
          <w:tcPr>
            <w:tcW w:w="1224" w:type="dxa"/>
            <w:vAlign w:val="center"/>
          </w:tcPr>
          <w:p w14:paraId="14C9A91A">
            <w:pPr>
              <w:spacing w:line="300" w:lineRule="exact"/>
              <w:jc w:val="center"/>
              <w:rPr>
                <w:rFonts w:hint="default"/>
                <w:lang w:val="en-US"/>
              </w:rPr>
            </w:pPr>
            <w:r>
              <w:rPr>
                <w:rFonts w:hint="eastAsia" w:ascii="Times New Roman" w:hAnsi="Times New Roman" w:eastAsia="华文中宋" w:cs="Times New Roman"/>
                <w:szCs w:val="21"/>
                <w:lang w:val="en-US" w:eastAsia="zh-CN"/>
              </w:rPr>
              <w:t>1.26</w:t>
            </w:r>
          </w:p>
        </w:tc>
        <w:tc>
          <w:tcPr>
            <w:tcW w:w="1612" w:type="dxa"/>
            <w:vAlign w:val="center"/>
          </w:tcPr>
          <w:p w14:paraId="61EE6E5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0.226</w:t>
            </w:r>
          </w:p>
        </w:tc>
        <w:tc>
          <w:tcPr>
            <w:tcW w:w="1455" w:type="dxa"/>
            <w:vAlign w:val="center"/>
          </w:tcPr>
          <w:p w14:paraId="4070E178">
            <w:pPr>
              <w:spacing w:line="300" w:lineRule="exact"/>
              <w:jc w:val="center"/>
            </w:pPr>
            <w:r>
              <w:rPr>
                <w:rFonts w:hint="eastAsia" w:ascii="Times New Roman" w:hAnsi="Times New Roman" w:eastAsia="华文中宋" w:cs="Times New Roman"/>
                <w:szCs w:val="21"/>
                <w:lang w:val="en-US" w:eastAsia="zh-CN"/>
              </w:rPr>
              <w:t>7.52</w:t>
            </w:r>
          </w:p>
        </w:tc>
      </w:tr>
      <w:tr w14:paraId="106A4E1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2842" w:type="dxa"/>
            <w:vAlign w:val="center"/>
          </w:tcPr>
          <w:p w14:paraId="6A01AB8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500.0</w:t>
            </w:r>
          </w:p>
        </w:tc>
        <w:tc>
          <w:tcPr>
            <w:tcW w:w="1394" w:type="dxa"/>
            <w:vAlign w:val="center"/>
          </w:tcPr>
          <w:p w14:paraId="526494A7">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10.53</w:t>
            </w:r>
          </w:p>
        </w:tc>
        <w:tc>
          <w:tcPr>
            <w:tcW w:w="1224" w:type="dxa"/>
            <w:vAlign w:val="center"/>
          </w:tcPr>
          <w:p w14:paraId="3DA06540">
            <w:pPr>
              <w:spacing w:line="300" w:lineRule="exact"/>
              <w:jc w:val="center"/>
              <w:rPr>
                <w:rFonts w:hint="default"/>
                <w:lang w:val="en-US"/>
              </w:rPr>
            </w:pPr>
            <w:r>
              <w:rPr>
                <w:rFonts w:hint="eastAsia" w:ascii="Times New Roman" w:hAnsi="Times New Roman" w:eastAsia="华文中宋" w:cs="Times New Roman"/>
                <w:szCs w:val="21"/>
                <w:lang w:val="en-US" w:eastAsia="zh-CN"/>
              </w:rPr>
              <w:t>1.17</w:t>
            </w:r>
          </w:p>
        </w:tc>
        <w:tc>
          <w:tcPr>
            <w:tcW w:w="1612" w:type="dxa"/>
            <w:vAlign w:val="center"/>
          </w:tcPr>
          <w:p w14:paraId="4284662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0.210</w:t>
            </w:r>
          </w:p>
        </w:tc>
        <w:tc>
          <w:tcPr>
            <w:tcW w:w="1455" w:type="dxa"/>
            <w:vAlign w:val="center"/>
          </w:tcPr>
          <w:p w14:paraId="1A77BA33">
            <w:pPr>
              <w:spacing w:line="300" w:lineRule="exact"/>
              <w:jc w:val="center"/>
              <w:rPr>
                <w:rFonts w:hint="default"/>
                <w:lang w:val="en-US"/>
              </w:rPr>
            </w:pPr>
            <w:r>
              <w:rPr>
                <w:rFonts w:hint="eastAsia" w:ascii="Times New Roman" w:hAnsi="Times New Roman" w:eastAsia="华文中宋" w:cs="Times New Roman"/>
                <w:szCs w:val="21"/>
                <w:lang w:val="en-US" w:eastAsia="zh-CN"/>
              </w:rPr>
              <w:t>7.00</w:t>
            </w:r>
          </w:p>
        </w:tc>
      </w:tr>
      <w:tr w14:paraId="7BF1CC2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24" w:hRule="atLeast"/>
        </w:trPr>
        <w:tc>
          <w:tcPr>
            <w:tcW w:w="2842" w:type="dxa"/>
            <w:vAlign w:val="center"/>
          </w:tcPr>
          <w:p w14:paraId="594C33D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下风向最大浓度</w:t>
            </w:r>
          </w:p>
        </w:tc>
        <w:tc>
          <w:tcPr>
            <w:tcW w:w="1394" w:type="dxa"/>
            <w:vAlign w:val="center"/>
          </w:tcPr>
          <w:p w14:paraId="287B53E9">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11.61</w:t>
            </w:r>
          </w:p>
        </w:tc>
        <w:tc>
          <w:tcPr>
            <w:tcW w:w="1224" w:type="dxa"/>
            <w:vAlign w:val="center"/>
          </w:tcPr>
          <w:p w14:paraId="686BF314">
            <w:pPr>
              <w:spacing w:line="300" w:lineRule="exact"/>
              <w:jc w:val="center"/>
              <w:rPr>
                <w:rFonts w:hint="default"/>
                <w:lang w:val="en-US"/>
              </w:rPr>
            </w:pPr>
            <w:r>
              <w:rPr>
                <w:rFonts w:hint="eastAsia" w:ascii="Times New Roman" w:hAnsi="Times New Roman" w:eastAsia="华文中宋" w:cs="Times New Roman"/>
                <w:szCs w:val="21"/>
                <w:lang w:val="en-US" w:eastAsia="zh-CN"/>
              </w:rPr>
              <w:t>1.29</w:t>
            </w:r>
          </w:p>
        </w:tc>
        <w:tc>
          <w:tcPr>
            <w:tcW w:w="1612" w:type="dxa"/>
            <w:vAlign w:val="center"/>
          </w:tcPr>
          <w:p w14:paraId="0F54D40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0.231</w:t>
            </w:r>
          </w:p>
        </w:tc>
        <w:tc>
          <w:tcPr>
            <w:tcW w:w="1455" w:type="dxa"/>
            <w:vAlign w:val="center"/>
          </w:tcPr>
          <w:p w14:paraId="6F420BDD">
            <w:pPr>
              <w:spacing w:line="300" w:lineRule="exact"/>
              <w:jc w:val="center"/>
              <w:rPr>
                <w:rFonts w:hint="default"/>
                <w:lang w:val="en-US"/>
              </w:rPr>
            </w:pPr>
            <w:r>
              <w:rPr>
                <w:rFonts w:hint="eastAsia" w:ascii="Times New Roman" w:hAnsi="Times New Roman" w:eastAsia="华文中宋" w:cs="Times New Roman"/>
                <w:szCs w:val="21"/>
                <w:lang w:val="en-US" w:eastAsia="zh-CN"/>
              </w:rPr>
              <w:t>7.69</w:t>
            </w:r>
          </w:p>
        </w:tc>
      </w:tr>
      <w:tr w14:paraId="2AC50C8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39" w:hRule="atLeast"/>
        </w:trPr>
        <w:tc>
          <w:tcPr>
            <w:tcW w:w="2842" w:type="dxa"/>
            <w:vAlign w:val="center"/>
          </w:tcPr>
          <w:p w14:paraId="058C2C7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下风向最大浓度出现距离</w:t>
            </w:r>
          </w:p>
        </w:tc>
        <w:tc>
          <w:tcPr>
            <w:tcW w:w="5685" w:type="dxa"/>
            <w:gridSpan w:val="4"/>
            <w:vAlign w:val="center"/>
          </w:tcPr>
          <w:p w14:paraId="24E6EC5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361</w:t>
            </w:r>
          </w:p>
        </w:tc>
      </w:tr>
      <w:tr w14:paraId="1FD66ED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67" w:hRule="atLeast"/>
        </w:trPr>
        <w:tc>
          <w:tcPr>
            <w:tcW w:w="2842" w:type="dxa"/>
            <w:vAlign w:val="center"/>
          </w:tcPr>
          <w:p w14:paraId="7A143E0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D10%最远距离</w:t>
            </w:r>
          </w:p>
        </w:tc>
        <w:tc>
          <w:tcPr>
            <w:tcW w:w="5685" w:type="dxa"/>
            <w:gridSpan w:val="4"/>
            <w:vAlign w:val="center"/>
          </w:tcPr>
          <w:p w14:paraId="7CEE7921">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w:t>
            </w:r>
          </w:p>
        </w:tc>
      </w:tr>
    </w:tbl>
    <w:p w14:paraId="155EDA9D">
      <w:pPr>
        <w:pStyle w:val="24"/>
        <w:snapToGrid w:val="0"/>
        <w:jc w:val="left"/>
        <w:rPr>
          <w:rFonts w:hint="default" w:ascii="Times New Roman" w:hAnsi="Times New Roman" w:eastAsia="华文中宋" w:cs="Times New Roman"/>
          <w:color w:val="000000" w:themeColor="text1"/>
          <w:sz w:val="24"/>
          <w:lang w:val="en-US" w:eastAsia="zh-CN"/>
          <w14:textFill>
            <w14:solidFill>
              <w14:schemeClr w14:val="tx1"/>
            </w14:solidFill>
          </w14:textFill>
        </w:rPr>
      </w:pPr>
      <w:r>
        <w:rPr>
          <w:rFonts w:hint="default" w:ascii="Times New Roman" w:hAnsi="Times New Roman" w:eastAsia="华文中宋" w:cs="Times New Roman"/>
          <w:color w:val="000000" w:themeColor="text1"/>
          <w:sz w:val="24"/>
          <w:lang w:val="en-US" w:eastAsia="zh-CN"/>
          <w14:textFill>
            <w14:solidFill>
              <w14:schemeClr w14:val="tx1"/>
            </w14:solidFill>
          </w14:textFill>
        </w:rPr>
        <w:t>通过预测可知，北露天采矿场粉尘无组织排放下风向最大落地浓度出现在下风向3</w:t>
      </w:r>
      <w:r>
        <w:rPr>
          <w:rFonts w:hint="eastAsia" w:ascii="Times New Roman" w:hAnsi="Times New Roman" w:cs="Times New Roman"/>
          <w:color w:val="000000" w:themeColor="text1"/>
          <w:sz w:val="24"/>
          <w:lang w:val="en-US" w:eastAsia="zh-CN"/>
          <w14:textFill>
            <w14:solidFill>
              <w14:schemeClr w14:val="tx1"/>
            </w14:solidFill>
          </w14:textFill>
        </w:rPr>
        <w:t>61</w:t>
      </w:r>
      <w:r>
        <w:rPr>
          <w:rFonts w:hint="default" w:ascii="Times New Roman" w:hAnsi="Times New Roman" w:eastAsia="华文中宋" w:cs="Times New Roman"/>
          <w:color w:val="000000" w:themeColor="text1"/>
          <w:sz w:val="24"/>
          <w:lang w:val="en-US" w:eastAsia="zh-CN"/>
          <w14:textFill>
            <w14:solidFill>
              <w14:schemeClr w14:val="tx1"/>
            </w14:solidFill>
          </w14:textFill>
        </w:rPr>
        <w:t>m处，</w:t>
      </w:r>
      <w:r>
        <w:rPr>
          <w:rFonts w:hint="eastAsia" w:ascii="Times New Roman" w:hAnsi="Times New Roman" w:cs="Times New Roman"/>
          <w:color w:val="000000" w:themeColor="text1"/>
          <w:highlight w:val="none"/>
          <w:lang w:val="en-US" w:eastAsia="zh-CN"/>
          <w14:textFill>
            <w14:solidFill>
              <w14:schemeClr w14:val="tx1"/>
            </w14:solidFill>
          </w14:textFill>
        </w:rPr>
        <w:t>TSP</w:t>
      </w:r>
      <w:r>
        <w:rPr>
          <w:rFonts w:hint="default" w:ascii="Times New Roman" w:hAnsi="Times New Roman" w:eastAsia="华文中宋" w:cs="Times New Roman"/>
          <w:color w:val="000000" w:themeColor="text1"/>
          <w:highlight w:val="none"/>
          <w:lang w:val="en-US" w:eastAsia="zh-CN"/>
          <w14:textFill>
            <w14:solidFill>
              <w14:schemeClr w14:val="tx1"/>
            </w14:solidFill>
          </w14:textFill>
        </w:rPr>
        <w:t>其浓度值为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11.61</w:t>
      </w:r>
      <w:r>
        <w:rPr>
          <w:rFonts w:hint="default" w:ascii="Times New Roman" w:hAnsi="Times New Roman" w:eastAsia="华文中宋" w:cs="Times New Roman"/>
          <w:color w:val="000000" w:themeColor="text1"/>
          <w:sz w:val="24"/>
          <w:szCs w:val="24"/>
          <w:highlight w:val="none"/>
          <w14:textFill>
            <w14:solidFill>
              <w14:schemeClr w14:val="tx1"/>
            </w14:solidFill>
          </w14:textFill>
        </w:rPr>
        <w:t>μ</w:t>
      </w:r>
      <w:r>
        <w:rPr>
          <w:rFonts w:hint="default" w:ascii="Times New Roman" w:hAnsi="Times New Roman" w:eastAsia="华文中宋" w:cs="Times New Roman"/>
          <w:color w:val="000000" w:themeColor="text1"/>
          <w:sz w:val="24"/>
          <w:szCs w:val="24"/>
          <w:highlight w:val="none"/>
          <w:lang w:val="en-US" w:eastAsia="zh-CN"/>
          <w14:textFill>
            <w14:solidFill>
              <w14:schemeClr w14:val="tx1"/>
            </w14:solidFill>
          </w14:textFill>
        </w:rPr>
        <w:t>g/m</w:t>
      </w:r>
      <w:r>
        <w:rPr>
          <w:rFonts w:hint="default" w:ascii="Times New Roman" w:hAnsi="Times New Roman" w:eastAsia="华文中宋"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华文中宋"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华文中宋" w:cs="Times New Roman"/>
          <w:color w:val="000000" w:themeColor="text1"/>
          <w:highlight w:val="none"/>
          <w:lang w:val="en-US" w:eastAsia="zh-CN"/>
          <w14:textFill>
            <w14:solidFill>
              <w14:schemeClr w14:val="tx1"/>
            </w14:solidFill>
          </w14:textFill>
        </w:rPr>
        <w:t>占标率为</w:t>
      </w:r>
      <w:r>
        <w:rPr>
          <w:rFonts w:hint="eastAsia" w:ascii="Times New Roman" w:hAnsi="Times New Roman" w:cs="Times New Roman"/>
          <w:color w:val="000000" w:themeColor="text1"/>
          <w:highlight w:val="none"/>
          <w:lang w:val="en-US" w:eastAsia="zh-CN"/>
          <w14:textFill>
            <w14:solidFill>
              <w14:schemeClr w14:val="tx1"/>
            </w14:solidFill>
          </w14:textFill>
        </w:rPr>
        <w:t>1.29</w:t>
      </w:r>
      <w:r>
        <w:rPr>
          <w:rFonts w:hint="default" w:ascii="Times New Roman" w:hAnsi="Times New Roman" w:eastAsia="华文中宋" w:cs="Times New Roman"/>
          <w:color w:val="000000" w:themeColor="text1"/>
          <w:highlight w:val="none"/>
          <w:lang w:val="en-US" w:eastAsia="zh-CN"/>
          <w14:textFill>
            <w14:solidFill>
              <w14:schemeClr w14:val="tx1"/>
            </w14:solidFill>
          </w14:textFill>
        </w:rPr>
        <w:t>%，小于10%，</w:t>
      </w:r>
      <w:r>
        <w:rPr>
          <w:rFonts w:hint="eastAsia" w:ascii="Times New Roman" w:hAnsi="Times New Roman" w:cs="Times New Roman"/>
          <w:color w:val="000000" w:themeColor="text1"/>
          <w:highlight w:val="none"/>
          <w:lang w:val="en-US" w:eastAsia="zh-CN"/>
          <w14:textFill>
            <w14:solidFill>
              <w14:schemeClr w14:val="tx1"/>
            </w14:solidFill>
          </w14:textFill>
        </w:rPr>
        <w:t>铅（pb）</w:t>
      </w:r>
      <w:r>
        <w:rPr>
          <w:rFonts w:hint="default" w:ascii="Times New Roman" w:hAnsi="Times New Roman" w:eastAsia="华文中宋" w:cs="Times New Roman"/>
          <w:color w:val="000000" w:themeColor="text1"/>
          <w:highlight w:val="none"/>
          <w:lang w:val="en-US" w:eastAsia="zh-CN"/>
          <w14:textFill>
            <w14:solidFill>
              <w14:schemeClr w14:val="tx1"/>
            </w14:solidFill>
          </w14:textFill>
        </w:rPr>
        <w:t>其浓度值为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0.231</w:t>
      </w:r>
      <w:r>
        <w:rPr>
          <w:rFonts w:hint="default" w:ascii="Times New Roman" w:hAnsi="Times New Roman" w:eastAsia="华文中宋" w:cs="Times New Roman"/>
          <w:color w:val="000000" w:themeColor="text1"/>
          <w:sz w:val="24"/>
          <w:szCs w:val="24"/>
          <w:highlight w:val="none"/>
          <w14:textFill>
            <w14:solidFill>
              <w14:schemeClr w14:val="tx1"/>
            </w14:solidFill>
          </w14:textFill>
        </w:rPr>
        <w:t>μ</w:t>
      </w:r>
      <w:r>
        <w:rPr>
          <w:rFonts w:hint="default" w:ascii="Times New Roman" w:hAnsi="Times New Roman" w:eastAsia="华文中宋" w:cs="Times New Roman"/>
          <w:color w:val="000000" w:themeColor="text1"/>
          <w:sz w:val="24"/>
          <w:szCs w:val="24"/>
          <w:highlight w:val="none"/>
          <w:lang w:val="en-US" w:eastAsia="zh-CN"/>
          <w14:textFill>
            <w14:solidFill>
              <w14:schemeClr w14:val="tx1"/>
            </w14:solidFill>
          </w14:textFill>
        </w:rPr>
        <w:t>g/m</w:t>
      </w:r>
      <w:r>
        <w:rPr>
          <w:rFonts w:hint="default" w:ascii="Times New Roman" w:hAnsi="Times New Roman" w:eastAsia="华文中宋"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华文中宋"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华文中宋" w:cs="Times New Roman"/>
          <w:color w:val="000000" w:themeColor="text1"/>
          <w:highlight w:val="none"/>
          <w:lang w:val="en-US" w:eastAsia="zh-CN"/>
          <w14:textFill>
            <w14:solidFill>
              <w14:schemeClr w14:val="tx1"/>
            </w14:solidFill>
          </w14:textFill>
        </w:rPr>
        <w:t>占标率为</w:t>
      </w:r>
      <w:r>
        <w:rPr>
          <w:rFonts w:hint="eastAsia" w:ascii="Times New Roman" w:hAnsi="Times New Roman" w:cs="Times New Roman"/>
          <w:color w:val="000000" w:themeColor="text1"/>
          <w:highlight w:val="none"/>
          <w:lang w:val="en-US" w:eastAsia="zh-CN"/>
          <w14:textFill>
            <w14:solidFill>
              <w14:schemeClr w14:val="tx1"/>
            </w14:solidFill>
          </w14:textFill>
        </w:rPr>
        <w:t>7.69</w:t>
      </w:r>
      <w:r>
        <w:rPr>
          <w:rFonts w:hint="default" w:ascii="Times New Roman" w:hAnsi="Times New Roman" w:eastAsia="华文中宋" w:cs="Times New Roman"/>
          <w:color w:val="000000" w:themeColor="text1"/>
          <w:highlight w:val="none"/>
          <w:lang w:val="en-US" w:eastAsia="zh-CN"/>
          <w14:textFill>
            <w14:solidFill>
              <w14:schemeClr w14:val="tx1"/>
            </w14:solidFill>
          </w14:textFill>
        </w:rPr>
        <w:t>%，小于10%，满足《环境空气质量标准》（GB3095-2012）二类区标准要求。</w:t>
      </w:r>
    </w:p>
    <w:p w14:paraId="3419432D">
      <w:pPr>
        <w:adjustRightInd w:val="0"/>
        <w:snapToGrid w:val="0"/>
        <w:spacing w:line="500" w:lineRule="exact"/>
        <w:ind w:firstLine="480" w:firstLineChars="200"/>
        <w:jc w:val="left"/>
        <w:rPr>
          <w:rFonts w:hint="default" w:ascii="Times New Roman" w:hAnsi="Times New Roman" w:eastAsia="华文中宋" w:cs="Times New Roman"/>
          <w:snapToGrid w:val="0"/>
          <w:color w:val="auto"/>
          <w:kern w:val="0"/>
          <w:sz w:val="24"/>
          <w:szCs w:val="20"/>
          <w:lang w:val="en-US" w:eastAsia="zh-CN" w:bidi="ar-SA"/>
        </w:rPr>
      </w:pPr>
      <w:r>
        <w:rPr>
          <w:rFonts w:hint="eastAsia" w:ascii="Times New Roman" w:hAnsi="Times New Roman" w:eastAsia="华文中宋" w:cs="Times New Roman"/>
          <w:snapToGrid w:val="0"/>
          <w:color w:val="auto"/>
          <w:kern w:val="0"/>
          <w:sz w:val="24"/>
          <w:szCs w:val="20"/>
          <w:lang w:val="en-US" w:eastAsia="zh-CN" w:bidi="ar-SA"/>
        </w:rPr>
        <w:t>③</w:t>
      </w:r>
      <w:r>
        <w:rPr>
          <w:rFonts w:hint="default" w:ascii="Times New Roman" w:hAnsi="Times New Roman" w:eastAsia="华文中宋" w:cs="Times New Roman"/>
          <w:snapToGrid w:val="0"/>
          <w:color w:val="auto"/>
          <w:kern w:val="0"/>
          <w:sz w:val="24"/>
          <w:szCs w:val="20"/>
          <w:lang w:val="en-US" w:eastAsia="zh-CN" w:bidi="ar-SA"/>
        </w:rPr>
        <w:t>表土堆放场</w:t>
      </w:r>
    </w:p>
    <w:p w14:paraId="4CAAB14A">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napToGrid w:val="0"/>
          <w:color w:val="auto"/>
          <w:kern w:val="0"/>
          <w:sz w:val="24"/>
          <w:szCs w:val="20"/>
          <w:lang w:val="en-US" w:eastAsia="zh-CN" w:bidi="ar-SA"/>
        </w:rPr>
        <w:t>大气环境影响预测中无组织排放源的预测考虑表土堆放场连续性排放的粉尘影响。本次评价</w:t>
      </w:r>
      <w:r>
        <w:rPr>
          <w:rFonts w:hint="default" w:ascii="Times New Roman" w:hAnsi="Times New Roman" w:eastAsia="华文中宋" w:cs="Times New Roman"/>
          <w:sz w:val="24"/>
          <w:lang w:val="en-US" w:eastAsia="zh-CN"/>
        </w:rPr>
        <w:t>采用导则推荐的AERSCREEN估算模式估算粉尘的最大落地浓度。估算结果见</w:t>
      </w:r>
      <w:r>
        <w:rPr>
          <w:rFonts w:hint="default" w:ascii="Times New Roman" w:hAnsi="Times New Roman" w:eastAsia="华文中宋" w:cs="Times New Roman"/>
          <w:sz w:val="24"/>
          <w:highlight w:val="none"/>
          <w:lang w:val="en-US" w:eastAsia="zh-CN"/>
        </w:rPr>
        <w:t>表5.2-</w:t>
      </w:r>
      <w:r>
        <w:rPr>
          <w:rFonts w:hint="eastAsia" w:ascii="Times New Roman" w:hAnsi="Times New Roman" w:eastAsia="华文中宋" w:cs="Times New Roman"/>
          <w:sz w:val="24"/>
          <w:highlight w:val="none"/>
          <w:lang w:val="en-US" w:eastAsia="zh-CN"/>
        </w:rPr>
        <w:t>8</w:t>
      </w:r>
      <w:r>
        <w:rPr>
          <w:rFonts w:hint="default" w:ascii="Times New Roman" w:hAnsi="Times New Roman" w:eastAsia="华文中宋" w:cs="Times New Roman"/>
          <w:sz w:val="24"/>
          <w:highlight w:val="none"/>
          <w:lang w:val="en-US" w:eastAsia="zh-CN"/>
        </w:rPr>
        <w:t>。</w:t>
      </w:r>
    </w:p>
    <w:p w14:paraId="7859B8B7">
      <w:pPr>
        <w:adjustRightInd w:val="0"/>
        <w:snapToGrid w:val="0"/>
        <w:spacing w:before="250" w:beforeLines="50"/>
        <w:ind w:firstLine="422" w:firstLineChars="200"/>
        <w:jc w:val="center"/>
        <w:rPr>
          <w:rFonts w:hint="default" w:ascii="Times New Roman" w:hAnsi="Times New Roman" w:eastAsia="华文中宋" w:cs="Times New Roman"/>
          <w:b/>
          <w:szCs w:val="21"/>
          <w:highlight w:val="none"/>
          <w:lang w:val="en-US" w:eastAsia="zh-CN"/>
        </w:rPr>
      </w:pPr>
      <w:r>
        <w:rPr>
          <w:rFonts w:hint="default" w:ascii="Times New Roman" w:hAnsi="Times New Roman" w:eastAsia="华文中宋" w:cs="Times New Roman"/>
          <w:b/>
          <w:szCs w:val="21"/>
          <w:highlight w:val="none"/>
          <w:lang w:val="en-US" w:eastAsia="zh-CN"/>
        </w:rPr>
        <w:t>表5.2-</w:t>
      </w:r>
      <w:r>
        <w:rPr>
          <w:rFonts w:hint="eastAsia" w:ascii="Times New Roman" w:hAnsi="Times New Roman" w:eastAsia="华文中宋" w:cs="Times New Roman"/>
          <w:b/>
          <w:szCs w:val="21"/>
          <w:highlight w:val="none"/>
          <w:lang w:val="en-US" w:eastAsia="zh-CN"/>
        </w:rPr>
        <w:t>8</w:t>
      </w:r>
      <w:r>
        <w:rPr>
          <w:rFonts w:hint="default" w:ascii="Times New Roman" w:hAnsi="Times New Roman" w:eastAsia="华文中宋" w:cs="Times New Roman"/>
          <w:b/>
          <w:szCs w:val="21"/>
          <w:highlight w:val="none"/>
          <w:lang w:val="en-US" w:eastAsia="zh-CN"/>
        </w:rPr>
        <w:t xml:space="preserve">  表土堆放场预测结果一览表</w:t>
      </w:r>
    </w:p>
    <w:tbl>
      <w:tblPr>
        <w:tblStyle w:val="19"/>
        <w:tblW w:w="8527"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842"/>
        <w:gridCol w:w="1394"/>
        <w:gridCol w:w="1224"/>
        <w:gridCol w:w="1612"/>
        <w:gridCol w:w="1455"/>
      </w:tblGrid>
      <w:tr w14:paraId="5E5F42C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91" w:hRule="atLeast"/>
        </w:trPr>
        <w:tc>
          <w:tcPr>
            <w:tcW w:w="2842" w:type="dxa"/>
            <w:vMerge w:val="restart"/>
            <w:vAlign w:val="center"/>
          </w:tcPr>
          <w:p w14:paraId="2DF8936F">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下风向距离</w:t>
            </w:r>
          </w:p>
        </w:tc>
        <w:tc>
          <w:tcPr>
            <w:tcW w:w="5685" w:type="dxa"/>
            <w:gridSpan w:val="4"/>
            <w:vAlign w:val="center"/>
          </w:tcPr>
          <w:p w14:paraId="1D5E04C4">
            <w:pPr>
              <w:spacing w:line="300" w:lineRule="exact"/>
              <w:jc w:val="center"/>
              <w:rPr>
                <w:rFonts w:hint="default" w:ascii="Times New Roman" w:hAnsi="Times New Roman" w:eastAsia="华文中宋" w:cs="Times New Roman"/>
                <w:szCs w:val="21"/>
                <w:highlight w:val="none"/>
              </w:rPr>
            </w:pPr>
            <w:r>
              <w:rPr>
                <w:rFonts w:hint="eastAsia" w:ascii="Times New Roman" w:hAnsi="Times New Roman" w:eastAsia="华文中宋" w:cs="Times New Roman"/>
                <w:szCs w:val="21"/>
                <w:highlight w:val="none"/>
                <w:lang w:val="en-US" w:eastAsia="zh-CN"/>
              </w:rPr>
              <w:t>表土堆放</w:t>
            </w:r>
            <w:r>
              <w:rPr>
                <w:rFonts w:hint="default" w:ascii="Times New Roman" w:hAnsi="Times New Roman" w:eastAsia="华文中宋" w:cs="Times New Roman"/>
                <w:szCs w:val="21"/>
                <w:highlight w:val="none"/>
              </w:rPr>
              <w:t>场</w:t>
            </w:r>
          </w:p>
        </w:tc>
      </w:tr>
      <w:tr w14:paraId="2CADE32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78" w:hRule="atLeast"/>
        </w:trPr>
        <w:tc>
          <w:tcPr>
            <w:tcW w:w="2842" w:type="dxa"/>
            <w:vMerge w:val="continue"/>
            <w:vAlign w:val="center"/>
          </w:tcPr>
          <w:p w14:paraId="7667384C">
            <w:pPr>
              <w:spacing w:line="300" w:lineRule="exact"/>
              <w:jc w:val="center"/>
              <w:rPr>
                <w:rFonts w:hint="default" w:ascii="Times New Roman" w:hAnsi="Times New Roman" w:eastAsia="华文中宋" w:cs="Times New Roman"/>
                <w:szCs w:val="21"/>
                <w:highlight w:val="none"/>
              </w:rPr>
            </w:pPr>
          </w:p>
        </w:tc>
        <w:tc>
          <w:tcPr>
            <w:tcW w:w="1394" w:type="dxa"/>
            <w:vAlign w:val="center"/>
          </w:tcPr>
          <w:p w14:paraId="2C900AEE">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TSP浓度</w:t>
            </w:r>
            <w:r>
              <w:rPr>
                <w:rFonts w:hint="default" w:ascii="Times New Roman" w:hAnsi="Times New Roman" w:eastAsia="华文中宋" w:cs="Times New Roman"/>
                <w:szCs w:val="21"/>
                <w:highlight w:val="none"/>
                <w:lang w:eastAsia="zh-CN"/>
              </w:rPr>
              <w:t>（</w:t>
            </w:r>
            <w:r>
              <w:rPr>
                <w:rFonts w:hint="default" w:ascii="Times New Roman" w:hAnsi="Times New Roman" w:eastAsia="华文中宋" w:cs="Times New Roman"/>
                <w:szCs w:val="21"/>
                <w:highlight w:val="none"/>
              </w:rPr>
              <w:t>μg/m³</w:t>
            </w:r>
            <w:r>
              <w:rPr>
                <w:rFonts w:hint="default" w:ascii="Times New Roman" w:hAnsi="Times New Roman" w:eastAsia="华文中宋" w:cs="Times New Roman"/>
                <w:szCs w:val="21"/>
                <w:highlight w:val="none"/>
                <w:lang w:eastAsia="zh-CN"/>
              </w:rPr>
              <w:t>）</w:t>
            </w:r>
          </w:p>
        </w:tc>
        <w:tc>
          <w:tcPr>
            <w:tcW w:w="1224" w:type="dxa"/>
            <w:vAlign w:val="center"/>
          </w:tcPr>
          <w:p w14:paraId="021884BC">
            <w:pPr>
              <w:spacing w:line="300" w:lineRule="exact"/>
              <w:jc w:val="center"/>
              <w:rPr>
                <w:highlight w:val="none"/>
              </w:rPr>
            </w:pPr>
            <w:r>
              <w:rPr>
                <w:rFonts w:hint="default" w:ascii="Times New Roman" w:hAnsi="Times New Roman" w:eastAsia="华文中宋" w:cs="Times New Roman"/>
                <w:szCs w:val="21"/>
                <w:highlight w:val="none"/>
              </w:rPr>
              <w:t>TSP占标率</w:t>
            </w:r>
            <w:r>
              <w:rPr>
                <w:rFonts w:hint="default" w:ascii="Times New Roman" w:hAnsi="Times New Roman" w:eastAsia="华文中宋" w:cs="Times New Roman"/>
                <w:szCs w:val="21"/>
                <w:highlight w:val="none"/>
                <w:lang w:eastAsia="zh-CN"/>
              </w:rPr>
              <w:t>（</w:t>
            </w:r>
            <w:r>
              <w:rPr>
                <w:rFonts w:hint="default" w:ascii="Times New Roman" w:hAnsi="Times New Roman" w:eastAsia="华文中宋" w:cs="Times New Roman"/>
                <w:szCs w:val="21"/>
                <w:highlight w:val="none"/>
              </w:rPr>
              <w:t>%</w:t>
            </w:r>
            <w:r>
              <w:rPr>
                <w:rFonts w:hint="default" w:ascii="Times New Roman" w:hAnsi="Times New Roman" w:eastAsia="华文中宋" w:cs="Times New Roman"/>
                <w:szCs w:val="21"/>
                <w:highlight w:val="none"/>
                <w:lang w:eastAsia="zh-CN"/>
              </w:rPr>
              <w:t>）</w:t>
            </w:r>
          </w:p>
        </w:tc>
        <w:tc>
          <w:tcPr>
            <w:tcW w:w="1612" w:type="dxa"/>
            <w:vAlign w:val="center"/>
          </w:tcPr>
          <w:p w14:paraId="673657FC">
            <w:pPr>
              <w:spacing w:line="300" w:lineRule="exact"/>
              <w:jc w:val="center"/>
              <w:rPr>
                <w:rFonts w:hint="default" w:ascii="Times New Roman" w:hAnsi="Times New Roman" w:eastAsia="华文中宋" w:cs="Times New Roman"/>
                <w:szCs w:val="21"/>
                <w:highlight w:val="none"/>
              </w:rPr>
            </w:pPr>
            <w:r>
              <w:rPr>
                <w:rFonts w:hint="eastAsia" w:ascii="Times New Roman" w:hAnsi="Times New Roman" w:eastAsia="华文中宋" w:cs="Times New Roman"/>
                <w:szCs w:val="21"/>
                <w:highlight w:val="none"/>
                <w:lang w:val="en-US" w:eastAsia="zh-CN"/>
              </w:rPr>
              <w:t>铅（pb）</w:t>
            </w:r>
            <w:r>
              <w:rPr>
                <w:rFonts w:hint="default" w:ascii="Times New Roman" w:hAnsi="Times New Roman" w:eastAsia="华文中宋" w:cs="Times New Roman"/>
                <w:szCs w:val="21"/>
                <w:highlight w:val="none"/>
              </w:rPr>
              <w:t>浓度</w:t>
            </w:r>
            <w:r>
              <w:rPr>
                <w:rFonts w:hint="default" w:ascii="Times New Roman" w:hAnsi="Times New Roman" w:eastAsia="华文中宋" w:cs="Times New Roman"/>
                <w:szCs w:val="21"/>
                <w:highlight w:val="none"/>
                <w:lang w:eastAsia="zh-CN"/>
              </w:rPr>
              <w:t>（</w:t>
            </w:r>
            <w:r>
              <w:rPr>
                <w:rFonts w:hint="default" w:ascii="Times New Roman" w:hAnsi="Times New Roman" w:eastAsia="华文中宋" w:cs="Times New Roman"/>
                <w:szCs w:val="21"/>
                <w:highlight w:val="none"/>
              </w:rPr>
              <w:t>μg/m³</w:t>
            </w:r>
            <w:r>
              <w:rPr>
                <w:rFonts w:hint="default" w:ascii="Times New Roman" w:hAnsi="Times New Roman" w:eastAsia="华文中宋" w:cs="Times New Roman"/>
                <w:szCs w:val="21"/>
                <w:highlight w:val="none"/>
                <w:lang w:eastAsia="zh-CN"/>
              </w:rPr>
              <w:t>）</w:t>
            </w:r>
          </w:p>
        </w:tc>
        <w:tc>
          <w:tcPr>
            <w:tcW w:w="1455" w:type="dxa"/>
            <w:vAlign w:val="center"/>
          </w:tcPr>
          <w:p w14:paraId="31D8896B">
            <w:pPr>
              <w:spacing w:line="300" w:lineRule="exact"/>
              <w:jc w:val="center"/>
              <w:rPr>
                <w:highlight w:val="none"/>
              </w:rPr>
            </w:pPr>
            <w:r>
              <w:rPr>
                <w:rFonts w:hint="eastAsia" w:ascii="Times New Roman" w:hAnsi="Times New Roman" w:eastAsia="华文中宋" w:cs="Times New Roman"/>
                <w:szCs w:val="21"/>
                <w:highlight w:val="none"/>
                <w:lang w:val="en-US" w:eastAsia="zh-CN"/>
              </w:rPr>
              <w:t>铅（pb）</w:t>
            </w:r>
            <w:r>
              <w:rPr>
                <w:rFonts w:hint="default" w:ascii="Times New Roman" w:hAnsi="Times New Roman" w:eastAsia="华文中宋" w:cs="Times New Roman"/>
                <w:szCs w:val="21"/>
                <w:highlight w:val="none"/>
              </w:rPr>
              <w:t>占标率</w:t>
            </w:r>
            <w:r>
              <w:rPr>
                <w:rFonts w:hint="default" w:ascii="Times New Roman" w:hAnsi="Times New Roman" w:eastAsia="华文中宋" w:cs="Times New Roman"/>
                <w:szCs w:val="21"/>
                <w:highlight w:val="none"/>
                <w:lang w:eastAsia="zh-CN"/>
              </w:rPr>
              <w:t>（</w:t>
            </w:r>
            <w:r>
              <w:rPr>
                <w:rFonts w:hint="default" w:ascii="Times New Roman" w:hAnsi="Times New Roman" w:eastAsia="华文中宋" w:cs="Times New Roman"/>
                <w:szCs w:val="21"/>
                <w:highlight w:val="none"/>
              </w:rPr>
              <w:t>%</w:t>
            </w:r>
            <w:r>
              <w:rPr>
                <w:rFonts w:hint="default" w:ascii="Times New Roman" w:hAnsi="Times New Roman" w:eastAsia="华文中宋" w:cs="Times New Roman"/>
                <w:szCs w:val="21"/>
                <w:highlight w:val="none"/>
                <w:lang w:eastAsia="zh-CN"/>
              </w:rPr>
              <w:t>）</w:t>
            </w:r>
          </w:p>
        </w:tc>
      </w:tr>
      <w:tr w14:paraId="00FB6B0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5" w:hRule="atLeast"/>
        </w:trPr>
        <w:tc>
          <w:tcPr>
            <w:tcW w:w="2842" w:type="dxa"/>
            <w:vAlign w:val="center"/>
          </w:tcPr>
          <w:p w14:paraId="649B01D8">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50.0</w:t>
            </w:r>
          </w:p>
        </w:tc>
        <w:tc>
          <w:tcPr>
            <w:tcW w:w="1394" w:type="dxa"/>
            <w:vAlign w:val="center"/>
          </w:tcPr>
          <w:p w14:paraId="4F26ECF4">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7.74</w:t>
            </w:r>
          </w:p>
        </w:tc>
        <w:tc>
          <w:tcPr>
            <w:tcW w:w="1224" w:type="dxa"/>
            <w:vAlign w:val="center"/>
          </w:tcPr>
          <w:p w14:paraId="4582243E">
            <w:pPr>
              <w:spacing w:line="300" w:lineRule="exact"/>
              <w:jc w:val="center"/>
              <w:rPr>
                <w:rFonts w:hint="default"/>
                <w:highlight w:val="none"/>
                <w:lang w:val="en-US"/>
              </w:rPr>
            </w:pPr>
            <w:r>
              <w:rPr>
                <w:rFonts w:hint="eastAsia" w:ascii="Times New Roman" w:hAnsi="Times New Roman" w:eastAsia="华文中宋" w:cs="Times New Roman"/>
                <w:szCs w:val="21"/>
                <w:highlight w:val="none"/>
                <w:lang w:val="en-US" w:eastAsia="zh-CN"/>
              </w:rPr>
              <w:t>0.86</w:t>
            </w:r>
          </w:p>
        </w:tc>
        <w:tc>
          <w:tcPr>
            <w:tcW w:w="1612" w:type="dxa"/>
            <w:vAlign w:val="center"/>
          </w:tcPr>
          <w:p w14:paraId="7C5B2FC6">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0.003</w:t>
            </w:r>
          </w:p>
        </w:tc>
        <w:tc>
          <w:tcPr>
            <w:tcW w:w="1455" w:type="dxa"/>
            <w:vAlign w:val="center"/>
          </w:tcPr>
          <w:p w14:paraId="3B141BF5">
            <w:pPr>
              <w:spacing w:line="300" w:lineRule="exact"/>
              <w:jc w:val="center"/>
              <w:rPr>
                <w:rFonts w:hint="default"/>
                <w:highlight w:val="none"/>
                <w:lang w:val="en-US"/>
              </w:rPr>
            </w:pPr>
            <w:r>
              <w:rPr>
                <w:rFonts w:hint="eastAsia" w:ascii="Times New Roman" w:hAnsi="Times New Roman" w:eastAsia="华文中宋" w:cs="Times New Roman"/>
                <w:szCs w:val="21"/>
                <w:highlight w:val="none"/>
                <w:lang w:val="en-US" w:eastAsia="zh-CN"/>
              </w:rPr>
              <w:t>0.01</w:t>
            </w:r>
          </w:p>
        </w:tc>
      </w:tr>
      <w:tr w14:paraId="15E5D38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28" w:hRule="atLeast"/>
        </w:trPr>
        <w:tc>
          <w:tcPr>
            <w:tcW w:w="2842" w:type="dxa"/>
            <w:vAlign w:val="center"/>
          </w:tcPr>
          <w:p w14:paraId="75C01C3D">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100.0</w:t>
            </w:r>
          </w:p>
        </w:tc>
        <w:tc>
          <w:tcPr>
            <w:tcW w:w="1394" w:type="dxa"/>
            <w:vAlign w:val="center"/>
          </w:tcPr>
          <w:p w14:paraId="3F35147B">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5.94</w:t>
            </w:r>
          </w:p>
        </w:tc>
        <w:tc>
          <w:tcPr>
            <w:tcW w:w="1224" w:type="dxa"/>
            <w:vAlign w:val="center"/>
          </w:tcPr>
          <w:p w14:paraId="6A97F5C0">
            <w:pPr>
              <w:spacing w:line="300" w:lineRule="exact"/>
              <w:jc w:val="center"/>
              <w:rPr>
                <w:rFonts w:hint="default"/>
                <w:highlight w:val="none"/>
                <w:lang w:val="en-US"/>
              </w:rPr>
            </w:pPr>
            <w:r>
              <w:rPr>
                <w:rFonts w:hint="eastAsia" w:ascii="Times New Roman" w:hAnsi="Times New Roman" w:eastAsia="华文中宋" w:cs="Times New Roman"/>
                <w:szCs w:val="21"/>
                <w:highlight w:val="none"/>
                <w:lang w:val="en-US" w:eastAsia="zh-CN"/>
              </w:rPr>
              <w:t>0.66</w:t>
            </w:r>
          </w:p>
        </w:tc>
        <w:tc>
          <w:tcPr>
            <w:tcW w:w="1612" w:type="dxa"/>
            <w:vAlign w:val="center"/>
          </w:tcPr>
          <w:p w14:paraId="2C820060">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0.003</w:t>
            </w:r>
          </w:p>
        </w:tc>
        <w:tc>
          <w:tcPr>
            <w:tcW w:w="1455" w:type="dxa"/>
            <w:vAlign w:val="center"/>
          </w:tcPr>
          <w:p w14:paraId="1628C6B2">
            <w:pPr>
              <w:spacing w:line="300" w:lineRule="exact"/>
              <w:jc w:val="center"/>
              <w:rPr>
                <w:rFonts w:hint="default"/>
                <w:highlight w:val="none"/>
                <w:lang w:val="en-US"/>
              </w:rPr>
            </w:pPr>
            <w:r>
              <w:rPr>
                <w:rFonts w:hint="eastAsia" w:ascii="Times New Roman" w:hAnsi="Times New Roman" w:eastAsia="华文中宋" w:cs="Times New Roman"/>
                <w:szCs w:val="21"/>
                <w:highlight w:val="none"/>
                <w:lang w:val="en-US" w:eastAsia="zh-CN"/>
              </w:rPr>
              <w:t>0.01</w:t>
            </w:r>
          </w:p>
        </w:tc>
      </w:tr>
      <w:tr w14:paraId="210C5CF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28" w:hRule="atLeast"/>
        </w:trPr>
        <w:tc>
          <w:tcPr>
            <w:tcW w:w="2842" w:type="dxa"/>
            <w:vAlign w:val="center"/>
          </w:tcPr>
          <w:p w14:paraId="16BA40E4">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200.0</w:t>
            </w:r>
          </w:p>
        </w:tc>
        <w:tc>
          <w:tcPr>
            <w:tcW w:w="1394" w:type="dxa"/>
            <w:vAlign w:val="center"/>
          </w:tcPr>
          <w:p w14:paraId="2B4605F9">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3.69</w:t>
            </w:r>
          </w:p>
        </w:tc>
        <w:tc>
          <w:tcPr>
            <w:tcW w:w="1224" w:type="dxa"/>
            <w:vAlign w:val="center"/>
          </w:tcPr>
          <w:p w14:paraId="65102C2A">
            <w:pPr>
              <w:spacing w:line="300" w:lineRule="exact"/>
              <w:jc w:val="center"/>
              <w:rPr>
                <w:rFonts w:hint="default"/>
                <w:highlight w:val="none"/>
                <w:lang w:val="en-US"/>
              </w:rPr>
            </w:pPr>
            <w:r>
              <w:rPr>
                <w:rFonts w:hint="eastAsia" w:ascii="Times New Roman" w:hAnsi="Times New Roman" w:eastAsia="华文中宋" w:cs="Times New Roman"/>
                <w:szCs w:val="21"/>
                <w:highlight w:val="none"/>
                <w:lang w:val="en-US" w:eastAsia="zh-CN"/>
              </w:rPr>
              <w:t>0.41</w:t>
            </w:r>
          </w:p>
        </w:tc>
        <w:tc>
          <w:tcPr>
            <w:tcW w:w="1612" w:type="dxa"/>
            <w:vAlign w:val="center"/>
          </w:tcPr>
          <w:p w14:paraId="4FB603A6">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0.003</w:t>
            </w:r>
          </w:p>
        </w:tc>
        <w:tc>
          <w:tcPr>
            <w:tcW w:w="1455" w:type="dxa"/>
            <w:vAlign w:val="center"/>
          </w:tcPr>
          <w:p w14:paraId="4C338BC7">
            <w:pPr>
              <w:spacing w:line="300" w:lineRule="exact"/>
              <w:jc w:val="center"/>
              <w:rPr>
                <w:rFonts w:hint="default"/>
                <w:highlight w:val="none"/>
                <w:lang w:val="en-US"/>
              </w:rPr>
            </w:pPr>
            <w:r>
              <w:rPr>
                <w:rFonts w:hint="eastAsia" w:ascii="Times New Roman" w:hAnsi="Times New Roman" w:eastAsia="华文中宋" w:cs="Times New Roman"/>
                <w:szCs w:val="21"/>
                <w:highlight w:val="none"/>
                <w:lang w:val="en-US" w:eastAsia="zh-CN"/>
              </w:rPr>
              <w:t>0.01</w:t>
            </w:r>
          </w:p>
        </w:tc>
      </w:tr>
      <w:tr w14:paraId="3E6E4E1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07" w:hRule="atLeast"/>
        </w:trPr>
        <w:tc>
          <w:tcPr>
            <w:tcW w:w="2842" w:type="dxa"/>
            <w:vAlign w:val="center"/>
          </w:tcPr>
          <w:p w14:paraId="23967CF7">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300.0</w:t>
            </w:r>
          </w:p>
        </w:tc>
        <w:tc>
          <w:tcPr>
            <w:tcW w:w="1394" w:type="dxa"/>
            <w:vAlign w:val="center"/>
          </w:tcPr>
          <w:p w14:paraId="5D7CDDE2">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3.33</w:t>
            </w:r>
          </w:p>
        </w:tc>
        <w:tc>
          <w:tcPr>
            <w:tcW w:w="1224" w:type="dxa"/>
            <w:vAlign w:val="center"/>
          </w:tcPr>
          <w:p w14:paraId="2EF9965E">
            <w:pPr>
              <w:spacing w:line="300" w:lineRule="exact"/>
              <w:jc w:val="center"/>
              <w:rPr>
                <w:rFonts w:hint="default"/>
                <w:highlight w:val="none"/>
                <w:lang w:val="en-US"/>
              </w:rPr>
            </w:pPr>
            <w:r>
              <w:rPr>
                <w:rFonts w:hint="eastAsia" w:ascii="Times New Roman" w:hAnsi="Times New Roman" w:eastAsia="华文中宋" w:cs="Times New Roman"/>
                <w:szCs w:val="21"/>
                <w:highlight w:val="none"/>
                <w:lang w:val="en-US" w:eastAsia="zh-CN"/>
              </w:rPr>
              <w:t>0.37</w:t>
            </w:r>
          </w:p>
        </w:tc>
        <w:tc>
          <w:tcPr>
            <w:tcW w:w="1612" w:type="dxa"/>
            <w:vAlign w:val="center"/>
          </w:tcPr>
          <w:p w14:paraId="4B2FCD3B">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0.003</w:t>
            </w:r>
          </w:p>
        </w:tc>
        <w:tc>
          <w:tcPr>
            <w:tcW w:w="1455" w:type="dxa"/>
            <w:vAlign w:val="center"/>
          </w:tcPr>
          <w:p w14:paraId="46BEC5F1">
            <w:pPr>
              <w:spacing w:line="300" w:lineRule="exact"/>
              <w:jc w:val="center"/>
              <w:rPr>
                <w:rFonts w:hint="default"/>
                <w:highlight w:val="none"/>
                <w:lang w:val="en-US"/>
              </w:rPr>
            </w:pPr>
            <w:r>
              <w:rPr>
                <w:rFonts w:hint="eastAsia" w:ascii="Times New Roman" w:hAnsi="Times New Roman" w:eastAsia="华文中宋" w:cs="Times New Roman"/>
                <w:szCs w:val="21"/>
                <w:highlight w:val="none"/>
                <w:lang w:val="en-US" w:eastAsia="zh-CN"/>
              </w:rPr>
              <w:t>0.01</w:t>
            </w:r>
          </w:p>
        </w:tc>
      </w:tr>
      <w:tr w14:paraId="7C6D7E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28" w:hRule="atLeast"/>
        </w:trPr>
        <w:tc>
          <w:tcPr>
            <w:tcW w:w="2842" w:type="dxa"/>
            <w:vAlign w:val="center"/>
          </w:tcPr>
          <w:p w14:paraId="207F4A9E">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400.0</w:t>
            </w:r>
          </w:p>
        </w:tc>
        <w:tc>
          <w:tcPr>
            <w:tcW w:w="1394" w:type="dxa"/>
            <w:vAlign w:val="center"/>
          </w:tcPr>
          <w:p w14:paraId="27A5A3E4">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3.06</w:t>
            </w:r>
          </w:p>
        </w:tc>
        <w:tc>
          <w:tcPr>
            <w:tcW w:w="1224" w:type="dxa"/>
            <w:vAlign w:val="center"/>
          </w:tcPr>
          <w:p w14:paraId="6B4F54E3">
            <w:pPr>
              <w:spacing w:line="300" w:lineRule="exact"/>
              <w:jc w:val="center"/>
              <w:rPr>
                <w:rFonts w:hint="default"/>
                <w:highlight w:val="none"/>
                <w:lang w:val="en-US"/>
              </w:rPr>
            </w:pPr>
            <w:r>
              <w:rPr>
                <w:rFonts w:hint="eastAsia" w:ascii="Times New Roman" w:hAnsi="Times New Roman" w:eastAsia="华文中宋" w:cs="Times New Roman"/>
                <w:szCs w:val="21"/>
                <w:highlight w:val="none"/>
                <w:lang w:val="en-US" w:eastAsia="zh-CN"/>
              </w:rPr>
              <w:t>0.34</w:t>
            </w:r>
          </w:p>
        </w:tc>
        <w:tc>
          <w:tcPr>
            <w:tcW w:w="1612" w:type="dxa"/>
            <w:vAlign w:val="center"/>
          </w:tcPr>
          <w:p w14:paraId="1603E54E">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0.003</w:t>
            </w:r>
          </w:p>
        </w:tc>
        <w:tc>
          <w:tcPr>
            <w:tcW w:w="1455" w:type="dxa"/>
            <w:vAlign w:val="center"/>
          </w:tcPr>
          <w:p w14:paraId="2DE3BA91">
            <w:pPr>
              <w:spacing w:line="300" w:lineRule="exact"/>
              <w:jc w:val="center"/>
              <w:rPr>
                <w:rFonts w:hint="default"/>
                <w:highlight w:val="none"/>
                <w:lang w:val="en-US"/>
              </w:rPr>
            </w:pPr>
            <w:r>
              <w:rPr>
                <w:rFonts w:hint="eastAsia" w:ascii="Times New Roman" w:hAnsi="Times New Roman" w:eastAsia="华文中宋" w:cs="Times New Roman"/>
                <w:szCs w:val="21"/>
                <w:highlight w:val="none"/>
                <w:lang w:val="en-US" w:eastAsia="zh-CN"/>
              </w:rPr>
              <w:t>0.01</w:t>
            </w:r>
          </w:p>
        </w:tc>
      </w:tr>
      <w:tr w14:paraId="1761389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12" w:hRule="atLeast"/>
        </w:trPr>
        <w:tc>
          <w:tcPr>
            <w:tcW w:w="2842" w:type="dxa"/>
            <w:vAlign w:val="center"/>
          </w:tcPr>
          <w:p w14:paraId="55CB1D17">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500.0</w:t>
            </w:r>
          </w:p>
        </w:tc>
        <w:tc>
          <w:tcPr>
            <w:tcW w:w="1394" w:type="dxa"/>
            <w:vAlign w:val="center"/>
          </w:tcPr>
          <w:p w14:paraId="7F6BC10D">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2.88</w:t>
            </w:r>
          </w:p>
        </w:tc>
        <w:tc>
          <w:tcPr>
            <w:tcW w:w="1224" w:type="dxa"/>
            <w:vAlign w:val="center"/>
          </w:tcPr>
          <w:p w14:paraId="73DE5B99">
            <w:pPr>
              <w:spacing w:line="300" w:lineRule="exact"/>
              <w:jc w:val="center"/>
              <w:rPr>
                <w:rFonts w:hint="default"/>
                <w:highlight w:val="none"/>
                <w:lang w:val="en-US"/>
              </w:rPr>
            </w:pPr>
            <w:r>
              <w:rPr>
                <w:rFonts w:hint="eastAsia" w:ascii="Times New Roman" w:hAnsi="Times New Roman" w:eastAsia="华文中宋" w:cs="Times New Roman"/>
                <w:szCs w:val="21"/>
                <w:highlight w:val="none"/>
                <w:lang w:val="en-US" w:eastAsia="zh-CN"/>
              </w:rPr>
              <w:t>0.32</w:t>
            </w:r>
          </w:p>
        </w:tc>
        <w:tc>
          <w:tcPr>
            <w:tcW w:w="1612" w:type="dxa"/>
            <w:vAlign w:val="center"/>
          </w:tcPr>
          <w:p w14:paraId="65782DEC">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0.000</w:t>
            </w:r>
          </w:p>
        </w:tc>
        <w:tc>
          <w:tcPr>
            <w:tcW w:w="1455" w:type="dxa"/>
            <w:vAlign w:val="center"/>
          </w:tcPr>
          <w:p w14:paraId="1D9CBD13">
            <w:pPr>
              <w:spacing w:line="300" w:lineRule="exact"/>
              <w:jc w:val="center"/>
              <w:rPr>
                <w:rFonts w:hint="default"/>
                <w:highlight w:val="none"/>
                <w:lang w:val="en-US"/>
              </w:rPr>
            </w:pPr>
            <w:r>
              <w:rPr>
                <w:rFonts w:hint="eastAsia" w:ascii="Times New Roman" w:hAnsi="Times New Roman" w:eastAsia="华文中宋" w:cs="Times New Roman"/>
                <w:szCs w:val="21"/>
                <w:highlight w:val="none"/>
                <w:lang w:val="en-US" w:eastAsia="zh-CN"/>
              </w:rPr>
              <w:t>0.00</w:t>
            </w:r>
          </w:p>
        </w:tc>
      </w:tr>
      <w:tr w14:paraId="7C5D411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06" w:hRule="atLeast"/>
        </w:trPr>
        <w:tc>
          <w:tcPr>
            <w:tcW w:w="2842" w:type="dxa"/>
            <w:vAlign w:val="center"/>
          </w:tcPr>
          <w:p w14:paraId="6D6B86DB">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下风向最大浓度</w:t>
            </w:r>
          </w:p>
        </w:tc>
        <w:tc>
          <w:tcPr>
            <w:tcW w:w="1394" w:type="dxa"/>
            <w:vAlign w:val="center"/>
          </w:tcPr>
          <w:p w14:paraId="721C1C35">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8.19</w:t>
            </w:r>
          </w:p>
        </w:tc>
        <w:tc>
          <w:tcPr>
            <w:tcW w:w="1224" w:type="dxa"/>
            <w:vAlign w:val="center"/>
          </w:tcPr>
          <w:p w14:paraId="77D3E971">
            <w:pPr>
              <w:spacing w:line="300" w:lineRule="exact"/>
              <w:jc w:val="center"/>
              <w:rPr>
                <w:rFonts w:hint="default"/>
                <w:highlight w:val="none"/>
                <w:lang w:val="en-US"/>
              </w:rPr>
            </w:pPr>
            <w:r>
              <w:rPr>
                <w:rFonts w:hint="eastAsia" w:ascii="Times New Roman" w:hAnsi="Times New Roman" w:eastAsia="华文中宋" w:cs="Times New Roman"/>
                <w:szCs w:val="21"/>
                <w:highlight w:val="none"/>
                <w:lang w:val="en-US" w:eastAsia="zh-CN"/>
              </w:rPr>
              <w:t>0.91</w:t>
            </w:r>
          </w:p>
        </w:tc>
        <w:tc>
          <w:tcPr>
            <w:tcW w:w="1612" w:type="dxa"/>
            <w:vAlign w:val="center"/>
          </w:tcPr>
          <w:p w14:paraId="0EC839A5">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0.003</w:t>
            </w:r>
          </w:p>
        </w:tc>
        <w:tc>
          <w:tcPr>
            <w:tcW w:w="1455" w:type="dxa"/>
            <w:vAlign w:val="center"/>
          </w:tcPr>
          <w:p w14:paraId="7FB3986E">
            <w:pPr>
              <w:spacing w:line="300" w:lineRule="exact"/>
              <w:jc w:val="center"/>
              <w:rPr>
                <w:rFonts w:hint="default"/>
                <w:highlight w:val="none"/>
                <w:lang w:val="en-US"/>
              </w:rPr>
            </w:pPr>
            <w:r>
              <w:rPr>
                <w:rFonts w:hint="eastAsia" w:ascii="Times New Roman" w:hAnsi="Times New Roman" w:eastAsia="华文中宋" w:cs="Times New Roman"/>
                <w:szCs w:val="21"/>
                <w:highlight w:val="none"/>
                <w:lang w:val="en-US" w:eastAsia="zh-CN"/>
              </w:rPr>
              <w:t>0.01</w:t>
            </w:r>
          </w:p>
        </w:tc>
      </w:tr>
      <w:tr w14:paraId="7BD4424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95" w:hRule="atLeast"/>
        </w:trPr>
        <w:tc>
          <w:tcPr>
            <w:tcW w:w="2842" w:type="dxa"/>
            <w:vAlign w:val="center"/>
          </w:tcPr>
          <w:p w14:paraId="73328AF6">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下风向最大浓度出现距离</w:t>
            </w:r>
          </w:p>
        </w:tc>
        <w:tc>
          <w:tcPr>
            <w:tcW w:w="5685" w:type="dxa"/>
            <w:gridSpan w:val="4"/>
            <w:vAlign w:val="center"/>
          </w:tcPr>
          <w:p w14:paraId="63EB4F9F">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66</w:t>
            </w:r>
          </w:p>
        </w:tc>
      </w:tr>
      <w:tr w14:paraId="7011FFF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12" w:hRule="atLeast"/>
        </w:trPr>
        <w:tc>
          <w:tcPr>
            <w:tcW w:w="2842" w:type="dxa"/>
            <w:vAlign w:val="center"/>
          </w:tcPr>
          <w:p w14:paraId="139AF70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D10%最远距离</w:t>
            </w:r>
          </w:p>
        </w:tc>
        <w:tc>
          <w:tcPr>
            <w:tcW w:w="5685" w:type="dxa"/>
            <w:gridSpan w:val="4"/>
            <w:vAlign w:val="center"/>
          </w:tcPr>
          <w:p w14:paraId="2341B58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w:t>
            </w:r>
          </w:p>
        </w:tc>
      </w:tr>
    </w:tbl>
    <w:p w14:paraId="1BE5CBB2">
      <w:pPr>
        <w:adjustRightInd w:val="0"/>
        <w:snapToGrid w:val="0"/>
        <w:spacing w:line="500" w:lineRule="exact"/>
        <w:ind w:firstLine="480" w:firstLineChars="200"/>
        <w:jc w:val="left"/>
        <w:rPr>
          <w:rFonts w:hint="default" w:ascii="Times New Roman" w:hAnsi="Times New Roman" w:eastAsia="华文中宋" w:cs="Times New Roman"/>
          <w:sz w:val="24"/>
          <w:highlight w:val="red"/>
          <w:lang w:val="en-US" w:eastAsia="zh-CN"/>
        </w:rPr>
      </w:pPr>
      <w:r>
        <w:rPr>
          <w:rFonts w:hint="default" w:ascii="Times New Roman" w:hAnsi="Times New Roman" w:eastAsia="华文中宋" w:cs="Times New Roman"/>
          <w:sz w:val="24"/>
          <w:highlight w:val="none"/>
          <w:lang w:val="en-US" w:eastAsia="zh-CN"/>
        </w:rPr>
        <w:t>通过预测可知，表土堆放场粉尘无组织排放下风向最大落地浓度出现在下风向</w:t>
      </w:r>
      <w:r>
        <w:rPr>
          <w:rFonts w:hint="eastAsia" w:ascii="Times New Roman" w:hAnsi="Times New Roman" w:eastAsia="华文中宋" w:cs="Times New Roman"/>
          <w:sz w:val="24"/>
          <w:highlight w:val="none"/>
          <w:lang w:val="en-US" w:eastAsia="zh-CN"/>
        </w:rPr>
        <w:t>66</w:t>
      </w:r>
      <w:r>
        <w:rPr>
          <w:rFonts w:hint="default" w:ascii="Times New Roman" w:hAnsi="Times New Roman" w:eastAsia="华文中宋" w:cs="Times New Roman"/>
          <w:sz w:val="24"/>
          <w:highlight w:val="none"/>
          <w:lang w:val="en-US" w:eastAsia="zh-CN"/>
        </w:rPr>
        <w:t>m处，</w:t>
      </w:r>
      <w:r>
        <w:rPr>
          <w:rFonts w:hint="eastAsia" w:ascii="Times New Roman" w:hAnsi="Times New Roman" w:eastAsia="华文中宋" w:cs="Times New Roman"/>
          <w:sz w:val="24"/>
          <w:highlight w:val="none"/>
          <w:lang w:val="en-US" w:eastAsia="zh-CN"/>
        </w:rPr>
        <w:t>TSP</w:t>
      </w:r>
      <w:r>
        <w:rPr>
          <w:rFonts w:hint="default" w:ascii="Times New Roman" w:hAnsi="Times New Roman" w:eastAsia="华文中宋" w:cs="Times New Roman"/>
          <w:sz w:val="24"/>
          <w:highlight w:val="none"/>
          <w:lang w:val="en-US" w:eastAsia="zh-CN"/>
        </w:rPr>
        <w:t>其浓度值为</w:t>
      </w:r>
      <w:r>
        <w:rPr>
          <w:rFonts w:hint="eastAsia" w:ascii="Times New Roman" w:hAnsi="Times New Roman" w:eastAsia="华文中宋" w:cs="Times New Roman"/>
          <w:sz w:val="24"/>
          <w:highlight w:val="none"/>
          <w:lang w:val="en-US" w:eastAsia="zh-CN"/>
        </w:rPr>
        <w:t>8.19</w:t>
      </w:r>
      <w:r>
        <w:rPr>
          <w:rFonts w:hint="default" w:ascii="Times New Roman" w:hAnsi="Times New Roman" w:eastAsia="华文中宋" w:cs="Times New Roman"/>
          <w:sz w:val="24"/>
          <w:highlight w:val="none"/>
          <w:lang w:val="en-US" w:eastAsia="zh-CN"/>
        </w:rPr>
        <w:t>μg/m</w:t>
      </w:r>
      <w:r>
        <w:rPr>
          <w:rFonts w:hint="default" w:ascii="Times New Roman" w:hAnsi="Times New Roman" w:eastAsia="华文中宋" w:cs="Times New Roman"/>
          <w:sz w:val="24"/>
          <w:highlight w:val="none"/>
          <w:vertAlign w:val="superscript"/>
          <w:lang w:val="en-US" w:eastAsia="zh-CN"/>
        </w:rPr>
        <w:t>3</w:t>
      </w:r>
      <w:r>
        <w:rPr>
          <w:rFonts w:hint="default" w:ascii="Times New Roman" w:hAnsi="Times New Roman" w:eastAsia="华文中宋" w:cs="Times New Roman"/>
          <w:sz w:val="24"/>
          <w:highlight w:val="none"/>
          <w:lang w:val="en-US" w:eastAsia="zh-CN"/>
        </w:rPr>
        <w:t>，占标率为</w:t>
      </w:r>
      <w:r>
        <w:rPr>
          <w:rFonts w:hint="eastAsia" w:ascii="Times New Roman" w:hAnsi="Times New Roman" w:eastAsia="华文中宋" w:cs="Times New Roman"/>
          <w:sz w:val="24"/>
          <w:highlight w:val="none"/>
          <w:lang w:val="en-US" w:eastAsia="zh-CN"/>
        </w:rPr>
        <w:t>0.91</w:t>
      </w:r>
      <w:r>
        <w:rPr>
          <w:rFonts w:hint="default" w:ascii="Times New Roman" w:hAnsi="Times New Roman" w:eastAsia="华文中宋" w:cs="Times New Roman"/>
          <w:sz w:val="24"/>
          <w:highlight w:val="none"/>
          <w:lang w:val="en-US" w:eastAsia="zh-CN"/>
        </w:rPr>
        <w:t>%，小于10%，</w:t>
      </w:r>
      <w:r>
        <w:rPr>
          <w:rFonts w:hint="eastAsia" w:ascii="Times New Roman" w:hAnsi="Times New Roman" w:eastAsia="华文中宋" w:cs="Times New Roman"/>
          <w:sz w:val="24"/>
          <w:highlight w:val="none"/>
          <w:lang w:val="en-US" w:eastAsia="zh-CN"/>
        </w:rPr>
        <w:t>铅（pb）</w:t>
      </w:r>
      <w:r>
        <w:rPr>
          <w:rFonts w:hint="default" w:ascii="Times New Roman" w:hAnsi="Times New Roman" w:eastAsia="华文中宋" w:cs="Times New Roman"/>
          <w:sz w:val="24"/>
          <w:highlight w:val="none"/>
          <w:lang w:val="en-US" w:eastAsia="zh-CN"/>
        </w:rPr>
        <w:t>其浓度值为</w:t>
      </w:r>
      <w:r>
        <w:rPr>
          <w:rFonts w:hint="eastAsia" w:ascii="Times New Roman" w:hAnsi="Times New Roman" w:eastAsia="华文中宋" w:cs="Times New Roman"/>
          <w:sz w:val="24"/>
          <w:highlight w:val="none"/>
          <w:lang w:val="en-US" w:eastAsia="zh-CN"/>
        </w:rPr>
        <w:t>0.0031</w:t>
      </w:r>
      <w:r>
        <w:rPr>
          <w:rFonts w:hint="default" w:ascii="Times New Roman" w:hAnsi="Times New Roman" w:eastAsia="华文中宋" w:cs="Times New Roman"/>
          <w:sz w:val="24"/>
          <w:highlight w:val="none"/>
          <w:lang w:val="en-US" w:eastAsia="zh-CN"/>
        </w:rPr>
        <w:t>μg/m</w:t>
      </w:r>
      <w:r>
        <w:rPr>
          <w:rFonts w:hint="default" w:ascii="Times New Roman" w:hAnsi="Times New Roman" w:eastAsia="华文中宋" w:cs="Times New Roman"/>
          <w:sz w:val="24"/>
          <w:highlight w:val="none"/>
          <w:vertAlign w:val="superscript"/>
          <w:lang w:val="en-US" w:eastAsia="zh-CN"/>
        </w:rPr>
        <w:t>3</w:t>
      </w:r>
      <w:r>
        <w:rPr>
          <w:rFonts w:hint="default" w:ascii="Times New Roman" w:hAnsi="Times New Roman" w:eastAsia="华文中宋" w:cs="Times New Roman"/>
          <w:sz w:val="24"/>
          <w:highlight w:val="none"/>
          <w:lang w:val="en-US" w:eastAsia="zh-CN"/>
        </w:rPr>
        <w:t>，占标率为</w:t>
      </w:r>
      <w:r>
        <w:rPr>
          <w:rFonts w:hint="eastAsia" w:ascii="Times New Roman" w:hAnsi="Times New Roman" w:eastAsia="华文中宋" w:cs="Times New Roman"/>
          <w:sz w:val="24"/>
          <w:highlight w:val="none"/>
          <w:lang w:val="en-US" w:eastAsia="zh-CN"/>
        </w:rPr>
        <w:t>0.01</w:t>
      </w:r>
      <w:r>
        <w:rPr>
          <w:rFonts w:hint="default" w:ascii="Times New Roman" w:hAnsi="Times New Roman" w:eastAsia="华文中宋" w:cs="Times New Roman"/>
          <w:sz w:val="24"/>
          <w:highlight w:val="none"/>
          <w:lang w:val="en-US" w:eastAsia="zh-CN"/>
        </w:rPr>
        <w:t>%，小于10%，满足《环境空气质量标准》（GB3095-2012）二类区标准要求。</w:t>
      </w:r>
    </w:p>
    <w:p w14:paraId="2A5D03F3">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④废石堆场</w:t>
      </w:r>
    </w:p>
    <w:p w14:paraId="35F76D90">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大气环境影响预测中无组织排放源的预测考虑废石堆场连续性排放的粉尘影响。本次评价采用导则推荐的AERSCREEN估算模式估算粉尘的最大落地浓度。估算结果见表5.2-</w:t>
      </w:r>
      <w:r>
        <w:rPr>
          <w:rFonts w:hint="eastAsia" w:ascii="Times New Roman" w:hAnsi="Times New Roman" w:eastAsia="华文中宋" w:cs="Times New Roman"/>
          <w:sz w:val="24"/>
          <w:lang w:val="en-US" w:eastAsia="zh-CN"/>
        </w:rPr>
        <w:t>9</w:t>
      </w:r>
      <w:r>
        <w:rPr>
          <w:rFonts w:hint="default" w:ascii="Times New Roman" w:hAnsi="Times New Roman" w:eastAsia="华文中宋" w:cs="Times New Roman"/>
          <w:sz w:val="24"/>
          <w:lang w:val="en-US" w:eastAsia="zh-CN"/>
        </w:rPr>
        <w:t>。</w:t>
      </w:r>
    </w:p>
    <w:p w14:paraId="51536F23">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表5.2-</w:t>
      </w:r>
      <w:r>
        <w:rPr>
          <w:rFonts w:hint="eastAsia" w:ascii="Times New Roman" w:hAnsi="Times New Roman" w:eastAsia="华文中宋" w:cs="Times New Roman"/>
          <w:b/>
          <w:szCs w:val="21"/>
          <w:lang w:val="en-US" w:eastAsia="zh-CN"/>
        </w:rPr>
        <w:t>9</w:t>
      </w:r>
      <w:r>
        <w:rPr>
          <w:rFonts w:hint="default" w:ascii="Times New Roman" w:hAnsi="Times New Roman" w:eastAsia="华文中宋" w:cs="Times New Roman"/>
          <w:b/>
          <w:szCs w:val="21"/>
          <w:lang w:val="en-US" w:eastAsia="zh-CN"/>
        </w:rPr>
        <w:t xml:space="preserve">  废石堆放场预测结果一览表</w:t>
      </w:r>
    </w:p>
    <w:tbl>
      <w:tblPr>
        <w:tblStyle w:val="19"/>
        <w:tblW w:w="8527"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842"/>
        <w:gridCol w:w="1394"/>
        <w:gridCol w:w="1224"/>
        <w:gridCol w:w="1612"/>
        <w:gridCol w:w="1455"/>
      </w:tblGrid>
      <w:tr w14:paraId="62DB13B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91" w:hRule="atLeast"/>
        </w:trPr>
        <w:tc>
          <w:tcPr>
            <w:tcW w:w="2842" w:type="dxa"/>
            <w:vMerge w:val="restart"/>
            <w:vAlign w:val="center"/>
          </w:tcPr>
          <w:p w14:paraId="280E9A8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下风向距离</w:t>
            </w:r>
          </w:p>
        </w:tc>
        <w:tc>
          <w:tcPr>
            <w:tcW w:w="5685" w:type="dxa"/>
            <w:gridSpan w:val="4"/>
            <w:vAlign w:val="center"/>
          </w:tcPr>
          <w:p w14:paraId="30DFE56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废石堆放场</w:t>
            </w:r>
          </w:p>
        </w:tc>
      </w:tr>
      <w:tr w14:paraId="794B847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78" w:hRule="atLeast"/>
        </w:trPr>
        <w:tc>
          <w:tcPr>
            <w:tcW w:w="2842" w:type="dxa"/>
            <w:vMerge w:val="continue"/>
            <w:vAlign w:val="center"/>
          </w:tcPr>
          <w:p w14:paraId="058A12B2">
            <w:pPr>
              <w:spacing w:line="300" w:lineRule="exact"/>
              <w:jc w:val="center"/>
              <w:rPr>
                <w:rFonts w:hint="default" w:ascii="Times New Roman" w:hAnsi="Times New Roman" w:eastAsia="华文中宋" w:cs="Times New Roman"/>
                <w:szCs w:val="21"/>
              </w:rPr>
            </w:pPr>
          </w:p>
        </w:tc>
        <w:tc>
          <w:tcPr>
            <w:tcW w:w="1394" w:type="dxa"/>
            <w:vAlign w:val="center"/>
          </w:tcPr>
          <w:p w14:paraId="5BE8C9F9">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TSP浓度</w:t>
            </w:r>
            <w:r>
              <w:rPr>
                <w:rFonts w:hint="default" w:ascii="Times New Roman" w:hAnsi="Times New Roman" w:eastAsia="华文中宋" w:cs="Times New Roman"/>
                <w:szCs w:val="21"/>
                <w:highlight w:val="none"/>
                <w:lang w:eastAsia="zh-CN"/>
              </w:rPr>
              <w:t>（</w:t>
            </w:r>
            <w:r>
              <w:rPr>
                <w:rFonts w:hint="default" w:ascii="Times New Roman" w:hAnsi="Times New Roman" w:eastAsia="华文中宋" w:cs="Times New Roman"/>
                <w:szCs w:val="21"/>
                <w:highlight w:val="none"/>
              </w:rPr>
              <w:t>μg/m³</w:t>
            </w:r>
            <w:r>
              <w:rPr>
                <w:rFonts w:hint="default" w:ascii="Times New Roman" w:hAnsi="Times New Roman" w:eastAsia="华文中宋" w:cs="Times New Roman"/>
                <w:szCs w:val="21"/>
                <w:highlight w:val="none"/>
                <w:lang w:eastAsia="zh-CN"/>
              </w:rPr>
              <w:t>）</w:t>
            </w:r>
          </w:p>
        </w:tc>
        <w:tc>
          <w:tcPr>
            <w:tcW w:w="1224" w:type="dxa"/>
            <w:vAlign w:val="center"/>
          </w:tcPr>
          <w:p w14:paraId="3272A127">
            <w:pPr>
              <w:spacing w:line="300" w:lineRule="exact"/>
              <w:jc w:val="center"/>
            </w:pPr>
            <w:r>
              <w:rPr>
                <w:rFonts w:hint="default" w:ascii="Times New Roman" w:hAnsi="Times New Roman" w:eastAsia="华文中宋" w:cs="Times New Roman"/>
                <w:szCs w:val="21"/>
              </w:rPr>
              <w:t>TSP占标率</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w:t>
            </w:r>
            <w:r>
              <w:rPr>
                <w:rFonts w:hint="default" w:ascii="Times New Roman" w:hAnsi="Times New Roman" w:eastAsia="华文中宋" w:cs="Times New Roman"/>
                <w:szCs w:val="21"/>
                <w:lang w:eastAsia="zh-CN"/>
              </w:rPr>
              <w:t>）</w:t>
            </w:r>
          </w:p>
        </w:tc>
        <w:tc>
          <w:tcPr>
            <w:tcW w:w="1612" w:type="dxa"/>
            <w:vAlign w:val="center"/>
          </w:tcPr>
          <w:p w14:paraId="35C7C7B6">
            <w:pPr>
              <w:spacing w:line="300" w:lineRule="exact"/>
              <w:jc w:val="center"/>
              <w:rPr>
                <w:rFonts w:hint="default" w:ascii="Times New Roman" w:hAnsi="Times New Roman" w:eastAsia="华文中宋" w:cs="Times New Roman"/>
                <w:szCs w:val="21"/>
                <w:highlight w:val="none"/>
              </w:rPr>
            </w:pPr>
            <w:r>
              <w:rPr>
                <w:rFonts w:hint="eastAsia" w:ascii="Times New Roman" w:hAnsi="Times New Roman" w:eastAsia="华文中宋" w:cs="Times New Roman"/>
                <w:szCs w:val="21"/>
                <w:highlight w:val="none"/>
                <w:lang w:val="en-US" w:eastAsia="zh-CN"/>
              </w:rPr>
              <w:t>铅（pb）</w:t>
            </w:r>
            <w:r>
              <w:rPr>
                <w:rFonts w:hint="default" w:ascii="Times New Roman" w:hAnsi="Times New Roman" w:eastAsia="华文中宋" w:cs="Times New Roman"/>
                <w:szCs w:val="21"/>
                <w:highlight w:val="none"/>
              </w:rPr>
              <w:t>浓度</w:t>
            </w:r>
            <w:r>
              <w:rPr>
                <w:rFonts w:hint="default" w:ascii="Times New Roman" w:hAnsi="Times New Roman" w:eastAsia="华文中宋" w:cs="Times New Roman"/>
                <w:szCs w:val="21"/>
                <w:highlight w:val="none"/>
                <w:lang w:eastAsia="zh-CN"/>
              </w:rPr>
              <w:t>（</w:t>
            </w:r>
            <w:r>
              <w:rPr>
                <w:rFonts w:hint="default" w:ascii="Times New Roman" w:hAnsi="Times New Roman" w:eastAsia="华文中宋" w:cs="Times New Roman"/>
                <w:szCs w:val="21"/>
                <w:highlight w:val="none"/>
              </w:rPr>
              <w:t>μg/m³</w:t>
            </w:r>
            <w:r>
              <w:rPr>
                <w:rFonts w:hint="default" w:ascii="Times New Roman" w:hAnsi="Times New Roman" w:eastAsia="华文中宋" w:cs="Times New Roman"/>
                <w:szCs w:val="21"/>
                <w:highlight w:val="none"/>
                <w:lang w:eastAsia="zh-CN"/>
              </w:rPr>
              <w:t>）</w:t>
            </w:r>
          </w:p>
        </w:tc>
        <w:tc>
          <w:tcPr>
            <w:tcW w:w="1455" w:type="dxa"/>
            <w:vAlign w:val="center"/>
          </w:tcPr>
          <w:p w14:paraId="0851B203">
            <w:pPr>
              <w:spacing w:line="300" w:lineRule="exact"/>
              <w:jc w:val="center"/>
            </w:pPr>
            <w:r>
              <w:rPr>
                <w:rFonts w:hint="eastAsia" w:ascii="Times New Roman" w:hAnsi="Times New Roman" w:eastAsia="华文中宋" w:cs="Times New Roman"/>
                <w:szCs w:val="21"/>
                <w:highlight w:val="none"/>
                <w:lang w:val="en-US" w:eastAsia="zh-CN"/>
              </w:rPr>
              <w:t>铅（pb）</w:t>
            </w:r>
            <w:r>
              <w:rPr>
                <w:rFonts w:hint="default" w:ascii="Times New Roman" w:hAnsi="Times New Roman" w:eastAsia="华文中宋" w:cs="Times New Roman"/>
                <w:szCs w:val="21"/>
                <w:highlight w:val="none"/>
              </w:rPr>
              <w:t>占标率</w:t>
            </w:r>
            <w:r>
              <w:rPr>
                <w:rFonts w:hint="default" w:ascii="Times New Roman" w:hAnsi="Times New Roman" w:eastAsia="华文中宋" w:cs="Times New Roman"/>
                <w:szCs w:val="21"/>
                <w:highlight w:val="none"/>
                <w:lang w:eastAsia="zh-CN"/>
              </w:rPr>
              <w:t>（</w:t>
            </w:r>
            <w:r>
              <w:rPr>
                <w:rFonts w:hint="default" w:ascii="Times New Roman" w:hAnsi="Times New Roman" w:eastAsia="华文中宋" w:cs="Times New Roman"/>
                <w:szCs w:val="21"/>
              </w:rPr>
              <w:t>%</w:t>
            </w:r>
            <w:r>
              <w:rPr>
                <w:rFonts w:hint="default" w:ascii="Times New Roman" w:hAnsi="Times New Roman" w:eastAsia="华文中宋" w:cs="Times New Roman"/>
                <w:szCs w:val="21"/>
                <w:lang w:eastAsia="zh-CN"/>
              </w:rPr>
              <w:t>）</w:t>
            </w:r>
          </w:p>
        </w:tc>
      </w:tr>
      <w:tr w14:paraId="46EF62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2842" w:type="dxa"/>
            <w:vAlign w:val="center"/>
          </w:tcPr>
          <w:p w14:paraId="72006DF7">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50.0</w:t>
            </w:r>
          </w:p>
        </w:tc>
        <w:tc>
          <w:tcPr>
            <w:tcW w:w="1394" w:type="dxa"/>
            <w:vAlign w:val="center"/>
          </w:tcPr>
          <w:p w14:paraId="78480D36">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2.07</w:t>
            </w:r>
          </w:p>
        </w:tc>
        <w:tc>
          <w:tcPr>
            <w:tcW w:w="1224" w:type="dxa"/>
            <w:vAlign w:val="center"/>
          </w:tcPr>
          <w:p w14:paraId="6FABBE47">
            <w:pPr>
              <w:spacing w:line="300" w:lineRule="exact"/>
              <w:jc w:val="center"/>
              <w:rPr>
                <w:rFonts w:hint="default"/>
                <w:highlight w:val="none"/>
                <w:lang w:val="en-US"/>
              </w:rPr>
            </w:pPr>
            <w:r>
              <w:rPr>
                <w:rFonts w:hint="eastAsia" w:ascii="Times New Roman" w:hAnsi="Times New Roman" w:eastAsia="华文中宋" w:cs="Times New Roman"/>
                <w:szCs w:val="21"/>
                <w:highlight w:val="none"/>
                <w:lang w:val="en-US" w:eastAsia="zh-CN"/>
              </w:rPr>
              <w:t>0.23</w:t>
            </w:r>
          </w:p>
        </w:tc>
        <w:tc>
          <w:tcPr>
            <w:tcW w:w="1612" w:type="dxa"/>
            <w:vAlign w:val="center"/>
          </w:tcPr>
          <w:p w14:paraId="27407A79">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0.00</w:t>
            </w:r>
          </w:p>
        </w:tc>
        <w:tc>
          <w:tcPr>
            <w:tcW w:w="1455" w:type="dxa"/>
            <w:vAlign w:val="center"/>
          </w:tcPr>
          <w:p w14:paraId="217ED497">
            <w:pPr>
              <w:spacing w:line="300" w:lineRule="exact"/>
              <w:jc w:val="center"/>
              <w:rPr>
                <w:rFonts w:hint="default" w:eastAsiaTheme="minorEastAsia"/>
                <w:highlight w:val="none"/>
                <w:lang w:val="en-US" w:eastAsia="zh-CN"/>
              </w:rPr>
            </w:pPr>
            <w:r>
              <w:rPr>
                <w:rFonts w:hint="eastAsia"/>
                <w:highlight w:val="none"/>
                <w:lang w:val="en-US" w:eastAsia="zh-CN"/>
              </w:rPr>
              <w:t>0.00</w:t>
            </w:r>
          </w:p>
        </w:tc>
      </w:tr>
      <w:tr w14:paraId="7DF27B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28" w:hRule="atLeast"/>
        </w:trPr>
        <w:tc>
          <w:tcPr>
            <w:tcW w:w="2842" w:type="dxa"/>
            <w:vAlign w:val="center"/>
          </w:tcPr>
          <w:p w14:paraId="679BBEAE">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100.0</w:t>
            </w:r>
          </w:p>
        </w:tc>
        <w:tc>
          <w:tcPr>
            <w:tcW w:w="1394" w:type="dxa"/>
            <w:vAlign w:val="center"/>
          </w:tcPr>
          <w:p w14:paraId="4ED1A7B3">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2.43</w:t>
            </w:r>
          </w:p>
        </w:tc>
        <w:tc>
          <w:tcPr>
            <w:tcW w:w="1224" w:type="dxa"/>
            <w:vAlign w:val="center"/>
          </w:tcPr>
          <w:p w14:paraId="097A2DF5">
            <w:pPr>
              <w:spacing w:line="300" w:lineRule="exact"/>
              <w:jc w:val="center"/>
              <w:rPr>
                <w:rFonts w:hint="default"/>
                <w:highlight w:val="none"/>
                <w:lang w:val="en-US"/>
              </w:rPr>
            </w:pPr>
            <w:r>
              <w:rPr>
                <w:rFonts w:hint="eastAsia" w:ascii="Times New Roman" w:hAnsi="Times New Roman" w:eastAsia="华文中宋" w:cs="Times New Roman"/>
                <w:szCs w:val="21"/>
                <w:highlight w:val="none"/>
                <w:lang w:val="en-US" w:eastAsia="zh-CN"/>
              </w:rPr>
              <w:t>0.27</w:t>
            </w:r>
          </w:p>
        </w:tc>
        <w:tc>
          <w:tcPr>
            <w:tcW w:w="1612" w:type="dxa"/>
            <w:vAlign w:val="center"/>
          </w:tcPr>
          <w:p w14:paraId="28FA11E1">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0.00</w:t>
            </w:r>
          </w:p>
        </w:tc>
        <w:tc>
          <w:tcPr>
            <w:tcW w:w="1455" w:type="dxa"/>
            <w:vAlign w:val="center"/>
          </w:tcPr>
          <w:p w14:paraId="55ABB916">
            <w:pPr>
              <w:spacing w:line="300" w:lineRule="exact"/>
              <w:jc w:val="center"/>
              <w:rPr>
                <w:highlight w:val="none"/>
              </w:rPr>
            </w:pPr>
            <w:r>
              <w:rPr>
                <w:rFonts w:hint="eastAsia"/>
                <w:highlight w:val="none"/>
                <w:lang w:val="en-US" w:eastAsia="zh-CN"/>
              </w:rPr>
              <w:t>0.00</w:t>
            </w:r>
          </w:p>
        </w:tc>
      </w:tr>
      <w:tr w14:paraId="63C032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28" w:hRule="atLeast"/>
        </w:trPr>
        <w:tc>
          <w:tcPr>
            <w:tcW w:w="2842" w:type="dxa"/>
            <w:vAlign w:val="center"/>
          </w:tcPr>
          <w:p w14:paraId="66F0CA0A">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200.0</w:t>
            </w:r>
          </w:p>
        </w:tc>
        <w:tc>
          <w:tcPr>
            <w:tcW w:w="1394" w:type="dxa"/>
            <w:vAlign w:val="center"/>
          </w:tcPr>
          <w:p w14:paraId="102CE0A3">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2.79</w:t>
            </w:r>
          </w:p>
        </w:tc>
        <w:tc>
          <w:tcPr>
            <w:tcW w:w="1224" w:type="dxa"/>
            <w:vAlign w:val="center"/>
          </w:tcPr>
          <w:p w14:paraId="4816034A">
            <w:pPr>
              <w:spacing w:line="300" w:lineRule="exact"/>
              <w:jc w:val="center"/>
              <w:rPr>
                <w:rFonts w:hint="default"/>
                <w:highlight w:val="none"/>
                <w:lang w:val="en-US"/>
              </w:rPr>
            </w:pPr>
            <w:r>
              <w:rPr>
                <w:rFonts w:hint="eastAsia" w:ascii="Times New Roman" w:hAnsi="Times New Roman" w:eastAsia="华文中宋" w:cs="Times New Roman"/>
                <w:szCs w:val="21"/>
                <w:highlight w:val="none"/>
                <w:lang w:val="en-US" w:eastAsia="zh-CN"/>
              </w:rPr>
              <w:t>0.31</w:t>
            </w:r>
          </w:p>
        </w:tc>
        <w:tc>
          <w:tcPr>
            <w:tcW w:w="1612" w:type="dxa"/>
            <w:vAlign w:val="center"/>
          </w:tcPr>
          <w:p w14:paraId="7F43EAD6">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0.00</w:t>
            </w:r>
          </w:p>
        </w:tc>
        <w:tc>
          <w:tcPr>
            <w:tcW w:w="1455" w:type="dxa"/>
            <w:vAlign w:val="center"/>
          </w:tcPr>
          <w:p w14:paraId="094CE9EA">
            <w:pPr>
              <w:spacing w:line="300" w:lineRule="exact"/>
              <w:jc w:val="center"/>
              <w:rPr>
                <w:highlight w:val="none"/>
              </w:rPr>
            </w:pPr>
            <w:r>
              <w:rPr>
                <w:rFonts w:hint="eastAsia"/>
                <w:highlight w:val="none"/>
                <w:lang w:val="en-US" w:eastAsia="zh-CN"/>
              </w:rPr>
              <w:t>0.00</w:t>
            </w:r>
          </w:p>
        </w:tc>
      </w:tr>
      <w:tr w14:paraId="179F484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207" w:hRule="atLeast"/>
        </w:trPr>
        <w:tc>
          <w:tcPr>
            <w:tcW w:w="2842" w:type="dxa"/>
            <w:vAlign w:val="center"/>
          </w:tcPr>
          <w:p w14:paraId="459E9FDE">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300.0</w:t>
            </w:r>
          </w:p>
        </w:tc>
        <w:tc>
          <w:tcPr>
            <w:tcW w:w="1394" w:type="dxa"/>
            <w:vAlign w:val="center"/>
          </w:tcPr>
          <w:p w14:paraId="663A1655">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2.07</w:t>
            </w:r>
          </w:p>
        </w:tc>
        <w:tc>
          <w:tcPr>
            <w:tcW w:w="1224" w:type="dxa"/>
            <w:vAlign w:val="center"/>
          </w:tcPr>
          <w:p w14:paraId="385ADDC0">
            <w:pPr>
              <w:spacing w:line="300" w:lineRule="exact"/>
              <w:jc w:val="center"/>
              <w:rPr>
                <w:rFonts w:hint="default"/>
                <w:highlight w:val="none"/>
                <w:lang w:val="en-US"/>
              </w:rPr>
            </w:pPr>
            <w:r>
              <w:rPr>
                <w:rFonts w:hint="eastAsia" w:ascii="Times New Roman" w:hAnsi="Times New Roman" w:eastAsia="华文中宋" w:cs="Times New Roman"/>
                <w:szCs w:val="21"/>
                <w:highlight w:val="none"/>
                <w:lang w:val="en-US" w:eastAsia="zh-CN"/>
              </w:rPr>
              <w:t>0.23</w:t>
            </w:r>
          </w:p>
        </w:tc>
        <w:tc>
          <w:tcPr>
            <w:tcW w:w="1612" w:type="dxa"/>
            <w:vAlign w:val="center"/>
          </w:tcPr>
          <w:p w14:paraId="66786C30">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0.00</w:t>
            </w:r>
          </w:p>
        </w:tc>
        <w:tc>
          <w:tcPr>
            <w:tcW w:w="1455" w:type="dxa"/>
            <w:vAlign w:val="center"/>
          </w:tcPr>
          <w:p w14:paraId="6C088E12">
            <w:pPr>
              <w:spacing w:line="300" w:lineRule="exact"/>
              <w:jc w:val="center"/>
              <w:rPr>
                <w:highlight w:val="none"/>
              </w:rPr>
            </w:pPr>
            <w:r>
              <w:rPr>
                <w:rFonts w:hint="eastAsia"/>
                <w:highlight w:val="none"/>
                <w:lang w:val="en-US" w:eastAsia="zh-CN"/>
              </w:rPr>
              <w:t>0.00</w:t>
            </w:r>
          </w:p>
        </w:tc>
      </w:tr>
      <w:tr w14:paraId="1CC33AC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28" w:hRule="atLeast"/>
        </w:trPr>
        <w:tc>
          <w:tcPr>
            <w:tcW w:w="2842" w:type="dxa"/>
            <w:vAlign w:val="center"/>
          </w:tcPr>
          <w:p w14:paraId="79000687">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400.0</w:t>
            </w:r>
          </w:p>
        </w:tc>
        <w:tc>
          <w:tcPr>
            <w:tcW w:w="1394" w:type="dxa"/>
            <w:vAlign w:val="center"/>
          </w:tcPr>
          <w:p w14:paraId="25C57D41">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1.53</w:t>
            </w:r>
          </w:p>
        </w:tc>
        <w:tc>
          <w:tcPr>
            <w:tcW w:w="1224" w:type="dxa"/>
            <w:vAlign w:val="center"/>
          </w:tcPr>
          <w:p w14:paraId="77BCD538">
            <w:pPr>
              <w:spacing w:line="300" w:lineRule="exact"/>
              <w:jc w:val="center"/>
              <w:rPr>
                <w:rFonts w:hint="default"/>
                <w:highlight w:val="none"/>
                <w:lang w:val="en-US"/>
              </w:rPr>
            </w:pPr>
            <w:r>
              <w:rPr>
                <w:rFonts w:hint="eastAsia" w:ascii="Times New Roman" w:hAnsi="Times New Roman" w:eastAsia="华文中宋" w:cs="Times New Roman"/>
                <w:szCs w:val="21"/>
                <w:highlight w:val="none"/>
                <w:lang w:val="en-US" w:eastAsia="zh-CN"/>
              </w:rPr>
              <w:t>0.17</w:t>
            </w:r>
          </w:p>
        </w:tc>
        <w:tc>
          <w:tcPr>
            <w:tcW w:w="1612" w:type="dxa"/>
            <w:vAlign w:val="center"/>
          </w:tcPr>
          <w:p w14:paraId="5F0886E1">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0.00</w:t>
            </w:r>
          </w:p>
        </w:tc>
        <w:tc>
          <w:tcPr>
            <w:tcW w:w="1455" w:type="dxa"/>
            <w:vAlign w:val="center"/>
          </w:tcPr>
          <w:p w14:paraId="19DC4F79">
            <w:pPr>
              <w:spacing w:line="300" w:lineRule="exact"/>
              <w:jc w:val="center"/>
              <w:rPr>
                <w:highlight w:val="none"/>
              </w:rPr>
            </w:pPr>
            <w:r>
              <w:rPr>
                <w:rFonts w:hint="eastAsia"/>
                <w:highlight w:val="none"/>
                <w:lang w:val="en-US" w:eastAsia="zh-CN"/>
              </w:rPr>
              <w:t>0.00</w:t>
            </w:r>
          </w:p>
        </w:tc>
      </w:tr>
      <w:tr w14:paraId="3391B5F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12" w:hRule="atLeast"/>
        </w:trPr>
        <w:tc>
          <w:tcPr>
            <w:tcW w:w="2842" w:type="dxa"/>
            <w:vAlign w:val="center"/>
          </w:tcPr>
          <w:p w14:paraId="6EB4DA33">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500.0</w:t>
            </w:r>
          </w:p>
        </w:tc>
        <w:tc>
          <w:tcPr>
            <w:tcW w:w="1394" w:type="dxa"/>
            <w:vAlign w:val="center"/>
          </w:tcPr>
          <w:p w14:paraId="103B5FAD">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1.44</w:t>
            </w:r>
          </w:p>
        </w:tc>
        <w:tc>
          <w:tcPr>
            <w:tcW w:w="1224" w:type="dxa"/>
            <w:vAlign w:val="center"/>
          </w:tcPr>
          <w:p w14:paraId="510BE199">
            <w:pPr>
              <w:spacing w:line="300" w:lineRule="exact"/>
              <w:jc w:val="center"/>
              <w:rPr>
                <w:rFonts w:hint="default"/>
                <w:highlight w:val="none"/>
                <w:lang w:val="en-US"/>
              </w:rPr>
            </w:pPr>
            <w:r>
              <w:rPr>
                <w:rFonts w:hint="eastAsia" w:ascii="Times New Roman" w:hAnsi="Times New Roman" w:eastAsia="华文中宋" w:cs="Times New Roman"/>
                <w:szCs w:val="21"/>
                <w:highlight w:val="none"/>
                <w:lang w:val="en-US" w:eastAsia="zh-CN"/>
              </w:rPr>
              <w:t>0.16</w:t>
            </w:r>
          </w:p>
        </w:tc>
        <w:tc>
          <w:tcPr>
            <w:tcW w:w="1612" w:type="dxa"/>
            <w:vAlign w:val="center"/>
          </w:tcPr>
          <w:p w14:paraId="076121F6">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0.00</w:t>
            </w:r>
          </w:p>
        </w:tc>
        <w:tc>
          <w:tcPr>
            <w:tcW w:w="1455" w:type="dxa"/>
            <w:vAlign w:val="center"/>
          </w:tcPr>
          <w:p w14:paraId="39827403">
            <w:pPr>
              <w:spacing w:line="300" w:lineRule="exact"/>
              <w:jc w:val="center"/>
              <w:rPr>
                <w:highlight w:val="none"/>
              </w:rPr>
            </w:pPr>
            <w:r>
              <w:rPr>
                <w:rFonts w:hint="eastAsia"/>
                <w:highlight w:val="none"/>
                <w:lang w:val="en-US" w:eastAsia="zh-CN"/>
              </w:rPr>
              <w:t>0.00</w:t>
            </w:r>
          </w:p>
        </w:tc>
      </w:tr>
      <w:tr w14:paraId="558767F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06" w:hRule="atLeast"/>
        </w:trPr>
        <w:tc>
          <w:tcPr>
            <w:tcW w:w="2842" w:type="dxa"/>
            <w:vAlign w:val="center"/>
          </w:tcPr>
          <w:p w14:paraId="2CF3EEF2">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下风向最大浓度</w:t>
            </w:r>
          </w:p>
        </w:tc>
        <w:tc>
          <w:tcPr>
            <w:tcW w:w="1394" w:type="dxa"/>
            <w:vAlign w:val="center"/>
          </w:tcPr>
          <w:p w14:paraId="58873329">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2.79</w:t>
            </w:r>
          </w:p>
        </w:tc>
        <w:tc>
          <w:tcPr>
            <w:tcW w:w="1224" w:type="dxa"/>
            <w:vAlign w:val="center"/>
          </w:tcPr>
          <w:p w14:paraId="3161F75C">
            <w:pPr>
              <w:spacing w:line="300" w:lineRule="exact"/>
              <w:jc w:val="center"/>
              <w:rPr>
                <w:rFonts w:hint="default"/>
                <w:highlight w:val="none"/>
                <w:lang w:val="en-US"/>
              </w:rPr>
            </w:pPr>
            <w:r>
              <w:rPr>
                <w:rFonts w:hint="eastAsia" w:ascii="Times New Roman" w:hAnsi="Times New Roman" w:eastAsia="华文中宋" w:cs="Times New Roman"/>
                <w:szCs w:val="21"/>
                <w:highlight w:val="none"/>
                <w:lang w:val="en-US" w:eastAsia="zh-CN"/>
              </w:rPr>
              <w:t>0.31</w:t>
            </w:r>
          </w:p>
        </w:tc>
        <w:tc>
          <w:tcPr>
            <w:tcW w:w="1612" w:type="dxa"/>
            <w:vAlign w:val="center"/>
          </w:tcPr>
          <w:p w14:paraId="746E71B3">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0.00</w:t>
            </w:r>
          </w:p>
        </w:tc>
        <w:tc>
          <w:tcPr>
            <w:tcW w:w="1455" w:type="dxa"/>
            <w:vAlign w:val="center"/>
          </w:tcPr>
          <w:p w14:paraId="418055A9">
            <w:pPr>
              <w:spacing w:line="300" w:lineRule="exact"/>
              <w:jc w:val="center"/>
              <w:rPr>
                <w:highlight w:val="none"/>
              </w:rPr>
            </w:pPr>
            <w:r>
              <w:rPr>
                <w:rFonts w:hint="eastAsia"/>
                <w:highlight w:val="none"/>
                <w:lang w:val="en-US" w:eastAsia="zh-CN"/>
              </w:rPr>
              <w:t>0.00</w:t>
            </w:r>
          </w:p>
        </w:tc>
      </w:tr>
      <w:tr w14:paraId="286C293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95" w:hRule="atLeast"/>
        </w:trPr>
        <w:tc>
          <w:tcPr>
            <w:tcW w:w="2842" w:type="dxa"/>
            <w:vAlign w:val="center"/>
          </w:tcPr>
          <w:p w14:paraId="01E1A88C">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下风向最大浓度出现距离</w:t>
            </w:r>
          </w:p>
        </w:tc>
        <w:tc>
          <w:tcPr>
            <w:tcW w:w="5685" w:type="dxa"/>
            <w:gridSpan w:val="4"/>
            <w:vAlign w:val="center"/>
          </w:tcPr>
          <w:p w14:paraId="07109C91">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175</w:t>
            </w:r>
          </w:p>
        </w:tc>
      </w:tr>
      <w:tr w14:paraId="1798936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12" w:hRule="atLeast"/>
        </w:trPr>
        <w:tc>
          <w:tcPr>
            <w:tcW w:w="2842" w:type="dxa"/>
            <w:vAlign w:val="center"/>
          </w:tcPr>
          <w:p w14:paraId="36D210AC">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D10%最远距离</w:t>
            </w:r>
          </w:p>
        </w:tc>
        <w:tc>
          <w:tcPr>
            <w:tcW w:w="5685" w:type="dxa"/>
            <w:gridSpan w:val="4"/>
            <w:vAlign w:val="center"/>
          </w:tcPr>
          <w:p w14:paraId="4F1C50BE">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rPr>
              <w:t>/</w:t>
            </w:r>
          </w:p>
        </w:tc>
      </w:tr>
      <w:tr w14:paraId="48C5A2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2842" w:type="dxa"/>
            <w:vAlign w:val="center"/>
          </w:tcPr>
          <w:p w14:paraId="6ADD5038">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下风向距离</w:t>
            </w:r>
          </w:p>
        </w:tc>
        <w:tc>
          <w:tcPr>
            <w:tcW w:w="5685" w:type="dxa"/>
            <w:gridSpan w:val="4"/>
            <w:vAlign w:val="center"/>
          </w:tcPr>
          <w:p w14:paraId="3D65B622">
            <w:pPr>
              <w:spacing w:line="300" w:lineRule="exact"/>
              <w:jc w:val="center"/>
              <w:rPr>
                <w:rFonts w:hint="default" w:ascii="Times New Roman" w:hAnsi="Times New Roman" w:eastAsia="华文中宋" w:cs="Times New Roman"/>
                <w:szCs w:val="21"/>
                <w:highlight w:val="none"/>
                <w:lang w:val="en-US"/>
              </w:rPr>
            </w:pPr>
            <w:r>
              <w:rPr>
                <w:rFonts w:hint="eastAsia" w:ascii="Times New Roman" w:hAnsi="Times New Roman" w:eastAsia="华文中宋" w:cs="Times New Roman"/>
                <w:szCs w:val="21"/>
                <w:highlight w:val="none"/>
                <w:lang w:val="en-US" w:eastAsia="zh-CN"/>
              </w:rPr>
              <w:t>废石堆放场</w:t>
            </w:r>
          </w:p>
        </w:tc>
      </w:tr>
    </w:tbl>
    <w:p w14:paraId="6CD864BF">
      <w:pPr>
        <w:pStyle w:val="24"/>
        <w:snapToGrid w:val="0"/>
        <w:jc w:val="left"/>
        <w:rPr>
          <w:rFonts w:hint="default" w:ascii="Times New Roman" w:hAnsi="Times New Roman" w:eastAsia="华文中宋" w:cs="Times New Roman"/>
          <w:color w:val="000000" w:themeColor="text1"/>
          <w:highlight w:val="none"/>
          <w:lang w:val="en-US" w:eastAsia="zh-CN"/>
          <w14:textFill>
            <w14:solidFill>
              <w14:schemeClr w14:val="tx1"/>
            </w14:solidFill>
          </w14:textFill>
        </w:rPr>
      </w:pPr>
      <w:r>
        <w:rPr>
          <w:rFonts w:hint="default" w:ascii="Times New Roman" w:hAnsi="Times New Roman" w:eastAsia="华文中宋" w:cs="Times New Roman"/>
          <w:color w:val="000000" w:themeColor="text1"/>
          <w:highlight w:val="none"/>
          <w:lang w:val="en-US" w:eastAsia="zh-CN"/>
          <w14:textFill>
            <w14:solidFill>
              <w14:schemeClr w14:val="tx1"/>
            </w14:solidFill>
          </w14:textFill>
        </w:rPr>
        <w:t>通过预测可知，废石堆场粉尘无组织排放下风向最大落地浓度出现在下风向</w:t>
      </w:r>
      <w:r>
        <w:rPr>
          <w:rFonts w:hint="eastAsia" w:ascii="Times New Roman" w:hAnsi="Times New Roman" w:cs="Times New Roman"/>
          <w:color w:val="000000" w:themeColor="text1"/>
          <w:highlight w:val="none"/>
          <w:lang w:val="en-US" w:eastAsia="zh-CN"/>
          <w14:textFill>
            <w14:solidFill>
              <w14:schemeClr w14:val="tx1"/>
            </w14:solidFill>
          </w14:textFill>
        </w:rPr>
        <w:t>175</w:t>
      </w:r>
      <w:r>
        <w:rPr>
          <w:rFonts w:hint="default" w:ascii="Times New Roman" w:hAnsi="Times New Roman" w:eastAsia="华文中宋" w:cs="Times New Roman"/>
          <w:color w:val="000000" w:themeColor="text1"/>
          <w:highlight w:val="none"/>
          <w:lang w:val="en-US" w:eastAsia="zh-CN"/>
          <w14:textFill>
            <w14:solidFill>
              <w14:schemeClr w14:val="tx1"/>
            </w14:solidFill>
          </w14:textFill>
        </w:rPr>
        <w:t>m处，</w:t>
      </w:r>
      <w:r>
        <w:rPr>
          <w:rFonts w:hint="eastAsia" w:ascii="Times New Roman" w:hAnsi="Times New Roman" w:eastAsia="华文中宋" w:cs="Times New Roman"/>
          <w:color w:val="000000" w:themeColor="text1"/>
          <w:sz w:val="24"/>
          <w:highlight w:val="none"/>
          <w:lang w:val="en-US" w:eastAsia="zh-CN"/>
          <w14:textFill>
            <w14:solidFill>
              <w14:schemeClr w14:val="tx1"/>
            </w14:solidFill>
          </w14:textFill>
        </w:rPr>
        <w:t>TSP</w:t>
      </w:r>
      <w:r>
        <w:rPr>
          <w:rFonts w:hint="default" w:ascii="Times New Roman" w:hAnsi="Times New Roman" w:eastAsia="华文中宋" w:cs="Times New Roman"/>
          <w:color w:val="000000" w:themeColor="text1"/>
          <w:sz w:val="24"/>
          <w:highlight w:val="none"/>
          <w:lang w:val="en-US" w:eastAsia="zh-CN"/>
          <w14:textFill>
            <w14:solidFill>
              <w14:schemeClr w14:val="tx1"/>
            </w14:solidFill>
          </w14:textFill>
        </w:rPr>
        <w:t>其浓度值为</w:t>
      </w:r>
      <w:r>
        <w:rPr>
          <w:rFonts w:hint="eastAsia" w:ascii="Times New Roman" w:hAnsi="Times New Roman" w:cs="Times New Roman"/>
          <w:color w:val="000000" w:themeColor="text1"/>
          <w:sz w:val="24"/>
          <w:highlight w:val="none"/>
          <w:lang w:val="en-US" w:eastAsia="zh-CN"/>
          <w14:textFill>
            <w14:solidFill>
              <w14:schemeClr w14:val="tx1"/>
            </w14:solidFill>
          </w14:textFill>
        </w:rPr>
        <w:t>2.79</w:t>
      </w:r>
      <w:r>
        <w:rPr>
          <w:rFonts w:hint="default" w:ascii="Times New Roman" w:hAnsi="Times New Roman" w:eastAsia="华文中宋" w:cs="Times New Roman"/>
          <w:color w:val="000000" w:themeColor="text1"/>
          <w:sz w:val="24"/>
          <w:highlight w:val="none"/>
          <w:lang w:val="en-US" w:eastAsia="zh-CN"/>
          <w14:textFill>
            <w14:solidFill>
              <w14:schemeClr w14:val="tx1"/>
            </w14:solidFill>
          </w14:textFill>
        </w:rPr>
        <w:t>μg/m</w:t>
      </w:r>
      <w:r>
        <w:rPr>
          <w:rFonts w:hint="default" w:ascii="Times New Roman" w:hAnsi="Times New Roman" w:eastAsia="华文中宋"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华文中宋" w:cs="Times New Roman"/>
          <w:color w:val="000000" w:themeColor="text1"/>
          <w:sz w:val="24"/>
          <w:highlight w:val="none"/>
          <w:lang w:val="en-US" w:eastAsia="zh-CN"/>
          <w14:textFill>
            <w14:solidFill>
              <w14:schemeClr w14:val="tx1"/>
            </w14:solidFill>
          </w14:textFill>
        </w:rPr>
        <w:t>，占标率为</w:t>
      </w:r>
      <w:r>
        <w:rPr>
          <w:rFonts w:hint="eastAsia" w:ascii="Times New Roman" w:hAnsi="Times New Roman" w:eastAsia="华文中宋" w:cs="Times New Roman"/>
          <w:color w:val="000000" w:themeColor="text1"/>
          <w:sz w:val="24"/>
          <w:highlight w:val="none"/>
          <w:lang w:val="en-US" w:eastAsia="zh-CN"/>
          <w14:textFill>
            <w14:solidFill>
              <w14:schemeClr w14:val="tx1"/>
            </w14:solidFill>
          </w14:textFill>
        </w:rPr>
        <w:t>0.</w:t>
      </w:r>
      <w:r>
        <w:rPr>
          <w:rFonts w:hint="eastAsia" w:ascii="Times New Roman" w:hAnsi="Times New Roman" w:cs="Times New Roman"/>
          <w:color w:val="000000" w:themeColor="text1"/>
          <w:sz w:val="24"/>
          <w:highlight w:val="none"/>
          <w:lang w:val="en-US" w:eastAsia="zh-CN"/>
          <w14:textFill>
            <w14:solidFill>
              <w14:schemeClr w14:val="tx1"/>
            </w14:solidFill>
          </w14:textFill>
        </w:rPr>
        <w:t>31</w:t>
      </w:r>
      <w:r>
        <w:rPr>
          <w:rFonts w:hint="default" w:ascii="Times New Roman" w:hAnsi="Times New Roman" w:eastAsia="华文中宋" w:cs="Times New Roman"/>
          <w:color w:val="000000" w:themeColor="text1"/>
          <w:sz w:val="24"/>
          <w:highlight w:val="none"/>
          <w:lang w:val="en-US" w:eastAsia="zh-CN"/>
          <w14:textFill>
            <w14:solidFill>
              <w14:schemeClr w14:val="tx1"/>
            </w14:solidFill>
          </w14:textFill>
        </w:rPr>
        <w:t>%，小于10%，</w:t>
      </w:r>
      <w:r>
        <w:rPr>
          <w:rFonts w:hint="eastAsia" w:ascii="Times New Roman" w:hAnsi="Times New Roman" w:eastAsia="华文中宋" w:cs="Times New Roman"/>
          <w:color w:val="000000" w:themeColor="text1"/>
          <w:sz w:val="24"/>
          <w:highlight w:val="none"/>
          <w:lang w:val="en-US" w:eastAsia="zh-CN"/>
          <w14:textFill>
            <w14:solidFill>
              <w14:schemeClr w14:val="tx1"/>
            </w14:solidFill>
          </w14:textFill>
        </w:rPr>
        <w:t>铅（pb）</w:t>
      </w:r>
      <w:r>
        <w:rPr>
          <w:rFonts w:hint="default" w:ascii="Times New Roman" w:hAnsi="Times New Roman" w:eastAsia="华文中宋" w:cs="Times New Roman"/>
          <w:color w:val="000000" w:themeColor="text1"/>
          <w:sz w:val="24"/>
          <w:highlight w:val="none"/>
          <w:lang w:val="en-US" w:eastAsia="zh-CN"/>
          <w14:textFill>
            <w14:solidFill>
              <w14:schemeClr w14:val="tx1"/>
            </w14:solidFill>
          </w14:textFill>
        </w:rPr>
        <w:t>其浓度值为</w:t>
      </w:r>
      <w:r>
        <w:rPr>
          <w:rFonts w:hint="eastAsia" w:ascii="Times New Roman" w:hAnsi="Times New Roman" w:eastAsia="华文中宋" w:cs="Times New Roman"/>
          <w:color w:val="000000" w:themeColor="text1"/>
          <w:sz w:val="24"/>
          <w:highlight w:val="none"/>
          <w:lang w:val="en-US" w:eastAsia="zh-CN"/>
          <w14:textFill>
            <w14:solidFill>
              <w14:schemeClr w14:val="tx1"/>
            </w14:solidFill>
          </w14:textFill>
        </w:rPr>
        <w:t>0.00</w:t>
      </w:r>
      <w:r>
        <w:rPr>
          <w:rFonts w:hint="default" w:ascii="Times New Roman" w:hAnsi="Times New Roman" w:eastAsia="华文中宋" w:cs="Times New Roman"/>
          <w:color w:val="000000" w:themeColor="text1"/>
          <w:sz w:val="24"/>
          <w:highlight w:val="none"/>
          <w:lang w:val="en-US" w:eastAsia="zh-CN"/>
          <w14:textFill>
            <w14:solidFill>
              <w14:schemeClr w14:val="tx1"/>
            </w14:solidFill>
          </w14:textFill>
        </w:rPr>
        <w:t>μg/m</w:t>
      </w:r>
      <w:r>
        <w:rPr>
          <w:rFonts w:hint="default" w:ascii="Times New Roman" w:hAnsi="Times New Roman" w:eastAsia="华文中宋"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华文中宋" w:cs="Times New Roman"/>
          <w:color w:val="000000" w:themeColor="text1"/>
          <w:sz w:val="24"/>
          <w:highlight w:val="none"/>
          <w:lang w:val="en-US" w:eastAsia="zh-CN"/>
          <w14:textFill>
            <w14:solidFill>
              <w14:schemeClr w14:val="tx1"/>
            </w14:solidFill>
          </w14:textFill>
        </w:rPr>
        <w:t>，占标率为</w:t>
      </w:r>
      <w:r>
        <w:rPr>
          <w:rFonts w:hint="eastAsia" w:ascii="Times New Roman" w:hAnsi="Times New Roman" w:eastAsia="华文中宋" w:cs="Times New Roman"/>
          <w:color w:val="000000" w:themeColor="text1"/>
          <w:sz w:val="24"/>
          <w:highlight w:val="none"/>
          <w:lang w:val="en-US" w:eastAsia="zh-CN"/>
          <w14:textFill>
            <w14:solidFill>
              <w14:schemeClr w14:val="tx1"/>
            </w14:solidFill>
          </w14:textFill>
        </w:rPr>
        <w:t>0.0</w:t>
      </w:r>
      <w:r>
        <w:rPr>
          <w:rFonts w:hint="eastAsia" w:ascii="Times New Roman" w:hAnsi="Times New Roman" w:cs="Times New Roman"/>
          <w:color w:val="000000" w:themeColor="text1"/>
          <w:sz w:val="24"/>
          <w:highlight w:val="none"/>
          <w:lang w:val="en-US" w:eastAsia="zh-CN"/>
          <w14:textFill>
            <w14:solidFill>
              <w14:schemeClr w14:val="tx1"/>
            </w14:solidFill>
          </w14:textFill>
        </w:rPr>
        <w:t>0</w:t>
      </w:r>
      <w:r>
        <w:rPr>
          <w:rFonts w:hint="default" w:ascii="Times New Roman" w:hAnsi="Times New Roman" w:eastAsia="华文中宋" w:cs="Times New Roman"/>
          <w:color w:val="000000" w:themeColor="text1"/>
          <w:sz w:val="24"/>
          <w:highlight w:val="none"/>
          <w:lang w:val="en-US" w:eastAsia="zh-CN"/>
          <w14:textFill>
            <w14:solidFill>
              <w14:schemeClr w14:val="tx1"/>
            </w14:solidFill>
          </w14:textFill>
        </w:rPr>
        <w:t>%，小于10%，满足《环境空气质量标准》（GB3095-2012）二类区标准要求。</w:t>
      </w:r>
    </w:p>
    <w:p w14:paraId="1658C678">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⑤</w:t>
      </w:r>
      <w:r>
        <w:rPr>
          <w:rFonts w:hint="eastAsia" w:ascii="Times New Roman" w:hAnsi="Times New Roman" w:eastAsia="华文中宋" w:cs="Times New Roman"/>
          <w:sz w:val="24"/>
          <w:highlight w:val="none"/>
          <w:lang w:val="en-US" w:eastAsia="zh-CN"/>
        </w:rPr>
        <w:t>矿石转运场</w:t>
      </w:r>
    </w:p>
    <w:p w14:paraId="1BD87A01">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大气环境影响预测中无组织排放源的预测考虑</w:t>
      </w:r>
      <w:r>
        <w:rPr>
          <w:rFonts w:hint="eastAsia" w:ascii="Times New Roman" w:hAnsi="Times New Roman" w:eastAsia="华文中宋" w:cs="Times New Roman"/>
          <w:sz w:val="24"/>
          <w:highlight w:val="none"/>
          <w:lang w:val="en-US" w:eastAsia="zh-CN"/>
        </w:rPr>
        <w:t>矿石转运场</w:t>
      </w:r>
      <w:r>
        <w:rPr>
          <w:rFonts w:hint="default" w:ascii="Times New Roman" w:hAnsi="Times New Roman" w:eastAsia="华文中宋" w:cs="Times New Roman"/>
          <w:sz w:val="24"/>
          <w:highlight w:val="none"/>
          <w:lang w:val="en-US" w:eastAsia="zh-CN"/>
        </w:rPr>
        <w:t>连续性排放的粉尘影响。本次评价采用导则推荐的AERSCREEN估算模式估算粉尘的最大落地浓度。估算结果见表5.2-1</w:t>
      </w:r>
      <w:r>
        <w:rPr>
          <w:rFonts w:hint="eastAsia" w:ascii="Times New Roman" w:hAnsi="Times New Roman" w:eastAsia="华文中宋" w:cs="Times New Roman"/>
          <w:sz w:val="24"/>
          <w:highlight w:val="none"/>
          <w:lang w:val="en-US" w:eastAsia="zh-CN"/>
        </w:rPr>
        <w:t>0</w:t>
      </w:r>
      <w:r>
        <w:rPr>
          <w:rFonts w:hint="default" w:ascii="Times New Roman" w:hAnsi="Times New Roman" w:eastAsia="华文中宋" w:cs="Times New Roman"/>
          <w:sz w:val="24"/>
          <w:highlight w:val="none"/>
          <w:lang w:val="en-US" w:eastAsia="zh-CN"/>
        </w:rPr>
        <w:t>。</w:t>
      </w:r>
    </w:p>
    <w:p w14:paraId="696DF599">
      <w:pPr>
        <w:adjustRightInd w:val="0"/>
        <w:snapToGrid w:val="0"/>
        <w:spacing w:before="250" w:beforeLines="50"/>
        <w:ind w:firstLine="422" w:firstLineChars="200"/>
        <w:jc w:val="center"/>
        <w:rPr>
          <w:rFonts w:hint="default" w:ascii="Times New Roman" w:hAnsi="Times New Roman" w:eastAsia="华文中宋" w:cs="Times New Roman"/>
          <w:b/>
          <w:szCs w:val="21"/>
          <w:highlight w:val="none"/>
          <w:lang w:val="en-US" w:eastAsia="zh-CN"/>
        </w:rPr>
      </w:pPr>
      <w:r>
        <w:rPr>
          <w:rFonts w:hint="default" w:ascii="Times New Roman" w:hAnsi="Times New Roman" w:eastAsia="华文中宋" w:cs="Times New Roman"/>
          <w:b/>
          <w:szCs w:val="21"/>
          <w:highlight w:val="none"/>
          <w:lang w:val="en-US" w:eastAsia="zh-CN"/>
        </w:rPr>
        <w:t>表5.2-1</w:t>
      </w:r>
      <w:r>
        <w:rPr>
          <w:rFonts w:hint="eastAsia" w:ascii="Times New Roman" w:hAnsi="Times New Roman" w:eastAsia="华文中宋" w:cs="Times New Roman"/>
          <w:b/>
          <w:szCs w:val="21"/>
          <w:highlight w:val="none"/>
          <w:lang w:val="en-US" w:eastAsia="zh-CN"/>
        </w:rPr>
        <w:t>0</w:t>
      </w:r>
      <w:r>
        <w:rPr>
          <w:rFonts w:hint="default" w:ascii="Times New Roman" w:hAnsi="Times New Roman" w:eastAsia="华文中宋" w:cs="Times New Roman"/>
          <w:b/>
          <w:szCs w:val="21"/>
          <w:highlight w:val="none"/>
          <w:lang w:val="en-US" w:eastAsia="zh-CN"/>
        </w:rPr>
        <w:t xml:space="preserve">  </w:t>
      </w:r>
      <w:r>
        <w:rPr>
          <w:rFonts w:hint="eastAsia" w:ascii="Times New Roman" w:hAnsi="Times New Roman" w:eastAsia="华文中宋" w:cs="Times New Roman"/>
          <w:b/>
          <w:szCs w:val="21"/>
          <w:highlight w:val="none"/>
          <w:lang w:val="en-US" w:eastAsia="zh-CN"/>
        </w:rPr>
        <w:t>矿石转运场</w:t>
      </w:r>
      <w:r>
        <w:rPr>
          <w:rFonts w:hint="default" w:ascii="Times New Roman" w:hAnsi="Times New Roman" w:eastAsia="华文中宋" w:cs="Times New Roman"/>
          <w:b/>
          <w:szCs w:val="21"/>
          <w:highlight w:val="none"/>
          <w:lang w:val="en-US" w:eastAsia="zh-CN"/>
        </w:rPr>
        <w:t>预测结果一览表</w:t>
      </w:r>
    </w:p>
    <w:tbl>
      <w:tblPr>
        <w:tblStyle w:val="19"/>
        <w:tblW w:w="8527"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842"/>
        <w:gridCol w:w="1394"/>
        <w:gridCol w:w="1224"/>
        <w:gridCol w:w="1612"/>
        <w:gridCol w:w="1455"/>
      </w:tblGrid>
      <w:tr w14:paraId="70C3797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79" w:hRule="atLeast"/>
        </w:trPr>
        <w:tc>
          <w:tcPr>
            <w:tcW w:w="2842" w:type="dxa"/>
            <w:vMerge w:val="restart"/>
            <w:vAlign w:val="center"/>
          </w:tcPr>
          <w:p w14:paraId="2A80F522">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下风向距离</w:t>
            </w:r>
          </w:p>
        </w:tc>
        <w:tc>
          <w:tcPr>
            <w:tcW w:w="5685" w:type="dxa"/>
            <w:gridSpan w:val="4"/>
            <w:vAlign w:val="center"/>
          </w:tcPr>
          <w:p w14:paraId="6691CF30">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矿石转运场</w:t>
            </w:r>
          </w:p>
        </w:tc>
      </w:tr>
      <w:tr w14:paraId="1DD25C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78" w:hRule="atLeast"/>
        </w:trPr>
        <w:tc>
          <w:tcPr>
            <w:tcW w:w="2842" w:type="dxa"/>
            <w:vMerge w:val="continue"/>
            <w:vAlign w:val="center"/>
          </w:tcPr>
          <w:p w14:paraId="74D4F108">
            <w:pPr>
              <w:spacing w:line="300" w:lineRule="exact"/>
              <w:jc w:val="center"/>
              <w:rPr>
                <w:rFonts w:hint="default" w:ascii="Times New Roman" w:hAnsi="Times New Roman" w:eastAsia="华文中宋" w:cs="Times New Roman"/>
                <w:szCs w:val="21"/>
                <w:highlight w:val="none"/>
              </w:rPr>
            </w:pPr>
          </w:p>
        </w:tc>
        <w:tc>
          <w:tcPr>
            <w:tcW w:w="1394" w:type="dxa"/>
            <w:vAlign w:val="center"/>
          </w:tcPr>
          <w:p w14:paraId="211A5DCD">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TSP浓度</w:t>
            </w:r>
            <w:r>
              <w:rPr>
                <w:rFonts w:hint="default" w:ascii="Times New Roman" w:hAnsi="Times New Roman" w:eastAsia="华文中宋" w:cs="Times New Roman"/>
                <w:szCs w:val="21"/>
                <w:highlight w:val="none"/>
                <w:lang w:eastAsia="zh-CN"/>
              </w:rPr>
              <w:t>（</w:t>
            </w:r>
            <w:r>
              <w:rPr>
                <w:rFonts w:hint="default" w:ascii="Times New Roman" w:hAnsi="Times New Roman" w:eastAsia="华文中宋" w:cs="Times New Roman"/>
                <w:szCs w:val="21"/>
                <w:highlight w:val="none"/>
              </w:rPr>
              <w:t>μg/m³</w:t>
            </w:r>
            <w:r>
              <w:rPr>
                <w:rFonts w:hint="default" w:ascii="Times New Roman" w:hAnsi="Times New Roman" w:eastAsia="华文中宋" w:cs="Times New Roman"/>
                <w:szCs w:val="21"/>
                <w:highlight w:val="none"/>
                <w:lang w:eastAsia="zh-CN"/>
              </w:rPr>
              <w:t>）</w:t>
            </w:r>
          </w:p>
        </w:tc>
        <w:tc>
          <w:tcPr>
            <w:tcW w:w="1224" w:type="dxa"/>
            <w:vAlign w:val="center"/>
          </w:tcPr>
          <w:p w14:paraId="3B01FD90">
            <w:pPr>
              <w:spacing w:line="300" w:lineRule="exact"/>
              <w:jc w:val="center"/>
              <w:rPr>
                <w:highlight w:val="none"/>
              </w:rPr>
            </w:pPr>
            <w:r>
              <w:rPr>
                <w:rFonts w:hint="default" w:ascii="Times New Roman" w:hAnsi="Times New Roman" w:eastAsia="华文中宋" w:cs="Times New Roman"/>
                <w:szCs w:val="21"/>
                <w:highlight w:val="none"/>
              </w:rPr>
              <w:t>TSP占标率</w:t>
            </w:r>
            <w:r>
              <w:rPr>
                <w:rFonts w:hint="default" w:ascii="Times New Roman" w:hAnsi="Times New Roman" w:eastAsia="华文中宋" w:cs="Times New Roman"/>
                <w:szCs w:val="21"/>
                <w:highlight w:val="none"/>
                <w:lang w:eastAsia="zh-CN"/>
              </w:rPr>
              <w:t>（</w:t>
            </w:r>
            <w:r>
              <w:rPr>
                <w:rFonts w:hint="default" w:ascii="Times New Roman" w:hAnsi="Times New Roman" w:eastAsia="华文中宋" w:cs="Times New Roman"/>
                <w:szCs w:val="21"/>
                <w:highlight w:val="none"/>
              </w:rPr>
              <w:t>%</w:t>
            </w:r>
            <w:r>
              <w:rPr>
                <w:rFonts w:hint="default" w:ascii="Times New Roman" w:hAnsi="Times New Roman" w:eastAsia="华文中宋" w:cs="Times New Roman"/>
                <w:szCs w:val="21"/>
                <w:highlight w:val="none"/>
                <w:lang w:eastAsia="zh-CN"/>
              </w:rPr>
              <w:t>）</w:t>
            </w:r>
          </w:p>
        </w:tc>
        <w:tc>
          <w:tcPr>
            <w:tcW w:w="1612" w:type="dxa"/>
            <w:vAlign w:val="center"/>
          </w:tcPr>
          <w:p w14:paraId="1BAA22B1">
            <w:pPr>
              <w:spacing w:line="300" w:lineRule="exact"/>
              <w:jc w:val="center"/>
              <w:rPr>
                <w:rFonts w:hint="default" w:ascii="Times New Roman" w:hAnsi="Times New Roman" w:eastAsia="华文中宋" w:cs="Times New Roman"/>
                <w:szCs w:val="21"/>
                <w:highlight w:val="none"/>
              </w:rPr>
            </w:pPr>
            <w:r>
              <w:rPr>
                <w:rFonts w:hint="eastAsia" w:ascii="Times New Roman" w:hAnsi="Times New Roman" w:eastAsia="华文中宋" w:cs="Times New Roman"/>
                <w:szCs w:val="21"/>
                <w:highlight w:val="none"/>
                <w:lang w:val="en-US" w:eastAsia="zh-CN"/>
              </w:rPr>
              <w:t>铅（pb）</w:t>
            </w:r>
            <w:r>
              <w:rPr>
                <w:rFonts w:hint="default" w:ascii="Times New Roman" w:hAnsi="Times New Roman" w:eastAsia="华文中宋" w:cs="Times New Roman"/>
                <w:szCs w:val="21"/>
                <w:highlight w:val="none"/>
              </w:rPr>
              <w:t>浓度</w:t>
            </w:r>
            <w:r>
              <w:rPr>
                <w:rFonts w:hint="default" w:ascii="Times New Roman" w:hAnsi="Times New Roman" w:eastAsia="华文中宋" w:cs="Times New Roman"/>
                <w:szCs w:val="21"/>
                <w:highlight w:val="none"/>
                <w:lang w:eastAsia="zh-CN"/>
              </w:rPr>
              <w:t>（</w:t>
            </w:r>
            <w:r>
              <w:rPr>
                <w:rFonts w:hint="default" w:ascii="Times New Roman" w:hAnsi="Times New Roman" w:eastAsia="华文中宋" w:cs="Times New Roman"/>
                <w:szCs w:val="21"/>
                <w:highlight w:val="none"/>
              </w:rPr>
              <w:t>μg/m³</w:t>
            </w:r>
            <w:r>
              <w:rPr>
                <w:rFonts w:hint="default" w:ascii="Times New Roman" w:hAnsi="Times New Roman" w:eastAsia="华文中宋" w:cs="Times New Roman"/>
                <w:szCs w:val="21"/>
                <w:highlight w:val="none"/>
                <w:lang w:eastAsia="zh-CN"/>
              </w:rPr>
              <w:t>）</w:t>
            </w:r>
          </w:p>
        </w:tc>
        <w:tc>
          <w:tcPr>
            <w:tcW w:w="1455" w:type="dxa"/>
            <w:vAlign w:val="center"/>
          </w:tcPr>
          <w:p w14:paraId="4EFC5935">
            <w:pPr>
              <w:spacing w:line="300" w:lineRule="exact"/>
              <w:jc w:val="center"/>
              <w:rPr>
                <w:highlight w:val="none"/>
              </w:rPr>
            </w:pPr>
            <w:r>
              <w:rPr>
                <w:rFonts w:hint="eastAsia" w:ascii="Times New Roman" w:hAnsi="Times New Roman" w:eastAsia="华文中宋" w:cs="Times New Roman"/>
                <w:szCs w:val="21"/>
                <w:highlight w:val="none"/>
                <w:lang w:val="en-US" w:eastAsia="zh-CN"/>
              </w:rPr>
              <w:t>铅（pb）</w:t>
            </w:r>
            <w:r>
              <w:rPr>
                <w:rFonts w:hint="default" w:ascii="Times New Roman" w:hAnsi="Times New Roman" w:eastAsia="华文中宋" w:cs="Times New Roman"/>
                <w:szCs w:val="21"/>
                <w:highlight w:val="none"/>
              </w:rPr>
              <w:t>占标率</w:t>
            </w:r>
            <w:r>
              <w:rPr>
                <w:rFonts w:hint="default" w:ascii="Times New Roman" w:hAnsi="Times New Roman" w:eastAsia="华文中宋" w:cs="Times New Roman"/>
                <w:szCs w:val="21"/>
                <w:highlight w:val="none"/>
                <w:lang w:eastAsia="zh-CN"/>
              </w:rPr>
              <w:t>（</w:t>
            </w:r>
            <w:r>
              <w:rPr>
                <w:rFonts w:hint="default" w:ascii="Times New Roman" w:hAnsi="Times New Roman" w:eastAsia="华文中宋" w:cs="Times New Roman"/>
                <w:szCs w:val="21"/>
                <w:highlight w:val="none"/>
              </w:rPr>
              <w:t>%</w:t>
            </w:r>
            <w:r>
              <w:rPr>
                <w:rFonts w:hint="default" w:ascii="Times New Roman" w:hAnsi="Times New Roman" w:eastAsia="华文中宋" w:cs="Times New Roman"/>
                <w:szCs w:val="21"/>
                <w:highlight w:val="none"/>
                <w:lang w:eastAsia="zh-CN"/>
              </w:rPr>
              <w:t>）</w:t>
            </w:r>
          </w:p>
        </w:tc>
      </w:tr>
      <w:tr w14:paraId="7C68470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2842" w:type="dxa"/>
            <w:vAlign w:val="center"/>
          </w:tcPr>
          <w:p w14:paraId="135B3192">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50.0</w:t>
            </w:r>
          </w:p>
        </w:tc>
        <w:tc>
          <w:tcPr>
            <w:tcW w:w="1394" w:type="dxa"/>
            <w:vAlign w:val="center"/>
          </w:tcPr>
          <w:p w14:paraId="254F89EE">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1.17</w:t>
            </w:r>
          </w:p>
        </w:tc>
        <w:tc>
          <w:tcPr>
            <w:tcW w:w="1224" w:type="dxa"/>
            <w:vAlign w:val="center"/>
          </w:tcPr>
          <w:p w14:paraId="0D82E076">
            <w:pPr>
              <w:spacing w:line="300" w:lineRule="exact"/>
              <w:jc w:val="center"/>
              <w:rPr>
                <w:rFonts w:hint="default"/>
                <w:highlight w:val="none"/>
                <w:lang w:val="en-US"/>
              </w:rPr>
            </w:pPr>
            <w:r>
              <w:rPr>
                <w:rFonts w:hint="eastAsia" w:ascii="Times New Roman" w:hAnsi="Times New Roman" w:eastAsia="华文中宋" w:cs="Times New Roman"/>
                <w:szCs w:val="21"/>
                <w:highlight w:val="none"/>
                <w:lang w:val="en-US" w:eastAsia="zh-CN"/>
              </w:rPr>
              <w:t>0.13</w:t>
            </w:r>
          </w:p>
        </w:tc>
        <w:tc>
          <w:tcPr>
            <w:tcW w:w="1612" w:type="dxa"/>
            <w:vAlign w:val="center"/>
          </w:tcPr>
          <w:p w14:paraId="0A49A934">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0.214</w:t>
            </w:r>
          </w:p>
        </w:tc>
        <w:tc>
          <w:tcPr>
            <w:tcW w:w="1455" w:type="dxa"/>
            <w:vAlign w:val="center"/>
          </w:tcPr>
          <w:p w14:paraId="1848CB2F">
            <w:pPr>
              <w:spacing w:line="300" w:lineRule="exact"/>
              <w:jc w:val="center"/>
              <w:rPr>
                <w:rFonts w:hint="default"/>
                <w:highlight w:val="none"/>
                <w:lang w:val="en-US"/>
              </w:rPr>
            </w:pPr>
            <w:r>
              <w:rPr>
                <w:rFonts w:hint="eastAsia"/>
                <w:highlight w:val="none"/>
                <w:lang w:val="en-US" w:eastAsia="zh-CN"/>
              </w:rPr>
              <w:t>7.12</w:t>
            </w:r>
          </w:p>
        </w:tc>
      </w:tr>
      <w:tr w14:paraId="380DA2E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28" w:hRule="atLeast"/>
        </w:trPr>
        <w:tc>
          <w:tcPr>
            <w:tcW w:w="2842" w:type="dxa"/>
            <w:vAlign w:val="center"/>
          </w:tcPr>
          <w:p w14:paraId="0A05CF93">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100.0</w:t>
            </w:r>
          </w:p>
        </w:tc>
        <w:tc>
          <w:tcPr>
            <w:tcW w:w="1394" w:type="dxa"/>
            <w:vAlign w:val="center"/>
          </w:tcPr>
          <w:p w14:paraId="774415D0">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0.90</w:t>
            </w:r>
          </w:p>
        </w:tc>
        <w:tc>
          <w:tcPr>
            <w:tcW w:w="1224" w:type="dxa"/>
            <w:vAlign w:val="center"/>
          </w:tcPr>
          <w:p w14:paraId="0BB17963">
            <w:pPr>
              <w:spacing w:line="300" w:lineRule="exact"/>
              <w:jc w:val="center"/>
              <w:rPr>
                <w:rFonts w:hint="default"/>
                <w:highlight w:val="none"/>
                <w:lang w:val="en-US"/>
              </w:rPr>
            </w:pPr>
            <w:r>
              <w:rPr>
                <w:rFonts w:hint="eastAsia" w:ascii="Times New Roman" w:hAnsi="Times New Roman" w:eastAsia="华文中宋" w:cs="Times New Roman"/>
                <w:szCs w:val="21"/>
                <w:highlight w:val="none"/>
                <w:lang w:val="en-US" w:eastAsia="zh-CN"/>
              </w:rPr>
              <w:t>0.10</w:t>
            </w:r>
          </w:p>
        </w:tc>
        <w:tc>
          <w:tcPr>
            <w:tcW w:w="1612" w:type="dxa"/>
            <w:vAlign w:val="center"/>
          </w:tcPr>
          <w:p w14:paraId="00F22D1E">
            <w:pPr>
              <w:spacing w:line="300" w:lineRule="exact"/>
              <w:jc w:val="center"/>
              <w:rPr>
                <w:rFonts w:hint="default"/>
                <w:highlight w:val="none"/>
                <w:lang w:val="en-US" w:eastAsia="zh-CN"/>
              </w:rPr>
            </w:pPr>
            <w:r>
              <w:rPr>
                <w:rFonts w:hint="eastAsia"/>
                <w:highlight w:val="none"/>
                <w:lang w:val="en-US" w:eastAsia="zh-CN"/>
              </w:rPr>
              <w:t>0.153</w:t>
            </w:r>
          </w:p>
        </w:tc>
        <w:tc>
          <w:tcPr>
            <w:tcW w:w="1455" w:type="dxa"/>
            <w:vAlign w:val="center"/>
          </w:tcPr>
          <w:p w14:paraId="412A4275">
            <w:pPr>
              <w:spacing w:line="300" w:lineRule="exact"/>
              <w:jc w:val="center"/>
              <w:rPr>
                <w:rFonts w:hint="default"/>
                <w:highlight w:val="none"/>
                <w:lang w:val="en-US"/>
              </w:rPr>
            </w:pPr>
            <w:r>
              <w:rPr>
                <w:rFonts w:hint="eastAsia"/>
                <w:highlight w:val="none"/>
                <w:lang w:val="en-US" w:eastAsia="zh-CN"/>
              </w:rPr>
              <w:t>5.10</w:t>
            </w:r>
          </w:p>
        </w:tc>
      </w:tr>
      <w:tr w14:paraId="601358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28" w:hRule="atLeast"/>
        </w:trPr>
        <w:tc>
          <w:tcPr>
            <w:tcW w:w="2842" w:type="dxa"/>
            <w:vAlign w:val="center"/>
          </w:tcPr>
          <w:p w14:paraId="79DA0B51">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200.0</w:t>
            </w:r>
          </w:p>
        </w:tc>
        <w:tc>
          <w:tcPr>
            <w:tcW w:w="1394" w:type="dxa"/>
            <w:vAlign w:val="center"/>
          </w:tcPr>
          <w:p w14:paraId="65C3BDFD">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0.36</w:t>
            </w:r>
          </w:p>
        </w:tc>
        <w:tc>
          <w:tcPr>
            <w:tcW w:w="1224" w:type="dxa"/>
            <w:vAlign w:val="center"/>
          </w:tcPr>
          <w:p w14:paraId="3C49E5CF">
            <w:pPr>
              <w:spacing w:line="300" w:lineRule="exact"/>
              <w:jc w:val="center"/>
              <w:rPr>
                <w:rFonts w:hint="default"/>
                <w:highlight w:val="none"/>
                <w:lang w:val="en-US"/>
              </w:rPr>
            </w:pPr>
            <w:r>
              <w:rPr>
                <w:rFonts w:hint="eastAsia" w:ascii="Times New Roman" w:hAnsi="Times New Roman" w:eastAsia="华文中宋" w:cs="Times New Roman"/>
                <w:szCs w:val="21"/>
                <w:highlight w:val="none"/>
                <w:lang w:val="en-US" w:eastAsia="zh-CN"/>
              </w:rPr>
              <w:t>0.04</w:t>
            </w:r>
          </w:p>
        </w:tc>
        <w:tc>
          <w:tcPr>
            <w:tcW w:w="1612" w:type="dxa"/>
            <w:vAlign w:val="center"/>
          </w:tcPr>
          <w:p w14:paraId="019C320C">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0.071</w:t>
            </w:r>
          </w:p>
        </w:tc>
        <w:tc>
          <w:tcPr>
            <w:tcW w:w="1455" w:type="dxa"/>
            <w:vAlign w:val="center"/>
          </w:tcPr>
          <w:p w14:paraId="0328F4B2">
            <w:pPr>
              <w:spacing w:line="300" w:lineRule="exact"/>
              <w:jc w:val="center"/>
              <w:rPr>
                <w:rFonts w:hint="default"/>
                <w:highlight w:val="none"/>
                <w:lang w:val="en-US"/>
              </w:rPr>
            </w:pPr>
            <w:r>
              <w:rPr>
                <w:rFonts w:hint="eastAsia"/>
                <w:highlight w:val="none"/>
                <w:lang w:val="en-US" w:eastAsia="zh-CN"/>
              </w:rPr>
              <w:t>2.35</w:t>
            </w:r>
          </w:p>
        </w:tc>
      </w:tr>
      <w:tr w14:paraId="7B8087B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10" w:hRule="atLeast"/>
        </w:trPr>
        <w:tc>
          <w:tcPr>
            <w:tcW w:w="2842" w:type="dxa"/>
            <w:vAlign w:val="center"/>
          </w:tcPr>
          <w:p w14:paraId="30876F06">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300.0</w:t>
            </w:r>
          </w:p>
        </w:tc>
        <w:tc>
          <w:tcPr>
            <w:tcW w:w="1394" w:type="dxa"/>
            <w:vAlign w:val="center"/>
          </w:tcPr>
          <w:p w14:paraId="21164CFC">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0.45</w:t>
            </w:r>
          </w:p>
        </w:tc>
        <w:tc>
          <w:tcPr>
            <w:tcW w:w="1224" w:type="dxa"/>
            <w:vAlign w:val="center"/>
          </w:tcPr>
          <w:p w14:paraId="575F73C3">
            <w:pPr>
              <w:spacing w:line="300" w:lineRule="exact"/>
              <w:jc w:val="center"/>
              <w:rPr>
                <w:rFonts w:hint="default"/>
                <w:highlight w:val="none"/>
                <w:lang w:val="en-US"/>
              </w:rPr>
            </w:pPr>
            <w:r>
              <w:rPr>
                <w:rFonts w:hint="eastAsia" w:ascii="Times New Roman" w:hAnsi="Times New Roman" w:eastAsia="华文中宋" w:cs="Times New Roman"/>
                <w:szCs w:val="21"/>
                <w:highlight w:val="none"/>
                <w:lang w:val="en-US" w:eastAsia="zh-CN"/>
              </w:rPr>
              <w:t>0.05</w:t>
            </w:r>
          </w:p>
        </w:tc>
        <w:tc>
          <w:tcPr>
            <w:tcW w:w="1612" w:type="dxa"/>
            <w:vAlign w:val="center"/>
          </w:tcPr>
          <w:p w14:paraId="03A49545">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0.075</w:t>
            </w:r>
          </w:p>
        </w:tc>
        <w:tc>
          <w:tcPr>
            <w:tcW w:w="1455" w:type="dxa"/>
            <w:vAlign w:val="center"/>
          </w:tcPr>
          <w:p w14:paraId="73799ED0">
            <w:pPr>
              <w:spacing w:line="300" w:lineRule="exact"/>
              <w:jc w:val="center"/>
              <w:rPr>
                <w:rFonts w:hint="default"/>
                <w:highlight w:val="none"/>
                <w:lang w:val="en-US"/>
              </w:rPr>
            </w:pPr>
            <w:r>
              <w:rPr>
                <w:rFonts w:hint="eastAsia"/>
                <w:highlight w:val="none"/>
                <w:lang w:val="en-US" w:eastAsia="zh-CN"/>
              </w:rPr>
              <w:t>2.40</w:t>
            </w:r>
          </w:p>
        </w:tc>
      </w:tr>
      <w:tr w14:paraId="1541C46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28" w:hRule="atLeast"/>
        </w:trPr>
        <w:tc>
          <w:tcPr>
            <w:tcW w:w="2842" w:type="dxa"/>
            <w:vAlign w:val="center"/>
          </w:tcPr>
          <w:p w14:paraId="2DC44C0F">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400.0</w:t>
            </w:r>
          </w:p>
        </w:tc>
        <w:tc>
          <w:tcPr>
            <w:tcW w:w="1394" w:type="dxa"/>
            <w:vAlign w:val="center"/>
          </w:tcPr>
          <w:p w14:paraId="4AE2B075">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0.36</w:t>
            </w:r>
          </w:p>
        </w:tc>
        <w:tc>
          <w:tcPr>
            <w:tcW w:w="1224" w:type="dxa"/>
            <w:vAlign w:val="center"/>
          </w:tcPr>
          <w:p w14:paraId="57C53883">
            <w:pPr>
              <w:spacing w:line="300" w:lineRule="exact"/>
              <w:jc w:val="center"/>
              <w:rPr>
                <w:rFonts w:hint="default"/>
                <w:highlight w:val="none"/>
                <w:lang w:val="en-US"/>
              </w:rPr>
            </w:pPr>
            <w:r>
              <w:rPr>
                <w:rFonts w:hint="eastAsia" w:ascii="Times New Roman" w:hAnsi="Times New Roman" w:eastAsia="华文中宋" w:cs="Times New Roman"/>
                <w:szCs w:val="21"/>
                <w:highlight w:val="none"/>
                <w:lang w:val="en-US" w:eastAsia="zh-CN"/>
              </w:rPr>
              <w:t>0.04</w:t>
            </w:r>
          </w:p>
        </w:tc>
        <w:tc>
          <w:tcPr>
            <w:tcW w:w="1612" w:type="dxa"/>
            <w:vAlign w:val="center"/>
          </w:tcPr>
          <w:p w14:paraId="058712F9">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0.065</w:t>
            </w:r>
          </w:p>
        </w:tc>
        <w:tc>
          <w:tcPr>
            <w:tcW w:w="1455" w:type="dxa"/>
            <w:vAlign w:val="center"/>
          </w:tcPr>
          <w:p w14:paraId="0E5B3EAD">
            <w:pPr>
              <w:spacing w:line="300" w:lineRule="exact"/>
              <w:jc w:val="center"/>
              <w:rPr>
                <w:rFonts w:hint="default"/>
                <w:highlight w:val="none"/>
                <w:lang w:val="en-US"/>
              </w:rPr>
            </w:pPr>
            <w:r>
              <w:rPr>
                <w:rFonts w:hint="eastAsia"/>
                <w:highlight w:val="none"/>
                <w:lang w:val="en-US" w:eastAsia="zh-CN"/>
              </w:rPr>
              <w:t>2.18</w:t>
            </w:r>
          </w:p>
        </w:tc>
      </w:tr>
      <w:tr w14:paraId="18C3E17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12" w:hRule="atLeast"/>
        </w:trPr>
        <w:tc>
          <w:tcPr>
            <w:tcW w:w="2842" w:type="dxa"/>
            <w:vAlign w:val="center"/>
          </w:tcPr>
          <w:p w14:paraId="179A4216">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500.0</w:t>
            </w:r>
          </w:p>
        </w:tc>
        <w:tc>
          <w:tcPr>
            <w:tcW w:w="1394" w:type="dxa"/>
            <w:vAlign w:val="center"/>
          </w:tcPr>
          <w:p w14:paraId="0AF6F8ED">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0.36</w:t>
            </w:r>
          </w:p>
        </w:tc>
        <w:tc>
          <w:tcPr>
            <w:tcW w:w="1224" w:type="dxa"/>
            <w:vAlign w:val="center"/>
          </w:tcPr>
          <w:p w14:paraId="2D5DFC8C">
            <w:pPr>
              <w:spacing w:line="300" w:lineRule="exact"/>
              <w:jc w:val="center"/>
              <w:rPr>
                <w:rFonts w:hint="default"/>
                <w:highlight w:val="none"/>
                <w:lang w:val="en-US"/>
              </w:rPr>
            </w:pPr>
            <w:r>
              <w:rPr>
                <w:rFonts w:hint="eastAsia" w:ascii="Times New Roman" w:hAnsi="Times New Roman" w:eastAsia="华文中宋" w:cs="Times New Roman"/>
                <w:szCs w:val="21"/>
                <w:highlight w:val="none"/>
                <w:lang w:val="en-US" w:eastAsia="zh-CN"/>
              </w:rPr>
              <w:t>0.04</w:t>
            </w:r>
          </w:p>
        </w:tc>
        <w:tc>
          <w:tcPr>
            <w:tcW w:w="1612" w:type="dxa"/>
            <w:vAlign w:val="center"/>
          </w:tcPr>
          <w:p w14:paraId="0E45FBB6">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0.058</w:t>
            </w:r>
          </w:p>
        </w:tc>
        <w:tc>
          <w:tcPr>
            <w:tcW w:w="1455" w:type="dxa"/>
            <w:vAlign w:val="center"/>
          </w:tcPr>
          <w:p w14:paraId="2EBC9720">
            <w:pPr>
              <w:spacing w:line="300" w:lineRule="exact"/>
              <w:jc w:val="center"/>
              <w:rPr>
                <w:rFonts w:hint="default"/>
                <w:highlight w:val="none"/>
                <w:lang w:val="en-US"/>
              </w:rPr>
            </w:pPr>
            <w:r>
              <w:rPr>
                <w:rFonts w:hint="eastAsia"/>
                <w:highlight w:val="none"/>
                <w:lang w:val="en-US" w:eastAsia="zh-CN"/>
              </w:rPr>
              <w:t>1.93</w:t>
            </w:r>
          </w:p>
        </w:tc>
      </w:tr>
      <w:tr w14:paraId="4B60164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06" w:hRule="atLeast"/>
        </w:trPr>
        <w:tc>
          <w:tcPr>
            <w:tcW w:w="2842" w:type="dxa"/>
            <w:vAlign w:val="center"/>
          </w:tcPr>
          <w:p w14:paraId="30CBC2F6">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下风向最大浓度</w:t>
            </w:r>
          </w:p>
        </w:tc>
        <w:tc>
          <w:tcPr>
            <w:tcW w:w="1394" w:type="dxa"/>
            <w:vAlign w:val="center"/>
          </w:tcPr>
          <w:p w14:paraId="144EE292">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1.26</w:t>
            </w:r>
          </w:p>
        </w:tc>
        <w:tc>
          <w:tcPr>
            <w:tcW w:w="1224" w:type="dxa"/>
            <w:vAlign w:val="center"/>
          </w:tcPr>
          <w:p w14:paraId="541BBFB9">
            <w:pPr>
              <w:spacing w:line="300" w:lineRule="exact"/>
              <w:jc w:val="center"/>
              <w:rPr>
                <w:rFonts w:hint="default"/>
                <w:highlight w:val="none"/>
                <w:lang w:val="en-US"/>
              </w:rPr>
            </w:pPr>
            <w:r>
              <w:rPr>
                <w:rFonts w:hint="eastAsia" w:ascii="Times New Roman" w:hAnsi="Times New Roman" w:eastAsia="华文中宋" w:cs="Times New Roman"/>
                <w:szCs w:val="21"/>
                <w:highlight w:val="none"/>
                <w:lang w:val="en-US" w:eastAsia="zh-CN"/>
              </w:rPr>
              <w:t>0.14</w:t>
            </w:r>
          </w:p>
        </w:tc>
        <w:tc>
          <w:tcPr>
            <w:tcW w:w="1612" w:type="dxa"/>
            <w:vAlign w:val="center"/>
          </w:tcPr>
          <w:p w14:paraId="52239F55">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0.229</w:t>
            </w:r>
          </w:p>
        </w:tc>
        <w:tc>
          <w:tcPr>
            <w:tcW w:w="1455" w:type="dxa"/>
            <w:vAlign w:val="center"/>
          </w:tcPr>
          <w:p w14:paraId="0201B6A1">
            <w:pPr>
              <w:spacing w:line="300" w:lineRule="exact"/>
              <w:jc w:val="center"/>
              <w:rPr>
                <w:rFonts w:hint="default"/>
                <w:highlight w:val="none"/>
                <w:lang w:val="en-US"/>
              </w:rPr>
            </w:pPr>
            <w:r>
              <w:rPr>
                <w:rFonts w:hint="eastAsia"/>
                <w:highlight w:val="none"/>
                <w:lang w:val="en-US" w:eastAsia="zh-CN"/>
              </w:rPr>
              <w:t>7.62</w:t>
            </w:r>
          </w:p>
        </w:tc>
      </w:tr>
      <w:tr w14:paraId="354548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95" w:hRule="atLeast"/>
        </w:trPr>
        <w:tc>
          <w:tcPr>
            <w:tcW w:w="2842" w:type="dxa"/>
            <w:vAlign w:val="center"/>
          </w:tcPr>
          <w:p w14:paraId="4DF0B3F0">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下风向最大浓度出现距离</w:t>
            </w:r>
          </w:p>
        </w:tc>
        <w:tc>
          <w:tcPr>
            <w:tcW w:w="5685" w:type="dxa"/>
            <w:gridSpan w:val="4"/>
            <w:vAlign w:val="center"/>
          </w:tcPr>
          <w:p w14:paraId="58E9FDC0">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71</w:t>
            </w:r>
          </w:p>
        </w:tc>
      </w:tr>
      <w:tr w14:paraId="40D2E9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12" w:hRule="atLeast"/>
        </w:trPr>
        <w:tc>
          <w:tcPr>
            <w:tcW w:w="2842" w:type="dxa"/>
            <w:vAlign w:val="center"/>
          </w:tcPr>
          <w:p w14:paraId="64FE6FBC">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D10%最远距离</w:t>
            </w:r>
          </w:p>
        </w:tc>
        <w:tc>
          <w:tcPr>
            <w:tcW w:w="5685" w:type="dxa"/>
            <w:gridSpan w:val="4"/>
            <w:vAlign w:val="center"/>
          </w:tcPr>
          <w:p w14:paraId="7EDA4D90">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rPr>
              <w:t>/</w:t>
            </w:r>
          </w:p>
        </w:tc>
      </w:tr>
      <w:tr w14:paraId="697F990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2842" w:type="dxa"/>
            <w:vAlign w:val="center"/>
          </w:tcPr>
          <w:p w14:paraId="2D872F3B">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下风向距离</w:t>
            </w:r>
          </w:p>
        </w:tc>
        <w:tc>
          <w:tcPr>
            <w:tcW w:w="5685" w:type="dxa"/>
            <w:gridSpan w:val="4"/>
            <w:vAlign w:val="center"/>
          </w:tcPr>
          <w:p w14:paraId="5AF75963">
            <w:pPr>
              <w:spacing w:line="300" w:lineRule="exact"/>
              <w:jc w:val="center"/>
              <w:rPr>
                <w:rFonts w:hint="default" w:ascii="Times New Roman" w:hAnsi="Times New Roman" w:eastAsia="华文中宋" w:cs="Times New Roman"/>
                <w:szCs w:val="21"/>
                <w:highlight w:val="none"/>
              </w:rPr>
            </w:pPr>
            <w:r>
              <w:rPr>
                <w:rFonts w:hint="eastAsia" w:ascii="Times New Roman" w:hAnsi="Times New Roman" w:eastAsia="华文中宋" w:cs="Times New Roman"/>
                <w:szCs w:val="21"/>
                <w:highlight w:val="none"/>
                <w:lang w:val="en-US" w:eastAsia="zh-CN"/>
              </w:rPr>
              <w:t>废石堆放场</w:t>
            </w:r>
          </w:p>
        </w:tc>
      </w:tr>
    </w:tbl>
    <w:p w14:paraId="1395768B">
      <w:pPr>
        <w:pStyle w:val="24"/>
        <w:snapToGrid w:val="0"/>
        <w:jc w:val="left"/>
        <w:rPr>
          <w:rFonts w:hint="default" w:ascii="Times New Roman" w:hAnsi="Times New Roman" w:eastAsia="华文中宋" w:cs="Times New Roman"/>
          <w:color w:val="auto"/>
          <w:highlight w:val="none"/>
          <w:lang w:val="en-US" w:eastAsia="zh-CN"/>
        </w:rPr>
      </w:pPr>
      <w:r>
        <w:rPr>
          <w:rFonts w:hint="default" w:ascii="Times New Roman" w:hAnsi="Times New Roman" w:eastAsia="华文中宋" w:cs="Times New Roman"/>
          <w:color w:val="auto"/>
          <w:highlight w:val="none"/>
          <w:lang w:val="en-US" w:eastAsia="zh-CN"/>
        </w:rPr>
        <w:t>通过预测可知，</w:t>
      </w:r>
      <w:r>
        <w:rPr>
          <w:rFonts w:hint="eastAsia" w:ascii="Times New Roman" w:hAnsi="Times New Roman" w:cs="Times New Roman"/>
          <w:color w:val="auto"/>
          <w:highlight w:val="none"/>
          <w:lang w:val="en-US" w:eastAsia="zh-CN"/>
        </w:rPr>
        <w:t>矿石转运场</w:t>
      </w:r>
      <w:r>
        <w:rPr>
          <w:rFonts w:hint="default" w:ascii="Times New Roman" w:hAnsi="Times New Roman" w:eastAsia="华文中宋" w:cs="Times New Roman"/>
          <w:color w:val="auto"/>
          <w:highlight w:val="none"/>
          <w:lang w:val="en-US" w:eastAsia="zh-CN"/>
        </w:rPr>
        <w:t>粉尘无组织排放下风向最大落地浓度出现在下风向</w:t>
      </w:r>
      <w:r>
        <w:rPr>
          <w:rFonts w:hint="eastAsia" w:ascii="Times New Roman" w:hAnsi="Times New Roman" w:cs="Times New Roman"/>
          <w:color w:val="auto"/>
          <w:highlight w:val="none"/>
          <w:lang w:val="en-US" w:eastAsia="zh-CN"/>
        </w:rPr>
        <w:t>71</w:t>
      </w:r>
      <w:r>
        <w:rPr>
          <w:rFonts w:hint="default" w:ascii="Times New Roman" w:hAnsi="Times New Roman" w:eastAsia="华文中宋" w:cs="Times New Roman"/>
          <w:color w:val="auto"/>
          <w:highlight w:val="none"/>
          <w:lang w:val="en-US" w:eastAsia="zh-CN"/>
        </w:rPr>
        <w:t>m处，</w:t>
      </w:r>
      <w:r>
        <w:rPr>
          <w:rFonts w:hint="eastAsia" w:ascii="Times New Roman" w:hAnsi="Times New Roman" w:eastAsia="华文中宋" w:cs="Times New Roman"/>
          <w:color w:val="000000" w:themeColor="text1"/>
          <w:sz w:val="24"/>
          <w:highlight w:val="none"/>
          <w:lang w:val="en-US" w:eastAsia="zh-CN"/>
          <w14:textFill>
            <w14:solidFill>
              <w14:schemeClr w14:val="tx1"/>
            </w14:solidFill>
          </w14:textFill>
        </w:rPr>
        <w:t>TSP</w:t>
      </w:r>
      <w:r>
        <w:rPr>
          <w:rFonts w:hint="default" w:ascii="Times New Roman" w:hAnsi="Times New Roman" w:eastAsia="华文中宋" w:cs="Times New Roman"/>
          <w:color w:val="000000" w:themeColor="text1"/>
          <w:sz w:val="24"/>
          <w:highlight w:val="none"/>
          <w:lang w:val="en-US" w:eastAsia="zh-CN"/>
          <w14:textFill>
            <w14:solidFill>
              <w14:schemeClr w14:val="tx1"/>
            </w14:solidFill>
          </w14:textFill>
        </w:rPr>
        <w:t>其浓度值为</w:t>
      </w:r>
      <w:r>
        <w:rPr>
          <w:rFonts w:hint="eastAsia" w:ascii="Times New Roman" w:hAnsi="Times New Roman" w:cs="Times New Roman"/>
          <w:color w:val="000000" w:themeColor="text1"/>
          <w:sz w:val="24"/>
          <w:highlight w:val="none"/>
          <w:lang w:val="en-US" w:eastAsia="zh-CN"/>
          <w14:textFill>
            <w14:solidFill>
              <w14:schemeClr w14:val="tx1"/>
            </w14:solidFill>
          </w14:textFill>
        </w:rPr>
        <w:t>1.26</w:t>
      </w:r>
      <w:r>
        <w:rPr>
          <w:rFonts w:hint="default" w:ascii="Times New Roman" w:hAnsi="Times New Roman" w:eastAsia="华文中宋" w:cs="Times New Roman"/>
          <w:color w:val="000000" w:themeColor="text1"/>
          <w:sz w:val="24"/>
          <w:highlight w:val="none"/>
          <w:lang w:val="en-US" w:eastAsia="zh-CN"/>
          <w14:textFill>
            <w14:solidFill>
              <w14:schemeClr w14:val="tx1"/>
            </w14:solidFill>
          </w14:textFill>
        </w:rPr>
        <w:t>μg/m</w:t>
      </w:r>
      <w:r>
        <w:rPr>
          <w:rFonts w:hint="default" w:ascii="Times New Roman" w:hAnsi="Times New Roman" w:eastAsia="华文中宋"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华文中宋" w:cs="Times New Roman"/>
          <w:color w:val="000000" w:themeColor="text1"/>
          <w:sz w:val="24"/>
          <w:highlight w:val="none"/>
          <w:lang w:val="en-US" w:eastAsia="zh-CN"/>
          <w14:textFill>
            <w14:solidFill>
              <w14:schemeClr w14:val="tx1"/>
            </w14:solidFill>
          </w14:textFill>
        </w:rPr>
        <w:t>，占标率为</w:t>
      </w:r>
      <w:r>
        <w:rPr>
          <w:rFonts w:hint="eastAsia" w:ascii="Times New Roman" w:hAnsi="Times New Roman" w:eastAsia="华文中宋" w:cs="Times New Roman"/>
          <w:color w:val="000000" w:themeColor="text1"/>
          <w:sz w:val="24"/>
          <w:highlight w:val="none"/>
          <w:lang w:val="en-US" w:eastAsia="zh-CN"/>
          <w14:textFill>
            <w14:solidFill>
              <w14:schemeClr w14:val="tx1"/>
            </w14:solidFill>
          </w14:textFill>
        </w:rPr>
        <w:t>0.</w:t>
      </w:r>
      <w:r>
        <w:rPr>
          <w:rFonts w:hint="eastAsia" w:ascii="Times New Roman" w:hAnsi="Times New Roman" w:cs="Times New Roman"/>
          <w:color w:val="000000" w:themeColor="text1"/>
          <w:sz w:val="24"/>
          <w:highlight w:val="none"/>
          <w:lang w:val="en-US" w:eastAsia="zh-CN"/>
          <w14:textFill>
            <w14:solidFill>
              <w14:schemeClr w14:val="tx1"/>
            </w14:solidFill>
          </w14:textFill>
        </w:rPr>
        <w:t>14</w:t>
      </w:r>
      <w:r>
        <w:rPr>
          <w:rFonts w:hint="default" w:ascii="Times New Roman" w:hAnsi="Times New Roman" w:eastAsia="华文中宋" w:cs="Times New Roman"/>
          <w:color w:val="000000" w:themeColor="text1"/>
          <w:sz w:val="24"/>
          <w:highlight w:val="none"/>
          <w:lang w:val="en-US" w:eastAsia="zh-CN"/>
          <w14:textFill>
            <w14:solidFill>
              <w14:schemeClr w14:val="tx1"/>
            </w14:solidFill>
          </w14:textFill>
        </w:rPr>
        <w:t>%，小于10%，</w:t>
      </w:r>
      <w:r>
        <w:rPr>
          <w:rFonts w:hint="eastAsia" w:ascii="Times New Roman" w:hAnsi="Times New Roman" w:eastAsia="华文中宋" w:cs="Times New Roman"/>
          <w:color w:val="000000" w:themeColor="text1"/>
          <w:sz w:val="24"/>
          <w:highlight w:val="none"/>
          <w:lang w:val="en-US" w:eastAsia="zh-CN"/>
          <w14:textFill>
            <w14:solidFill>
              <w14:schemeClr w14:val="tx1"/>
            </w14:solidFill>
          </w14:textFill>
        </w:rPr>
        <w:t>铅（pb）</w:t>
      </w:r>
      <w:r>
        <w:rPr>
          <w:rFonts w:hint="default" w:ascii="Times New Roman" w:hAnsi="Times New Roman" w:eastAsia="华文中宋" w:cs="Times New Roman"/>
          <w:color w:val="000000" w:themeColor="text1"/>
          <w:sz w:val="24"/>
          <w:highlight w:val="none"/>
          <w:lang w:val="en-US" w:eastAsia="zh-CN"/>
          <w14:textFill>
            <w14:solidFill>
              <w14:schemeClr w14:val="tx1"/>
            </w14:solidFill>
          </w14:textFill>
        </w:rPr>
        <w:t>其浓度值为</w:t>
      </w:r>
      <w:r>
        <w:rPr>
          <w:rFonts w:hint="eastAsia" w:ascii="Times New Roman" w:hAnsi="Times New Roman" w:cs="Times New Roman"/>
          <w:color w:val="000000" w:themeColor="text1"/>
          <w:sz w:val="24"/>
          <w:highlight w:val="none"/>
          <w:lang w:val="en-US" w:eastAsia="zh-CN"/>
          <w14:textFill>
            <w14:solidFill>
              <w14:schemeClr w14:val="tx1"/>
            </w14:solidFill>
          </w14:textFill>
        </w:rPr>
        <w:t>0.229</w:t>
      </w:r>
      <w:r>
        <w:rPr>
          <w:rFonts w:hint="default" w:ascii="Times New Roman" w:hAnsi="Times New Roman" w:eastAsia="华文中宋" w:cs="Times New Roman"/>
          <w:color w:val="000000" w:themeColor="text1"/>
          <w:sz w:val="24"/>
          <w:highlight w:val="none"/>
          <w:lang w:val="en-US" w:eastAsia="zh-CN"/>
          <w14:textFill>
            <w14:solidFill>
              <w14:schemeClr w14:val="tx1"/>
            </w14:solidFill>
          </w14:textFill>
        </w:rPr>
        <w:t>μg/m</w:t>
      </w:r>
      <w:r>
        <w:rPr>
          <w:rFonts w:hint="default" w:ascii="Times New Roman" w:hAnsi="Times New Roman" w:eastAsia="华文中宋"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华文中宋" w:cs="Times New Roman"/>
          <w:color w:val="000000" w:themeColor="text1"/>
          <w:sz w:val="24"/>
          <w:highlight w:val="none"/>
          <w:lang w:val="en-US" w:eastAsia="zh-CN"/>
          <w14:textFill>
            <w14:solidFill>
              <w14:schemeClr w14:val="tx1"/>
            </w14:solidFill>
          </w14:textFill>
        </w:rPr>
        <w:t>，占标率为</w:t>
      </w:r>
      <w:r>
        <w:rPr>
          <w:rFonts w:hint="eastAsia" w:ascii="Times New Roman" w:hAnsi="Times New Roman" w:cs="Times New Roman"/>
          <w:color w:val="000000" w:themeColor="text1"/>
          <w:sz w:val="24"/>
          <w:highlight w:val="none"/>
          <w:lang w:val="en-US" w:eastAsia="zh-CN"/>
          <w14:textFill>
            <w14:solidFill>
              <w14:schemeClr w14:val="tx1"/>
            </w14:solidFill>
          </w14:textFill>
        </w:rPr>
        <w:t>7.62</w:t>
      </w:r>
      <w:r>
        <w:rPr>
          <w:rFonts w:hint="default" w:ascii="Times New Roman" w:hAnsi="Times New Roman" w:eastAsia="华文中宋" w:cs="Times New Roman"/>
          <w:color w:val="000000" w:themeColor="text1"/>
          <w:sz w:val="24"/>
          <w:highlight w:val="none"/>
          <w:lang w:val="en-US" w:eastAsia="zh-CN"/>
          <w14:textFill>
            <w14:solidFill>
              <w14:schemeClr w14:val="tx1"/>
            </w14:solidFill>
          </w14:textFill>
        </w:rPr>
        <w:t>%，小于10%，满足《环境空气质量标准》（GB3095-2012）二类区标准要求。</w:t>
      </w:r>
    </w:p>
    <w:p w14:paraId="64F1174F">
      <w:pPr>
        <w:pStyle w:val="24"/>
        <w:snapToGrid w:val="0"/>
        <w:ind w:left="0" w:leftChars="0" w:firstLine="0" w:firstLineChars="0"/>
        <w:jc w:val="left"/>
        <w:rPr>
          <w:rFonts w:hint="default" w:ascii="Times New Roman" w:hAnsi="Times New Roman" w:eastAsia="华文中宋" w:cs="Times New Roman"/>
          <w:color w:val="auto"/>
          <w:lang w:val="en-US"/>
        </w:rPr>
      </w:pPr>
      <w:r>
        <w:rPr>
          <w:rFonts w:hint="eastAsia" w:ascii="Times New Roman" w:hAnsi="Times New Roman" w:cs="Times New Roman"/>
          <w:b/>
          <w:bCs/>
          <w:color w:val="auto"/>
          <w:lang w:val="en-US" w:eastAsia="zh-CN"/>
        </w:rPr>
        <w:t>5.2.1.2</w:t>
      </w:r>
      <w:r>
        <w:rPr>
          <w:rFonts w:hint="default" w:ascii="Times New Roman" w:hAnsi="Times New Roman" w:eastAsia="华文中宋" w:cs="Times New Roman"/>
          <w:b/>
          <w:bCs/>
          <w:color w:val="auto"/>
          <w:lang w:val="en-US" w:eastAsia="zh-CN"/>
        </w:rPr>
        <w:t>大气环境防护距离</w:t>
      </w:r>
    </w:p>
    <w:p w14:paraId="0AE86D21">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rPr>
        <w:t>根据《环境影响评价技术导则 大气环境》（HJ2.2-2018），本项目厂界外大气污染物短期贡献浓度均不超过环境质量浓度限值，无需设置大气环境防护距离。</w:t>
      </w:r>
    </w:p>
    <w:p w14:paraId="14539998">
      <w:pPr>
        <w:pStyle w:val="24"/>
        <w:snapToGrid w:val="0"/>
        <w:ind w:left="0" w:leftChars="0" w:firstLine="0" w:firstLineChars="0"/>
        <w:jc w:val="left"/>
        <w:rPr>
          <w:rFonts w:hint="default" w:ascii="Times New Roman" w:hAnsi="Times New Roman" w:eastAsia="华文中宋" w:cs="Times New Roman"/>
          <w:b/>
          <w:bCs/>
          <w:color w:val="auto"/>
          <w:lang w:val="en-US" w:eastAsia="zh-CN"/>
        </w:rPr>
      </w:pPr>
      <w:r>
        <w:rPr>
          <w:rFonts w:hint="eastAsia" w:ascii="Times New Roman" w:hAnsi="Times New Roman" w:cs="Times New Roman"/>
          <w:b/>
          <w:bCs/>
          <w:color w:val="auto"/>
          <w:lang w:val="en-US" w:eastAsia="zh-CN"/>
        </w:rPr>
        <w:t>5.2.1.3</w:t>
      </w:r>
      <w:r>
        <w:rPr>
          <w:rFonts w:hint="default" w:ascii="Times New Roman" w:hAnsi="Times New Roman" w:eastAsia="华文中宋" w:cs="Times New Roman"/>
          <w:b/>
          <w:bCs/>
          <w:color w:val="auto"/>
          <w:lang w:val="en-US" w:eastAsia="zh-CN"/>
        </w:rPr>
        <w:t>大气环境影响评价结论</w:t>
      </w:r>
    </w:p>
    <w:p w14:paraId="2B3CA99F">
      <w:pPr>
        <w:pStyle w:val="24"/>
        <w:snapToGrid w:val="0"/>
        <w:jc w:val="left"/>
        <w:rPr>
          <w:rFonts w:hint="default" w:ascii="Times New Roman" w:hAnsi="Times New Roman" w:eastAsia="华文中宋" w:cs="Times New Roman"/>
          <w:color w:val="auto"/>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1</w:t>
      </w:r>
      <w:r>
        <w:rPr>
          <w:rFonts w:hint="eastAsia" w:ascii="Times New Roman" w:hAnsi="Times New Roman" w:cs="Times New Roman"/>
          <w:color w:val="auto"/>
          <w:lang w:eastAsia="zh-CN"/>
        </w:rPr>
        <w:t>）</w:t>
      </w:r>
      <w:r>
        <w:rPr>
          <w:rFonts w:hint="default" w:ascii="Times New Roman" w:hAnsi="Times New Roman" w:eastAsia="华文中宋" w:cs="Times New Roman"/>
          <w:color w:val="auto"/>
        </w:rPr>
        <w:t>区域环境现状</w:t>
      </w:r>
    </w:p>
    <w:p w14:paraId="702EAC20">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rPr>
        <w:t>本项目位于不达标区域，不达标因子主要为PM</w:t>
      </w:r>
      <w:r>
        <w:rPr>
          <w:rFonts w:hint="default" w:ascii="Times New Roman" w:hAnsi="Times New Roman" w:eastAsia="华文中宋" w:cs="Times New Roman"/>
          <w:color w:val="auto"/>
          <w:vertAlign w:val="subscript"/>
        </w:rPr>
        <w:t>10</w:t>
      </w:r>
      <w:r>
        <w:rPr>
          <w:rFonts w:hint="default" w:ascii="Times New Roman" w:hAnsi="Times New Roman" w:eastAsia="华文中宋" w:cs="Times New Roman"/>
          <w:color w:val="auto"/>
        </w:rPr>
        <w:t>、PM</w:t>
      </w:r>
      <w:r>
        <w:rPr>
          <w:rFonts w:hint="default" w:ascii="Times New Roman" w:hAnsi="Times New Roman" w:eastAsia="华文中宋" w:cs="Times New Roman"/>
          <w:color w:val="auto"/>
          <w:vertAlign w:val="subscript"/>
        </w:rPr>
        <w:t>2.5</w:t>
      </w:r>
      <w:r>
        <w:rPr>
          <w:rFonts w:hint="default" w:ascii="Times New Roman" w:hAnsi="Times New Roman" w:eastAsia="华文中宋" w:cs="Times New Roman"/>
          <w:color w:val="auto"/>
        </w:rPr>
        <w:t>，按功能区为二类功能区，根据工程分析和影响分析，本项目污染源排放为无组织排放。根据</w:t>
      </w:r>
      <w:r>
        <w:rPr>
          <w:rFonts w:hint="default" w:ascii="Times New Roman" w:hAnsi="Times New Roman" w:eastAsia="华文中宋" w:cs="Times New Roman"/>
          <w:color w:val="auto"/>
          <w:lang w:eastAsia="zh-CN"/>
        </w:rPr>
        <w:t>估算模式</w:t>
      </w:r>
      <w:r>
        <w:rPr>
          <w:rFonts w:hint="default" w:ascii="Times New Roman" w:hAnsi="Times New Roman" w:eastAsia="华文中宋" w:cs="Times New Roman"/>
          <w:color w:val="auto"/>
        </w:rPr>
        <w:t>预测结果，本项目各污染源正常排放下，各污染物最大地面浓度占标率为均小于10%，排放的污染物对评价区贡献值较小，本项目的环境影响可以接受。</w:t>
      </w:r>
    </w:p>
    <w:p w14:paraId="1E0C7BCA">
      <w:pPr>
        <w:pStyle w:val="24"/>
        <w:snapToGrid w:val="0"/>
        <w:jc w:val="left"/>
        <w:rPr>
          <w:rFonts w:hint="default" w:ascii="Times New Roman" w:hAnsi="Times New Roman" w:eastAsia="华文中宋" w:cs="Times New Roman"/>
          <w:color w:val="auto"/>
        </w:rPr>
      </w:pPr>
      <w:r>
        <w:rPr>
          <w:rFonts w:hint="eastAsia" w:ascii="Times New Roman" w:hAnsi="Times New Roman" w:cs="Times New Roman"/>
          <w:color w:val="auto"/>
          <w:lang w:val="en-US" w:eastAsia="zh-CN"/>
        </w:rPr>
        <w:t>（2）</w:t>
      </w:r>
      <w:r>
        <w:rPr>
          <w:rFonts w:hint="default" w:ascii="Times New Roman" w:hAnsi="Times New Roman" w:eastAsia="华文中宋" w:cs="Times New Roman"/>
          <w:color w:val="auto"/>
        </w:rPr>
        <w:t>污染物排放量核算结果</w:t>
      </w:r>
    </w:p>
    <w:p w14:paraId="6F841582">
      <w:pPr>
        <w:pStyle w:val="24"/>
        <w:snapToGrid w:val="0"/>
        <w:jc w:val="left"/>
        <w:rPr>
          <w:rFonts w:hint="default" w:ascii="Times New Roman" w:hAnsi="Times New Roman" w:eastAsia="华文中宋" w:cs="Times New Roman"/>
          <w:color w:val="auto"/>
          <w:lang w:eastAsia="zh-CN"/>
        </w:rPr>
      </w:pPr>
      <w:r>
        <w:rPr>
          <w:rFonts w:hint="default" w:ascii="Times New Roman" w:hAnsi="Times New Roman" w:eastAsia="华文中宋" w:cs="Times New Roman"/>
          <w:color w:val="auto"/>
          <w:lang w:eastAsia="zh-CN"/>
        </w:rPr>
        <w:t>项目建成运营后，大气环境影响较小，不会改变区域大气环境现状，环境影响可接受。</w:t>
      </w:r>
    </w:p>
    <w:p w14:paraId="11767AC6">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rPr>
        <w:t>根据《环境影响评价技术导则</w:t>
      </w:r>
      <w:r>
        <w:rPr>
          <w:rFonts w:hint="eastAsia" w:ascii="Times New Roman" w:hAnsi="Times New Roman" w:cs="Times New Roman"/>
          <w:color w:val="auto"/>
          <w:lang w:val="en-US" w:eastAsia="zh-CN"/>
        </w:rPr>
        <w:t xml:space="preserve"> </w:t>
      </w:r>
      <w:r>
        <w:rPr>
          <w:rFonts w:hint="default" w:ascii="Times New Roman" w:hAnsi="Times New Roman" w:eastAsia="华文中宋" w:cs="Times New Roman"/>
          <w:color w:val="auto"/>
        </w:rPr>
        <w:t>大气环境》（HJ 2.2-2018）中附录A估算模式，本项目大气评价等级设为二级。故本评价不进行进一步的预测与评价，只需</w:t>
      </w:r>
      <w:r>
        <w:rPr>
          <w:rFonts w:hint="default" w:ascii="Times New Roman" w:hAnsi="Times New Roman" w:eastAsia="华文中宋" w:cs="Times New Roman"/>
          <w:color w:val="auto"/>
          <w:lang w:eastAsia="zh-CN"/>
        </w:rPr>
        <w:t>给出污染物排放量核算结果</w:t>
      </w:r>
      <w:r>
        <w:rPr>
          <w:rFonts w:hint="default" w:ascii="Times New Roman" w:hAnsi="Times New Roman" w:eastAsia="华文中宋" w:cs="Times New Roman"/>
          <w:color w:val="auto"/>
        </w:rPr>
        <w:t>。</w:t>
      </w:r>
    </w:p>
    <w:p w14:paraId="39B1A84F">
      <w:pPr>
        <w:pStyle w:val="24"/>
        <w:snapToGrid w:val="0"/>
        <w:ind w:left="0" w:leftChars="0" w:firstLine="0" w:firstLineChars="0"/>
        <w:jc w:val="left"/>
        <w:rPr>
          <w:rFonts w:hint="default" w:ascii="Times New Roman" w:hAnsi="Times New Roman" w:eastAsia="华文中宋" w:cs="Times New Roman"/>
          <w:b/>
          <w:bCs/>
          <w:color w:val="auto"/>
          <w:lang w:val="en-US" w:eastAsia="zh-CN"/>
        </w:rPr>
      </w:pPr>
      <w:r>
        <w:rPr>
          <w:rFonts w:hint="eastAsia" w:ascii="Times New Roman" w:hAnsi="Times New Roman" w:cs="Times New Roman"/>
          <w:b/>
          <w:bCs/>
          <w:color w:val="auto"/>
          <w:lang w:val="en-US" w:eastAsia="zh-CN"/>
        </w:rPr>
        <w:t>5.2.1.4</w:t>
      </w:r>
      <w:r>
        <w:rPr>
          <w:rFonts w:hint="default" w:ascii="Times New Roman" w:hAnsi="Times New Roman" w:eastAsia="华文中宋" w:cs="Times New Roman"/>
          <w:b/>
          <w:bCs/>
          <w:color w:val="auto"/>
          <w:lang w:val="en-US" w:eastAsia="zh-CN"/>
        </w:rPr>
        <w:t>大气污染物排放量核算</w:t>
      </w:r>
    </w:p>
    <w:p w14:paraId="13E3060B">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rPr>
        <w:t>按评价工作级别的划分原则，</w:t>
      </w:r>
      <w:r>
        <w:rPr>
          <w:rFonts w:hint="default" w:ascii="Times New Roman" w:hAnsi="Times New Roman" w:eastAsia="华文中宋" w:cs="Times New Roman"/>
          <w:color w:val="auto"/>
          <w:lang w:val="en-US" w:eastAsia="zh-CN"/>
        </w:rPr>
        <w:t>本项目大气评价工作等级为二级</w:t>
      </w:r>
      <w:r>
        <w:rPr>
          <w:rFonts w:hint="default" w:ascii="Times New Roman" w:hAnsi="Times New Roman" w:eastAsia="华文中宋" w:cs="Times New Roman"/>
          <w:color w:val="auto"/>
        </w:rPr>
        <w:t>。根据《环境影响评价技术导则</w:t>
      </w:r>
      <w:r>
        <w:rPr>
          <w:rFonts w:hint="eastAsia" w:ascii="Times New Roman" w:hAnsi="Times New Roman" w:eastAsia="华文中宋" w:cs="Times New Roman"/>
          <w:color w:val="auto"/>
          <w:lang w:val="en-US" w:eastAsia="zh-CN"/>
        </w:rPr>
        <w:t xml:space="preserve"> </w:t>
      </w:r>
      <w:r>
        <w:rPr>
          <w:rFonts w:hint="default" w:ascii="Times New Roman" w:hAnsi="Times New Roman" w:eastAsia="华文中宋" w:cs="Times New Roman"/>
          <w:color w:val="auto"/>
        </w:rPr>
        <w:t>大气环境》（HJ2.2-2018），二级评价项目不进行进一步预测与评价，只对污染物排放量进行核算。本项目大气污染物年排放量核算</w:t>
      </w:r>
      <w:r>
        <w:rPr>
          <w:rFonts w:hint="default" w:ascii="Times New Roman" w:hAnsi="Times New Roman" w:eastAsia="华文中宋" w:cs="Times New Roman"/>
          <w:color w:val="auto"/>
          <w:lang w:val="en-US" w:eastAsia="zh-CN"/>
        </w:rPr>
        <w:t>分述如下</w:t>
      </w:r>
      <w:r>
        <w:rPr>
          <w:rFonts w:hint="default" w:ascii="Times New Roman" w:hAnsi="Times New Roman" w:eastAsia="华文中宋" w:cs="Times New Roman"/>
          <w:color w:val="auto"/>
        </w:rPr>
        <w:t>。</w:t>
      </w:r>
    </w:p>
    <w:p w14:paraId="393EB928">
      <w:pPr>
        <w:pStyle w:val="24"/>
        <w:snapToGrid w:val="0"/>
        <w:jc w:val="left"/>
        <w:rPr>
          <w:rFonts w:hint="default" w:ascii="Times New Roman" w:hAnsi="Times New Roman" w:eastAsia="华文中宋" w:cs="Times New Roman"/>
          <w:color w:val="auto"/>
          <w:highlight w:val="none"/>
        </w:rPr>
      </w:pPr>
      <w:r>
        <w:rPr>
          <w:rFonts w:hint="default" w:ascii="Times New Roman" w:hAnsi="Times New Roman" w:eastAsia="华文中宋" w:cs="Times New Roman"/>
          <w:color w:val="auto"/>
        </w:rPr>
        <w:t>本项目</w:t>
      </w:r>
      <w:r>
        <w:rPr>
          <w:rFonts w:hint="default" w:ascii="Times New Roman" w:hAnsi="Times New Roman" w:eastAsia="华文中宋" w:cs="Times New Roman"/>
          <w:color w:val="auto"/>
          <w:lang w:eastAsia="zh-CN"/>
        </w:rPr>
        <w:t>无组织</w:t>
      </w:r>
      <w:r>
        <w:rPr>
          <w:rFonts w:hint="default" w:ascii="Times New Roman" w:hAnsi="Times New Roman" w:eastAsia="华文中宋" w:cs="Times New Roman"/>
          <w:color w:val="auto"/>
        </w:rPr>
        <w:t>大</w:t>
      </w:r>
      <w:r>
        <w:rPr>
          <w:rFonts w:hint="default" w:ascii="Times New Roman" w:hAnsi="Times New Roman" w:eastAsia="华文中宋" w:cs="Times New Roman"/>
          <w:color w:val="auto"/>
          <w:highlight w:val="none"/>
        </w:rPr>
        <w:t>气污染物排放信息见表</w:t>
      </w:r>
      <w:r>
        <w:rPr>
          <w:rFonts w:hint="default" w:ascii="Times New Roman" w:hAnsi="Times New Roman" w:eastAsia="华文中宋" w:cs="Times New Roman"/>
          <w:color w:val="auto"/>
          <w:highlight w:val="none"/>
          <w:lang w:val="en-US" w:eastAsia="zh-CN"/>
        </w:rPr>
        <w:t>5.2-1</w:t>
      </w:r>
      <w:r>
        <w:rPr>
          <w:rFonts w:hint="eastAsia" w:ascii="Times New Roman" w:hAnsi="Times New Roman" w:cs="Times New Roman"/>
          <w:color w:val="auto"/>
          <w:highlight w:val="none"/>
          <w:lang w:val="en-US" w:eastAsia="zh-CN"/>
        </w:rPr>
        <w:t>1</w:t>
      </w:r>
      <w:r>
        <w:rPr>
          <w:rFonts w:hint="default" w:ascii="Times New Roman" w:hAnsi="Times New Roman" w:eastAsia="华文中宋" w:cs="Times New Roman"/>
          <w:color w:val="auto"/>
          <w:highlight w:val="none"/>
          <w:lang w:val="en-US" w:eastAsia="zh-CN"/>
        </w:rPr>
        <w:t>和表5.2-1</w:t>
      </w:r>
      <w:r>
        <w:rPr>
          <w:rFonts w:hint="eastAsia" w:ascii="Times New Roman" w:hAnsi="Times New Roman" w:cs="Times New Roman"/>
          <w:color w:val="auto"/>
          <w:highlight w:val="none"/>
          <w:lang w:val="en-US" w:eastAsia="zh-CN"/>
        </w:rPr>
        <w:t>2</w:t>
      </w:r>
      <w:r>
        <w:rPr>
          <w:rFonts w:hint="default" w:ascii="Times New Roman" w:hAnsi="Times New Roman" w:eastAsia="华文中宋" w:cs="Times New Roman"/>
          <w:color w:val="auto"/>
          <w:highlight w:val="none"/>
        </w:rPr>
        <w:t>。</w:t>
      </w:r>
    </w:p>
    <w:p w14:paraId="79901AA6">
      <w:pPr>
        <w:adjustRightInd w:val="0"/>
        <w:snapToGrid w:val="0"/>
        <w:spacing w:before="250" w:beforeLines="50"/>
        <w:ind w:firstLine="422" w:firstLineChars="200"/>
        <w:jc w:val="center"/>
        <w:rPr>
          <w:rFonts w:hint="default" w:ascii="Times New Roman" w:hAnsi="Times New Roman" w:eastAsia="华文中宋" w:cs="Times New Roman"/>
          <w:b/>
          <w:szCs w:val="21"/>
          <w:highlight w:val="none"/>
        </w:rPr>
      </w:pPr>
      <w:r>
        <w:rPr>
          <w:rFonts w:hint="default" w:ascii="Times New Roman" w:hAnsi="Times New Roman" w:eastAsia="华文中宋" w:cs="Times New Roman"/>
          <w:b/>
          <w:szCs w:val="21"/>
          <w:highlight w:val="none"/>
          <w:lang w:val="en-US" w:eastAsia="zh-CN"/>
        </w:rPr>
        <w:t>表5.2-1</w:t>
      </w:r>
      <w:r>
        <w:rPr>
          <w:rFonts w:hint="eastAsia" w:ascii="Times New Roman" w:hAnsi="Times New Roman" w:eastAsia="华文中宋" w:cs="Times New Roman"/>
          <w:b/>
          <w:szCs w:val="21"/>
          <w:highlight w:val="none"/>
          <w:lang w:val="en-US" w:eastAsia="zh-CN"/>
        </w:rPr>
        <w:t>1</w:t>
      </w:r>
      <w:r>
        <w:rPr>
          <w:rFonts w:hint="default" w:ascii="Times New Roman" w:hAnsi="Times New Roman" w:eastAsia="华文中宋" w:cs="Times New Roman"/>
          <w:b/>
          <w:szCs w:val="21"/>
          <w:highlight w:val="none"/>
          <w:lang w:val="en-US" w:eastAsia="zh-CN"/>
        </w:rPr>
        <w:t xml:space="preserve">  大气污染物无组织排放量核算表</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391"/>
        <w:gridCol w:w="669"/>
        <w:gridCol w:w="912"/>
        <w:gridCol w:w="1211"/>
        <w:gridCol w:w="1016"/>
        <w:gridCol w:w="1338"/>
        <w:gridCol w:w="1535"/>
        <w:gridCol w:w="1450"/>
      </w:tblGrid>
      <w:tr w14:paraId="16AF5C9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391" w:type="dxa"/>
            <w:vMerge w:val="restart"/>
            <w:tcBorders>
              <w:tl2br w:val="nil"/>
              <w:tr2bl w:val="nil"/>
            </w:tcBorders>
            <w:noWrap w:val="0"/>
            <w:vAlign w:val="center"/>
          </w:tcPr>
          <w:p w14:paraId="02520B2F">
            <w:pPr>
              <w:spacing w:line="300" w:lineRule="exact"/>
              <w:jc w:val="center"/>
              <w:rPr>
                <w:rFonts w:hint="default" w:ascii="Times New Roman" w:hAnsi="Times New Roman" w:eastAsia="华文中宋" w:cs="Times New Roman"/>
                <w:szCs w:val="21"/>
                <w:highlight w:val="none"/>
                <w:lang w:eastAsia="zh-CN"/>
              </w:rPr>
            </w:pPr>
            <w:r>
              <w:rPr>
                <w:rFonts w:hint="default" w:ascii="Times New Roman" w:hAnsi="Times New Roman" w:eastAsia="华文中宋" w:cs="Times New Roman"/>
                <w:szCs w:val="21"/>
                <w:highlight w:val="none"/>
                <w:lang w:eastAsia="zh-CN"/>
              </w:rPr>
              <w:t>序号</w:t>
            </w:r>
          </w:p>
        </w:tc>
        <w:tc>
          <w:tcPr>
            <w:tcW w:w="669" w:type="dxa"/>
            <w:vMerge w:val="restart"/>
            <w:tcBorders>
              <w:tl2br w:val="nil"/>
              <w:tr2bl w:val="nil"/>
            </w:tcBorders>
            <w:noWrap w:val="0"/>
            <w:vAlign w:val="center"/>
          </w:tcPr>
          <w:p w14:paraId="55D7E465">
            <w:pPr>
              <w:spacing w:line="300" w:lineRule="exact"/>
              <w:jc w:val="center"/>
              <w:rPr>
                <w:rFonts w:hint="default" w:ascii="Times New Roman" w:hAnsi="Times New Roman" w:eastAsia="华文中宋" w:cs="Times New Roman"/>
                <w:szCs w:val="21"/>
                <w:highlight w:val="none"/>
                <w:lang w:eastAsia="zh-CN"/>
              </w:rPr>
            </w:pPr>
            <w:r>
              <w:rPr>
                <w:rFonts w:hint="default" w:ascii="Times New Roman" w:hAnsi="Times New Roman" w:eastAsia="华文中宋" w:cs="Times New Roman"/>
                <w:szCs w:val="21"/>
                <w:highlight w:val="none"/>
                <w:lang w:eastAsia="zh-CN"/>
              </w:rPr>
              <w:t>排放口编号</w:t>
            </w:r>
          </w:p>
        </w:tc>
        <w:tc>
          <w:tcPr>
            <w:tcW w:w="912" w:type="dxa"/>
            <w:vMerge w:val="restart"/>
            <w:tcBorders>
              <w:tl2br w:val="nil"/>
              <w:tr2bl w:val="nil"/>
            </w:tcBorders>
            <w:noWrap w:val="0"/>
            <w:vAlign w:val="center"/>
          </w:tcPr>
          <w:p w14:paraId="5FFD8F49">
            <w:pPr>
              <w:spacing w:line="300" w:lineRule="exact"/>
              <w:jc w:val="center"/>
              <w:rPr>
                <w:rFonts w:hint="default" w:ascii="Times New Roman" w:hAnsi="Times New Roman" w:eastAsia="华文中宋" w:cs="Times New Roman"/>
                <w:szCs w:val="21"/>
                <w:highlight w:val="none"/>
                <w:lang w:eastAsia="zh-CN"/>
              </w:rPr>
            </w:pPr>
            <w:r>
              <w:rPr>
                <w:rFonts w:hint="default" w:ascii="Times New Roman" w:hAnsi="Times New Roman" w:eastAsia="华文中宋" w:cs="Times New Roman"/>
                <w:szCs w:val="21"/>
                <w:highlight w:val="none"/>
                <w:lang w:eastAsia="zh-CN"/>
              </w:rPr>
              <w:t>产污环节</w:t>
            </w:r>
          </w:p>
        </w:tc>
        <w:tc>
          <w:tcPr>
            <w:tcW w:w="1211" w:type="dxa"/>
            <w:vMerge w:val="restart"/>
            <w:tcBorders>
              <w:tl2br w:val="nil"/>
              <w:tr2bl w:val="nil"/>
            </w:tcBorders>
            <w:noWrap w:val="0"/>
            <w:vAlign w:val="center"/>
          </w:tcPr>
          <w:p w14:paraId="0BB958A0">
            <w:pPr>
              <w:spacing w:line="300" w:lineRule="exact"/>
              <w:jc w:val="center"/>
              <w:rPr>
                <w:rFonts w:hint="default" w:ascii="Times New Roman" w:hAnsi="Times New Roman" w:eastAsia="华文中宋" w:cs="Times New Roman"/>
                <w:szCs w:val="21"/>
                <w:highlight w:val="none"/>
                <w:lang w:eastAsia="zh-CN"/>
              </w:rPr>
            </w:pPr>
            <w:r>
              <w:rPr>
                <w:rFonts w:hint="default" w:ascii="Times New Roman" w:hAnsi="Times New Roman" w:eastAsia="华文中宋" w:cs="Times New Roman"/>
                <w:szCs w:val="21"/>
                <w:highlight w:val="none"/>
                <w:lang w:eastAsia="zh-CN"/>
              </w:rPr>
              <w:t>污染物</w:t>
            </w:r>
          </w:p>
        </w:tc>
        <w:tc>
          <w:tcPr>
            <w:tcW w:w="1016" w:type="dxa"/>
            <w:vMerge w:val="restart"/>
            <w:tcBorders>
              <w:tl2br w:val="nil"/>
              <w:tr2bl w:val="nil"/>
            </w:tcBorders>
            <w:noWrap w:val="0"/>
            <w:vAlign w:val="center"/>
          </w:tcPr>
          <w:p w14:paraId="49D05F3C">
            <w:pPr>
              <w:spacing w:line="300" w:lineRule="exact"/>
              <w:jc w:val="center"/>
              <w:rPr>
                <w:rFonts w:hint="default" w:ascii="Times New Roman" w:hAnsi="Times New Roman" w:eastAsia="华文中宋" w:cs="Times New Roman"/>
                <w:szCs w:val="21"/>
                <w:highlight w:val="none"/>
                <w:lang w:eastAsia="zh-CN"/>
              </w:rPr>
            </w:pPr>
            <w:r>
              <w:rPr>
                <w:rFonts w:hint="default" w:ascii="Times New Roman" w:hAnsi="Times New Roman" w:eastAsia="华文中宋" w:cs="Times New Roman"/>
                <w:szCs w:val="21"/>
                <w:highlight w:val="none"/>
                <w:lang w:eastAsia="zh-CN"/>
              </w:rPr>
              <w:t>主要污染防治措施</w:t>
            </w:r>
          </w:p>
        </w:tc>
        <w:tc>
          <w:tcPr>
            <w:tcW w:w="2873" w:type="dxa"/>
            <w:gridSpan w:val="2"/>
            <w:tcBorders>
              <w:tl2br w:val="nil"/>
              <w:tr2bl w:val="nil"/>
            </w:tcBorders>
            <w:noWrap w:val="0"/>
            <w:vAlign w:val="center"/>
          </w:tcPr>
          <w:p w14:paraId="4C1ACF3E">
            <w:pPr>
              <w:spacing w:line="300" w:lineRule="exact"/>
              <w:jc w:val="center"/>
              <w:rPr>
                <w:rFonts w:hint="default" w:ascii="Times New Roman" w:hAnsi="Times New Roman" w:eastAsia="华文中宋" w:cs="Times New Roman"/>
                <w:szCs w:val="21"/>
                <w:highlight w:val="none"/>
                <w:lang w:eastAsia="zh-CN"/>
              </w:rPr>
            </w:pPr>
            <w:r>
              <w:rPr>
                <w:rFonts w:hint="default" w:ascii="Times New Roman" w:hAnsi="Times New Roman" w:eastAsia="华文中宋" w:cs="Times New Roman"/>
                <w:szCs w:val="21"/>
                <w:highlight w:val="none"/>
                <w:lang w:eastAsia="zh-CN"/>
              </w:rPr>
              <w:t>排放标准</w:t>
            </w:r>
          </w:p>
        </w:tc>
        <w:tc>
          <w:tcPr>
            <w:tcW w:w="1450" w:type="dxa"/>
            <w:vMerge w:val="restart"/>
            <w:tcBorders>
              <w:tl2br w:val="nil"/>
              <w:tr2bl w:val="nil"/>
            </w:tcBorders>
            <w:noWrap w:val="0"/>
            <w:vAlign w:val="center"/>
          </w:tcPr>
          <w:p w14:paraId="2A65E378">
            <w:pPr>
              <w:spacing w:line="300" w:lineRule="exact"/>
              <w:jc w:val="center"/>
              <w:rPr>
                <w:rFonts w:hint="default" w:ascii="Times New Roman" w:hAnsi="Times New Roman" w:eastAsia="华文中宋" w:cs="Times New Roman"/>
                <w:szCs w:val="21"/>
                <w:highlight w:val="none"/>
                <w:lang w:eastAsia="zh-CN"/>
              </w:rPr>
            </w:pPr>
            <w:r>
              <w:rPr>
                <w:rFonts w:hint="default" w:ascii="Times New Roman" w:hAnsi="Times New Roman" w:eastAsia="华文中宋" w:cs="Times New Roman"/>
                <w:szCs w:val="21"/>
                <w:highlight w:val="none"/>
                <w:lang w:eastAsia="zh-CN"/>
              </w:rPr>
              <w:t>排放量</w:t>
            </w:r>
          </w:p>
          <w:p w14:paraId="156988DC">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rPr>
              <w:t>t/a</w:t>
            </w:r>
          </w:p>
        </w:tc>
      </w:tr>
      <w:tr w14:paraId="486D13F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391" w:type="dxa"/>
            <w:vMerge w:val="continue"/>
            <w:tcBorders>
              <w:tl2br w:val="nil"/>
              <w:tr2bl w:val="nil"/>
            </w:tcBorders>
            <w:noWrap w:val="0"/>
            <w:vAlign w:val="center"/>
          </w:tcPr>
          <w:p w14:paraId="76EABE09">
            <w:pPr>
              <w:spacing w:line="300" w:lineRule="exact"/>
              <w:jc w:val="center"/>
              <w:rPr>
                <w:rFonts w:hint="default" w:ascii="Times New Roman" w:hAnsi="Times New Roman" w:eastAsia="华文中宋" w:cs="Times New Roman"/>
                <w:szCs w:val="21"/>
                <w:highlight w:val="none"/>
              </w:rPr>
            </w:pPr>
          </w:p>
        </w:tc>
        <w:tc>
          <w:tcPr>
            <w:tcW w:w="669" w:type="dxa"/>
            <w:vMerge w:val="continue"/>
            <w:tcBorders>
              <w:tl2br w:val="nil"/>
              <w:tr2bl w:val="nil"/>
            </w:tcBorders>
            <w:noWrap w:val="0"/>
            <w:vAlign w:val="center"/>
          </w:tcPr>
          <w:p w14:paraId="7527101B">
            <w:pPr>
              <w:spacing w:line="300" w:lineRule="exact"/>
              <w:jc w:val="center"/>
              <w:rPr>
                <w:rFonts w:hint="default" w:ascii="Times New Roman" w:hAnsi="Times New Roman" w:eastAsia="华文中宋" w:cs="Times New Roman"/>
                <w:szCs w:val="21"/>
                <w:highlight w:val="none"/>
              </w:rPr>
            </w:pPr>
          </w:p>
        </w:tc>
        <w:tc>
          <w:tcPr>
            <w:tcW w:w="912" w:type="dxa"/>
            <w:vMerge w:val="continue"/>
            <w:tcBorders>
              <w:tl2br w:val="nil"/>
              <w:tr2bl w:val="nil"/>
            </w:tcBorders>
            <w:noWrap w:val="0"/>
            <w:vAlign w:val="center"/>
          </w:tcPr>
          <w:p w14:paraId="5E63CE1F">
            <w:pPr>
              <w:spacing w:line="300" w:lineRule="exact"/>
              <w:jc w:val="center"/>
              <w:rPr>
                <w:rFonts w:hint="default" w:ascii="Times New Roman" w:hAnsi="Times New Roman" w:eastAsia="华文中宋" w:cs="Times New Roman"/>
                <w:szCs w:val="21"/>
                <w:highlight w:val="none"/>
              </w:rPr>
            </w:pPr>
          </w:p>
        </w:tc>
        <w:tc>
          <w:tcPr>
            <w:tcW w:w="1211" w:type="dxa"/>
            <w:vMerge w:val="continue"/>
            <w:tcBorders>
              <w:tl2br w:val="nil"/>
              <w:tr2bl w:val="nil"/>
            </w:tcBorders>
            <w:noWrap w:val="0"/>
            <w:vAlign w:val="center"/>
          </w:tcPr>
          <w:p w14:paraId="544535EC">
            <w:pPr>
              <w:spacing w:line="300" w:lineRule="exact"/>
              <w:jc w:val="center"/>
              <w:rPr>
                <w:rFonts w:hint="default" w:ascii="Times New Roman" w:hAnsi="Times New Roman" w:eastAsia="华文中宋" w:cs="Times New Roman"/>
                <w:szCs w:val="21"/>
                <w:highlight w:val="none"/>
              </w:rPr>
            </w:pPr>
          </w:p>
        </w:tc>
        <w:tc>
          <w:tcPr>
            <w:tcW w:w="1016" w:type="dxa"/>
            <w:vMerge w:val="continue"/>
            <w:tcBorders>
              <w:tl2br w:val="nil"/>
              <w:tr2bl w:val="nil"/>
            </w:tcBorders>
            <w:noWrap w:val="0"/>
            <w:vAlign w:val="center"/>
          </w:tcPr>
          <w:p w14:paraId="0B69A25B">
            <w:pPr>
              <w:spacing w:line="300" w:lineRule="exact"/>
              <w:jc w:val="center"/>
              <w:rPr>
                <w:rFonts w:hint="default" w:ascii="Times New Roman" w:hAnsi="Times New Roman" w:eastAsia="华文中宋" w:cs="Times New Roman"/>
                <w:szCs w:val="21"/>
                <w:highlight w:val="none"/>
              </w:rPr>
            </w:pPr>
          </w:p>
        </w:tc>
        <w:tc>
          <w:tcPr>
            <w:tcW w:w="1338" w:type="dxa"/>
            <w:tcBorders>
              <w:tl2br w:val="nil"/>
              <w:tr2bl w:val="nil"/>
            </w:tcBorders>
            <w:noWrap w:val="0"/>
            <w:vAlign w:val="center"/>
          </w:tcPr>
          <w:p w14:paraId="228654A6">
            <w:pPr>
              <w:spacing w:line="300" w:lineRule="exact"/>
              <w:jc w:val="center"/>
              <w:rPr>
                <w:rFonts w:hint="default" w:ascii="Times New Roman" w:hAnsi="Times New Roman" w:eastAsia="华文中宋" w:cs="Times New Roman"/>
                <w:szCs w:val="21"/>
                <w:highlight w:val="none"/>
                <w:lang w:eastAsia="zh-CN"/>
              </w:rPr>
            </w:pPr>
            <w:r>
              <w:rPr>
                <w:rFonts w:hint="default" w:ascii="Times New Roman" w:hAnsi="Times New Roman" w:eastAsia="华文中宋" w:cs="Times New Roman"/>
                <w:szCs w:val="21"/>
                <w:highlight w:val="none"/>
                <w:lang w:eastAsia="zh-CN"/>
              </w:rPr>
              <w:t>标准名称</w:t>
            </w:r>
          </w:p>
        </w:tc>
        <w:tc>
          <w:tcPr>
            <w:tcW w:w="1535" w:type="dxa"/>
            <w:tcBorders>
              <w:tl2br w:val="nil"/>
              <w:tr2bl w:val="nil"/>
            </w:tcBorders>
            <w:noWrap w:val="0"/>
            <w:vAlign w:val="center"/>
          </w:tcPr>
          <w:p w14:paraId="3DF8A77A">
            <w:pPr>
              <w:spacing w:line="300" w:lineRule="exact"/>
              <w:jc w:val="center"/>
              <w:rPr>
                <w:rFonts w:hint="default" w:ascii="Times New Roman" w:hAnsi="Times New Roman" w:eastAsia="华文中宋" w:cs="Times New Roman"/>
                <w:szCs w:val="21"/>
                <w:highlight w:val="none"/>
                <w:lang w:eastAsia="zh-CN"/>
              </w:rPr>
            </w:pPr>
            <w:r>
              <w:rPr>
                <w:rFonts w:hint="default" w:ascii="Times New Roman" w:hAnsi="Times New Roman" w:eastAsia="华文中宋" w:cs="Times New Roman"/>
                <w:szCs w:val="21"/>
                <w:highlight w:val="none"/>
                <w:lang w:eastAsia="zh-CN"/>
              </w:rPr>
              <w:t>浓度限值</w:t>
            </w:r>
          </w:p>
          <w:p w14:paraId="0C06ED06">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lang w:val="en-US" w:eastAsia="zh-CN"/>
              </w:rPr>
              <w:t>μg/m</w:t>
            </w:r>
            <w:r>
              <w:rPr>
                <w:rFonts w:hint="default" w:ascii="Times New Roman" w:hAnsi="Times New Roman" w:eastAsia="华文中宋" w:cs="Times New Roman"/>
                <w:szCs w:val="21"/>
                <w:highlight w:val="none"/>
                <w:vertAlign w:val="superscript"/>
                <w:lang w:val="en-US" w:eastAsia="zh-CN"/>
              </w:rPr>
              <w:t>3</w:t>
            </w:r>
          </w:p>
        </w:tc>
        <w:tc>
          <w:tcPr>
            <w:tcW w:w="1450" w:type="dxa"/>
            <w:vMerge w:val="continue"/>
            <w:tcBorders>
              <w:tl2br w:val="nil"/>
              <w:tr2bl w:val="nil"/>
            </w:tcBorders>
            <w:noWrap w:val="0"/>
            <w:vAlign w:val="center"/>
          </w:tcPr>
          <w:p w14:paraId="095BDFBA">
            <w:pPr>
              <w:spacing w:line="300" w:lineRule="exact"/>
              <w:jc w:val="center"/>
              <w:rPr>
                <w:rFonts w:hint="default" w:ascii="Times New Roman" w:hAnsi="Times New Roman" w:eastAsia="华文中宋" w:cs="Times New Roman"/>
                <w:szCs w:val="21"/>
                <w:highlight w:val="none"/>
              </w:rPr>
            </w:pPr>
          </w:p>
        </w:tc>
      </w:tr>
      <w:tr w14:paraId="75A31C2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13" w:hRule="atLeast"/>
        </w:trPr>
        <w:tc>
          <w:tcPr>
            <w:tcW w:w="391" w:type="dxa"/>
            <w:vMerge w:val="restart"/>
            <w:tcBorders>
              <w:tl2br w:val="nil"/>
              <w:tr2bl w:val="nil"/>
            </w:tcBorders>
            <w:noWrap w:val="0"/>
            <w:vAlign w:val="center"/>
          </w:tcPr>
          <w:p w14:paraId="22229C4F">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1</w:t>
            </w:r>
          </w:p>
        </w:tc>
        <w:tc>
          <w:tcPr>
            <w:tcW w:w="669" w:type="dxa"/>
            <w:vMerge w:val="restart"/>
            <w:tcBorders>
              <w:tl2br w:val="nil"/>
              <w:tr2bl w:val="nil"/>
            </w:tcBorders>
            <w:noWrap w:val="0"/>
            <w:vAlign w:val="center"/>
          </w:tcPr>
          <w:p w14:paraId="4837A7B7">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w:t>
            </w:r>
          </w:p>
        </w:tc>
        <w:tc>
          <w:tcPr>
            <w:tcW w:w="912" w:type="dxa"/>
            <w:vMerge w:val="restart"/>
            <w:tcBorders>
              <w:tl2br w:val="nil"/>
              <w:tr2bl w:val="nil"/>
            </w:tcBorders>
            <w:noWrap w:val="0"/>
            <w:vAlign w:val="center"/>
          </w:tcPr>
          <w:p w14:paraId="6A152E9A">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表土剥离扬尘</w:t>
            </w:r>
          </w:p>
        </w:tc>
        <w:tc>
          <w:tcPr>
            <w:tcW w:w="1211" w:type="dxa"/>
            <w:tcBorders>
              <w:tl2br w:val="nil"/>
              <w:tr2bl w:val="nil"/>
            </w:tcBorders>
            <w:noWrap w:val="0"/>
            <w:vAlign w:val="center"/>
          </w:tcPr>
          <w:p w14:paraId="3BA37C8D">
            <w:pPr>
              <w:spacing w:line="300" w:lineRule="exact"/>
              <w:jc w:val="center"/>
              <w:rPr>
                <w:rFonts w:hint="default" w:ascii="Times New Roman" w:hAnsi="Times New Roman" w:eastAsia="华文中宋" w:cs="Times New Roman"/>
                <w:szCs w:val="21"/>
                <w:highlight w:val="none"/>
                <w:lang w:eastAsia="zh-CN"/>
              </w:rPr>
            </w:pPr>
            <w:r>
              <w:rPr>
                <w:rFonts w:hint="default" w:ascii="Times New Roman" w:hAnsi="Times New Roman" w:eastAsia="华文中宋" w:cs="Times New Roman"/>
                <w:szCs w:val="21"/>
                <w:highlight w:val="none"/>
                <w:lang w:eastAsia="zh-CN"/>
              </w:rPr>
              <w:t>颗粒物</w:t>
            </w:r>
          </w:p>
        </w:tc>
        <w:tc>
          <w:tcPr>
            <w:tcW w:w="1016" w:type="dxa"/>
            <w:vMerge w:val="restart"/>
            <w:tcBorders>
              <w:tl2br w:val="nil"/>
              <w:tr2bl w:val="nil"/>
            </w:tcBorders>
            <w:noWrap w:val="0"/>
            <w:vAlign w:val="center"/>
          </w:tcPr>
          <w:p w14:paraId="168391FC">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洒水降尘、遮盖、预爆破区洒水预湿、降低车速等</w:t>
            </w:r>
          </w:p>
        </w:tc>
        <w:tc>
          <w:tcPr>
            <w:tcW w:w="1338" w:type="dxa"/>
            <w:vMerge w:val="restart"/>
            <w:tcBorders>
              <w:tl2br w:val="nil"/>
              <w:tr2bl w:val="nil"/>
            </w:tcBorders>
            <w:noWrap w:val="0"/>
            <w:vAlign w:val="center"/>
          </w:tcPr>
          <w:p w14:paraId="4DD7DA29">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cs="Times New Roman"/>
                <w:color w:val="auto"/>
                <w:lang w:val="en-US" w:eastAsia="zh-CN"/>
              </w:rPr>
              <w:t>《铅、锌工业污染物排放标准》（GB25466-2010）及其修改单表6排放浓度限值</w:t>
            </w:r>
          </w:p>
        </w:tc>
        <w:tc>
          <w:tcPr>
            <w:tcW w:w="1535" w:type="dxa"/>
            <w:tcBorders>
              <w:tl2br w:val="nil"/>
              <w:tr2bl w:val="nil"/>
            </w:tcBorders>
            <w:noWrap w:val="0"/>
            <w:vAlign w:val="center"/>
          </w:tcPr>
          <w:p w14:paraId="0F68D083">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1000</w:t>
            </w:r>
          </w:p>
        </w:tc>
        <w:tc>
          <w:tcPr>
            <w:tcW w:w="1450" w:type="dxa"/>
            <w:tcBorders>
              <w:tl2br w:val="nil"/>
              <w:tr2bl w:val="nil"/>
            </w:tcBorders>
            <w:noWrap w:val="0"/>
            <w:vAlign w:val="center"/>
          </w:tcPr>
          <w:p w14:paraId="10C49B2F">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0.438</w:t>
            </w:r>
          </w:p>
        </w:tc>
      </w:tr>
      <w:tr w14:paraId="12EB5D6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81" w:hRule="atLeast"/>
        </w:trPr>
        <w:tc>
          <w:tcPr>
            <w:tcW w:w="391" w:type="dxa"/>
            <w:vMerge w:val="continue"/>
            <w:tcBorders>
              <w:tl2br w:val="nil"/>
              <w:tr2bl w:val="nil"/>
            </w:tcBorders>
            <w:noWrap w:val="0"/>
            <w:vAlign w:val="center"/>
          </w:tcPr>
          <w:p w14:paraId="50C1F01E">
            <w:pPr>
              <w:spacing w:line="300" w:lineRule="exact"/>
              <w:jc w:val="center"/>
              <w:rPr>
                <w:rFonts w:hint="default" w:ascii="Times New Roman" w:hAnsi="Times New Roman" w:eastAsia="华文中宋" w:cs="Times New Roman"/>
                <w:szCs w:val="21"/>
                <w:highlight w:val="none"/>
                <w:lang w:val="en-US" w:eastAsia="zh-CN"/>
              </w:rPr>
            </w:pPr>
          </w:p>
        </w:tc>
        <w:tc>
          <w:tcPr>
            <w:tcW w:w="669" w:type="dxa"/>
            <w:vMerge w:val="continue"/>
            <w:tcBorders>
              <w:tl2br w:val="nil"/>
              <w:tr2bl w:val="nil"/>
            </w:tcBorders>
            <w:noWrap w:val="0"/>
            <w:vAlign w:val="center"/>
          </w:tcPr>
          <w:p w14:paraId="61222A30">
            <w:pPr>
              <w:spacing w:line="300" w:lineRule="exact"/>
              <w:jc w:val="center"/>
              <w:rPr>
                <w:rFonts w:hint="default" w:ascii="Times New Roman" w:hAnsi="Times New Roman" w:eastAsia="华文中宋" w:cs="Times New Roman"/>
                <w:szCs w:val="21"/>
                <w:highlight w:val="none"/>
                <w:lang w:val="en-US" w:eastAsia="zh-CN"/>
              </w:rPr>
            </w:pPr>
          </w:p>
        </w:tc>
        <w:tc>
          <w:tcPr>
            <w:tcW w:w="912" w:type="dxa"/>
            <w:vMerge w:val="continue"/>
            <w:tcBorders>
              <w:tl2br w:val="nil"/>
              <w:tr2bl w:val="nil"/>
            </w:tcBorders>
            <w:noWrap w:val="0"/>
            <w:vAlign w:val="center"/>
          </w:tcPr>
          <w:p w14:paraId="4312EF6B">
            <w:pPr>
              <w:spacing w:line="300" w:lineRule="exact"/>
              <w:jc w:val="center"/>
              <w:rPr>
                <w:rFonts w:hint="default" w:ascii="Times New Roman" w:hAnsi="Times New Roman" w:eastAsia="华文中宋" w:cs="Times New Roman"/>
                <w:szCs w:val="21"/>
                <w:highlight w:val="none"/>
                <w:lang w:val="en-US" w:eastAsia="zh-CN"/>
              </w:rPr>
            </w:pPr>
          </w:p>
        </w:tc>
        <w:tc>
          <w:tcPr>
            <w:tcW w:w="1211" w:type="dxa"/>
            <w:tcBorders>
              <w:tl2br w:val="nil"/>
              <w:tr2bl w:val="nil"/>
            </w:tcBorders>
            <w:noWrap w:val="0"/>
            <w:vAlign w:val="center"/>
          </w:tcPr>
          <w:p w14:paraId="2158ACAA">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铅及其化合物</w:t>
            </w:r>
          </w:p>
        </w:tc>
        <w:tc>
          <w:tcPr>
            <w:tcW w:w="1016" w:type="dxa"/>
            <w:vMerge w:val="continue"/>
            <w:tcBorders>
              <w:tl2br w:val="nil"/>
              <w:tr2bl w:val="nil"/>
            </w:tcBorders>
            <w:noWrap w:val="0"/>
            <w:vAlign w:val="center"/>
          </w:tcPr>
          <w:p w14:paraId="52326284">
            <w:pPr>
              <w:spacing w:line="300" w:lineRule="exact"/>
              <w:jc w:val="center"/>
              <w:rPr>
                <w:rFonts w:hint="default" w:ascii="Times New Roman" w:hAnsi="Times New Roman" w:eastAsia="华文中宋" w:cs="Times New Roman"/>
                <w:szCs w:val="21"/>
                <w:highlight w:val="none"/>
                <w:lang w:val="en-US" w:eastAsia="zh-CN"/>
              </w:rPr>
            </w:pPr>
          </w:p>
        </w:tc>
        <w:tc>
          <w:tcPr>
            <w:tcW w:w="1338" w:type="dxa"/>
            <w:vMerge w:val="continue"/>
            <w:tcBorders>
              <w:tl2br w:val="nil"/>
              <w:tr2bl w:val="nil"/>
            </w:tcBorders>
            <w:noWrap w:val="0"/>
            <w:vAlign w:val="center"/>
          </w:tcPr>
          <w:p w14:paraId="16F0E0C9">
            <w:pPr>
              <w:spacing w:line="300" w:lineRule="exact"/>
              <w:jc w:val="center"/>
              <w:rPr>
                <w:rFonts w:hint="default" w:ascii="Times New Roman" w:hAnsi="Times New Roman" w:cs="Times New Roman"/>
                <w:color w:val="auto"/>
                <w:lang w:val="en-US" w:eastAsia="zh-CN"/>
              </w:rPr>
            </w:pPr>
          </w:p>
        </w:tc>
        <w:tc>
          <w:tcPr>
            <w:tcW w:w="1535" w:type="dxa"/>
            <w:tcBorders>
              <w:tl2br w:val="nil"/>
              <w:tr2bl w:val="nil"/>
            </w:tcBorders>
            <w:noWrap w:val="0"/>
            <w:vAlign w:val="center"/>
          </w:tcPr>
          <w:p w14:paraId="74D50A4A">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6</w:t>
            </w:r>
          </w:p>
        </w:tc>
        <w:tc>
          <w:tcPr>
            <w:tcW w:w="1450" w:type="dxa"/>
            <w:tcBorders>
              <w:tl2br w:val="nil"/>
              <w:tr2bl w:val="nil"/>
            </w:tcBorders>
            <w:noWrap w:val="0"/>
            <w:vAlign w:val="center"/>
          </w:tcPr>
          <w:p w14:paraId="6A6DC1EF">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lang w:val="en-US" w:eastAsia="zh-CN"/>
              </w:rPr>
              <w:t>7.34×10</w:t>
            </w:r>
            <w:r>
              <w:rPr>
                <w:rFonts w:hint="eastAsia" w:ascii="Times New Roman" w:hAnsi="Times New Roman" w:eastAsia="华文中宋" w:cs="Times New Roman"/>
                <w:szCs w:val="21"/>
                <w:vertAlign w:val="superscript"/>
                <w:lang w:val="en-US" w:eastAsia="zh-CN"/>
              </w:rPr>
              <w:t>-6</w:t>
            </w:r>
          </w:p>
        </w:tc>
      </w:tr>
      <w:tr w14:paraId="65594B9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57" w:hRule="atLeast"/>
        </w:trPr>
        <w:tc>
          <w:tcPr>
            <w:tcW w:w="391" w:type="dxa"/>
            <w:vMerge w:val="restart"/>
            <w:tcBorders>
              <w:tl2br w:val="nil"/>
              <w:tr2bl w:val="nil"/>
            </w:tcBorders>
            <w:noWrap w:val="0"/>
            <w:vAlign w:val="center"/>
          </w:tcPr>
          <w:p w14:paraId="5876296B">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2</w:t>
            </w:r>
          </w:p>
        </w:tc>
        <w:tc>
          <w:tcPr>
            <w:tcW w:w="669" w:type="dxa"/>
            <w:vMerge w:val="restart"/>
            <w:tcBorders>
              <w:tl2br w:val="nil"/>
              <w:tr2bl w:val="nil"/>
            </w:tcBorders>
            <w:noWrap w:val="0"/>
            <w:vAlign w:val="center"/>
          </w:tcPr>
          <w:p w14:paraId="3B62E392">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w:t>
            </w:r>
          </w:p>
        </w:tc>
        <w:tc>
          <w:tcPr>
            <w:tcW w:w="912" w:type="dxa"/>
            <w:vMerge w:val="restart"/>
            <w:tcBorders>
              <w:tl2br w:val="nil"/>
              <w:tr2bl w:val="nil"/>
            </w:tcBorders>
            <w:noWrap w:val="0"/>
            <w:vAlign w:val="center"/>
          </w:tcPr>
          <w:p w14:paraId="04D80418">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凿岩、钻孔粉尘</w:t>
            </w:r>
          </w:p>
        </w:tc>
        <w:tc>
          <w:tcPr>
            <w:tcW w:w="1211" w:type="dxa"/>
            <w:tcBorders>
              <w:tl2br w:val="nil"/>
              <w:tr2bl w:val="nil"/>
            </w:tcBorders>
            <w:noWrap w:val="0"/>
            <w:vAlign w:val="center"/>
          </w:tcPr>
          <w:p w14:paraId="0C838569">
            <w:pPr>
              <w:spacing w:line="300" w:lineRule="exact"/>
              <w:jc w:val="center"/>
              <w:rPr>
                <w:rFonts w:hint="default" w:ascii="Times New Roman" w:hAnsi="Times New Roman" w:eastAsia="华文中宋" w:cs="Times New Roman"/>
                <w:szCs w:val="21"/>
                <w:highlight w:val="none"/>
                <w:lang w:eastAsia="zh-CN"/>
              </w:rPr>
            </w:pPr>
            <w:r>
              <w:rPr>
                <w:rFonts w:hint="default" w:ascii="Times New Roman" w:hAnsi="Times New Roman" w:eastAsia="华文中宋" w:cs="Times New Roman"/>
                <w:szCs w:val="21"/>
                <w:highlight w:val="none"/>
                <w:lang w:eastAsia="zh-CN"/>
              </w:rPr>
              <w:t>颗粒物</w:t>
            </w:r>
          </w:p>
        </w:tc>
        <w:tc>
          <w:tcPr>
            <w:tcW w:w="1016" w:type="dxa"/>
            <w:vMerge w:val="continue"/>
            <w:tcBorders>
              <w:tl2br w:val="nil"/>
              <w:tr2bl w:val="nil"/>
            </w:tcBorders>
            <w:noWrap w:val="0"/>
            <w:vAlign w:val="center"/>
          </w:tcPr>
          <w:p w14:paraId="4B3234BD">
            <w:pPr>
              <w:spacing w:line="300" w:lineRule="exact"/>
              <w:jc w:val="center"/>
              <w:rPr>
                <w:rFonts w:hint="default" w:ascii="Times New Roman" w:hAnsi="Times New Roman" w:eastAsia="华文中宋" w:cs="Times New Roman"/>
                <w:szCs w:val="21"/>
                <w:highlight w:val="none"/>
                <w:lang w:val="en-US" w:eastAsia="zh-CN"/>
              </w:rPr>
            </w:pPr>
          </w:p>
        </w:tc>
        <w:tc>
          <w:tcPr>
            <w:tcW w:w="1338" w:type="dxa"/>
            <w:vMerge w:val="continue"/>
            <w:tcBorders>
              <w:tl2br w:val="nil"/>
              <w:tr2bl w:val="nil"/>
            </w:tcBorders>
            <w:noWrap w:val="0"/>
            <w:vAlign w:val="center"/>
          </w:tcPr>
          <w:p w14:paraId="34421A34">
            <w:pPr>
              <w:spacing w:line="300" w:lineRule="exact"/>
              <w:jc w:val="center"/>
              <w:rPr>
                <w:rFonts w:hint="default" w:ascii="Times New Roman" w:hAnsi="Times New Roman" w:eastAsia="华文中宋" w:cs="Times New Roman"/>
                <w:szCs w:val="21"/>
                <w:highlight w:val="none"/>
              </w:rPr>
            </w:pPr>
          </w:p>
        </w:tc>
        <w:tc>
          <w:tcPr>
            <w:tcW w:w="1535" w:type="dxa"/>
            <w:tcBorders>
              <w:tl2br w:val="nil"/>
              <w:tr2bl w:val="nil"/>
            </w:tcBorders>
            <w:noWrap w:val="0"/>
            <w:vAlign w:val="center"/>
          </w:tcPr>
          <w:p w14:paraId="5988FF09">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1000</w:t>
            </w:r>
          </w:p>
        </w:tc>
        <w:tc>
          <w:tcPr>
            <w:tcW w:w="1450" w:type="dxa"/>
            <w:tcBorders>
              <w:tl2br w:val="nil"/>
              <w:tr2bl w:val="nil"/>
            </w:tcBorders>
            <w:noWrap w:val="0"/>
            <w:vAlign w:val="center"/>
          </w:tcPr>
          <w:p w14:paraId="486020F2">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0.</w:t>
            </w:r>
            <w:r>
              <w:rPr>
                <w:rFonts w:hint="eastAsia" w:ascii="Times New Roman" w:hAnsi="Times New Roman" w:eastAsia="华文中宋" w:cs="Times New Roman"/>
                <w:szCs w:val="21"/>
                <w:highlight w:val="none"/>
                <w:lang w:val="en-US" w:eastAsia="zh-CN"/>
              </w:rPr>
              <w:t>491</w:t>
            </w:r>
          </w:p>
        </w:tc>
      </w:tr>
      <w:tr w14:paraId="1B3CFBC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391" w:type="dxa"/>
            <w:vMerge w:val="continue"/>
            <w:tcBorders>
              <w:tl2br w:val="nil"/>
              <w:tr2bl w:val="nil"/>
            </w:tcBorders>
            <w:noWrap w:val="0"/>
            <w:vAlign w:val="center"/>
          </w:tcPr>
          <w:p w14:paraId="20F353B4">
            <w:pPr>
              <w:spacing w:line="300" w:lineRule="exact"/>
              <w:jc w:val="center"/>
              <w:rPr>
                <w:rFonts w:hint="default" w:ascii="Times New Roman" w:hAnsi="Times New Roman" w:eastAsia="华文中宋" w:cs="Times New Roman"/>
                <w:szCs w:val="21"/>
                <w:highlight w:val="none"/>
                <w:lang w:val="en-US" w:eastAsia="zh-CN"/>
              </w:rPr>
            </w:pPr>
          </w:p>
        </w:tc>
        <w:tc>
          <w:tcPr>
            <w:tcW w:w="669" w:type="dxa"/>
            <w:vMerge w:val="continue"/>
            <w:tcBorders>
              <w:tl2br w:val="nil"/>
              <w:tr2bl w:val="nil"/>
            </w:tcBorders>
            <w:noWrap w:val="0"/>
            <w:vAlign w:val="center"/>
          </w:tcPr>
          <w:p w14:paraId="508B3DFF">
            <w:pPr>
              <w:spacing w:line="300" w:lineRule="exact"/>
              <w:jc w:val="center"/>
              <w:rPr>
                <w:rFonts w:hint="default" w:ascii="Times New Roman" w:hAnsi="Times New Roman" w:eastAsia="华文中宋" w:cs="Times New Roman"/>
                <w:szCs w:val="21"/>
                <w:highlight w:val="none"/>
                <w:lang w:val="en-US" w:eastAsia="zh-CN"/>
              </w:rPr>
            </w:pPr>
          </w:p>
        </w:tc>
        <w:tc>
          <w:tcPr>
            <w:tcW w:w="912" w:type="dxa"/>
            <w:vMerge w:val="continue"/>
            <w:tcBorders>
              <w:tl2br w:val="nil"/>
              <w:tr2bl w:val="nil"/>
            </w:tcBorders>
            <w:noWrap w:val="0"/>
            <w:vAlign w:val="center"/>
          </w:tcPr>
          <w:p w14:paraId="455CF2FB">
            <w:pPr>
              <w:spacing w:line="300" w:lineRule="exact"/>
              <w:jc w:val="center"/>
              <w:rPr>
                <w:rFonts w:hint="default" w:ascii="Times New Roman" w:hAnsi="Times New Roman" w:eastAsia="华文中宋" w:cs="Times New Roman"/>
                <w:szCs w:val="21"/>
                <w:highlight w:val="none"/>
                <w:lang w:val="en-US" w:eastAsia="zh-CN"/>
              </w:rPr>
            </w:pPr>
          </w:p>
        </w:tc>
        <w:tc>
          <w:tcPr>
            <w:tcW w:w="1211" w:type="dxa"/>
            <w:tcBorders>
              <w:tl2br w:val="nil"/>
              <w:tr2bl w:val="nil"/>
            </w:tcBorders>
            <w:noWrap w:val="0"/>
            <w:vAlign w:val="center"/>
          </w:tcPr>
          <w:p w14:paraId="233E2164">
            <w:pPr>
              <w:spacing w:line="300" w:lineRule="exact"/>
              <w:jc w:val="center"/>
              <w:rPr>
                <w:rFonts w:hint="default" w:ascii="Times New Roman" w:hAnsi="Times New Roman" w:eastAsia="华文中宋" w:cs="Times New Roman"/>
                <w:szCs w:val="21"/>
                <w:highlight w:val="none"/>
                <w:lang w:eastAsia="zh-CN"/>
              </w:rPr>
            </w:pPr>
            <w:r>
              <w:rPr>
                <w:rFonts w:hint="eastAsia" w:ascii="Times New Roman" w:hAnsi="Times New Roman" w:eastAsia="华文中宋" w:cs="Times New Roman"/>
                <w:szCs w:val="21"/>
                <w:highlight w:val="none"/>
                <w:lang w:val="en-US" w:eastAsia="zh-CN"/>
              </w:rPr>
              <w:t>铅及其化合物</w:t>
            </w:r>
          </w:p>
        </w:tc>
        <w:tc>
          <w:tcPr>
            <w:tcW w:w="1016" w:type="dxa"/>
            <w:vMerge w:val="continue"/>
            <w:tcBorders>
              <w:tl2br w:val="nil"/>
              <w:tr2bl w:val="nil"/>
            </w:tcBorders>
            <w:noWrap w:val="0"/>
            <w:vAlign w:val="center"/>
          </w:tcPr>
          <w:p w14:paraId="39CE9B70">
            <w:pPr>
              <w:spacing w:line="300" w:lineRule="exact"/>
              <w:jc w:val="center"/>
              <w:rPr>
                <w:rFonts w:hint="default" w:ascii="Times New Roman" w:hAnsi="Times New Roman" w:eastAsia="华文中宋" w:cs="Times New Roman"/>
                <w:szCs w:val="21"/>
                <w:highlight w:val="none"/>
                <w:lang w:val="en-US" w:eastAsia="zh-CN"/>
              </w:rPr>
            </w:pPr>
          </w:p>
        </w:tc>
        <w:tc>
          <w:tcPr>
            <w:tcW w:w="1338" w:type="dxa"/>
            <w:vMerge w:val="continue"/>
            <w:tcBorders>
              <w:tl2br w:val="nil"/>
              <w:tr2bl w:val="nil"/>
            </w:tcBorders>
            <w:noWrap w:val="0"/>
            <w:vAlign w:val="center"/>
          </w:tcPr>
          <w:p w14:paraId="695340EB">
            <w:pPr>
              <w:spacing w:line="300" w:lineRule="exact"/>
              <w:jc w:val="center"/>
              <w:rPr>
                <w:rFonts w:hint="default" w:ascii="Times New Roman" w:hAnsi="Times New Roman" w:eastAsia="华文中宋" w:cs="Times New Roman"/>
                <w:szCs w:val="21"/>
                <w:highlight w:val="none"/>
              </w:rPr>
            </w:pPr>
          </w:p>
        </w:tc>
        <w:tc>
          <w:tcPr>
            <w:tcW w:w="1535" w:type="dxa"/>
            <w:tcBorders>
              <w:tl2br w:val="nil"/>
              <w:tr2bl w:val="nil"/>
            </w:tcBorders>
            <w:noWrap w:val="0"/>
            <w:vAlign w:val="center"/>
          </w:tcPr>
          <w:p w14:paraId="7461511E">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6</w:t>
            </w:r>
          </w:p>
        </w:tc>
        <w:tc>
          <w:tcPr>
            <w:tcW w:w="1450" w:type="dxa"/>
            <w:tcBorders>
              <w:tl2br w:val="nil"/>
              <w:tr2bl w:val="nil"/>
            </w:tcBorders>
            <w:noWrap w:val="0"/>
            <w:vAlign w:val="center"/>
          </w:tcPr>
          <w:p w14:paraId="1A82AE15">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lang w:val="en-US" w:eastAsia="zh-CN"/>
              </w:rPr>
              <w:t>2.68×10</w:t>
            </w:r>
            <w:r>
              <w:rPr>
                <w:rFonts w:hint="eastAsia" w:ascii="Times New Roman" w:hAnsi="Times New Roman" w:eastAsia="华文中宋" w:cs="Times New Roman"/>
                <w:szCs w:val="21"/>
                <w:vertAlign w:val="superscript"/>
                <w:lang w:val="en-US" w:eastAsia="zh-CN"/>
              </w:rPr>
              <w:t>-3</w:t>
            </w:r>
          </w:p>
        </w:tc>
      </w:tr>
      <w:tr w14:paraId="1700570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391" w:type="dxa"/>
            <w:vMerge w:val="restart"/>
            <w:tcBorders>
              <w:tl2br w:val="nil"/>
              <w:tr2bl w:val="nil"/>
            </w:tcBorders>
            <w:noWrap w:val="0"/>
            <w:vAlign w:val="center"/>
          </w:tcPr>
          <w:p w14:paraId="6DE9ED07">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3</w:t>
            </w:r>
          </w:p>
        </w:tc>
        <w:tc>
          <w:tcPr>
            <w:tcW w:w="669" w:type="dxa"/>
            <w:vMerge w:val="restart"/>
            <w:tcBorders>
              <w:tl2br w:val="nil"/>
              <w:tr2bl w:val="nil"/>
            </w:tcBorders>
            <w:noWrap w:val="0"/>
            <w:vAlign w:val="center"/>
          </w:tcPr>
          <w:p w14:paraId="04461210">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w:t>
            </w:r>
          </w:p>
        </w:tc>
        <w:tc>
          <w:tcPr>
            <w:tcW w:w="912" w:type="dxa"/>
            <w:vMerge w:val="restart"/>
            <w:tcBorders>
              <w:tl2br w:val="nil"/>
              <w:tr2bl w:val="nil"/>
            </w:tcBorders>
            <w:noWrap w:val="0"/>
            <w:vAlign w:val="center"/>
          </w:tcPr>
          <w:p w14:paraId="1634083C">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爆破</w:t>
            </w:r>
          </w:p>
        </w:tc>
        <w:tc>
          <w:tcPr>
            <w:tcW w:w="1211" w:type="dxa"/>
            <w:tcBorders>
              <w:tl2br w:val="nil"/>
              <w:tr2bl w:val="nil"/>
            </w:tcBorders>
            <w:noWrap w:val="0"/>
            <w:vAlign w:val="center"/>
          </w:tcPr>
          <w:p w14:paraId="561FC4AB">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颗粒物</w:t>
            </w:r>
          </w:p>
        </w:tc>
        <w:tc>
          <w:tcPr>
            <w:tcW w:w="1016" w:type="dxa"/>
            <w:vMerge w:val="continue"/>
            <w:tcBorders>
              <w:tl2br w:val="nil"/>
              <w:tr2bl w:val="nil"/>
            </w:tcBorders>
            <w:noWrap w:val="0"/>
            <w:vAlign w:val="center"/>
          </w:tcPr>
          <w:p w14:paraId="69D703AF">
            <w:pPr>
              <w:spacing w:line="300" w:lineRule="exact"/>
              <w:jc w:val="center"/>
              <w:rPr>
                <w:rFonts w:hint="default" w:ascii="Times New Roman" w:hAnsi="Times New Roman" w:eastAsia="华文中宋" w:cs="Times New Roman"/>
                <w:szCs w:val="21"/>
                <w:highlight w:val="none"/>
                <w:lang w:val="en-US" w:eastAsia="zh-CN"/>
              </w:rPr>
            </w:pPr>
          </w:p>
        </w:tc>
        <w:tc>
          <w:tcPr>
            <w:tcW w:w="1338" w:type="dxa"/>
            <w:vMerge w:val="continue"/>
            <w:tcBorders>
              <w:tl2br w:val="nil"/>
              <w:tr2bl w:val="nil"/>
            </w:tcBorders>
            <w:noWrap w:val="0"/>
            <w:vAlign w:val="center"/>
          </w:tcPr>
          <w:p w14:paraId="2F5D73E1">
            <w:pPr>
              <w:spacing w:line="300" w:lineRule="exact"/>
              <w:jc w:val="center"/>
              <w:rPr>
                <w:rFonts w:hint="default" w:ascii="Times New Roman" w:hAnsi="Times New Roman" w:eastAsia="华文中宋" w:cs="Times New Roman"/>
                <w:szCs w:val="21"/>
                <w:highlight w:val="none"/>
              </w:rPr>
            </w:pPr>
          </w:p>
        </w:tc>
        <w:tc>
          <w:tcPr>
            <w:tcW w:w="1535" w:type="dxa"/>
            <w:tcBorders>
              <w:tl2br w:val="nil"/>
              <w:tr2bl w:val="nil"/>
            </w:tcBorders>
            <w:noWrap w:val="0"/>
            <w:vAlign w:val="center"/>
          </w:tcPr>
          <w:p w14:paraId="1886A519">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1000</w:t>
            </w:r>
          </w:p>
        </w:tc>
        <w:tc>
          <w:tcPr>
            <w:tcW w:w="1450" w:type="dxa"/>
            <w:tcBorders>
              <w:tl2br w:val="nil"/>
              <w:tr2bl w:val="nil"/>
            </w:tcBorders>
            <w:noWrap w:val="0"/>
            <w:vAlign w:val="center"/>
          </w:tcPr>
          <w:p w14:paraId="206C1714">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1.359</w:t>
            </w:r>
          </w:p>
        </w:tc>
      </w:tr>
      <w:tr w14:paraId="6CD149A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391" w:type="dxa"/>
            <w:vMerge w:val="continue"/>
            <w:tcBorders>
              <w:tl2br w:val="nil"/>
              <w:tr2bl w:val="nil"/>
            </w:tcBorders>
            <w:noWrap w:val="0"/>
            <w:vAlign w:val="center"/>
          </w:tcPr>
          <w:p w14:paraId="4A0FCFD5">
            <w:pPr>
              <w:spacing w:line="300" w:lineRule="exact"/>
              <w:jc w:val="center"/>
              <w:rPr>
                <w:rFonts w:hint="default" w:ascii="Times New Roman" w:hAnsi="Times New Roman" w:eastAsia="华文中宋" w:cs="Times New Roman"/>
                <w:szCs w:val="21"/>
                <w:highlight w:val="none"/>
                <w:lang w:val="en-US" w:eastAsia="zh-CN"/>
              </w:rPr>
            </w:pPr>
          </w:p>
        </w:tc>
        <w:tc>
          <w:tcPr>
            <w:tcW w:w="669" w:type="dxa"/>
            <w:vMerge w:val="continue"/>
            <w:tcBorders>
              <w:tl2br w:val="nil"/>
              <w:tr2bl w:val="nil"/>
            </w:tcBorders>
            <w:noWrap w:val="0"/>
            <w:vAlign w:val="center"/>
          </w:tcPr>
          <w:p w14:paraId="1880A0DE">
            <w:pPr>
              <w:spacing w:line="300" w:lineRule="exact"/>
              <w:jc w:val="center"/>
              <w:rPr>
                <w:rFonts w:hint="default" w:ascii="Times New Roman" w:hAnsi="Times New Roman" w:eastAsia="华文中宋" w:cs="Times New Roman"/>
                <w:szCs w:val="21"/>
                <w:highlight w:val="none"/>
                <w:lang w:val="en-US" w:eastAsia="zh-CN"/>
              </w:rPr>
            </w:pPr>
          </w:p>
        </w:tc>
        <w:tc>
          <w:tcPr>
            <w:tcW w:w="912" w:type="dxa"/>
            <w:vMerge w:val="continue"/>
            <w:tcBorders>
              <w:tl2br w:val="nil"/>
              <w:tr2bl w:val="nil"/>
            </w:tcBorders>
            <w:noWrap w:val="0"/>
            <w:vAlign w:val="center"/>
          </w:tcPr>
          <w:p w14:paraId="374D896D">
            <w:pPr>
              <w:spacing w:line="300" w:lineRule="exact"/>
              <w:jc w:val="center"/>
              <w:rPr>
                <w:rFonts w:hint="default" w:ascii="Times New Roman" w:hAnsi="Times New Roman" w:eastAsia="华文中宋" w:cs="Times New Roman"/>
                <w:szCs w:val="21"/>
                <w:highlight w:val="none"/>
                <w:lang w:val="en-US" w:eastAsia="zh-CN"/>
              </w:rPr>
            </w:pPr>
          </w:p>
        </w:tc>
        <w:tc>
          <w:tcPr>
            <w:tcW w:w="1211" w:type="dxa"/>
            <w:tcBorders>
              <w:tl2br w:val="nil"/>
              <w:tr2bl w:val="nil"/>
            </w:tcBorders>
            <w:noWrap w:val="0"/>
            <w:vAlign w:val="center"/>
          </w:tcPr>
          <w:p w14:paraId="2A6AC868">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CO</w:t>
            </w:r>
          </w:p>
        </w:tc>
        <w:tc>
          <w:tcPr>
            <w:tcW w:w="1016" w:type="dxa"/>
            <w:vMerge w:val="continue"/>
            <w:tcBorders>
              <w:tl2br w:val="nil"/>
              <w:tr2bl w:val="nil"/>
            </w:tcBorders>
            <w:noWrap w:val="0"/>
            <w:vAlign w:val="center"/>
          </w:tcPr>
          <w:p w14:paraId="6A939B08">
            <w:pPr>
              <w:spacing w:line="300" w:lineRule="exact"/>
              <w:jc w:val="center"/>
              <w:rPr>
                <w:rFonts w:hint="default" w:ascii="Times New Roman" w:hAnsi="Times New Roman" w:eastAsia="华文中宋" w:cs="Times New Roman"/>
                <w:szCs w:val="21"/>
                <w:highlight w:val="none"/>
                <w:lang w:val="en-US" w:eastAsia="zh-CN"/>
              </w:rPr>
            </w:pPr>
          </w:p>
        </w:tc>
        <w:tc>
          <w:tcPr>
            <w:tcW w:w="1338" w:type="dxa"/>
            <w:vMerge w:val="continue"/>
            <w:tcBorders>
              <w:tl2br w:val="nil"/>
              <w:tr2bl w:val="nil"/>
            </w:tcBorders>
            <w:noWrap w:val="0"/>
            <w:vAlign w:val="center"/>
          </w:tcPr>
          <w:p w14:paraId="6BA90126">
            <w:pPr>
              <w:spacing w:line="300" w:lineRule="exact"/>
              <w:jc w:val="center"/>
              <w:rPr>
                <w:rFonts w:hint="default" w:ascii="Times New Roman" w:hAnsi="Times New Roman" w:eastAsia="华文中宋" w:cs="Times New Roman"/>
                <w:szCs w:val="21"/>
                <w:highlight w:val="none"/>
              </w:rPr>
            </w:pPr>
          </w:p>
        </w:tc>
        <w:tc>
          <w:tcPr>
            <w:tcW w:w="1535" w:type="dxa"/>
            <w:tcBorders>
              <w:tl2br w:val="nil"/>
              <w:tr2bl w:val="nil"/>
            </w:tcBorders>
            <w:noWrap w:val="0"/>
            <w:vAlign w:val="center"/>
          </w:tcPr>
          <w:p w14:paraId="5AE4D0D1">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w:t>
            </w:r>
          </w:p>
        </w:tc>
        <w:tc>
          <w:tcPr>
            <w:tcW w:w="1450" w:type="dxa"/>
            <w:tcBorders>
              <w:tl2br w:val="nil"/>
              <w:tr2bl w:val="nil"/>
            </w:tcBorders>
            <w:noWrap w:val="0"/>
            <w:vAlign w:val="center"/>
          </w:tcPr>
          <w:p w14:paraId="57799DEC">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0.546</w:t>
            </w:r>
          </w:p>
        </w:tc>
      </w:tr>
      <w:tr w14:paraId="7E44E3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391" w:type="dxa"/>
            <w:vMerge w:val="continue"/>
            <w:tcBorders>
              <w:tl2br w:val="nil"/>
              <w:tr2bl w:val="nil"/>
            </w:tcBorders>
            <w:noWrap w:val="0"/>
            <w:vAlign w:val="center"/>
          </w:tcPr>
          <w:p w14:paraId="005C1C0C">
            <w:pPr>
              <w:spacing w:line="300" w:lineRule="exact"/>
              <w:jc w:val="center"/>
              <w:rPr>
                <w:rFonts w:hint="default" w:ascii="Times New Roman" w:hAnsi="Times New Roman" w:eastAsia="华文中宋" w:cs="Times New Roman"/>
                <w:szCs w:val="21"/>
                <w:highlight w:val="none"/>
                <w:lang w:val="en-US" w:eastAsia="zh-CN"/>
              </w:rPr>
            </w:pPr>
          </w:p>
        </w:tc>
        <w:tc>
          <w:tcPr>
            <w:tcW w:w="669" w:type="dxa"/>
            <w:vMerge w:val="continue"/>
            <w:tcBorders>
              <w:tl2br w:val="nil"/>
              <w:tr2bl w:val="nil"/>
            </w:tcBorders>
            <w:noWrap w:val="0"/>
            <w:vAlign w:val="center"/>
          </w:tcPr>
          <w:p w14:paraId="2721640C">
            <w:pPr>
              <w:spacing w:line="300" w:lineRule="exact"/>
              <w:jc w:val="center"/>
              <w:rPr>
                <w:rFonts w:hint="default" w:ascii="Times New Roman" w:hAnsi="Times New Roman" w:eastAsia="华文中宋" w:cs="Times New Roman"/>
                <w:szCs w:val="21"/>
                <w:highlight w:val="none"/>
                <w:lang w:val="en-US" w:eastAsia="zh-CN"/>
              </w:rPr>
            </w:pPr>
          </w:p>
        </w:tc>
        <w:tc>
          <w:tcPr>
            <w:tcW w:w="912" w:type="dxa"/>
            <w:vMerge w:val="continue"/>
            <w:tcBorders>
              <w:tl2br w:val="nil"/>
              <w:tr2bl w:val="nil"/>
            </w:tcBorders>
            <w:noWrap w:val="0"/>
            <w:vAlign w:val="center"/>
          </w:tcPr>
          <w:p w14:paraId="3CEE3D7B">
            <w:pPr>
              <w:spacing w:line="300" w:lineRule="exact"/>
              <w:jc w:val="center"/>
              <w:rPr>
                <w:rFonts w:hint="default" w:ascii="Times New Roman" w:hAnsi="Times New Roman" w:eastAsia="华文中宋" w:cs="Times New Roman"/>
                <w:szCs w:val="21"/>
                <w:highlight w:val="none"/>
                <w:lang w:val="en-US" w:eastAsia="zh-CN"/>
              </w:rPr>
            </w:pPr>
          </w:p>
        </w:tc>
        <w:tc>
          <w:tcPr>
            <w:tcW w:w="1211" w:type="dxa"/>
            <w:tcBorders>
              <w:tl2br w:val="nil"/>
              <w:tr2bl w:val="nil"/>
            </w:tcBorders>
            <w:noWrap w:val="0"/>
            <w:vAlign w:val="center"/>
          </w:tcPr>
          <w:p w14:paraId="059BEA62">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NOx</w:t>
            </w:r>
          </w:p>
        </w:tc>
        <w:tc>
          <w:tcPr>
            <w:tcW w:w="1016" w:type="dxa"/>
            <w:vMerge w:val="continue"/>
            <w:tcBorders>
              <w:tl2br w:val="nil"/>
              <w:tr2bl w:val="nil"/>
            </w:tcBorders>
            <w:noWrap w:val="0"/>
            <w:vAlign w:val="center"/>
          </w:tcPr>
          <w:p w14:paraId="556A69A9">
            <w:pPr>
              <w:spacing w:line="300" w:lineRule="exact"/>
              <w:jc w:val="center"/>
              <w:rPr>
                <w:rFonts w:hint="default" w:ascii="Times New Roman" w:hAnsi="Times New Roman" w:eastAsia="华文中宋" w:cs="Times New Roman"/>
                <w:szCs w:val="21"/>
                <w:highlight w:val="none"/>
                <w:lang w:val="en-US" w:eastAsia="zh-CN"/>
              </w:rPr>
            </w:pPr>
          </w:p>
        </w:tc>
        <w:tc>
          <w:tcPr>
            <w:tcW w:w="1338" w:type="dxa"/>
            <w:vMerge w:val="continue"/>
            <w:tcBorders>
              <w:tl2br w:val="nil"/>
              <w:tr2bl w:val="nil"/>
            </w:tcBorders>
            <w:noWrap w:val="0"/>
            <w:vAlign w:val="center"/>
          </w:tcPr>
          <w:p w14:paraId="38DC0F1F">
            <w:pPr>
              <w:spacing w:line="300" w:lineRule="exact"/>
              <w:jc w:val="center"/>
              <w:rPr>
                <w:rFonts w:hint="default" w:ascii="Times New Roman" w:hAnsi="Times New Roman" w:eastAsia="华文中宋" w:cs="Times New Roman"/>
                <w:szCs w:val="21"/>
                <w:highlight w:val="none"/>
              </w:rPr>
            </w:pPr>
          </w:p>
        </w:tc>
        <w:tc>
          <w:tcPr>
            <w:tcW w:w="1535" w:type="dxa"/>
            <w:tcBorders>
              <w:tl2br w:val="nil"/>
              <w:tr2bl w:val="nil"/>
            </w:tcBorders>
            <w:noWrap w:val="0"/>
            <w:vAlign w:val="center"/>
          </w:tcPr>
          <w:p w14:paraId="7D8D8D88">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w:t>
            </w:r>
          </w:p>
        </w:tc>
        <w:tc>
          <w:tcPr>
            <w:tcW w:w="1450" w:type="dxa"/>
            <w:tcBorders>
              <w:tl2br w:val="nil"/>
              <w:tr2bl w:val="nil"/>
            </w:tcBorders>
            <w:noWrap w:val="0"/>
            <w:vAlign w:val="center"/>
          </w:tcPr>
          <w:p w14:paraId="406D57AA">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4.853</w:t>
            </w:r>
          </w:p>
        </w:tc>
      </w:tr>
      <w:tr w14:paraId="7A2256A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391" w:type="dxa"/>
            <w:vMerge w:val="continue"/>
            <w:tcBorders>
              <w:tl2br w:val="nil"/>
              <w:tr2bl w:val="nil"/>
            </w:tcBorders>
            <w:noWrap w:val="0"/>
            <w:vAlign w:val="center"/>
          </w:tcPr>
          <w:p w14:paraId="13DE4D40">
            <w:pPr>
              <w:spacing w:line="300" w:lineRule="exact"/>
              <w:jc w:val="center"/>
              <w:rPr>
                <w:rFonts w:hint="default" w:ascii="Times New Roman" w:hAnsi="Times New Roman" w:eastAsia="华文中宋" w:cs="Times New Roman"/>
                <w:szCs w:val="21"/>
                <w:highlight w:val="none"/>
                <w:lang w:val="en-US" w:eastAsia="zh-CN"/>
              </w:rPr>
            </w:pPr>
          </w:p>
        </w:tc>
        <w:tc>
          <w:tcPr>
            <w:tcW w:w="669" w:type="dxa"/>
            <w:vMerge w:val="continue"/>
            <w:tcBorders>
              <w:tl2br w:val="nil"/>
              <w:tr2bl w:val="nil"/>
            </w:tcBorders>
            <w:noWrap w:val="0"/>
            <w:vAlign w:val="center"/>
          </w:tcPr>
          <w:p w14:paraId="2FCA8D4B">
            <w:pPr>
              <w:spacing w:line="300" w:lineRule="exact"/>
              <w:jc w:val="center"/>
              <w:rPr>
                <w:rFonts w:hint="default" w:ascii="Times New Roman" w:hAnsi="Times New Roman" w:eastAsia="华文中宋" w:cs="Times New Roman"/>
                <w:szCs w:val="21"/>
                <w:highlight w:val="none"/>
                <w:lang w:val="en-US" w:eastAsia="zh-CN"/>
              </w:rPr>
            </w:pPr>
          </w:p>
        </w:tc>
        <w:tc>
          <w:tcPr>
            <w:tcW w:w="912" w:type="dxa"/>
            <w:vMerge w:val="continue"/>
            <w:tcBorders>
              <w:tl2br w:val="nil"/>
              <w:tr2bl w:val="nil"/>
            </w:tcBorders>
            <w:noWrap w:val="0"/>
            <w:vAlign w:val="center"/>
          </w:tcPr>
          <w:p w14:paraId="7E81E35F">
            <w:pPr>
              <w:spacing w:line="300" w:lineRule="exact"/>
              <w:jc w:val="center"/>
              <w:rPr>
                <w:rFonts w:hint="default" w:ascii="Times New Roman" w:hAnsi="Times New Roman" w:eastAsia="华文中宋" w:cs="Times New Roman"/>
                <w:szCs w:val="21"/>
                <w:highlight w:val="none"/>
                <w:lang w:val="en-US" w:eastAsia="zh-CN"/>
              </w:rPr>
            </w:pPr>
          </w:p>
        </w:tc>
        <w:tc>
          <w:tcPr>
            <w:tcW w:w="1211" w:type="dxa"/>
            <w:tcBorders>
              <w:tl2br w:val="nil"/>
              <w:tr2bl w:val="nil"/>
            </w:tcBorders>
            <w:noWrap w:val="0"/>
            <w:vAlign w:val="center"/>
          </w:tcPr>
          <w:p w14:paraId="12074819">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铅及其化合物</w:t>
            </w:r>
          </w:p>
        </w:tc>
        <w:tc>
          <w:tcPr>
            <w:tcW w:w="1016" w:type="dxa"/>
            <w:vMerge w:val="continue"/>
            <w:tcBorders>
              <w:tl2br w:val="nil"/>
              <w:tr2bl w:val="nil"/>
            </w:tcBorders>
            <w:noWrap w:val="0"/>
            <w:vAlign w:val="center"/>
          </w:tcPr>
          <w:p w14:paraId="77AE0951">
            <w:pPr>
              <w:spacing w:line="300" w:lineRule="exact"/>
              <w:jc w:val="center"/>
              <w:rPr>
                <w:rFonts w:hint="default" w:ascii="Times New Roman" w:hAnsi="Times New Roman" w:eastAsia="华文中宋" w:cs="Times New Roman"/>
                <w:szCs w:val="21"/>
                <w:highlight w:val="none"/>
                <w:lang w:val="en-US" w:eastAsia="zh-CN"/>
              </w:rPr>
            </w:pPr>
          </w:p>
        </w:tc>
        <w:tc>
          <w:tcPr>
            <w:tcW w:w="1338" w:type="dxa"/>
            <w:vMerge w:val="continue"/>
            <w:tcBorders>
              <w:tl2br w:val="nil"/>
              <w:tr2bl w:val="nil"/>
            </w:tcBorders>
            <w:noWrap w:val="0"/>
            <w:vAlign w:val="center"/>
          </w:tcPr>
          <w:p w14:paraId="40A18E41">
            <w:pPr>
              <w:spacing w:line="300" w:lineRule="exact"/>
              <w:jc w:val="center"/>
              <w:rPr>
                <w:rFonts w:hint="default" w:ascii="Times New Roman" w:hAnsi="Times New Roman" w:eastAsia="华文中宋" w:cs="Times New Roman"/>
                <w:szCs w:val="21"/>
                <w:highlight w:val="none"/>
              </w:rPr>
            </w:pPr>
          </w:p>
        </w:tc>
        <w:tc>
          <w:tcPr>
            <w:tcW w:w="1535" w:type="dxa"/>
            <w:tcBorders>
              <w:tl2br w:val="nil"/>
              <w:tr2bl w:val="nil"/>
            </w:tcBorders>
            <w:noWrap w:val="0"/>
            <w:vAlign w:val="center"/>
          </w:tcPr>
          <w:p w14:paraId="19C14B35">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6</w:t>
            </w:r>
          </w:p>
        </w:tc>
        <w:tc>
          <w:tcPr>
            <w:tcW w:w="1450" w:type="dxa"/>
            <w:tcBorders>
              <w:tl2br w:val="nil"/>
              <w:tr2bl w:val="nil"/>
            </w:tcBorders>
            <w:noWrap w:val="0"/>
            <w:vAlign w:val="center"/>
          </w:tcPr>
          <w:p w14:paraId="5152564A">
            <w:pPr>
              <w:spacing w:line="300" w:lineRule="exact"/>
              <w:jc w:val="center"/>
              <w:rPr>
                <w:rFonts w:hint="eastAsia"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lang w:val="en-US" w:eastAsia="zh-CN"/>
              </w:rPr>
              <w:t>8.87×10</w:t>
            </w:r>
            <w:r>
              <w:rPr>
                <w:rFonts w:hint="eastAsia" w:ascii="Times New Roman" w:hAnsi="Times New Roman" w:eastAsia="华文中宋" w:cs="Times New Roman"/>
                <w:szCs w:val="21"/>
                <w:vertAlign w:val="superscript"/>
                <w:lang w:val="en-US" w:eastAsia="zh-CN"/>
              </w:rPr>
              <w:t>-3</w:t>
            </w:r>
          </w:p>
        </w:tc>
      </w:tr>
      <w:tr w14:paraId="6AA6D41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391" w:type="dxa"/>
            <w:vMerge w:val="restart"/>
            <w:tcBorders>
              <w:tl2br w:val="nil"/>
              <w:tr2bl w:val="nil"/>
            </w:tcBorders>
            <w:noWrap w:val="0"/>
            <w:vAlign w:val="center"/>
          </w:tcPr>
          <w:p w14:paraId="17F70128">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4</w:t>
            </w:r>
          </w:p>
        </w:tc>
        <w:tc>
          <w:tcPr>
            <w:tcW w:w="669" w:type="dxa"/>
            <w:vMerge w:val="restart"/>
            <w:tcBorders>
              <w:tl2br w:val="nil"/>
              <w:tr2bl w:val="nil"/>
            </w:tcBorders>
            <w:noWrap w:val="0"/>
            <w:vAlign w:val="center"/>
          </w:tcPr>
          <w:p w14:paraId="55480FDC">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w:t>
            </w:r>
          </w:p>
        </w:tc>
        <w:tc>
          <w:tcPr>
            <w:tcW w:w="912" w:type="dxa"/>
            <w:vMerge w:val="restart"/>
            <w:tcBorders>
              <w:tl2br w:val="nil"/>
              <w:tr2bl w:val="nil"/>
            </w:tcBorders>
            <w:noWrap w:val="0"/>
            <w:vAlign w:val="center"/>
          </w:tcPr>
          <w:p w14:paraId="308E32F9">
            <w:pPr>
              <w:spacing w:line="300" w:lineRule="exact"/>
              <w:jc w:val="center"/>
              <w:rPr>
                <w:rFonts w:hint="default" w:ascii="Times New Roman" w:hAnsi="Times New Roman" w:eastAsia="华文中宋" w:cs="Times New Roman"/>
                <w:szCs w:val="21"/>
                <w:highlight w:val="none"/>
                <w:lang w:eastAsia="zh-CN"/>
              </w:rPr>
            </w:pPr>
            <w:r>
              <w:rPr>
                <w:rFonts w:hint="default" w:ascii="Times New Roman" w:hAnsi="Times New Roman" w:eastAsia="华文中宋" w:cs="Times New Roman"/>
                <w:szCs w:val="21"/>
                <w:highlight w:val="none"/>
                <w:lang w:val="en-US" w:eastAsia="zh-CN"/>
              </w:rPr>
              <w:t>装卸</w:t>
            </w:r>
          </w:p>
        </w:tc>
        <w:tc>
          <w:tcPr>
            <w:tcW w:w="1211" w:type="dxa"/>
            <w:tcBorders>
              <w:tl2br w:val="nil"/>
              <w:tr2bl w:val="nil"/>
            </w:tcBorders>
            <w:noWrap w:val="0"/>
            <w:vAlign w:val="center"/>
          </w:tcPr>
          <w:p w14:paraId="3367FB07">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lang w:eastAsia="zh-CN"/>
              </w:rPr>
              <w:t>颗粒物</w:t>
            </w:r>
          </w:p>
        </w:tc>
        <w:tc>
          <w:tcPr>
            <w:tcW w:w="1016" w:type="dxa"/>
            <w:vMerge w:val="continue"/>
            <w:tcBorders>
              <w:tl2br w:val="nil"/>
              <w:tr2bl w:val="nil"/>
            </w:tcBorders>
            <w:noWrap w:val="0"/>
            <w:vAlign w:val="center"/>
          </w:tcPr>
          <w:p w14:paraId="6CE85FB7">
            <w:pPr>
              <w:spacing w:line="300" w:lineRule="exact"/>
              <w:jc w:val="center"/>
              <w:rPr>
                <w:rFonts w:hint="default" w:ascii="Times New Roman" w:hAnsi="Times New Roman" w:eastAsia="华文中宋" w:cs="Times New Roman"/>
                <w:szCs w:val="21"/>
                <w:highlight w:val="none"/>
              </w:rPr>
            </w:pPr>
          </w:p>
        </w:tc>
        <w:tc>
          <w:tcPr>
            <w:tcW w:w="1338" w:type="dxa"/>
            <w:vMerge w:val="continue"/>
            <w:tcBorders>
              <w:tl2br w:val="nil"/>
              <w:tr2bl w:val="nil"/>
            </w:tcBorders>
            <w:noWrap w:val="0"/>
            <w:vAlign w:val="center"/>
          </w:tcPr>
          <w:p w14:paraId="1E899DCC">
            <w:pPr>
              <w:spacing w:line="300" w:lineRule="exact"/>
              <w:jc w:val="center"/>
              <w:rPr>
                <w:rFonts w:hint="default" w:ascii="Times New Roman" w:hAnsi="Times New Roman" w:eastAsia="华文中宋" w:cs="Times New Roman"/>
                <w:szCs w:val="21"/>
                <w:highlight w:val="none"/>
              </w:rPr>
            </w:pPr>
          </w:p>
        </w:tc>
        <w:tc>
          <w:tcPr>
            <w:tcW w:w="1535" w:type="dxa"/>
            <w:tcBorders>
              <w:tl2br w:val="nil"/>
              <w:tr2bl w:val="nil"/>
            </w:tcBorders>
            <w:noWrap w:val="0"/>
            <w:vAlign w:val="center"/>
          </w:tcPr>
          <w:p w14:paraId="4E68D476">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lang w:val="en-US" w:eastAsia="zh-CN"/>
              </w:rPr>
              <w:t>1000</w:t>
            </w:r>
          </w:p>
        </w:tc>
        <w:tc>
          <w:tcPr>
            <w:tcW w:w="1450" w:type="dxa"/>
            <w:tcBorders>
              <w:tl2br w:val="nil"/>
              <w:tr2bl w:val="nil"/>
            </w:tcBorders>
            <w:noWrap w:val="0"/>
            <w:vAlign w:val="center"/>
          </w:tcPr>
          <w:p w14:paraId="6B80BC19">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0.817</w:t>
            </w:r>
          </w:p>
        </w:tc>
      </w:tr>
      <w:tr w14:paraId="4081EEB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391" w:type="dxa"/>
            <w:vMerge w:val="continue"/>
            <w:tcBorders>
              <w:tl2br w:val="nil"/>
              <w:tr2bl w:val="nil"/>
            </w:tcBorders>
            <w:noWrap w:val="0"/>
            <w:vAlign w:val="center"/>
          </w:tcPr>
          <w:p w14:paraId="26680563">
            <w:pPr>
              <w:spacing w:line="300" w:lineRule="exact"/>
              <w:jc w:val="center"/>
              <w:rPr>
                <w:rFonts w:hint="default" w:ascii="Times New Roman" w:hAnsi="Times New Roman" w:eastAsia="华文中宋" w:cs="Times New Roman"/>
                <w:szCs w:val="21"/>
                <w:highlight w:val="none"/>
                <w:lang w:val="en-US" w:eastAsia="zh-CN"/>
              </w:rPr>
            </w:pPr>
          </w:p>
        </w:tc>
        <w:tc>
          <w:tcPr>
            <w:tcW w:w="669" w:type="dxa"/>
            <w:vMerge w:val="continue"/>
            <w:tcBorders>
              <w:tl2br w:val="nil"/>
              <w:tr2bl w:val="nil"/>
            </w:tcBorders>
            <w:noWrap w:val="0"/>
            <w:vAlign w:val="center"/>
          </w:tcPr>
          <w:p w14:paraId="3A471F52">
            <w:pPr>
              <w:spacing w:line="300" w:lineRule="exact"/>
              <w:jc w:val="center"/>
              <w:rPr>
                <w:rFonts w:hint="default" w:ascii="Times New Roman" w:hAnsi="Times New Roman" w:eastAsia="华文中宋" w:cs="Times New Roman"/>
                <w:szCs w:val="21"/>
                <w:highlight w:val="none"/>
                <w:lang w:val="en-US" w:eastAsia="zh-CN"/>
              </w:rPr>
            </w:pPr>
          </w:p>
        </w:tc>
        <w:tc>
          <w:tcPr>
            <w:tcW w:w="912" w:type="dxa"/>
            <w:vMerge w:val="continue"/>
            <w:tcBorders>
              <w:tl2br w:val="nil"/>
              <w:tr2bl w:val="nil"/>
            </w:tcBorders>
            <w:noWrap w:val="0"/>
            <w:vAlign w:val="center"/>
          </w:tcPr>
          <w:p w14:paraId="53CB374F">
            <w:pPr>
              <w:spacing w:line="300" w:lineRule="exact"/>
              <w:jc w:val="center"/>
              <w:rPr>
                <w:rFonts w:hint="default" w:ascii="Times New Roman" w:hAnsi="Times New Roman" w:eastAsia="华文中宋" w:cs="Times New Roman"/>
                <w:szCs w:val="21"/>
                <w:highlight w:val="none"/>
                <w:lang w:val="en-US" w:eastAsia="zh-CN"/>
              </w:rPr>
            </w:pPr>
          </w:p>
        </w:tc>
        <w:tc>
          <w:tcPr>
            <w:tcW w:w="1211" w:type="dxa"/>
            <w:tcBorders>
              <w:tl2br w:val="nil"/>
              <w:tr2bl w:val="nil"/>
            </w:tcBorders>
            <w:noWrap w:val="0"/>
            <w:vAlign w:val="center"/>
          </w:tcPr>
          <w:p w14:paraId="13DD90A0">
            <w:pPr>
              <w:spacing w:line="300" w:lineRule="exact"/>
              <w:jc w:val="center"/>
              <w:rPr>
                <w:rFonts w:hint="default" w:ascii="Times New Roman" w:hAnsi="Times New Roman" w:eastAsia="华文中宋" w:cs="Times New Roman"/>
                <w:szCs w:val="21"/>
                <w:highlight w:val="none"/>
                <w:lang w:eastAsia="zh-CN"/>
              </w:rPr>
            </w:pPr>
            <w:r>
              <w:rPr>
                <w:rFonts w:hint="eastAsia" w:ascii="Times New Roman" w:hAnsi="Times New Roman" w:eastAsia="华文中宋" w:cs="Times New Roman"/>
                <w:szCs w:val="21"/>
                <w:highlight w:val="none"/>
                <w:lang w:val="en-US" w:eastAsia="zh-CN"/>
              </w:rPr>
              <w:t>铅及其化合物</w:t>
            </w:r>
          </w:p>
        </w:tc>
        <w:tc>
          <w:tcPr>
            <w:tcW w:w="1016" w:type="dxa"/>
            <w:vMerge w:val="continue"/>
            <w:tcBorders>
              <w:tl2br w:val="nil"/>
              <w:tr2bl w:val="nil"/>
            </w:tcBorders>
            <w:noWrap w:val="0"/>
            <w:vAlign w:val="center"/>
          </w:tcPr>
          <w:p w14:paraId="382847DE">
            <w:pPr>
              <w:spacing w:line="300" w:lineRule="exact"/>
              <w:jc w:val="center"/>
              <w:rPr>
                <w:rFonts w:hint="default" w:ascii="Times New Roman" w:hAnsi="Times New Roman" w:eastAsia="华文中宋" w:cs="Times New Roman"/>
                <w:szCs w:val="21"/>
                <w:highlight w:val="none"/>
              </w:rPr>
            </w:pPr>
          </w:p>
        </w:tc>
        <w:tc>
          <w:tcPr>
            <w:tcW w:w="1338" w:type="dxa"/>
            <w:vMerge w:val="continue"/>
            <w:tcBorders>
              <w:tl2br w:val="nil"/>
              <w:tr2bl w:val="nil"/>
            </w:tcBorders>
            <w:noWrap w:val="0"/>
            <w:vAlign w:val="center"/>
          </w:tcPr>
          <w:p w14:paraId="0600692F">
            <w:pPr>
              <w:spacing w:line="300" w:lineRule="exact"/>
              <w:jc w:val="center"/>
              <w:rPr>
                <w:rFonts w:hint="default" w:ascii="Times New Roman" w:hAnsi="Times New Roman" w:eastAsia="华文中宋" w:cs="Times New Roman"/>
                <w:szCs w:val="21"/>
                <w:highlight w:val="none"/>
              </w:rPr>
            </w:pPr>
          </w:p>
        </w:tc>
        <w:tc>
          <w:tcPr>
            <w:tcW w:w="1535" w:type="dxa"/>
            <w:tcBorders>
              <w:tl2br w:val="nil"/>
              <w:tr2bl w:val="nil"/>
            </w:tcBorders>
            <w:noWrap w:val="0"/>
            <w:vAlign w:val="center"/>
          </w:tcPr>
          <w:p w14:paraId="3E22BABA">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6</w:t>
            </w:r>
          </w:p>
        </w:tc>
        <w:tc>
          <w:tcPr>
            <w:tcW w:w="1450" w:type="dxa"/>
            <w:tcBorders>
              <w:tl2br w:val="nil"/>
              <w:tr2bl w:val="nil"/>
            </w:tcBorders>
            <w:noWrap w:val="0"/>
            <w:vAlign w:val="center"/>
          </w:tcPr>
          <w:p w14:paraId="0635E2F0">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0.005</w:t>
            </w:r>
          </w:p>
        </w:tc>
      </w:tr>
      <w:tr w14:paraId="763E4AC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391" w:type="dxa"/>
            <w:vMerge w:val="restart"/>
            <w:tcBorders>
              <w:tl2br w:val="nil"/>
              <w:tr2bl w:val="nil"/>
            </w:tcBorders>
            <w:noWrap w:val="0"/>
            <w:vAlign w:val="center"/>
          </w:tcPr>
          <w:p w14:paraId="0BB6796C">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5</w:t>
            </w:r>
          </w:p>
        </w:tc>
        <w:tc>
          <w:tcPr>
            <w:tcW w:w="669" w:type="dxa"/>
            <w:vMerge w:val="restart"/>
            <w:tcBorders>
              <w:tl2br w:val="nil"/>
              <w:tr2bl w:val="nil"/>
            </w:tcBorders>
            <w:noWrap w:val="0"/>
            <w:vAlign w:val="center"/>
          </w:tcPr>
          <w:p w14:paraId="407AF13E">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w:t>
            </w:r>
          </w:p>
        </w:tc>
        <w:tc>
          <w:tcPr>
            <w:tcW w:w="912" w:type="dxa"/>
            <w:vMerge w:val="restart"/>
            <w:tcBorders>
              <w:tl2br w:val="nil"/>
              <w:tr2bl w:val="nil"/>
            </w:tcBorders>
            <w:noWrap w:val="0"/>
            <w:vAlign w:val="center"/>
          </w:tcPr>
          <w:p w14:paraId="645E2C13">
            <w:pPr>
              <w:spacing w:line="300" w:lineRule="exact"/>
              <w:jc w:val="center"/>
              <w:rPr>
                <w:rFonts w:hint="default" w:ascii="Times New Roman" w:hAnsi="Times New Roman" w:eastAsia="华文中宋" w:cs="Times New Roman"/>
                <w:szCs w:val="21"/>
                <w:highlight w:val="none"/>
                <w:lang w:eastAsia="zh-CN"/>
              </w:rPr>
            </w:pPr>
            <w:r>
              <w:rPr>
                <w:rFonts w:hint="default" w:ascii="Times New Roman" w:hAnsi="Times New Roman" w:eastAsia="华文中宋" w:cs="Times New Roman"/>
                <w:szCs w:val="21"/>
                <w:highlight w:val="none"/>
                <w:lang w:val="en-US" w:eastAsia="zh-CN"/>
              </w:rPr>
              <w:t>废石堆放场堆放粉尘</w:t>
            </w:r>
          </w:p>
        </w:tc>
        <w:tc>
          <w:tcPr>
            <w:tcW w:w="1211" w:type="dxa"/>
            <w:tcBorders>
              <w:tl2br w:val="nil"/>
              <w:tr2bl w:val="nil"/>
            </w:tcBorders>
            <w:noWrap w:val="0"/>
            <w:vAlign w:val="center"/>
          </w:tcPr>
          <w:p w14:paraId="6CA6C282">
            <w:pPr>
              <w:spacing w:line="300" w:lineRule="exact"/>
              <w:jc w:val="center"/>
              <w:rPr>
                <w:rFonts w:hint="default" w:ascii="Times New Roman" w:hAnsi="Times New Roman" w:eastAsia="华文中宋" w:cs="Times New Roman"/>
                <w:szCs w:val="21"/>
                <w:highlight w:val="none"/>
                <w:lang w:eastAsia="zh-CN"/>
              </w:rPr>
            </w:pPr>
            <w:r>
              <w:rPr>
                <w:rFonts w:hint="default" w:ascii="Times New Roman" w:hAnsi="Times New Roman" w:eastAsia="华文中宋" w:cs="Times New Roman"/>
                <w:szCs w:val="21"/>
                <w:highlight w:val="none"/>
                <w:lang w:eastAsia="zh-CN"/>
              </w:rPr>
              <w:t>颗粒物</w:t>
            </w:r>
          </w:p>
        </w:tc>
        <w:tc>
          <w:tcPr>
            <w:tcW w:w="1016" w:type="dxa"/>
            <w:vMerge w:val="continue"/>
            <w:tcBorders>
              <w:tl2br w:val="nil"/>
              <w:tr2bl w:val="nil"/>
            </w:tcBorders>
            <w:noWrap w:val="0"/>
            <w:vAlign w:val="center"/>
          </w:tcPr>
          <w:p w14:paraId="3ECB56E8">
            <w:pPr>
              <w:spacing w:line="300" w:lineRule="exact"/>
              <w:jc w:val="center"/>
              <w:rPr>
                <w:rFonts w:hint="default" w:ascii="Times New Roman" w:hAnsi="Times New Roman" w:eastAsia="华文中宋" w:cs="Times New Roman"/>
                <w:szCs w:val="21"/>
                <w:highlight w:val="none"/>
                <w:lang w:val="en-US" w:eastAsia="zh-CN"/>
              </w:rPr>
            </w:pPr>
          </w:p>
        </w:tc>
        <w:tc>
          <w:tcPr>
            <w:tcW w:w="1338" w:type="dxa"/>
            <w:vMerge w:val="continue"/>
            <w:tcBorders>
              <w:tl2br w:val="nil"/>
              <w:tr2bl w:val="nil"/>
            </w:tcBorders>
            <w:noWrap w:val="0"/>
            <w:vAlign w:val="center"/>
          </w:tcPr>
          <w:p w14:paraId="38846426">
            <w:pPr>
              <w:spacing w:line="300" w:lineRule="exact"/>
              <w:jc w:val="center"/>
              <w:rPr>
                <w:rFonts w:hint="default" w:ascii="Times New Roman" w:hAnsi="Times New Roman" w:eastAsia="华文中宋" w:cs="Times New Roman"/>
                <w:szCs w:val="21"/>
                <w:highlight w:val="none"/>
              </w:rPr>
            </w:pPr>
          </w:p>
        </w:tc>
        <w:tc>
          <w:tcPr>
            <w:tcW w:w="1535" w:type="dxa"/>
            <w:tcBorders>
              <w:tl2br w:val="nil"/>
              <w:tr2bl w:val="nil"/>
            </w:tcBorders>
            <w:noWrap w:val="0"/>
            <w:vAlign w:val="center"/>
          </w:tcPr>
          <w:p w14:paraId="305BDF4C">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1000</w:t>
            </w:r>
          </w:p>
        </w:tc>
        <w:tc>
          <w:tcPr>
            <w:tcW w:w="1450" w:type="dxa"/>
            <w:tcBorders>
              <w:tl2br w:val="nil"/>
              <w:tr2bl w:val="nil"/>
            </w:tcBorders>
            <w:noWrap w:val="0"/>
            <w:vAlign w:val="center"/>
          </w:tcPr>
          <w:p w14:paraId="0DAE34C9">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0.769</w:t>
            </w:r>
          </w:p>
        </w:tc>
      </w:tr>
      <w:tr w14:paraId="01C1139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391" w:type="dxa"/>
            <w:vMerge w:val="continue"/>
            <w:tcBorders>
              <w:tl2br w:val="nil"/>
              <w:tr2bl w:val="nil"/>
            </w:tcBorders>
            <w:noWrap w:val="0"/>
            <w:vAlign w:val="center"/>
          </w:tcPr>
          <w:p w14:paraId="00EED8E8">
            <w:pPr>
              <w:spacing w:line="300" w:lineRule="exact"/>
              <w:jc w:val="center"/>
              <w:rPr>
                <w:rFonts w:hint="default" w:ascii="Times New Roman" w:hAnsi="Times New Roman" w:eastAsia="华文中宋" w:cs="Times New Roman"/>
                <w:szCs w:val="21"/>
                <w:highlight w:val="none"/>
                <w:lang w:val="en-US" w:eastAsia="zh-CN"/>
              </w:rPr>
            </w:pPr>
          </w:p>
        </w:tc>
        <w:tc>
          <w:tcPr>
            <w:tcW w:w="669" w:type="dxa"/>
            <w:vMerge w:val="continue"/>
            <w:tcBorders>
              <w:tl2br w:val="nil"/>
              <w:tr2bl w:val="nil"/>
            </w:tcBorders>
            <w:noWrap w:val="0"/>
            <w:vAlign w:val="center"/>
          </w:tcPr>
          <w:p w14:paraId="026C1D26">
            <w:pPr>
              <w:spacing w:line="300" w:lineRule="exact"/>
              <w:jc w:val="center"/>
              <w:rPr>
                <w:rFonts w:hint="default" w:ascii="Times New Roman" w:hAnsi="Times New Roman" w:eastAsia="华文中宋" w:cs="Times New Roman"/>
                <w:szCs w:val="21"/>
                <w:highlight w:val="none"/>
                <w:lang w:val="en-US" w:eastAsia="zh-CN"/>
              </w:rPr>
            </w:pPr>
          </w:p>
        </w:tc>
        <w:tc>
          <w:tcPr>
            <w:tcW w:w="912" w:type="dxa"/>
            <w:vMerge w:val="continue"/>
            <w:tcBorders>
              <w:tl2br w:val="nil"/>
              <w:tr2bl w:val="nil"/>
            </w:tcBorders>
            <w:noWrap w:val="0"/>
            <w:vAlign w:val="center"/>
          </w:tcPr>
          <w:p w14:paraId="44CBD699">
            <w:pPr>
              <w:spacing w:line="300" w:lineRule="exact"/>
              <w:jc w:val="center"/>
              <w:rPr>
                <w:rFonts w:hint="default" w:ascii="Times New Roman" w:hAnsi="Times New Roman" w:eastAsia="华文中宋" w:cs="Times New Roman"/>
                <w:szCs w:val="21"/>
                <w:highlight w:val="none"/>
                <w:lang w:val="en-US" w:eastAsia="zh-CN"/>
              </w:rPr>
            </w:pPr>
          </w:p>
        </w:tc>
        <w:tc>
          <w:tcPr>
            <w:tcW w:w="1211" w:type="dxa"/>
            <w:tcBorders>
              <w:tl2br w:val="nil"/>
              <w:tr2bl w:val="nil"/>
            </w:tcBorders>
            <w:noWrap w:val="0"/>
            <w:vAlign w:val="center"/>
          </w:tcPr>
          <w:p w14:paraId="4A16255E">
            <w:pPr>
              <w:spacing w:line="300" w:lineRule="exact"/>
              <w:jc w:val="center"/>
              <w:rPr>
                <w:rFonts w:hint="default" w:ascii="Times New Roman" w:hAnsi="Times New Roman" w:eastAsia="华文中宋" w:cs="Times New Roman"/>
                <w:szCs w:val="21"/>
                <w:highlight w:val="none"/>
                <w:lang w:eastAsia="zh-CN"/>
              </w:rPr>
            </w:pPr>
            <w:r>
              <w:rPr>
                <w:rFonts w:hint="eastAsia" w:ascii="Times New Roman" w:hAnsi="Times New Roman" w:eastAsia="华文中宋" w:cs="Times New Roman"/>
                <w:szCs w:val="21"/>
                <w:highlight w:val="none"/>
                <w:lang w:val="en-US" w:eastAsia="zh-CN"/>
              </w:rPr>
              <w:t>铅及其化合物</w:t>
            </w:r>
          </w:p>
        </w:tc>
        <w:tc>
          <w:tcPr>
            <w:tcW w:w="1016" w:type="dxa"/>
            <w:vMerge w:val="continue"/>
            <w:tcBorders>
              <w:tl2br w:val="nil"/>
              <w:tr2bl w:val="nil"/>
            </w:tcBorders>
            <w:noWrap w:val="0"/>
            <w:vAlign w:val="center"/>
          </w:tcPr>
          <w:p w14:paraId="29E70739">
            <w:pPr>
              <w:spacing w:line="300" w:lineRule="exact"/>
              <w:jc w:val="center"/>
              <w:rPr>
                <w:rFonts w:hint="default" w:ascii="Times New Roman" w:hAnsi="Times New Roman" w:eastAsia="华文中宋" w:cs="Times New Roman"/>
                <w:szCs w:val="21"/>
                <w:highlight w:val="none"/>
                <w:lang w:val="en-US" w:eastAsia="zh-CN"/>
              </w:rPr>
            </w:pPr>
          </w:p>
        </w:tc>
        <w:tc>
          <w:tcPr>
            <w:tcW w:w="1338" w:type="dxa"/>
            <w:vMerge w:val="continue"/>
            <w:tcBorders>
              <w:tl2br w:val="nil"/>
              <w:tr2bl w:val="nil"/>
            </w:tcBorders>
            <w:noWrap w:val="0"/>
            <w:vAlign w:val="center"/>
          </w:tcPr>
          <w:p w14:paraId="02C8B6A5">
            <w:pPr>
              <w:spacing w:line="300" w:lineRule="exact"/>
              <w:jc w:val="center"/>
              <w:rPr>
                <w:rFonts w:hint="default" w:ascii="Times New Roman" w:hAnsi="Times New Roman" w:eastAsia="华文中宋" w:cs="Times New Roman"/>
                <w:szCs w:val="21"/>
                <w:highlight w:val="none"/>
              </w:rPr>
            </w:pPr>
          </w:p>
        </w:tc>
        <w:tc>
          <w:tcPr>
            <w:tcW w:w="1535" w:type="dxa"/>
            <w:tcBorders>
              <w:tl2br w:val="nil"/>
              <w:tr2bl w:val="nil"/>
            </w:tcBorders>
            <w:noWrap w:val="0"/>
            <w:vAlign w:val="center"/>
          </w:tcPr>
          <w:p w14:paraId="4F76B3F1">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6</w:t>
            </w:r>
          </w:p>
        </w:tc>
        <w:tc>
          <w:tcPr>
            <w:tcW w:w="1450" w:type="dxa"/>
            <w:tcBorders>
              <w:tl2br w:val="nil"/>
              <w:tr2bl w:val="nil"/>
            </w:tcBorders>
            <w:noWrap w:val="0"/>
            <w:vAlign w:val="center"/>
          </w:tcPr>
          <w:p w14:paraId="54A1F1D3">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0.00</w:t>
            </w:r>
          </w:p>
        </w:tc>
      </w:tr>
      <w:tr w14:paraId="1D7C7E4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391" w:type="dxa"/>
            <w:vMerge w:val="restart"/>
            <w:tcBorders>
              <w:tl2br w:val="nil"/>
              <w:tr2bl w:val="nil"/>
            </w:tcBorders>
            <w:noWrap w:val="0"/>
            <w:vAlign w:val="center"/>
          </w:tcPr>
          <w:p w14:paraId="4D10CDB7">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6</w:t>
            </w:r>
          </w:p>
        </w:tc>
        <w:tc>
          <w:tcPr>
            <w:tcW w:w="669" w:type="dxa"/>
            <w:vMerge w:val="restart"/>
            <w:tcBorders>
              <w:tl2br w:val="nil"/>
              <w:tr2bl w:val="nil"/>
            </w:tcBorders>
            <w:noWrap w:val="0"/>
            <w:vAlign w:val="center"/>
          </w:tcPr>
          <w:p w14:paraId="5273906F">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w:t>
            </w:r>
          </w:p>
        </w:tc>
        <w:tc>
          <w:tcPr>
            <w:tcW w:w="912" w:type="dxa"/>
            <w:vMerge w:val="restart"/>
            <w:tcBorders>
              <w:tl2br w:val="nil"/>
              <w:tr2bl w:val="nil"/>
            </w:tcBorders>
            <w:noWrap w:val="0"/>
            <w:vAlign w:val="center"/>
          </w:tcPr>
          <w:p w14:paraId="07B1B011">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表土堆放场粉尘</w:t>
            </w:r>
          </w:p>
        </w:tc>
        <w:tc>
          <w:tcPr>
            <w:tcW w:w="1211" w:type="dxa"/>
            <w:tcBorders>
              <w:tl2br w:val="nil"/>
              <w:tr2bl w:val="nil"/>
            </w:tcBorders>
            <w:noWrap w:val="0"/>
            <w:vAlign w:val="center"/>
          </w:tcPr>
          <w:p w14:paraId="5698D11C">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颗粒物</w:t>
            </w:r>
          </w:p>
        </w:tc>
        <w:tc>
          <w:tcPr>
            <w:tcW w:w="1016" w:type="dxa"/>
            <w:vMerge w:val="continue"/>
            <w:tcBorders>
              <w:tl2br w:val="nil"/>
              <w:tr2bl w:val="nil"/>
            </w:tcBorders>
            <w:noWrap w:val="0"/>
            <w:vAlign w:val="center"/>
          </w:tcPr>
          <w:p w14:paraId="7798D1FD">
            <w:pPr>
              <w:spacing w:line="300" w:lineRule="exact"/>
              <w:jc w:val="center"/>
              <w:rPr>
                <w:rFonts w:hint="default" w:ascii="Times New Roman" w:hAnsi="Times New Roman" w:eastAsia="华文中宋" w:cs="Times New Roman"/>
                <w:szCs w:val="21"/>
                <w:highlight w:val="none"/>
                <w:lang w:val="en-US" w:eastAsia="zh-CN"/>
              </w:rPr>
            </w:pPr>
          </w:p>
        </w:tc>
        <w:tc>
          <w:tcPr>
            <w:tcW w:w="1338" w:type="dxa"/>
            <w:vMerge w:val="continue"/>
            <w:tcBorders>
              <w:tl2br w:val="nil"/>
              <w:tr2bl w:val="nil"/>
            </w:tcBorders>
            <w:noWrap w:val="0"/>
            <w:vAlign w:val="center"/>
          </w:tcPr>
          <w:p w14:paraId="6D9835F6">
            <w:pPr>
              <w:spacing w:line="300" w:lineRule="exact"/>
              <w:jc w:val="center"/>
              <w:rPr>
                <w:rFonts w:hint="default" w:ascii="Times New Roman" w:hAnsi="Times New Roman" w:eastAsia="华文中宋" w:cs="Times New Roman"/>
                <w:szCs w:val="21"/>
                <w:highlight w:val="none"/>
              </w:rPr>
            </w:pPr>
          </w:p>
        </w:tc>
        <w:tc>
          <w:tcPr>
            <w:tcW w:w="1535" w:type="dxa"/>
            <w:tcBorders>
              <w:tl2br w:val="nil"/>
              <w:tr2bl w:val="nil"/>
            </w:tcBorders>
            <w:noWrap w:val="0"/>
            <w:vAlign w:val="center"/>
          </w:tcPr>
          <w:p w14:paraId="47DB527D">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1000</w:t>
            </w:r>
          </w:p>
        </w:tc>
        <w:tc>
          <w:tcPr>
            <w:tcW w:w="1450" w:type="dxa"/>
            <w:tcBorders>
              <w:tl2br w:val="nil"/>
              <w:tr2bl w:val="nil"/>
            </w:tcBorders>
            <w:noWrap w:val="0"/>
            <w:vAlign w:val="center"/>
          </w:tcPr>
          <w:p w14:paraId="7948FE70">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0.354</w:t>
            </w:r>
          </w:p>
        </w:tc>
      </w:tr>
      <w:tr w14:paraId="2A5CDDB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391" w:type="dxa"/>
            <w:vMerge w:val="continue"/>
            <w:tcBorders>
              <w:tl2br w:val="nil"/>
              <w:tr2bl w:val="nil"/>
            </w:tcBorders>
            <w:noWrap w:val="0"/>
            <w:vAlign w:val="center"/>
          </w:tcPr>
          <w:p w14:paraId="7BE3028D">
            <w:pPr>
              <w:spacing w:line="300" w:lineRule="exact"/>
              <w:jc w:val="center"/>
              <w:rPr>
                <w:rFonts w:hint="default" w:ascii="Times New Roman" w:hAnsi="Times New Roman" w:eastAsia="华文中宋" w:cs="Times New Roman"/>
                <w:szCs w:val="21"/>
                <w:highlight w:val="none"/>
                <w:lang w:val="en-US" w:eastAsia="zh-CN"/>
              </w:rPr>
            </w:pPr>
          </w:p>
        </w:tc>
        <w:tc>
          <w:tcPr>
            <w:tcW w:w="669" w:type="dxa"/>
            <w:vMerge w:val="continue"/>
            <w:tcBorders>
              <w:tl2br w:val="nil"/>
              <w:tr2bl w:val="nil"/>
            </w:tcBorders>
            <w:noWrap w:val="0"/>
            <w:vAlign w:val="center"/>
          </w:tcPr>
          <w:p w14:paraId="2CE2F1E2">
            <w:pPr>
              <w:spacing w:line="300" w:lineRule="exact"/>
              <w:jc w:val="center"/>
              <w:rPr>
                <w:rFonts w:hint="default" w:ascii="Times New Roman" w:hAnsi="Times New Roman" w:eastAsia="华文中宋" w:cs="Times New Roman"/>
                <w:szCs w:val="21"/>
                <w:highlight w:val="none"/>
                <w:lang w:val="en-US" w:eastAsia="zh-CN"/>
              </w:rPr>
            </w:pPr>
          </w:p>
        </w:tc>
        <w:tc>
          <w:tcPr>
            <w:tcW w:w="912" w:type="dxa"/>
            <w:vMerge w:val="continue"/>
            <w:tcBorders>
              <w:tl2br w:val="nil"/>
              <w:tr2bl w:val="nil"/>
            </w:tcBorders>
            <w:noWrap w:val="0"/>
            <w:vAlign w:val="center"/>
          </w:tcPr>
          <w:p w14:paraId="7C955F83">
            <w:pPr>
              <w:spacing w:line="300" w:lineRule="exact"/>
              <w:jc w:val="center"/>
              <w:rPr>
                <w:rFonts w:hint="default" w:ascii="Times New Roman" w:hAnsi="Times New Roman" w:eastAsia="华文中宋" w:cs="Times New Roman"/>
                <w:szCs w:val="21"/>
                <w:highlight w:val="none"/>
                <w:lang w:val="en-US" w:eastAsia="zh-CN"/>
              </w:rPr>
            </w:pPr>
          </w:p>
        </w:tc>
        <w:tc>
          <w:tcPr>
            <w:tcW w:w="1211" w:type="dxa"/>
            <w:tcBorders>
              <w:tl2br w:val="nil"/>
              <w:tr2bl w:val="nil"/>
            </w:tcBorders>
            <w:noWrap w:val="0"/>
            <w:vAlign w:val="center"/>
          </w:tcPr>
          <w:p w14:paraId="20AE9FE5">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铅及其化合物</w:t>
            </w:r>
          </w:p>
        </w:tc>
        <w:tc>
          <w:tcPr>
            <w:tcW w:w="1016" w:type="dxa"/>
            <w:vMerge w:val="continue"/>
            <w:tcBorders>
              <w:tl2br w:val="nil"/>
              <w:tr2bl w:val="nil"/>
            </w:tcBorders>
            <w:noWrap w:val="0"/>
            <w:vAlign w:val="center"/>
          </w:tcPr>
          <w:p w14:paraId="4877F254">
            <w:pPr>
              <w:spacing w:line="300" w:lineRule="exact"/>
              <w:jc w:val="center"/>
              <w:rPr>
                <w:rFonts w:hint="default" w:ascii="Times New Roman" w:hAnsi="Times New Roman" w:eastAsia="华文中宋" w:cs="Times New Roman"/>
                <w:szCs w:val="21"/>
                <w:highlight w:val="none"/>
                <w:lang w:val="en-US" w:eastAsia="zh-CN"/>
              </w:rPr>
            </w:pPr>
          </w:p>
        </w:tc>
        <w:tc>
          <w:tcPr>
            <w:tcW w:w="1338" w:type="dxa"/>
            <w:vMerge w:val="continue"/>
            <w:tcBorders>
              <w:tl2br w:val="nil"/>
              <w:tr2bl w:val="nil"/>
            </w:tcBorders>
            <w:noWrap w:val="0"/>
            <w:vAlign w:val="center"/>
          </w:tcPr>
          <w:p w14:paraId="4BC387FD">
            <w:pPr>
              <w:spacing w:line="300" w:lineRule="exact"/>
              <w:jc w:val="center"/>
              <w:rPr>
                <w:rFonts w:hint="default" w:ascii="Times New Roman" w:hAnsi="Times New Roman" w:eastAsia="华文中宋" w:cs="Times New Roman"/>
                <w:szCs w:val="21"/>
                <w:highlight w:val="none"/>
              </w:rPr>
            </w:pPr>
          </w:p>
        </w:tc>
        <w:tc>
          <w:tcPr>
            <w:tcW w:w="1535" w:type="dxa"/>
            <w:tcBorders>
              <w:tl2br w:val="nil"/>
              <w:tr2bl w:val="nil"/>
            </w:tcBorders>
            <w:noWrap w:val="0"/>
            <w:vAlign w:val="center"/>
          </w:tcPr>
          <w:p w14:paraId="6EFE4D1E">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6</w:t>
            </w:r>
          </w:p>
        </w:tc>
        <w:tc>
          <w:tcPr>
            <w:tcW w:w="1450" w:type="dxa"/>
            <w:tcBorders>
              <w:tl2br w:val="nil"/>
              <w:tr2bl w:val="nil"/>
            </w:tcBorders>
            <w:noWrap w:val="0"/>
            <w:vAlign w:val="center"/>
          </w:tcPr>
          <w:p w14:paraId="12387FD4">
            <w:pPr>
              <w:spacing w:line="300" w:lineRule="exact"/>
              <w:jc w:val="center"/>
              <w:rPr>
                <w:rFonts w:hint="eastAsia" w:ascii="Times New Roman" w:hAnsi="Times New Roman" w:eastAsia="华文中宋" w:cs="Times New Roman"/>
                <w:szCs w:val="21"/>
                <w:highlight w:val="none"/>
                <w:lang w:val="en-US" w:eastAsia="zh-CN"/>
              </w:rPr>
            </w:pPr>
            <w:r>
              <w:rPr>
                <w:rFonts w:hint="eastAsia" w:ascii="Times New Roman" w:hAnsi="Times New Roman" w:cs="Times New Roman"/>
                <w:b w:val="0"/>
                <w:bCs w:val="0"/>
                <w:color w:val="000000"/>
                <w:szCs w:val="22"/>
                <w:highlight w:val="none"/>
                <w:lang w:val="en-US" w:eastAsia="zh-CN" w:bidi="ar"/>
              </w:rPr>
              <w:t>5.93</w:t>
            </w:r>
            <w:r>
              <w:rPr>
                <w:rFonts w:hint="default" w:ascii="Times New Roman" w:hAnsi="Times New Roman" w:cs="Times New Roman"/>
                <w:b w:val="0"/>
                <w:bCs w:val="0"/>
                <w:color w:val="000000"/>
                <w:szCs w:val="22"/>
                <w:highlight w:val="none"/>
                <w:lang w:val="en-US" w:eastAsia="zh-CN" w:bidi="ar"/>
              </w:rPr>
              <w:t>×10</w:t>
            </w:r>
            <w:r>
              <w:rPr>
                <w:rFonts w:hint="default" w:ascii="Times New Roman" w:hAnsi="Times New Roman" w:cs="Times New Roman"/>
                <w:b w:val="0"/>
                <w:bCs w:val="0"/>
                <w:color w:val="000000"/>
                <w:szCs w:val="22"/>
                <w:highlight w:val="none"/>
                <w:vertAlign w:val="superscript"/>
                <w:lang w:val="en-US" w:eastAsia="zh-CN" w:bidi="ar"/>
              </w:rPr>
              <w:t>-6</w:t>
            </w:r>
          </w:p>
        </w:tc>
      </w:tr>
      <w:tr w14:paraId="7F04843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391" w:type="dxa"/>
            <w:vMerge w:val="restart"/>
            <w:tcBorders>
              <w:tl2br w:val="nil"/>
              <w:tr2bl w:val="nil"/>
            </w:tcBorders>
            <w:noWrap w:val="0"/>
            <w:vAlign w:val="center"/>
          </w:tcPr>
          <w:p w14:paraId="26EB4F3B">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7</w:t>
            </w:r>
          </w:p>
        </w:tc>
        <w:tc>
          <w:tcPr>
            <w:tcW w:w="669" w:type="dxa"/>
            <w:vMerge w:val="restart"/>
            <w:tcBorders>
              <w:tl2br w:val="nil"/>
              <w:tr2bl w:val="nil"/>
            </w:tcBorders>
            <w:noWrap w:val="0"/>
            <w:vAlign w:val="center"/>
          </w:tcPr>
          <w:p w14:paraId="2AAEC541">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w:t>
            </w:r>
          </w:p>
        </w:tc>
        <w:tc>
          <w:tcPr>
            <w:tcW w:w="912" w:type="dxa"/>
            <w:vMerge w:val="restart"/>
            <w:tcBorders>
              <w:tl2br w:val="nil"/>
              <w:tr2bl w:val="nil"/>
            </w:tcBorders>
            <w:noWrap w:val="0"/>
            <w:vAlign w:val="center"/>
          </w:tcPr>
          <w:p w14:paraId="3A41DFA4">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矿石转运场粉尘</w:t>
            </w:r>
          </w:p>
        </w:tc>
        <w:tc>
          <w:tcPr>
            <w:tcW w:w="1211" w:type="dxa"/>
            <w:tcBorders>
              <w:tl2br w:val="nil"/>
              <w:tr2bl w:val="nil"/>
            </w:tcBorders>
            <w:noWrap w:val="0"/>
            <w:vAlign w:val="center"/>
          </w:tcPr>
          <w:p w14:paraId="3752795D">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颗粒物</w:t>
            </w:r>
          </w:p>
        </w:tc>
        <w:tc>
          <w:tcPr>
            <w:tcW w:w="1016" w:type="dxa"/>
            <w:vMerge w:val="continue"/>
            <w:tcBorders>
              <w:tl2br w:val="nil"/>
              <w:tr2bl w:val="nil"/>
            </w:tcBorders>
            <w:noWrap w:val="0"/>
            <w:vAlign w:val="center"/>
          </w:tcPr>
          <w:p w14:paraId="0E0529E8">
            <w:pPr>
              <w:spacing w:line="300" w:lineRule="exact"/>
              <w:jc w:val="center"/>
              <w:rPr>
                <w:rFonts w:hint="default" w:ascii="Times New Roman" w:hAnsi="Times New Roman" w:eastAsia="华文中宋" w:cs="Times New Roman"/>
                <w:szCs w:val="21"/>
                <w:highlight w:val="none"/>
                <w:lang w:val="en-US" w:eastAsia="zh-CN"/>
              </w:rPr>
            </w:pPr>
          </w:p>
        </w:tc>
        <w:tc>
          <w:tcPr>
            <w:tcW w:w="1338" w:type="dxa"/>
            <w:vMerge w:val="continue"/>
            <w:tcBorders>
              <w:tl2br w:val="nil"/>
              <w:tr2bl w:val="nil"/>
            </w:tcBorders>
            <w:noWrap w:val="0"/>
            <w:vAlign w:val="center"/>
          </w:tcPr>
          <w:p w14:paraId="79A9613D">
            <w:pPr>
              <w:spacing w:line="300" w:lineRule="exact"/>
              <w:jc w:val="center"/>
              <w:rPr>
                <w:rFonts w:hint="default" w:ascii="Times New Roman" w:hAnsi="Times New Roman" w:eastAsia="华文中宋" w:cs="Times New Roman"/>
                <w:szCs w:val="21"/>
                <w:highlight w:val="none"/>
              </w:rPr>
            </w:pPr>
          </w:p>
        </w:tc>
        <w:tc>
          <w:tcPr>
            <w:tcW w:w="1535" w:type="dxa"/>
            <w:tcBorders>
              <w:tl2br w:val="nil"/>
              <w:tr2bl w:val="nil"/>
            </w:tcBorders>
            <w:noWrap w:val="0"/>
            <w:vAlign w:val="center"/>
          </w:tcPr>
          <w:p w14:paraId="49C71CF2">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1000</w:t>
            </w:r>
          </w:p>
        </w:tc>
        <w:tc>
          <w:tcPr>
            <w:tcW w:w="1450" w:type="dxa"/>
            <w:tcBorders>
              <w:tl2br w:val="nil"/>
              <w:tr2bl w:val="nil"/>
            </w:tcBorders>
            <w:noWrap w:val="0"/>
            <w:vAlign w:val="center"/>
          </w:tcPr>
          <w:p w14:paraId="53BC7694">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0.296</w:t>
            </w:r>
          </w:p>
        </w:tc>
      </w:tr>
      <w:tr w14:paraId="07FB20D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391" w:type="dxa"/>
            <w:vMerge w:val="continue"/>
            <w:tcBorders>
              <w:tl2br w:val="nil"/>
              <w:tr2bl w:val="nil"/>
            </w:tcBorders>
            <w:noWrap w:val="0"/>
            <w:vAlign w:val="center"/>
          </w:tcPr>
          <w:p w14:paraId="5BA9737D">
            <w:pPr>
              <w:spacing w:line="300" w:lineRule="exact"/>
              <w:jc w:val="center"/>
              <w:rPr>
                <w:rFonts w:hint="eastAsia" w:ascii="Times New Roman" w:hAnsi="Times New Roman" w:eastAsia="华文中宋" w:cs="Times New Roman"/>
                <w:szCs w:val="21"/>
                <w:highlight w:val="none"/>
                <w:lang w:val="en-US" w:eastAsia="zh-CN"/>
              </w:rPr>
            </w:pPr>
          </w:p>
        </w:tc>
        <w:tc>
          <w:tcPr>
            <w:tcW w:w="669" w:type="dxa"/>
            <w:vMerge w:val="continue"/>
            <w:tcBorders>
              <w:tl2br w:val="nil"/>
              <w:tr2bl w:val="nil"/>
            </w:tcBorders>
            <w:noWrap w:val="0"/>
            <w:vAlign w:val="center"/>
          </w:tcPr>
          <w:p w14:paraId="27DDD08E">
            <w:pPr>
              <w:spacing w:line="300" w:lineRule="exact"/>
              <w:jc w:val="center"/>
              <w:rPr>
                <w:rFonts w:hint="eastAsia" w:ascii="Times New Roman" w:hAnsi="Times New Roman" w:eastAsia="华文中宋" w:cs="Times New Roman"/>
                <w:szCs w:val="21"/>
                <w:highlight w:val="none"/>
                <w:lang w:val="en-US" w:eastAsia="zh-CN"/>
              </w:rPr>
            </w:pPr>
          </w:p>
        </w:tc>
        <w:tc>
          <w:tcPr>
            <w:tcW w:w="912" w:type="dxa"/>
            <w:vMerge w:val="continue"/>
            <w:tcBorders>
              <w:tl2br w:val="nil"/>
              <w:tr2bl w:val="nil"/>
            </w:tcBorders>
            <w:noWrap w:val="0"/>
            <w:vAlign w:val="center"/>
          </w:tcPr>
          <w:p w14:paraId="0A1A23ED">
            <w:pPr>
              <w:spacing w:line="300" w:lineRule="exact"/>
              <w:jc w:val="center"/>
              <w:rPr>
                <w:rFonts w:hint="eastAsia" w:ascii="Times New Roman" w:hAnsi="Times New Roman" w:eastAsia="华文中宋" w:cs="Times New Roman"/>
                <w:szCs w:val="21"/>
                <w:highlight w:val="none"/>
                <w:lang w:val="en-US" w:eastAsia="zh-CN"/>
              </w:rPr>
            </w:pPr>
          </w:p>
        </w:tc>
        <w:tc>
          <w:tcPr>
            <w:tcW w:w="1211" w:type="dxa"/>
            <w:tcBorders>
              <w:tl2br w:val="nil"/>
              <w:tr2bl w:val="nil"/>
            </w:tcBorders>
            <w:noWrap w:val="0"/>
            <w:vAlign w:val="center"/>
          </w:tcPr>
          <w:p w14:paraId="61A4A7C5">
            <w:pPr>
              <w:spacing w:line="300" w:lineRule="exact"/>
              <w:jc w:val="center"/>
              <w:rPr>
                <w:rFonts w:hint="eastAsia"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铅及其化合物</w:t>
            </w:r>
          </w:p>
        </w:tc>
        <w:tc>
          <w:tcPr>
            <w:tcW w:w="1016" w:type="dxa"/>
            <w:vMerge w:val="continue"/>
            <w:tcBorders>
              <w:tl2br w:val="nil"/>
              <w:tr2bl w:val="nil"/>
            </w:tcBorders>
            <w:noWrap w:val="0"/>
            <w:vAlign w:val="center"/>
          </w:tcPr>
          <w:p w14:paraId="29BB6F59">
            <w:pPr>
              <w:spacing w:line="300" w:lineRule="exact"/>
              <w:jc w:val="center"/>
              <w:rPr>
                <w:rFonts w:hint="default" w:ascii="Times New Roman" w:hAnsi="Times New Roman" w:eastAsia="华文中宋" w:cs="Times New Roman"/>
                <w:szCs w:val="21"/>
                <w:highlight w:val="none"/>
                <w:lang w:val="en-US" w:eastAsia="zh-CN"/>
              </w:rPr>
            </w:pPr>
          </w:p>
        </w:tc>
        <w:tc>
          <w:tcPr>
            <w:tcW w:w="1338" w:type="dxa"/>
            <w:vMerge w:val="continue"/>
            <w:tcBorders>
              <w:tl2br w:val="nil"/>
              <w:tr2bl w:val="nil"/>
            </w:tcBorders>
            <w:noWrap w:val="0"/>
            <w:vAlign w:val="center"/>
          </w:tcPr>
          <w:p w14:paraId="32C216FF">
            <w:pPr>
              <w:spacing w:line="300" w:lineRule="exact"/>
              <w:jc w:val="center"/>
              <w:rPr>
                <w:rFonts w:hint="default" w:ascii="Times New Roman" w:hAnsi="Times New Roman" w:eastAsia="华文中宋" w:cs="Times New Roman"/>
                <w:szCs w:val="21"/>
                <w:highlight w:val="none"/>
              </w:rPr>
            </w:pPr>
          </w:p>
        </w:tc>
        <w:tc>
          <w:tcPr>
            <w:tcW w:w="1535" w:type="dxa"/>
            <w:tcBorders>
              <w:tl2br w:val="nil"/>
              <w:tr2bl w:val="nil"/>
            </w:tcBorders>
            <w:noWrap w:val="0"/>
            <w:vAlign w:val="center"/>
          </w:tcPr>
          <w:p w14:paraId="05A5E72C">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6</w:t>
            </w:r>
          </w:p>
        </w:tc>
        <w:tc>
          <w:tcPr>
            <w:tcW w:w="1450" w:type="dxa"/>
            <w:tcBorders>
              <w:tl2br w:val="nil"/>
              <w:tr2bl w:val="nil"/>
            </w:tcBorders>
            <w:noWrap w:val="0"/>
            <w:vAlign w:val="center"/>
          </w:tcPr>
          <w:p w14:paraId="47202938">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lang w:val="en-US" w:eastAsia="zh-CN"/>
              </w:rPr>
              <w:t>0.003</w:t>
            </w:r>
          </w:p>
        </w:tc>
      </w:tr>
      <w:tr w14:paraId="47384EF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391" w:type="dxa"/>
            <w:vMerge w:val="restart"/>
            <w:tcBorders>
              <w:tl2br w:val="nil"/>
              <w:tr2bl w:val="nil"/>
            </w:tcBorders>
            <w:noWrap w:val="0"/>
            <w:vAlign w:val="center"/>
          </w:tcPr>
          <w:p w14:paraId="58E30519">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8</w:t>
            </w:r>
          </w:p>
        </w:tc>
        <w:tc>
          <w:tcPr>
            <w:tcW w:w="669" w:type="dxa"/>
            <w:vMerge w:val="restart"/>
            <w:tcBorders>
              <w:tl2br w:val="nil"/>
              <w:tr2bl w:val="nil"/>
            </w:tcBorders>
            <w:noWrap w:val="0"/>
            <w:vAlign w:val="center"/>
          </w:tcPr>
          <w:p w14:paraId="3C414EB7">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w:t>
            </w:r>
          </w:p>
        </w:tc>
        <w:tc>
          <w:tcPr>
            <w:tcW w:w="912" w:type="dxa"/>
            <w:vMerge w:val="restart"/>
            <w:tcBorders>
              <w:tl2br w:val="nil"/>
              <w:tr2bl w:val="nil"/>
            </w:tcBorders>
            <w:noWrap w:val="0"/>
            <w:vAlign w:val="center"/>
          </w:tcPr>
          <w:p w14:paraId="6E4465A9">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运输粉尘</w:t>
            </w:r>
          </w:p>
        </w:tc>
        <w:tc>
          <w:tcPr>
            <w:tcW w:w="1211" w:type="dxa"/>
            <w:tcBorders>
              <w:tl2br w:val="nil"/>
              <w:tr2bl w:val="nil"/>
            </w:tcBorders>
            <w:noWrap w:val="0"/>
            <w:vAlign w:val="center"/>
          </w:tcPr>
          <w:p w14:paraId="609C46F0">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颗粒物</w:t>
            </w:r>
          </w:p>
        </w:tc>
        <w:tc>
          <w:tcPr>
            <w:tcW w:w="1016" w:type="dxa"/>
            <w:vMerge w:val="continue"/>
            <w:tcBorders>
              <w:tl2br w:val="nil"/>
              <w:tr2bl w:val="nil"/>
            </w:tcBorders>
            <w:noWrap w:val="0"/>
            <w:vAlign w:val="center"/>
          </w:tcPr>
          <w:p w14:paraId="0DC058A0">
            <w:pPr>
              <w:spacing w:line="300" w:lineRule="exact"/>
              <w:jc w:val="center"/>
              <w:rPr>
                <w:rFonts w:hint="default" w:ascii="Times New Roman" w:hAnsi="Times New Roman" w:eastAsia="华文中宋" w:cs="Times New Roman"/>
                <w:szCs w:val="21"/>
                <w:highlight w:val="none"/>
                <w:lang w:val="en-US" w:eastAsia="zh-CN"/>
              </w:rPr>
            </w:pPr>
          </w:p>
        </w:tc>
        <w:tc>
          <w:tcPr>
            <w:tcW w:w="1338" w:type="dxa"/>
            <w:vMerge w:val="continue"/>
            <w:tcBorders>
              <w:tl2br w:val="nil"/>
              <w:tr2bl w:val="nil"/>
            </w:tcBorders>
            <w:noWrap w:val="0"/>
            <w:vAlign w:val="center"/>
          </w:tcPr>
          <w:p w14:paraId="5C1BFFDE">
            <w:pPr>
              <w:spacing w:line="300" w:lineRule="exact"/>
              <w:jc w:val="center"/>
              <w:rPr>
                <w:rFonts w:hint="default" w:ascii="Times New Roman" w:hAnsi="Times New Roman" w:eastAsia="华文中宋" w:cs="Times New Roman"/>
                <w:szCs w:val="21"/>
                <w:highlight w:val="none"/>
              </w:rPr>
            </w:pPr>
          </w:p>
        </w:tc>
        <w:tc>
          <w:tcPr>
            <w:tcW w:w="1535" w:type="dxa"/>
            <w:tcBorders>
              <w:tl2br w:val="nil"/>
              <w:tr2bl w:val="nil"/>
            </w:tcBorders>
            <w:noWrap w:val="0"/>
            <w:vAlign w:val="center"/>
          </w:tcPr>
          <w:p w14:paraId="0A290547">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1000</w:t>
            </w:r>
          </w:p>
        </w:tc>
        <w:tc>
          <w:tcPr>
            <w:tcW w:w="1450" w:type="dxa"/>
            <w:tcBorders>
              <w:tl2br w:val="nil"/>
              <w:tr2bl w:val="nil"/>
            </w:tcBorders>
            <w:noWrap w:val="0"/>
            <w:vAlign w:val="center"/>
          </w:tcPr>
          <w:p w14:paraId="1B1E6AA2">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0.555</w:t>
            </w:r>
          </w:p>
        </w:tc>
      </w:tr>
      <w:tr w14:paraId="33C2A8E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391" w:type="dxa"/>
            <w:vMerge w:val="continue"/>
            <w:tcBorders>
              <w:tl2br w:val="nil"/>
              <w:tr2bl w:val="nil"/>
            </w:tcBorders>
            <w:noWrap w:val="0"/>
            <w:vAlign w:val="center"/>
          </w:tcPr>
          <w:p w14:paraId="33F84A2F">
            <w:pPr>
              <w:spacing w:line="300" w:lineRule="exact"/>
              <w:jc w:val="center"/>
              <w:rPr>
                <w:rFonts w:hint="default" w:ascii="Times New Roman" w:hAnsi="Times New Roman" w:eastAsia="华文中宋" w:cs="Times New Roman"/>
                <w:szCs w:val="21"/>
                <w:highlight w:val="none"/>
                <w:lang w:val="en-US" w:eastAsia="zh-CN"/>
              </w:rPr>
            </w:pPr>
          </w:p>
        </w:tc>
        <w:tc>
          <w:tcPr>
            <w:tcW w:w="669" w:type="dxa"/>
            <w:vMerge w:val="continue"/>
            <w:tcBorders>
              <w:tl2br w:val="nil"/>
              <w:tr2bl w:val="nil"/>
            </w:tcBorders>
            <w:noWrap w:val="0"/>
            <w:vAlign w:val="center"/>
          </w:tcPr>
          <w:p w14:paraId="702F0219">
            <w:pPr>
              <w:spacing w:line="300" w:lineRule="exact"/>
              <w:jc w:val="center"/>
              <w:rPr>
                <w:rFonts w:hint="default" w:ascii="Times New Roman" w:hAnsi="Times New Roman" w:eastAsia="华文中宋" w:cs="Times New Roman"/>
                <w:szCs w:val="21"/>
                <w:highlight w:val="none"/>
                <w:lang w:val="en-US" w:eastAsia="zh-CN"/>
              </w:rPr>
            </w:pPr>
          </w:p>
        </w:tc>
        <w:tc>
          <w:tcPr>
            <w:tcW w:w="912" w:type="dxa"/>
            <w:vMerge w:val="continue"/>
            <w:tcBorders>
              <w:tl2br w:val="nil"/>
              <w:tr2bl w:val="nil"/>
            </w:tcBorders>
            <w:noWrap w:val="0"/>
            <w:vAlign w:val="center"/>
          </w:tcPr>
          <w:p w14:paraId="0E13AA26">
            <w:pPr>
              <w:spacing w:line="300" w:lineRule="exact"/>
              <w:jc w:val="center"/>
              <w:rPr>
                <w:rFonts w:hint="default" w:ascii="Times New Roman" w:hAnsi="Times New Roman" w:eastAsia="华文中宋" w:cs="Times New Roman"/>
                <w:szCs w:val="21"/>
                <w:highlight w:val="none"/>
                <w:lang w:val="en-US" w:eastAsia="zh-CN"/>
              </w:rPr>
            </w:pPr>
          </w:p>
        </w:tc>
        <w:tc>
          <w:tcPr>
            <w:tcW w:w="1211" w:type="dxa"/>
            <w:tcBorders>
              <w:tl2br w:val="nil"/>
              <w:tr2bl w:val="nil"/>
            </w:tcBorders>
            <w:noWrap w:val="0"/>
            <w:vAlign w:val="center"/>
          </w:tcPr>
          <w:p w14:paraId="45C54FD1">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铅及其化合物</w:t>
            </w:r>
          </w:p>
        </w:tc>
        <w:tc>
          <w:tcPr>
            <w:tcW w:w="1016" w:type="dxa"/>
            <w:vMerge w:val="continue"/>
            <w:tcBorders>
              <w:tl2br w:val="nil"/>
              <w:tr2bl w:val="nil"/>
            </w:tcBorders>
            <w:noWrap w:val="0"/>
            <w:vAlign w:val="center"/>
          </w:tcPr>
          <w:p w14:paraId="0B548902">
            <w:pPr>
              <w:spacing w:line="300" w:lineRule="exact"/>
              <w:jc w:val="center"/>
              <w:rPr>
                <w:rFonts w:hint="default" w:ascii="Times New Roman" w:hAnsi="Times New Roman" w:eastAsia="华文中宋" w:cs="Times New Roman"/>
                <w:szCs w:val="21"/>
                <w:highlight w:val="none"/>
                <w:lang w:val="en-US" w:eastAsia="zh-CN"/>
              </w:rPr>
            </w:pPr>
          </w:p>
        </w:tc>
        <w:tc>
          <w:tcPr>
            <w:tcW w:w="1338" w:type="dxa"/>
            <w:vMerge w:val="continue"/>
            <w:tcBorders>
              <w:tl2br w:val="nil"/>
              <w:tr2bl w:val="nil"/>
            </w:tcBorders>
            <w:noWrap w:val="0"/>
            <w:vAlign w:val="center"/>
          </w:tcPr>
          <w:p w14:paraId="37B411CF">
            <w:pPr>
              <w:spacing w:line="300" w:lineRule="exact"/>
              <w:jc w:val="center"/>
              <w:rPr>
                <w:rFonts w:hint="default" w:ascii="Times New Roman" w:hAnsi="Times New Roman" w:eastAsia="华文中宋" w:cs="Times New Roman"/>
                <w:szCs w:val="21"/>
                <w:highlight w:val="none"/>
              </w:rPr>
            </w:pPr>
          </w:p>
        </w:tc>
        <w:tc>
          <w:tcPr>
            <w:tcW w:w="1535" w:type="dxa"/>
            <w:tcBorders>
              <w:tl2br w:val="nil"/>
              <w:tr2bl w:val="nil"/>
            </w:tcBorders>
            <w:noWrap w:val="0"/>
            <w:vAlign w:val="center"/>
          </w:tcPr>
          <w:p w14:paraId="25E4E57F">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6</w:t>
            </w:r>
          </w:p>
        </w:tc>
        <w:tc>
          <w:tcPr>
            <w:tcW w:w="1450" w:type="dxa"/>
            <w:tcBorders>
              <w:tl2br w:val="nil"/>
              <w:tr2bl w:val="nil"/>
            </w:tcBorders>
            <w:noWrap w:val="0"/>
            <w:vAlign w:val="center"/>
          </w:tcPr>
          <w:p w14:paraId="435A9483">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lang w:eastAsia="zh-CN"/>
              </w:rPr>
              <w:t>0.</w:t>
            </w:r>
            <w:r>
              <w:rPr>
                <w:rFonts w:hint="eastAsia" w:ascii="Times New Roman" w:hAnsi="Times New Roman" w:eastAsia="华文中宋" w:cs="Times New Roman"/>
                <w:szCs w:val="21"/>
                <w:lang w:val="en-US" w:eastAsia="zh-CN"/>
              </w:rPr>
              <w:t>004</w:t>
            </w:r>
          </w:p>
        </w:tc>
      </w:tr>
      <w:tr w14:paraId="644316C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391" w:type="dxa"/>
            <w:vMerge w:val="restart"/>
            <w:tcBorders>
              <w:tl2br w:val="nil"/>
              <w:tr2bl w:val="nil"/>
            </w:tcBorders>
            <w:noWrap w:val="0"/>
            <w:vAlign w:val="center"/>
          </w:tcPr>
          <w:p w14:paraId="2F5B3DD6">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9</w:t>
            </w:r>
          </w:p>
        </w:tc>
        <w:tc>
          <w:tcPr>
            <w:tcW w:w="669" w:type="dxa"/>
            <w:vMerge w:val="restart"/>
            <w:tcBorders>
              <w:tl2br w:val="nil"/>
              <w:tr2bl w:val="nil"/>
            </w:tcBorders>
            <w:noWrap w:val="0"/>
            <w:vAlign w:val="center"/>
          </w:tcPr>
          <w:p w14:paraId="70C0C46C">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w:t>
            </w:r>
          </w:p>
        </w:tc>
        <w:tc>
          <w:tcPr>
            <w:tcW w:w="912" w:type="dxa"/>
            <w:vMerge w:val="restart"/>
            <w:tcBorders>
              <w:tl2br w:val="nil"/>
              <w:tr2bl w:val="nil"/>
            </w:tcBorders>
            <w:noWrap w:val="0"/>
            <w:vAlign w:val="center"/>
          </w:tcPr>
          <w:p w14:paraId="0B87E949">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燃油废气</w:t>
            </w:r>
          </w:p>
        </w:tc>
        <w:tc>
          <w:tcPr>
            <w:tcW w:w="1211" w:type="dxa"/>
            <w:tcBorders>
              <w:tl2br w:val="nil"/>
              <w:tr2bl w:val="nil"/>
            </w:tcBorders>
            <w:noWrap w:val="0"/>
            <w:vAlign w:val="center"/>
          </w:tcPr>
          <w:p w14:paraId="712A03CF">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烟尘</w:t>
            </w:r>
          </w:p>
        </w:tc>
        <w:tc>
          <w:tcPr>
            <w:tcW w:w="1016" w:type="dxa"/>
            <w:vMerge w:val="continue"/>
            <w:tcBorders>
              <w:tl2br w:val="nil"/>
              <w:tr2bl w:val="nil"/>
            </w:tcBorders>
            <w:noWrap w:val="0"/>
            <w:vAlign w:val="center"/>
          </w:tcPr>
          <w:p w14:paraId="389718CD">
            <w:pPr>
              <w:spacing w:line="300" w:lineRule="exact"/>
              <w:jc w:val="center"/>
              <w:rPr>
                <w:rFonts w:hint="default" w:ascii="Times New Roman" w:hAnsi="Times New Roman" w:eastAsia="华文中宋" w:cs="Times New Roman"/>
                <w:szCs w:val="21"/>
                <w:highlight w:val="none"/>
                <w:lang w:val="en-US" w:eastAsia="zh-CN"/>
              </w:rPr>
            </w:pPr>
          </w:p>
        </w:tc>
        <w:tc>
          <w:tcPr>
            <w:tcW w:w="1338" w:type="dxa"/>
            <w:vMerge w:val="continue"/>
            <w:tcBorders>
              <w:tl2br w:val="nil"/>
              <w:tr2bl w:val="nil"/>
            </w:tcBorders>
            <w:noWrap w:val="0"/>
            <w:vAlign w:val="center"/>
          </w:tcPr>
          <w:p w14:paraId="0B6CCF34">
            <w:pPr>
              <w:spacing w:line="300" w:lineRule="exact"/>
              <w:jc w:val="center"/>
              <w:rPr>
                <w:rFonts w:hint="default" w:ascii="Times New Roman" w:hAnsi="Times New Roman" w:eastAsia="华文中宋" w:cs="Times New Roman"/>
                <w:szCs w:val="21"/>
                <w:highlight w:val="none"/>
              </w:rPr>
            </w:pPr>
          </w:p>
        </w:tc>
        <w:tc>
          <w:tcPr>
            <w:tcW w:w="1535" w:type="dxa"/>
            <w:vMerge w:val="restart"/>
            <w:tcBorders>
              <w:tl2br w:val="nil"/>
              <w:tr2bl w:val="nil"/>
            </w:tcBorders>
            <w:noWrap w:val="0"/>
            <w:vAlign w:val="center"/>
          </w:tcPr>
          <w:p w14:paraId="3794E257">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w:t>
            </w:r>
          </w:p>
        </w:tc>
        <w:tc>
          <w:tcPr>
            <w:tcW w:w="1450" w:type="dxa"/>
            <w:tcBorders>
              <w:tl2br w:val="nil"/>
              <w:tr2bl w:val="nil"/>
            </w:tcBorders>
            <w:noWrap w:val="0"/>
            <w:vAlign w:val="center"/>
          </w:tcPr>
          <w:p w14:paraId="3862DAA6">
            <w:pPr>
              <w:spacing w:line="300" w:lineRule="exact"/>
              <w:jc w:val="center"/>
              <w:rPr>
                <w:rFonts w:hint="default" w:ascii="Times New Roman" w:hAnsi="Times New Roman" w:eastAsia="华文中宋" w:cs="Times New Roman"/>
                <w:szCs w:val="21"/>
                <w:lang w:eastAsia="zh-CN"/>
              </w:rPr>
            </w:pPr>
            <w:r>
              <w:rPr>
                <w:rFonts w:hint="eastAsia" w:ascii="Times New Roman" w:hAnsi="Times New Roman" w:eastAsia="华文中宋" w:cs="Times New Roman"/>
                <w:szCs w:val="21"/>
                <w:lang w:val="en-US" w:eastAsia="zh-CN"/>
              </w:rPr>
              <w:t>0.675</w:t>
            </w:r>
          </w:p>
        </w:tc>
      </w:tr>
      <w:tr w14:paraId="6B0BAA7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391" w:type="dxa"/>
            <w:vMerge w:val="continue"/>
            <w:tcBorders>
              <w:tl2br w:val="nil"/>
              <w:tr2bl w:val="nil"/>
            </w:tcBorders>
            <w:noWrap w:val="0"/>
            <w:vAlign w:val="center"/>
          </w:tcPr>
          <w:p w14:paraId="2B0E1CCA">
            <w:pPr>
              <w:spacing w:line="300" w:lineRule="exact"/>
              <w:jc w:val="center"/>
              <w:rPr>
                <w:rFonts w:hint="default" w:ascii="Times New Roman" w:hAnsi="Times New Roman" w:eastAsia="华文中宋" w:cs="Times New Roman"/>
                <w:szCs w:val="21"/>
                <w:highlight w:val="none"/>
                <w:lang w:val="en-US" w:eastAsia="zh-CN"/>
              </w:rPr>
            </w:pPr>
          </w:p>
        </w:tc>
        <w:tc>
          <w:tcPr>
            <w:tcW w:w="669" w:type="dxa"/>
            <w:vMerge w:val="continue"/>
            <w:tcBorders>
              <w:tl2br w:val="nil"/>
              <w:tr2bl w:val="nil"/>
            </w:tcBorders>
            <w:noWrap w:val="0"/>
            <w:vAlign w:val="center"/>
          </w:tcPr>
          <w:p w14:paraId="6C8BB4D0">
            <w:pPr>
              <w:spacing w:line="300" w:lineRule="exact"/>
              <w:jc w:val="center"/>
              <w:rPr>
                <w:rFonts w:hint="default" w:ascii="Times New Roman" w:hAnsi="Times New Roman" w:eastAsia="华文中宋" w:cs="Times New Roman"/>
                <w:szCs w:val="21"/>
                <w:highlight w:val="none"/>
                <w:lang w:val="en-US" w:eastAsia="zh-CN"/>
              </w:rPr>
            </w:pPr>
          </w:p>
        </w:tc>
        <w:tc>
          <w:tcPr>
            <w:tcW w:w="912" w:type="dxa"/>
            <w:vMerge w:val="continue"/>
            <w:tcBorders>
              <w:tl2br w:val="nil"/>
              <w:tr2bl w:val="nil"/>
            </w:tcBorders>
            <w:noWrap w:val="0"/>
            <w:vAlign w:val="center"/>
          </w:tcPr>
          <w:p w14:paraId="64DD553E">
            <w:pPr>
              <w:spacing w:line="300" w:lineRule="exact"/>
              <w:jc w:val="center"/>
              <w:rPr>
                <w:rFonts w:hint="default" w:ascii="Times New Roman" w:hAnsi="Times New Roman" w:eastAsia="华文中宋" w:cs="Times New Roman"/>
                <w:szCs w:val="21"/>
                <w:highlight w:val="none"/>
                <w:lang w:val="en-US" w:eastAsia="zh-CN"/>
              </w:rPr>
            </w:pPr>
          </w:p>
        </w:tc>
        <w:tc>
          <w:tcPr>
            <w:tcW w:w="1211" w:type="dxa"/>
            <w:tcBorders>
              <w:tl2br w:val="nil"/>
              <w:tr2bl w:val="nil"/>
            </w:tcBorders>
            <w:noWrap w:val="0"/>
            <w:vAlign w:val="center"/>
          </w:tcPr>
          <w:p w14:paraId="5FDB21CB">
            <w:pPr>
              <w:spacing w:line="300" w:lineRule="exact"/>
              <w:jc w:val="center"/>
              <w:rPr>
                <w:rFonts w:hint="eastAsia"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NOx</w:t>
            </w:r>
          </w:p>
        </w:tc>
        <w:tc>
          <w:tcPr>
            <w:tcW w:w="1016" w:type="dxa"/>
            <w:vMerge w:val="continue"/>
            <w:tcBorders>
              <w:tl2br w:val="nil"/>
              <w:tr2bl w:val="nil"/>
            </w:tcBorders>
            <w:noWrap w:val="0"/>
            <w:vAlign w:val="center"/>
          </w:tcPr>
          <w:p w14:paraId="6C8E4DA1">
            <w:pPr>
              <w:spacing w:line="300" w:lineRule="exact"/>
              <w:jc w:val="center"/>
              <w:rPr>
                <w:rFonts w:hint="default" w:ascii="Times New Roman" w:hAnsi="Times New Roman" w:eastAsia="华文中宋" w:cs="Times New Roman"/>
                <w:szCs w:val="21"/>
                <w:highlight w:val="none"/>
                <w:lang w:val="en-US" w:eastAsia="zh-CN"/>
              </w:rPr>
            </w:pPr>
          </w:p>
        </w:tc>
        <w:tc>
          <w:tcPr>
            <w:tcW w:w="1338" w:type="dxa"/>
            <w:vMerge w:val="continue"/>
            <w:tcBorders>
              <w:tl2br w:val="nil"/>
              <w:tr2bl w:val="nil"/>
            </w:tcBorders>
            <w:noWrap w:val="0"/>
            <w:vAlign w:val="center"/>
          </w:tcPr>
          <w:p w14:paraId="1C0172B8">
            <w:pPr>
              <w:spacing w:line="300" w:lineRule="exact"/>
              <w:jc w:val="center"/>
              <w:rPr>
                <w:rFonts w:hint="default" w:ascii="Times New Roman" w:hAnsi="Times New Roman" w:eastAsia="华文中宋" w:cs="Times New Roman"/>
                <w:szCs w:val="21"/>
                <w:highlight w:val="none"/>
              </w:rPr>
            </w:pPr>
          </w:p>
        </w:tc>
        <w:tc>
          <w:tcPr>
            <w:tcW w:w="1535" w:type="dxa"/>
            <w:vMerge w:val="continue"/>
            <w:tcBorders>
              <w:tl2br w:val="nil"/>
              <w:tr2bl w:val="nil"/>
            </w:tcBorders>
            <w:noWrap w:val="0"/>
            <w:vAlign w:val="center"/>
          </w:tcPr>
          <w:p w14:paraId="41F99835">
            <w:pPr>
              <w:spacing w:line="300" w:lineRule="exact"/>
              <w:jc w:val="center"/>
              <w:rPr>
                <w:rFonts w:hint="eastAsia" w:ascii="Times New Roman" w:hAnsi="Times New Roman" w:eastAsia="华文中宋" w:cs="Times New Roman"/>
                <w:szCs w:val="21"/>
                <w:highlight w:val="none"/>
                <w:lang w:val="en-US" w:eastAsia="zh-CN"/>
              </w:rPr>
            </w:pPr>
          </w:p>
        </w:tc>
        <w:tc>
          <w:tcPr>
            <w:tcW w:w="1450" w:type="dxa"/>
            <w:tcBorders>
              <w:tl2br w:val="nil"/>
              <w:tr2bl w:val="nil"/>
            </w:tcBorders>
            <w:noWrap w:val="0"/>
            <w:vAlign w:val="center"/>
          </w:tcPr>
          <w:p w14:paraId="5FF2AC37">
            <w:pPr>
              <w:spacing w:line="300" w:lineRule="exact"/>
              <w:jc w:val="center"/>
              <w:rPr>
                <w:rFonts w:hint="default" w:ascii="Times New Roman" w:hAnsi="Times New Roman" w:eastAsia="华文中宋" w:cs="Times New Roman"/>
                <w:szCs w:val="21"/>
                <w:lang w:eastAsia="zh-CN"/>
              </w:rPr>
            </w:pPr>
            <w:r>
              <w:rPr>
                <w:rFonts w:hint="eastAsia" w:ascii="Times New Roman" w:hAnsi="Times New Roman" w:eastAsia="华文中宋" w:cs="Times New Roman"/>
                <w:szCs w:val="21"/>
                <w:lang w:val="en-US" w:eastAsia="zh-CN"/>
              </w:rPr>
              <w:t>2.420</w:t>
            </w:r>
          </w:p>
        </w:tc>
      </w:tr>
      <w:tr w14:paraId="0A85FA0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391" w:type="dxa"/>
            <w:vMerge w:val="continue"/>
            <w:tcBorders>
              <w:tl2br w:val="nil"/>
              <w:tr2bl w:val="nil"/>
            </w:tcBorders>
            <w:noWrap w:val="0"/>
            <w:vAlign w:val="center"/>
          </w:tcPr>
          <w:p w14:paraId="0011E5CC">
            <w:pPr>
              <w:spacing w:line="300" w:lineRule="exact"/>
              <w:jc w:val="center"/>
              <w:rPr>
                <w:rFonts w:hint="default" w:ascii="Times New Roman" w:hAnsi="Times New Roman" w:eastAsia="华文中宋" w:cs="Times New Roman"/>
                <w:szCs w:val="21"/>
                <w:highlight w:val="none"/>
                <w:lang w:val="en-US" w:eastAsia="zh-CN"/>
              </w:rPr>
            </w:pPr>
          </w:p>
        </w:tc>
        <w:tc>
          <w:tcPr>
            <w:tcW w:w="669" w:type="dxa"/>
            <w:vMerge w:val="continue"/>
            <w:tcBorders>
              <w:tl2br w:val="nil"/>
              <w:tr2bl w:val="nil"/>
            </w:tcBorders>
            <w:noWrap w:val="0"/>
            <w:vAlign w:val="center"/>
          </w:tcPr>
          <w:p w14:paraId="19DF539D">
            <w:pPr>
              <w:spacing w:line="300" w:lineRule="exact"/>
              <w:jc w:val="center"/>
              <w:rPr>
                <w:rFonts w:hint="default" w:ascii="Times New Roman" w:hAnsi="Times New Roman" w:eastAsia="华文中宋" w:cs="Times New Roman"/>
                <w:szCs w:val="21"/>
                <w:highlight w:val="none"/>
                <w:lang w:val="en-US" w:eastAsia="zh-CN"/>
              </w:rPr>
            </w:pPr>
          </w:p>
        </w:tc>
        <w:tc>
          <w:tcPr>
            <w:tcW w:w="912" w:type="dxa"/>
            <w:vMerge w:val="continue"/>
            <w:tcBorders>
              <w:tl2br w:val="nil"/>
              <w:tr2bl w:val="nil"/>
            </w:tcBorders>
            <w:noWrap w:val="0"/>
            <w:vAlign w:val="center"/>
          </w:tcPr>
          <w:p w14:paraId="0853A6C0">
            <w:pPr>
              <w:spacing w:line="300" w:lineRule="exact"/>
              <w:jc w:val="center"/>
              <w:rPr>
                <w:rFonts w:hint="default" w:ascii="Times New Roman" w:hAnsi="Times New Roman" w:eastAsia="华文中宋" w:cs="Times New Roman"/>
                <w:szCs w:val="21"/>
                <w:highlight w:val="none"/>
                <w:lang w:val="en-US" w:eastAsia="zh-CN"/>
              </w:rPr>
            </w:pPr>
          </w:p>
        </w:tc>
        <w:tc>
          <w:tcPr>
            <w:tcW w:w="1211" w:type="dxa"/>
            <w:tcBorders>
              <w:tl2br w:val="nil"/>
              <w:tr2bl w:val="nil"/>
            </w:tcBorders>
            <w:noWrap w:val="0"/>
            <w:vAlign w:val="center"/>
          </w:tcPr>
          <w:p w14:paraId="4A20581E">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SO</w:t>
            </w:r>
            <w:r>
              <w:rPr>
                <w:rFonts w:hint="eastAsia" w:ascii="Times New Roman" w:hAnsi="Times New Roman" w:eastAsia="华文中宋" w:cs="Times New Roman"/>
                <w:szCs w:val="21"/>
                <w:highlight w:val="none"/>
                <w:vertAlign w:val="subscript"/>
                <w:lang w:val="en-US" w:eastAsia="zh-CN"/>
              </w:rPr>
              <w:t>2</w:t>
            </w:r>
          </w:p>
        </w:tc>
        <w:tc>
          <w:tcPr>
            <w:tcW w:w="1016" w:type="dxa"/>
            <w:vMerge w:val="continue"/>
            <w:tcBorders>
              <w:tl2br w:val="nil"/>
              <w:tr2bl w:val="nil"/>
            </w:tcBorders>
            <w:noWrap w:val="0"/>
            <w:vAlign w:val="center"/>
          </w:tcPr>
          <w:p w14:paraId="6C2088C4">
            <w:pPr>
              <w:spacing w:line="300" w:lineRule="exact"/>
              <w:jc w:val="center"/>
              <w:rPr>
                <w:rFonts w:hint="default" w:ascii="Times New Roman" w:hAnsi="Times New Roman" w:eastAsia="华文中宋" w:cs="Times New Roman"/>
                <w:szCs w:val="21"/>
                <w:highlight w:val="none"/>
                <w:lang w:val="en-US" w:eastAsia="zh-CN"/>
              </w:rPr>
            </w:pPr>
          </w:p>
        </w:tc>
        <w:tc>
          <w:tcPr>
            <w:tcW w:w="1338" w:type="dxa"/>
            <w:vMerge w:val="continue"/>
            <w:tcBorders>
              <w:tl2br w:val="nil"/>
              <w:tr2bl w:val="nil"/>
            </w:tcBorders>
            <w:noWrap w:val="0"/>
            <w:vAlign w:val="center"/>
          </w:tcPr>
          <w:p w14:paraId="3EA97955">
            <w:pPr>
              <w:spacing w:line="300" w:lineRule="exact"/>
              <w:jc w:val="center"/>
              <w:rPr>
                <w:rFonts w:hint="default" w:ascii="Times New Roman" w:hAnsi="Times New Roman" w:eastAsia="华文中宋" w:cs="Times New Roman"/>
                <w:szCs w:val="21"/>
                <w:highlight w:val="none"/>
              </w:rPr>
            </w:pPr>
          </w:p>
        </w:tc>
        <w:tc>
          <w:tcPr>
            <w:tcW w:w="1535" w:type="dxa"/>
            <w:vMerge w:val="continue"/>
            <w:tcBorders>
              <w:tl2br w:val="nil"/>
              <w:tr2bl w:val="nil"/>
            </w:tcBorders>
            <w:noWrap w:val="0"/>
            <w:vAlign w:val="center"/>
          </w:tcPr>
          <w:p w14:paraId="0651DDA9">
            <w:pPr>
              <w:spacing w:line="300" w:lineRule="exact"/>
              <w:jc w:val="center"/>
              <w:rPr>
                <w:rFonts w:hint="eastAsia" w:ascii="Times New Roman" w:hAnsi="Times New Roman" w:eastAsia="华文中宋" w:cs="Times New Roman"/>
                <w:szCs w:val="21"/>
                <w:highlight w:val="none"/>
                <w:lang w:val="en-US" w:eastAsia="zh-CN"/>
              </w:rPr>
            </w:pPr>
          </w:p>
        </w:tc>
        <w:tc>
          <w:tcPr>
            <w:tcW w:w="1450" w:type="dxa"/>
            <w:tcBorders>
              <w:tl2br w:val="nil"/>
              <w:tr2bl w:val="nil"/>
            </w:tcBorders>
            <w:noWrap w:val="0"/>
            <w:vAlign w:val="center"/>
          </w:tcPr>
          <w:p w14:paraId="22E16C58">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val="en-US" w:eastAsia="zh-CN"/>
              </w:rPr>
              <w:t>3.</w:t>
            </w:r>
            <w:r>
              <w:rPr>
                <w:rFonts w:hint="eastAsia" w:ascii="Times New Roman" w:hAnsi="Times New Roman" w:eastAsia="华文中宋" w:cs="Times New Roman"/>
                <w:szCs w:val="21"/>
                <w:lang w:val="en-US" w:eastAsia="zh-CN"/>
              </w:rPr>
              <w:t>781</w:t>
            </w:r>
          </w:p>
        </w:tc>
      </w:tr>
      <w:tr w14:paraId="50B8840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75" w:hRule="atLeast"/>
        </w:trPr>
        <w:tc>
          <w:tcPr>
            <w:tcW w:w="8522" w:type="dxa"/>
            <w:gridSpan w:val="8"/>
            <w:tcBorders>
              <w:tl2br w:val="nil"/>
              <w:tr2bl w:val="nil"/>
            </w:tcBorders>
            <w:noWrap w:val="0"/>
            <w:vAlign w:val="center"/>
          </w:tcPr>
          <w:p w14:paraId="7D1E5878">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eastAsia="zh-CN"/>
              </w:rPr>
              <w:t>无组织排放总计</w:t>
            </w:r>
          </w:p>
        </w:tc>
      </w:tr>
      <w:tr w14:paraId="21E9167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3183" w:type="dxa"/>
            <w:gridSpan w:val="4"/>
            <w:vMerge w:val="restart"/>
            <w:tcBorders>
              <w:tl2br w:val="nil"/>
              <w:tr2bl w:val="nil"/>
            </w:tcBorders>
            <w:noWrap w:val="0"/>
            <w:vAlign w:val="center"/>
          </w:tcPr>
          <w:p w14:paraId="6464D4E2">
            <w:pPr>
              <w:spacing w:line="300" w:lineRule="exact"/>
              <w:jc w:val="center"/>
              <w:rPr>
                <w:rFonts w:hint="default" w:ascii="Times New Roman" w:hAnsi="Times New Roman" w:eastAsia="华文中宋" w:cs="Times New Roman"/>
                <w:szCs w:val="21"/>
                <w:highlight w:val="none"/>
                <w:lang w:eastAsia="zh-CN"/>
              </w:rPr>
            </w:pPr>
            <w:r>
              <w:rPr>
                <w:rFonts w:hint="default" w:ascii="Times New Roman" w:hAnsi="Times New Roman" w:eastAsia="华文中宋" w:cs="Times New Roman"/>
                <w:szCs w:val="21"/>
                <w:highlight w:val="none"/>
                <w:lang w:eastAsia="zh-CN"/>
              </w:rPr>
              <w:t>无组织排放总计</w:t>
            </w:r>
          </w:p>
        </w:tc>
        <w:tc>
          <w:tcPr>
            <w:tcW w:w="2354" w:type="dxa"/>
            <w:gridSpan w:val="2"/>
            <w:tcBorders>
              <w:tl2br w:val="nil"/>
              <w:tr2bl w:val="nil"/>
            </w:tcBorders>
            <w:noWrap w:val="0"/>
            <w:vAlign w:val="center"/>
          </w:tcPr>
          <w:p w14:paraId="7FDCCBA9">
            <w:pPr>
              <w:spacing w:line="300" w:lineRule="exact"/>
              <w:jc w:val="center"/>
              <w:rPr>
                <w:rFonts w:hint="default" w:ascii="Times New Roman" w:hAnsi="Times New Roman" w:eastAsia="华文中宋" w:cs="Times New Roman"/>
                <w:szCs w:val="21"/>
                <w:highlight w:val="none"/>
              </w:rPr>
            </w:pPr>
            <w:r>
              <w:rPr>
                <w:rFonts w:hint="default" w:ascii="Times New Roman" w:hAnsi="Times New Roman" w:eastAsia="华文中宋" w:cs="Times New Roman"/>
                <w:szCs w:val="21"/>
                <w:highlight w:val="none"/>
                <w:lang w:eastAsia="zh-CN"/>
              </w:rPr>
              <w:t>颗粒物</w:t>
            </w:r>
          </w:p>
        </w:tc>
        <w:tc>
          <w:tcPr>
            <w:tcW w:w="2985" w:type="dxa"/>
            <w:gridSpan w:val="2"/>
            <w:tcBorders>
              <w:tl2br w:val="nil"/>
              <w:tr2bl w:val="nil"/>
            </w:tcBorders>
            <w:noWrap w:val="0"/>
            <w:vAlign w:val="center"/>
          </w:tcPr>
          <w:p w14:paraId="057993F3">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4.731</w:t>
            </w:r>
            <w:r>
              <w:rPr>
                <w:rFonts w:hint="default" w:ascii="Times New Roman" w:hAnsi="Times New Roman" w:eastAsia="华文中宋" w:cs="Times New Roman"/>
                <w:szCs w:val="21"/>
                <w:highlight w:val="none"/>
                <w:lang w:val="en-US" w:eastAsia="zh-CN"/>
              </w:rPr>
              <w:t>t/a</w:t>
            </w:r>
          </w:p>
        </w:tc>
      </w:tr>
      <w:tr w14:paraId="1117D9E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3183" w:type="dxa"/>
            <w:gridSpan w:val="4"/>
            <w:vMerge w:val="continue"/>
            <w:tcBorders>
              <w:tl2br w:val="nil"/>
              <w:tr2bl w:val="nil"/>
            </w:tcBorders>
            <w:noWrap w:val="0"/>
            <w:vAlign w:val="center"/>
          </w:tcPr>
          <w:p w14:paraId="2DF5BECD">
            <w:pPr>
              <w:spacing w:line="300" w:lineRule="exact"/>
              <w:jc w:val="center"/>
              <w:rPr>
                <w:rFonts w:hint="default" w:ascii="Times New Roman" w:hAnsi="Times New Roman" w:eastAsia="华文中宋" w:cs="Times New Roman"/>
                <w:szCs w:val="21"/>
                <w:highlight w:val="none"/>
                <w:lang w:eastAsia="zh-CN"/>
              </w:rPr>
            </w:pPr>
          </w:p>
        </w:tc>
        <w:tc>
          <w:tcPr>
            <w:tcW w:w="2354" w:type="dxa"/>
            <w:gridSpan w:val="2"/>
            <w:tcBorders>
              <w:tl2br w:val="nil"/>
              <w:tr2bl w:val="nil"/>
            </w:tcBorders>
            <w:noWrap w:val="0"/>
            <w:vAlign w:val="center"/>
          </w:tcPr>
          <w:p w14:paraId="79047A77">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铅及其化合物</w:t>
            </w:r>
          </w:p>
        </w:tc>
        <w:tc>
          <w:tcPr>
            <w:tcW w:w="2985" w:type="dxa"/>
            <w:gridSpan w:val="2"/>
            <w:tcBorders>
              <w:tl2br w:val="nil"/>
              <w:tr2bl w:val="nil"/>
            </w:tcBorders>
            <w:noWrap w:val="0"/>
            <w:vAlign w:val="center"/>
          </w:tcPr>
          <w:p w14:paraId="6AE5B8F3">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0.024t/a</w:t>
            </w:r>
          </w:p>
        </w:tc>
      </w:tr>
      <w:tr w14:paraId="0EC25BC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3183" w:type="dxa"/>
            <w:gridSpan w:val="4"/>
            <w:vMerge w:val="continue"/>
            <w:tcBorders>
              <w:tl2br w:val="nil"/>
              <w:tr2bl w:val="nil"/>
            </w:tcBorders>
            <w:noWrap w:val="0"/>
            <w:vAlign w:val="center"/>
          </w:tcPr>
          <w:p w14:paraId="5F6C769B">
            <w:pPr>
              <w:spacing w:line="300" w:lineRule="exact"/>
              <w:jc w:val="center"/>
              <w:rPr>
                <w:rFonts w:hint="default" w:ascii="Times New Roman" w:hAnsi="Times New Roman" w:eastAsia="华文中宋" w:cs="Times New Roman"/>
                <w:szCs w:val="21"/>
                <w:highlight w:val="none"/>
                <w:lang w:eastAsia="zh-CN"/>
              </w:rPr>
            </w:pPr>
          </w:p>
        </w:tc>
        <w:tc>
          <w:tcPr>
            <w:tcW w:w="2354" w:type="dxa"/>
            <w:gridSpan w:val="2"/>
            <w:tcBorders>
              <w:tl2br w:val="nil"/>
              <w:tr2bl w:val="nil"/>
            </w:tcBorders>
            <w:noWrap w:val="0"/>
            <w:vAlign w:val="center"/>
          </w:tcPr>
          <w:p w14:paraId="44320603">
            <w:pPr>
              <w:spacing w:line="300" w:lineRule="exact"/>
              <w:jc w:val="center"/>
              <w:rPr>
                <w:rFonts w:hint="eastAsia"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NOx</w:t>
            </w:r>
          </w:p>
        </w:tc>
        <w:tc>
          <w:tcPr>
            <w:tcW w:w="2985" w:type="dxa"/>
            <w:gridSpan w:val="2"/>
            <w:tcBorders>
              <w:tl2br w:val="nil"/>
              <w:tr2bl w:val="nil"/>
            </w:tcBorders>
            <w:noWrap w:val="0"/>
            <w:vAlign w:val="center"/>
          </w:tcPr>
          <w:p w14:paraId="08512D82">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7.273t/a</w:t>
            </w:r>
          </w:p>
        </w:tc>
      </w:tr>
      <w:tr w14:paraId="24A908F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3183" w:type="dxa"/>
            <w:gridSpan w:val="4"/>
            <w:vMerge w:val="continue"/>
            <w:tcBorders>
              <w:tl2br w:val="nil"/>
              <w:tr2bl w:val="nil"/>
            </w:tcBorders>
            <w:noWrap w:val="0"/>
            <w:vAlign w:val="center"/>
          </w:tcPr>
          <w:p w14:paraId="0A43C6E5">
            <w:pPr>
              <w:spacing w:line="300" w:lineRule="exact"/>
              <w:jc w:val="center"/>
              <w:rPr>
                <w:rFonts w:hint="default" w:ascii="Times New Roman" w:hAnsi="Times New Roman" w:eastAsia="华文中宋" w:cs="Times New Roman"/>
                <w:szCs w:val="21"/>
                <w:highlight w:val="none"/>
                <w:lang w:eastAsia="zh-CN"/>
              </w:rPr>
            </w:pPr>
          </w:p>
        </w:tc>
        <w:tc>
          <w:tcPr>
            <w:tcW w:w="2354" w:type="dxa"/>
            <w:gridSpan w:val="2"/>
            <w:tcBorders>
              <w:tl2br w:val="nil"/>
              <w:tr2bl w:val="nil"/>
            </w:tcBorders>
            <w:noWrap w:val="0"/>
            <w:vAlign w:val="center"/>
          </w:tcPr>
          <w:p w14:paraId="17B1B632">
            <w:pPr>
              <w:spacing w:line="300" w:lineRule="exact"/>
              <w:jc w:val="center"/>
              <w:rPr>
                <w:rFonts w:hint="eastAsia"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SO</w:t>
            </w:r>
            <w:r>
              <w:rPr>
                <w:rFonts w:hint="eastAsia" w:ascii="Times New Roman" w:hAnsi="Times New Roman" w:eastAsia="华文中宋" w:cs="Times New Roman"/>
                <w:szCs w:val="21"/>
                <w:highlight w:val="none"/>
                <w:vertAlign w:val="subscript"/>
                <w:lang w:val="en-US" w:eastAsia="zh-CN"/>
              </w:rPr>
              <w:t>2</w:t>
            </w:r>
          </w:p>
        </w:tc>
        <w:tc>
          <w:tcPr>
            <w:tcW w:w="2985" w:type="dxa"/>
            <w:gridSpan w:val="2"/>
            <w:tcBorders>
              <w:tl2br w:val="nil"/>
              <w:tr2bl w:val="nil"/>
            </w:tcBorders>
            <w:noWrap w:val="0"/>
            <w:vAlign w:val="center"/>
          </w:tcPr>
          <w:p w14:paraId="2397F164">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3.781t/a</w:t>
            </w:r>
          </w:p>
        </w:tc>
      </w:tr>
    </w:tbl>
    <w:p w14:paraId="010D1AC0">
      <w:pPr>
        <w:adjustRightInd w:val="0"/>
        <w:snapToGrid w:val="0"/>
        <w:spacing w:before="250" w:beforeLines="50"/>
        <w:ind w:firstLine="422" w:firstLineChars="200"/>
        <w:jc w:val="center"/>
        <w:rPr>
          <w:rFonts w:hint="default" w:ascii="Times New Roman" w:hAnsi="Times New Roman" w:eastAsia="华文中宋" w:cs="Times New Roman"/>
          <w:b/>
          <w:szCs w:val="21"/>
          <w:highlight w:val="none"/>
          <w:lang w:val="en-US" w:eastAsia="zh-CN"/>
        </w:rPr>
      </w:pPr>
      <w:r>
        <w:rPr>
          <w:rFonts w:hint="default" w:ascii="Times New Roman" w:hAnsi="Times New Roman" w:eastAsia="华文中宋" w:cs="Times New Roman"/>
          <w:b/>
          <w:szCs w:val="21"/>
          <w:highlight w:val="none"/>
          <w:lang w:val="en-US" w:eastAsia="zh-CN"/>
        </w:rPr>
        <w:t>表5.2-1</w:t>
      </w:r>
      <w:r>
        <w:rPr>
          <w:rFonts w:hint="eastAsia" w:ascii="Times New Roman" w:hAnsi="Times New Roman" w:eastAsia="华文中宋" w:cs="Times New Roman"/>
          <w:b/>
          <w:szCs w:val="21"/>
          <w:highlight w:val="none"/>
          <w:lang w:val="en-US" w:eastAsia="zh-CN"/>
        </w:rPr>
        <w:t>2</w:t>
      </w:r>
      <w:r>
        <w:rPr>
          <w:rFonts w:hint="default" w:ascii="Times New Roman" w:hAnsi="Times New Roman" w:eastAsia="华文中宋" w:cs="Times New Roman"/>
          <w:b/>
          <w:szCs w:val="21"/>
          <w:highlight w:val="none"/>
          <w:lang w:val="en-US" w:eastAsia="zh-CN"/>
        </w:rPr>
        <w:t xml:space="preserve">  本项目大气污染物年排放量核算表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840"/>
        <w:gridCol w:w="2841"/>
        <w:gridCol w:w="2841"/>
      </w:tblGrid>
      <w:tr w14:paraId="1E91E71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840" w:type="dxa"/>
            <w:tcBorders>
              <w:tl2br w:val="nil"/>
              <w:tr2bl w:val="nil"/>
            </w:tcBorders>
            <w:noWrap w:val="0"/>
            <w:vAlign w:val="center"/>
          </w:tcPr>
          <w:p w14:paraId="22DB7780">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序号</w:t>
            </w:r>
          </w:p>
        </w:tc>
        <w:tc>
          <w:tcPr>
            <w:tcW w:w="2841" w:type="dxa"/>
            <w:tcBorders>
              <w:tl2br w:val="nil"/>
              <w:tr2bl w:val="nil"/>
            </w:tcBorders>
            <w:noWrap w:val="0"/>
            <w:vAlign w:val="center"/>
          </w:tcPr>
          <w:p w14:paraId="074C73D2">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污染物</w:t>
            </w:r>
          </w:p>
        </w:tc>
        <w:tc>
          <w:tcPr>
            <w:tcW w:w="2841" w:type="dxa"/>
            <w:tcBorders>
              <w:tl2br w:val="nil"/>
              <w:tr2bl w:val="nil"/>
            </w:tcBorders>
            <w:noWrap w:val="0"/>
            <w:vAlign w:val="center"/>
          </w:tcPr>
          <w:p w14:paraId="679FBAF0">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eastAsia="zh-CN"/>
              </w:rPr>
              <w:t>年排放量t/a</w:t>
            </w:r>
          </w:p>
        </w:tc>
      </w:tr>
      <w:tr w14:paraId="4EB2854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840" w:type="dxa"/>
            <w:tcBorders>
              <w:tl2br w:val="nil"/>
              <w:tr2bl w:val="nil"/>
            </w:tcBorders>
            <w:noWrap w:val="0"/>
            <w:vAlign w:val="center"/>
          </w:tcPr>
          <w:p w14:paraId="003FAFF0">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1</w:t>
            </w:r>
          </w:p>
        </w:tc>
        <w:tc>
          <w:tcPr>
            <w:tcW w:w="2841" w:type="dxa"/>
            <w:tcBorders>
              <w:tl2br w:val="nil"/>
              <w:tr2bl w:val="nil"/>
            </w:tcBorders>
            <w:noWrap w:val="0"/>
            <w:vAlign w:val="center"/>
          </w:tcPr>
          <w:p w14:paraId="3FAD515E">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eastAsia="zh-CN"/>
              </w:rPr>
              <w:t>颗粒物</w:t>
            </w:r>
          </w:p>
        </w:tc>
        <w:tc>
          <w:tcPr>
            <w:tcW w:w="2841" w:type="dxa"/>
            <w:tcBorders>
              <w:tl2br w:val="nil"/>
              <w:tr2bl w:val="nil"/>
            </w:tcBorders>
            <w:noWrap w:val="0"/>
            <w:vAlign w:val="center"/>
          </w:tcPr>
          <w:p w14:paraId="73E86E31">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4.731</w:t>
            </w:r>
            <w:r>
              <w:rPr>
                <w:rFonts w:hint="default" w:ascii="Times New Roman" w:hAnsi="Times New Roman" w:eastAsia="华文中宋" w:cs="Times New Roman"/>
                <w:szCs w:val="21"/>
                <w:highlight w:val="none"/>
                <w:lang w:val="en-US" w:eastAsia="zh-CN"/>
              </w:rPr>
              <w:t>t/a</w:t>
            </w:r>
          </w:p>
        </w:tc>
      </w:tr>
      <w:tr w14:paraId="223B13D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840" w:type="dxa"/>
            <w:tcBorders>
              <w:tl2br w:val="nil"/>
              <w:tr2bl w:val="nil"/>
            </w:tcBorders>
            <w:noWrap w:val="0"/>
            <w:vAlign w:val="center"/>
          </w:tcPr>
          <w:p w14:paraId="38F3E843">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2</w:t>
            </w:r>
          </w:p>
        </w:tc>
        <w:tc>
          <w:tcPr>
            <w:tcW w:w="2841" w:type="dxa"/>
            <w:tcBorders>
              <w:tl2br w:val="nil"/>
              <w:tr2bl w:val="nil"/>
            </w:tcBorders>
            <w:noWrap w:val="0"/>
            <w:vAlign w:val="center"/>
          </w:tcPr>
          <w:p w14:paraId="17568BD9">
            <w:pPr>
              <w:spacing w:line="300" w:lineRule="exact"/>
              <w:jc w:val="center"/>
              <w:rPr>
                <w:rFonts w:hint="default" w:ascii="Times New Roman" w:hAnsi="Times New Roman" w:eastAsia="华文中宋" w:cs="Times New Roman"/>
                <w:szCs w:val="21"/>
                <w:highlight w:val="none"/>
                <w:lang w:eastAsia="zh-CN"/>
              </w:rPr>
            </w:pPr>
            <w:r>
              <w:rPr>
                <w:rFonts w:hint="eastAsia" w:ascii="Times New Roman" w:hAnsi="Times New Roman" w:eastAsia="华文中宋" w:cs="Times New Roman"/>
                <w:szCs w:val="21"/>
                <w:highlight w:val="none"/>
                <w:lang w:val="en-US" w:eastAsia="zh-CN"/>
              </w:rPr>
              <w:t>铅及其化合物</w:t>
            </w:r>
          </w:p>
        </w:tc>
        <w:tc>
          <w:tcPr>
            <w:tcW w:w="2841" w:type="dxa"/>
            <w:tcBorders>
              <w:tl2br w:val="nil"/>
              <w:tr2bl w:val="nil"/>
            </w:tcBorders>
            <w:noWrap w:val="0"/>
            <w:vAlign w:val="center"/>
          </w:tcPr>
          <w:p w14:paraId="1FD3097F">
            <w:pPr>
              <w:spacing w:line="300" w:lineRule="exact"/>
              <w:jc w:val="center"/>
              <w:rPr>
                <w:rFonts w:hint="eastAsia"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0.024t/a</w:t>
            </w:r>
          </w:p>
        </w:tc>
      </w:tr>
      <w:tr w14:paraId="08FAD84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840" w:type="dxa"/>
            <w:tcBorders>
              <w:tl2br w:val="nil"/>
              <w:tr2bl w:val="nil"/>
            </w:tcBorders>
            <w:noWrap w:val="0"/>
            <w:vAlign w:val="center"/>
          </w:tcPr>
          <w:p w14:paraId="3F016C1E">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3</w:t>
            </w:r>
          </w:p>
        </w:tc>
        <w:tc>
          <w:tcPr>
            <w:tcW w:w="2841" w:type="dxa"/>
            <w:tcBorders>
              <w:tl2br w:val="nil"/>
              <w:tr2bl w:val="nil"/>
            </w:tcBorders>
            <w:noWrap w:val="0"/>
            <w:vAlign w:val="center"/>
          </w:tcPr>
          <w:p w14:paraId="0EE66939">
            <w:pPr>
              <w:spacing w:line="300" w:lineRule="exact"/>
              <w:jc w:val="center"/>
              <w:rPr>
                <w:rFonts w:hint="default" w:ascii="Times New Roman" w:hAnsi="Times New Roman" w:eastAsia="华文中宋" w:cs="Times New Roman"/>
                <w:szCs w:val="21"/>
                <w:highlight w:val="none"/>
                <w:lang w:eastAsia="zh-CN"/>
              </w:rPr>
            </w:pPr>
            <w:r>
              <w:rPr>
                <w:rFonts w:hint="eastAsia" w:ascii="Times New Roman" w:hAnsi="Times New Roman" w:eastAsia="华文中宋" w:cs="Times New Roman"/>
                <w:szCs w:val="21"/>
                <w:highlight w:val="none"/>
                <w:lang w:val="en-US" w:eastAsia="zh-CN"/>
              </w:rPr>
              <w:t>NOx</w:t>
            </w:r>
          </w:p>
        </w:tc>
        <w:tc>
          <w:tcPr>
            <w:tcW w:w="2841" w:type="dxa"/>
            <w:tcBorders>
              <w:tl2br w:val="nil"/>
              <w:tr2bl w:val="nil"/>
            </w:tcBorders>
            <w:noWrap w:val="0"/>
            <w:vAlign w:val="center"/>
          </w:tcPr>
          <w:p w14:paraId="4C364F10">
            <w:pPr>
              <w:spacing w:line="300" w:lineRule="exact"/>
              <w:jc w:val="center"/>
              <w:rPr>
                <w:rFonts w:hint="eastAsia"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7.273t/a</w:t>
            </w:r>
          </w:p>
        </w:tc>
      </w:tr>
      <w:tr w14:paraId="062A7C0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2840" w:type="dxa"/>
            <w:tcBorders>
              <w:tl2br w:val="nil"/>
              <w:tr2bl w:val="nil"/>
            </w:tcBorders>
            <w:noWrap w:val="0"/>
            <w:vAlign w:val="center"/>
          </w:tcPr>
          <w:p w14:paraId="1505EB17">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4</w:t>
            </w:r>
          </w:p>
        </w:tc>
        <w:tc>
          <w:tcPr>
            <w:tcW w:w="2841" w:type="dxa"/>
            <w:tcBorders>
              <w:tl2br w:val="nil"/>
              <w:tr2bl w:val="nil"/>
            </w:tcBorders>
            <w:noWrap w:val="0"/>
            <w:vAlign w:val="center"/>
          </w:tcPr>
          <w:p w14:paraId="2C58F246">
            <w:pPr>
              <w:spacing w:line="300" w:lineRule="exact"/>
              <w:jc w:val="center"/>
              <w:rPr>
                <w:rFonts w:hint="default" w:ascii="Times New Roman" w:hAnsi="Times New Roman" w:eastAsia="华文中宋" w:cs="Times New Roman"/>
                <w:szCs w:val="21"/>
                <w:highlight w:val="none"/>
                <w:lang w:eastAsia="zh-CN"/>
              </w:rPr>
            </w:pPr>
            <w:r>
              <w:rPr>
                <w:rFonts w:hint="eastAsia" w:ascii="Times New Roman" w:hAnsi="Times New Roman" w:eastAsia="华文中宋" w:cs="Times New Roman"/>
                <w:szCs w:val="21"/>
                <w:highlight w:val="none"/>
                <w:lang w:val="en-US" w:eastAsia="zh-CN"/>
              </w:rPr>
              <w:t>SO</w:t>
            </w:r>
            <w:r>
              <w:rPr>
                <w:rFonts w:hint="eastAsia" w:ascii="Times New Roman" w:hAnsi="Times New Roman" w:eastAsia="华文中宋" w:cs="Times New Roman"/>
                <w:szCs w:val="21"/>
                <w:highlight w:val="none"/>
                <w:vertAlign w:val="subscript"/>
                <w:lang w:val="en-US" w:eastAsia="zh-CN"/>
              </w:rPr>
              <w:t>2</w:t>
            </w:r>
          </w:p>
        </w:tc>
        <w:tc>
          <w:tcPr>
            <w:tcW w:w="2841" w:type="dxa"/>
            <w:tcBorders>
              <w:tl2br w:val="nil"/>
              <w:tr2bl w:val="nil"/>
            </w:tcBorders>
            <w:noWrap w:val="0"/>
            <w:vAlign w:val="center"/>
          </w:tcPr>
          <w:p w14:paraId="53CE2695">
            <w:pPr>
              <w:spacing w:line="300" w:lineRule="exact"/>
              <w:jc w:val="center"/>
              <w:rPr>
                <w:rFonts w:hint="eastAsia"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3.781t/a</w:t>
            </w:r>
          </w:p>
        </w:tc>
      </w:tr>
    </w:tbl>
    <w:p w14:paraId="1AD0A033">
      <w:pPr>
        <w:adjustRightInd w:val="0"/>
        <w:snapToGrid w:val="0"/>
        <w:spacing w:line="500" w:lineRule="exact"/>
        <w:jc w:val="left"/>
        <w:rPr>
          <w:rFonts w:hint="default" w:ascii="Times New Roman" w:hAnsi="Times New Roman" w:eastAsia="华文中宋" w:cs="Times New Roman"/>
          <w:b/>
          <w:bCs/>
          <w:sz w:val="24"/>
          <w:lang w:val="en-US" w:eastAsia="zh-CN"/>
        </w:rPr>
      </w:pPr>
      <w:r>
        <w:rPr>
          <w:rFonts w:hint="eastAsia" w:ascii="Times New Roman" w:hAnsi="Times New Roman" w:eastAsia="华文中宋" w:cs="Times New Roman"/>
          <w:b/>
          <w:bCs/>
          <w:sz w:val="24"/>
          <w:lang w:val="en-US" w:eastAsia="zh-CN"/>
        </w:rPr>
        <w:t>5.2.1.5</w:t>
      </w:r>
      <w:r>
        <w:rPr>
          <w:rFonts w:hint="default" w:ascii="Times New Roman" w:hAnsi="Times New Roman" w:eastAsia="华文中宋" w:cs="Times New Roman"/>
          <w:b/>
          <w:bCs/>
          <w:sz w:val="24"/>
          <w:lang w:val="en-US" w:eastAsia="zh-CN"/>
        </w:rPr>
        <w:t>大气环境评价自查表</w:t>
      </w:r>
    </w:p>
    <w:p w14:paraId="4674BF1E">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本次大气环境影响评价完成后，对大气环境影响评价主要内容与结论进行自查，详见表5.2-1</w:t>
      </w:r>
      <w:r>
        <w:rPr>
          <w:rFonts w:hint="eastAsia" w:ascii="Times New Roman" w:hAnsi="Times New Roman" w:eastAsia="华文中宋" w:cs="Times New Roman"/>
          <w:sz w:val="24"/>
          <w:lang w:val="en-US" w:eastAsia="zh-CN"/>
        </w:rPr>
        <w:t>3</w:t>
      </w:r>
      <w:r>
        <w:rPr>
          <w:rFonts w:hint="default" w:ascii="Times New Roman" w:hAnsi="Times New Roman" w:eastAsia="华文中宋" w:cs="Times New Roman"/>
          <w:sz w:val="24"/>
          <w:lang w:val="en-US" w:eastAsia="zh-CN"/>
        </w:rPr>
        <w:t>。</w:t>
      </w:r>
    </w:p>
    <w:p w14:paraId="55CCDB4D">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表5.2-1</w:t>
      </w:r>
      <w:r>
        <w:rPr>
          <w:rFonts w:hint="eastAsia" w:ascii="Times New Roman" w:hAnsi="Times New Roman" w:eastAsia="华文中宋" w:cs="Times New Roman"/>
          <w:b/>
          <w:szCs w:val="21"/>
          <w:lang w:val="en-US" w:eastAsia="zh-CN"/>
        </w:rPr>
        <w:t>3</w:t>
      </w:r>
      <w:r>
        <w:rPr>
          <w:rFonts w:hint="default" w:ascii="Times New Roman" w:hAnsi="Times New Roman" w:eastAsia="华文中宋" w:cs="Times New Roman"/>
          <w:b/>
          <w:szCs w:val="21"/>
          <w:lang w:val="en-US" w:eastAsia="zh-CN"/>
        </w:rPr>
        <w:t xml:space="preserve">  建设项目大气环境影响评价自查表</w:t>
      </w:r>
    </w:p>
    <w:tbl>
      <w:tblPr>
        <w:tblStyle w:val="19"/>
        <w:tblW w:w="8399"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807"/>
        <w:gridCol w:w="1455"/>
        <w:gridCol w:w="835"/>
        <w:gridCol w:w="109"/>
        <w:gridCol w:w="361"/>
        <w:gridCol w:w="147"/>
        <w:gridCol w:w="327"/>
        <w:gridCol w:w="356"/>
        <w:gridCol w:w="227"/>
        <w:gridCol w:w="351"/>
        <w:gridCol w:w="113"/>
        <w:gridCol w:w="141"/>
        <w:gridCol w:w="507"/>
        <w:gridCol w:w="138"/>
        <w:gridCol w:w="237"/>
        <w:gridCol w:w="596"/>
        <w:gridCol w:w="138"/>
        <w:gridCol w:w="263"/>
        <w:gridCol w:w="602"/>
        <w:gridCol w:w="689"/>
      </w:tblGrid>
      <w:tr w14:paraId="67E5529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262" w:type="dxa"/>
            <w:gridSpan w:val="2"/>
            <w:tcBorders>
              <w:tl2br w:val="nil"/>
              <w:tr2bl w:val="nil"/>
            </w:tcBorders>
            <w:noWrap w:val="0"/>
            <w:vAlign w:val="center"/>
          </w:tcPr>
          <w:p w14:paraId="07D89CA5">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工作内容</w:t>
            </w:r>
          </w:p>
        </w:tc>
        <w:tc>
          <w:tcPr>
            <w:tcW w:w="6137" w:type="dxa"/>
            <w:gridSpan w:val="18"/>
            <w:tcBorders>
              <w:tl2br w:val="nil"/>
              <w:tr2bl w:val="nil"/>
            </w:tcBorders>
            <w:noWrap w:val="0"/>
            <w:vAlign w:val="center"/>
          </w:tcPr>
          <w:p w14:paraId="6202ED42">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自查项目</w:t>
            </w:r>
          </w:p>
        </w:tc>
      </w:tr>
      <w:tr w14:paraId="03B12D1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07" w:type="dxa"/>
            <w:vMerge w:val="restart"/>
            <w:tcBorders>
              <w:tl2br w:val="nil"/>
              <w:tr2bl w:val="nil"/>
            </w:tcBorders>
            <w:noWrap w:val="0"/>
            <w:vAlign w:val="center"/>
          </w:tcPr>
          <w:p w14:paraId="32F9E90D">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评价等级与范围</w:t>
            </w:r>
          </w:p>
        </w:tc>
        <w:tc>
          <w:tcPr>
            <w:tcW w:w="1455" w:type="dxa"/>
            <w:tcBorders>
              <w:tl2br w:val="nil"/>
              <w:tr2bl w:val="nil"/>
            </w:tcBorders>
            <w:noWrap w:val="0"/>
            <w:vAlign w:val="center"/>
          </w:tcPr>
          <w:p w14:paraId="0001B970">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评价等级</w:t>
            </w:r>
          </w:p>
        </w:tc>
        <w:tc>
          <w:tcPr>
            <w:tcW w:w="2362" w:type="dxa"/>
            <w:gridSpan w:val="7"/>
            <w:tcBorders>
              <w:tl2br w:val="nil"/>
              <w:tr2bl w:val="nil"/>
            </w:tcBorders>
            <w:noWrap w:val="0"/>
            <w:vAlign w:val="center"/>
          </w:tcPr>
          <w:p w14:paraId="22D25CE9">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en-US"/>
              </w:rPr>
              <w:t>一级</w:t>
            </w:r>
            <w:r>
              <w:rPr>
                <w:rFonts w:hint="eastAsia" w:ascii="Times New Roman" w:hAnsi="Times New Roman" w:eastAsia="华文中宋" w:cs="Times New Roman"/>
                <w:szCs w:val="21"/>
                <w:lang w:eastAsia="zh-CN"/>
              </w:rPr>
              <w:t>□</w:t>
            </w:r>
          </w:p>
        </w:tc>
        <w:tc>
          <w:tcPr>
            <w:tcW w:w="2083" w:type="dxa"/>
            <w:gridSpan w:val="7"/>
            <w:tcBorders>
              <w:tl2br w:val="nil"/>
              <w:tr2bl w:val="nil"/>
            </w:tcBorders>
            <w:noWrap w:val="0"/>
            <w:vAlign w:val="center"/>
          </w:tcPr>
          <w:p w14:paraId="0CDB8230">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二级</w:t>
            </w:r>
            <w:r>
              <w:rPr>
                <w:rFonts w:hint="default" w:ascii="Times New Roman" w:hAnsi="Times New Roman" w:eastAsia="华文中宋" w:cs="Times New Roman"/>
                <w:szCs w:val="21"/>
                <w:lang w:eastAsia="zh-CN"/>
              </w:rPr>
              <w:t>☑</w:t>
            </w:r>
          </w:p>
        </w:tc>
        <w:tc>
          <w:tcPr>
            <w:tcW w:w="1692" w:type="dxa"/>
            <w:gridSpan w:val="4"/>
            <w:tcBorders>
              <w:tl2br w:val="nil"/>
              <w:tr2bl w:val="nil"/>
            </w:tcBorders>
            <w:noWrap w:val="0"/>
            <w:vAlign w:val="center"/>
          </w:tcPr>
          <w:p w14:paraId="4A40DFF6">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三级</w:t>
            </w:r>
            <w:r>
              <w:rPr>
                <w:rFonts w:hint="default" w:ascii="Times New Roman" w:hAnsi="Times New Roman" w:eastAsia="华文中宋" w:cs="Times New Roman"/>
                <w:szCs w:val="21"/>
                <w:lang w:eastAsia="zh-CN"/>
              </w:rPr>
              <w:t>□</w:t>
            </w:r>
          </w:p>
        </w:tc>
      </w:tr>
      <w:tr w14:paraId="5344568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07" w:type="dxa"/>
            <w:vMerge w:val="continue"/>
            <w:tcBorders>
              <w:tl2br w:val="nil"/>
              <w:tr2bl w:val="nil"/>
            </w:tcBorders>
            <w:noWrap w:val="0"/>
            <w:vAlign w:val="center"/>
          </w:tcPr>
          <w:p w14:paraId="66040A4F">
            <w:pPr>
              <w:spacing w:line="300" w:lineRule="exact"/>
              <w:jc w:val="center"/>
              <w:rPr>
                <w:rFonts w:hint="default" w:ascii="Times New Roman" w:hAnsi="Times New Roman" w:eastAsia="华文中宋" w:cs="Times New Roman"/>
                <w:szCs w:val="21"/>
                <w:lang w:eastAsia="en-US"/>
              </w:rPr>
            </w:pPr>
          </w:p>
        </w:tc>
        <w:tc>
          <w:tcPr>
            <w:tcW w:w="1455" w:type="dxa"/>
            <w:tcBorders>
              <w:tl2br w:val="nil"/>
              <w:tr2bl w:val="nil"/>
            </w:tcBorders>
            <w:noWrap w:val="0"/>
            <w:vAlign w:val="center"/>
          </w:tcPr>
          <w:p w14:paraId="09720956">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评价范围</w:t>
            </w:r>
          </w:p>
        </w:tc>
        <w:tc>
          <w:tcPr>
            <w:tcW w:w="2362" w:type="dxa"/>
            <w:gridSpan w:val="7"/>
            <w:tcBorders>
              <w:tl2br w:val="nil"/>
              <w:tr2bl w:val="nil"/>
            </w:tcBorders>
            <w:noWrap w:val="0"/>
            <w:vAlign w:val="center"/>
          </w:tcPr>
          <w:p w14:paraId="70CEB7D5">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边长=50km</w:t>
            </w:r>
            <w:r>
              <w:rPr>
                <w:rFonts w:hint="default" w:ascii="Times New Roman" w:hAnsi="Times New Roman" w:eastAsia="华文中宋" w:cs="Times New Roman"/>
                <w:szCs w:val="21"/>
                <w:lang w:eastAsia="zh-CN"/>
              </w:rPr>
              <w:t>□</w:t>
            </w:r>
          </w:p>
        </w:tc>
        <w:tc>
          <w:tcPr>
            <w:tcW w:w="2083" w:type="dxa"/>
            <w:gridSpan w:val="7"/>
            <w:tcBorders>
              <w:tl2br w:val="nil"/>
              <w:tr2bl w:val="nil"/>
            </w:tcBorders>
            <w:noWrap w:val="0"/>
            <w:vAlign w:val="center"/>
          </w:tcPr>
          <w:p w14:paraId="17E2AC62">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边长5～50km</w:t>
            </w:r>
            <w:r>
              <w:rPr>
                <w:rFonts w:hint="default" w:ascii="Times New Roman" w:hAnsi="Times New Roman" w:eastAsia="华文中宋" w:cs="Times New Roman"/>
                <w:szCs w:val="21"/>
                <w:lang w:eastAsia="zh-CN"/>
              </w:rPr>
              <w:t>□</w:t>
            </w:r>
          </w:p>
        </w:tc>
        <w:tc>
          <w:tcPr>
            <w:tcW w:w="1692" w:type="dxa"/>
            <w:gridSpan w:val="4"/>
            <w:tcBorders>
              <w:tl2br w:val="nil"/>
              <w:tr2bl w:val="nil"/>
            </w:tcBorders>
            <w:noWrap w:val="0"/>
            <w:vAlign w:val="center"/>
          </w:tcPr>
          <w:p w14:paraId="123B8EB2">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边长=5km</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lang w:eastAsia="en-US"/>
              </w:rPr>
              <w:t></w:t>
            </w:r>
          </w:p>
        </w:tc>
      </w:tr>
      <w:tr w14:paraId="13EC702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07" w:type="dxa"/>
            <w:vMerge w:val="restart"/>
            <w:tcBorders>
              <w:tl2br w:val="nil"/>
              <w:tr2bl w:val="nil"/>
            </w:tcBorders>
            <w:noWrap w:val="0"/>
            <w:vAlign w:val="center"/>
          </w:tcPr>
          <w:p w14:paraId="7A052F22">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评价因子</w:t>
            </w:r>
          </w:p>
        </w:tc>
        <w:tc>
          <w:tcPr>
            <w:tcW w:w="1455" w:type="dxa"/>
            <w:tcBorders>
              <w:tl2br w:val="nil"/>
              <w:tr2bl w:val="nil"/>
            </w:tcBorders>
            <w:noWrap w:val="0"/>
            <w:vAlign w:val="center"/>
          </w:tcPr>
          <w:p w14:paraId="64AD92E9">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SO2+NOx</w:t>
            </w:r>
          </w:p>
          <w:p w14:paraId="2512B3B8">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排放量</w:t>
            </w:r>
          </w:p>
        </w:tc>
        <w:tc>
          <w:tcPr>
            <w:tcW w:w="1305" w:type="dxa"/>
            <w:gridSpan w:val="3"/>
            <w:tcBorders>
              <w:tl2br w:val="nil"/>
              <w:tr2bl w:val="nil"/>
            </w:tcBorders>
            <w:noWrap w:val="0"/>
            <w:vAlign w:val="center"/>
          </w:tcPr>
          <w:p w14:paraId="0B3036FB">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lang w:eastAsia="en-US"/>
              </w:rPr>
              <w:t>2000t/a</w:t>
            </w:r>
            <w:r>
              <w:rPr>
                <w:rFonts w:hint="default" w:ascii="Times New Roman" w:hAnsi="Times New Roman" w:eastAsia="华文中宋" w:cs="Times New Roman"/>
                <w:szCs w:val="21"/>
                <w:lang w:eastAsia="zh-CN"/>
              </w:rPr>
              <w:t>□</w:t>
            </w:r>
          </w:p>
        </w:tc>
        <w:tc>
          <w:tcPr>
            <w:tcW w:w="3140" w:type="dxa"/>
            <w:gridSpan w:val="11"/>
            <w:tcBorders>
              <w:tl2br w:val="nil"/>
              <w:tr2bl w:val="nil"/>
            </w:tcBorders>
            <w:noWrap w:val="0"/>
            <w:vAlign w:val="center"/>
          </w:tcPr>
          <w:p w14:paraId="141C6034">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500</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lang w:eastAsia="en-US"/>
              </w:rPr>
              <w:t>2000t/a</w:t>
            </w:r>
            <w:r>
              <w:rPr>
                <w:rFonts w:hint="default" w:ascii="Times New Roman" w:hAnsi="Times New Roman" w:eastAsia="华文中宋" w:cs="Times New Roman"/>
                <w:szCs w:val="21"/>
                <w:lang w:eastAsia="zh-CN"/>
              </w:rPr>
              <w:t>□</w:t>
            </w:r>
          </w:p>
        </w:tc>
        <w:tc>
          <w:tcPr>
            <w:tcW w:w="1692" w:type="dxa"/>
            <w:gridSpan w:val="4"/>
            <w:tcBorders>
              <w:tl2br w:val="nil"/>
              <w:tr2bl w:val="nil"/>
            </w:tcBorders>
            <w:noWrap w:val="0"/>
            <w:vAlign w:val="center"/>
          </w:tcPr>
          <w:p w14:paraId="4DFE5E55">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zh-CN"/>
              </w:rPr>
              <w:t>&lt;</w:t>
            </w:r>
            <w:r>
              <w:rPr>
                <w:rFonts w:hint="default" w:ascii="Times New Roman" w:hAnsi="Times New Roman" w:eastAsia="华文中宋" w:cs="Times New Roman"/>
                <w:szCs w:val="21"/>
                <w:lang w:eastAsia="en-US"/>
              </w:rPr>
              <w:t>500t/a</w:t>
            </w:r>
            <w:r>
              <w:rPr>
                <w:rFonts w:hint="default" w:ascii="Times New Roman" w:hAnsi="Times New Roman" w:eastAsia="华文中宋" w:cs="Times New Roman"/>
                <w:szCs w:val="21"/>
                <w:lang w:eastAsia="zh-CN"/>
              </w:rPr>
              <w:t>☑</w:t>
            </w:r>
          </w:p>
        </w:tc>
      </w:tr>
      <w:tr w14:paraId="4A169C0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07" w:type="dxa"/>
            <w:vMerge w:val="continue"/>
            <w:tcBorders>
              <w:tl2br w:val="nil"/>
              <w:tr2bl w:val="nil"/>
            </w:tcBorders>
            <w:noWrap w:val="0"/>
            <w:vAlign w:val="center"/>
          </w:tcPr>
          <w:p w14:paraId="5B8A3F15">
            <w:pPr>
              <w:spacing w:line="300" w:lineRule="exact"/>
              <w:jc w:val="center"/>
              <w:rPr>
                <w:rFonts w:hint="default" w:ascii="Times New Roman" w:hAnsi="Times New Roman" w:eastAsia="华文中宋" w:cs="Times New Roman"/>
                <w:szCs w:val="21"/>
                <w:lang w:eastAsia="en-US"/>
              </w:rPr>
            </w:pPr>
          </w:p>
        </w:tc>
        <w:tc>
          <w:tcPr>
            <w:tcW w:w="1455" w:type="dxa"/>
            <w:tcBorders>
              <w:tl2br w:val="nil"/>
              <w:tr2bl w:val="nil"/>
            </w:tcBorders>
            <w:noWrap w:val="0"/>
            <w:vAlign w:val="center"/>
          </w:tcPr>
          <w:p w14:paraId="00898518">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评价因子</w:t>
            </w:r>
          </w:p>
        </w:tc>
        <w:tc>
          <w:tcPr>
            <w:tcW w:w="3612" w:type="dxa"/>
            <w:gridSpan w:val="12"/>
            <w:tcBorders>
              <w:tl2br w:val="nil"/>
              <w:tr2bl w:val="nil"/>
            </w:tcBorders>
            <w:noWrap w:val="0"/>
            <w:vAlign w:val="center"/>
          </w:tcPr>
          <w:p w14:paraId="7C394DF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基本污染物（）</w:t>
            </w:r>
          </w:p>
          <w:p w14:paraId="3BF126B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其他污染物（</w:t>
            </w:r>
            <w:r>
              <w:rPr>
                <w:rFonts w:hint="default" w:ascii="Times New Roman" w:hAnsi="Times New Roman" w:eastAsia="华文中宋" w:cs="Times New Roman"/>
                <w:szCs w:val="21"/>
                <w:lang w:val="en-US" w:eastAsia="zh-CN"/>
              </w:rPr>
              <w:t>TSP</w:t>
            </w:r>
            <w:r>
              <w:rPr>
                <w:rFonts w:hint="default" w:ascii="Times New Roman" w:hAnsi="Times New Roman" w:eastAsia="华文中宋" w:cs="Times New Roman"/>
                <w:szCs w:val="21"/>
              </w:rPr>
              <w:t>）</w:t>
            </w:r>
          </w:p>
        </w:tc>
        <w:tc>
          <w:tcPr>
            <w:tcW w:w="2525" w:type="dxa"/>
            <w:gridSpan w:val="6"/>
            <w:tcBorders>
              <w:tl2br w:val="nil"/>
              <w:tr2bl w:val="nil"/>
            </w:tcBorders>
            <w:noWrap w:val="0"/>
            <w:vAlign w:val="center"/>
          </w:tcPr>
          <w:p w14:paraId="632EAA54">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包括二次PM2.5</w:t>
            </w:r>
            <w:r>
              <w:rPr>
                <w:rFonts w:hint="default" w:ascii="Times New Roman" w:hAnsi="Times New Roman" w:eastAsia="华文中宋" w:cs="Times New Roman"/>
                <w:szCs w:val="21"/>
                <w:lang w:eastAsia="zh-CN"/>
              </w:rPr>
              <w:t>□</w:t>
            </w:r>
          </w:p>
          <w:p w14:paraId="606B2399">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不包括二次PM2.5</w:t>
            </w:r>
            <w:r>
              <w:rPr>
                <w:rFonts w:hint="default" w:ascii="Times New Roman" w:hAnsi="Times New Roman" w:eastAsia="华文中宋" w:cs="Times New Roman"/>
                <w:szCs w:val="21"/>
                <w:lang w:eastAsia="zh-CN"/>
              </w:rPr>
              <w:t>☑</w:t>
            </w:r>
          </w:p>
        </w:tc>
      </w:tr>
      <w:tr w14:paraId="606EEF6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07" w:type="dxa"/>
            <w:tcBorders>
              <w:tl2br w:val="nil"/>
              <w:tr2bl w:val="nil"/>
            </w:tcBorders>
            <w:noWrap w:val="0"/>
            <w:vAlign w:val="center"/>
          </w:tcPr>
          <w:p w14:paraId="2CF5F37F">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评价标准</w:t>
            </w:r>
          </w:p>
        </w:tc>
        <w:tc>
          <w:tcPr>
            <w:tcW w:w="1455" w:type="dxa"/>
            <w:tcBorders>
              <w:tl2br w:val="nil"/>
              <w:tr2bl w:val="nil"/>
            </w:tcBorders>
            <w:noWrap w:val="0"/>
            <w:vAlign w:val="center"/>
          </w:tcPr>
          <w:p w14:paraId="188D6202">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评价标准</w:t>
            </w:r>
          </w:p>
        </w:tc>
        <w:tc>
          <w:tcPr>
            <w:tcW w:w="2135" w:type="dxa"/>
            <w:gridSpan w:val="6"/>
            <w:tcBorders>
              <w:tl2br w:val="nil"/>
              <w:tr2bl w:val="nil"/>
            </w:tcBorders>
            <w:noWrap w:val="0"/>
            <w:vAlign w:val="center"/>
          </w:tcPr>
          <w:p w14:paraId="26EDD7D5">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国家标准</w:t>
            </w:r>
            <w:r>
              <w:rPr>
                <w:rFonts w:hint="default" w:ascii="Times New Roman" w:hAnsi="Times New Roman" w:eastAsia="华文中宋" w:cs="Times New Roman"/>
                <w:szCs w:val="21"/>
                <w:lang w:eastAsia="zh-CN"/>
              </w:rPr>
              <w:sym w:font="Wingdings 2" w:char="0052"/>
            </w:r>
          </w:p>
        </w:tc>
        <w:tc>
          <w:tcPr>
            <w:tcW w:w="1477" w:type="dxa"/>
            <w:gridSpan w:val="6"/>
            <w:tcBorders>
              <w:tl2br w:val="nil"/>
              <w:tr2bl w:val="nil"/>
            </w:tcBorders>
            <w:noWrap w:val="0"/>
            <w:vAlign w:val="center"/>
          </w:tcPr>
          <w:p w14:paraId="44779B60">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地方标准</w:t>
            </w:r>
            <w:r>
              <w:rPr>
                <w:rFonts w:hint="default" w:ascii="Times New Roman" w:hAnsi="Times New Roman" w:eastAsia="华文中宋" w:cs="Times New Roman"/>
                <w:szCs w:val="21"/>
                <w:lang w:eastAsia="zh-CN"/>
              </w:rPr>
              <w:t>□</w:t>
            </w:r>
          </w:p>
        </w:tc>
        <w:tc>
          <w:tcPr>
            <w:tcW w:w="1234" w:type="dxa"/>
            <w:gridSpan w:val="4"/>
            <w:tcBorders>
              <w:tl2br w:val="nil"/>
              <w:tr2bl w:val="nil"/>
            </w:tcBorders>
            <w:noWrap w:val="0"/>
            <w:vAlign w:val="center"/>
          </w:tcPr>
          <w:p w14:paraId="5AF2B357">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附录D</w:t>
            </w:r>
            <w:r>
              <w:rPr>
                <w:rFonts w:hint="default" w:ascii="Times New Roman" w:hAnsi="Times New Roman" w:eastAsia="华文中宋" w:cs="Times New Roman"/>
                <w:szCs w:val="21"/>
                <w:lang w:eastAsia="zh-CN"/>
              </w:rPr>
              <w:t>□</w:t>
            </w:r>
          </w:p>
        </w:tc>
        <w:tc>
          <w:tcPr>
            <w:tcW w:w="1291" w:type="dxa"/>
            <w:gridSpan w:val="2"/>
            <w:tcBorders>
              <w:tl2br w:val="nil"/>
              <w:tr2bl w:val="nil"/>
            </w:tcBorders>
            <w:noWrap w:val="0"/>
            <w:vAlign w:val="center"/>
          </w:tcPr>
          <w:p w14:paraId="12A0B8CE">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其他标准</w:t>
            </w:r>
            <w:r>
              <w:rPr>
                <w:rFonts w:hint="default" w:ascii="Times New Roman" w:hAnsi="Times New Roman" w:eastAsia="华文中宋" w:cs="Times New Roman"/>
                <w:szCs w:val="21"/>
                <w:lang w:eastAsia="zh-CN"/>
              </w:rPr>
              <w:t>□</w:t>
            </w:r>
          </w:p>
        </w:tc>
      </w:tr>
      <w:tr w14:paraId="2A14BA1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07" w:type="dxa"/>
            <w:vMerge w:val="restart"/>
            <w:tcBorders>
              <w:tl2br w:val="nil"/>
              <w:tr2bl w:val="nil"/>
            </w:tcBorders>
            <w:noWrap w:val="0"/>
            <w:vAlign w:val="center"/>
          </w:tcPr>
          <w:p w14:paraId="5EC62321">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现状评价</w:t>
            </w:r>
          </w:p>
        </w:tc>
        <w:tc>
          <w:tcPr>
            <w:tcW w:w="1455" w:type="dxa"/>
            <w:tcBorders>
              <w:tl2br w:val="nil"/>
              <w:tr2bl w:val="nil"/>
            </w:tcBorders>
            <w:noWrap w:val="0"/>
            <w:vAlign w:val="center"/>
          </w:tcPr>
          <w:p w14:paraId="113FE01D">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环境功能区</w:t>
            </w:r>
          </w:p>
        </w:tc>
        <w:tc>
          <w:tcPr>
            <w:tcW w:w="2362" w:type="dxa"/>
            <w:gridSpan w:val="7"/>
            <w:tcBorders>
              <w:tl2br w:val="nil"/>
              <w:tr2bl w:val="nil"/>
            </w:tcBorders>
            <w:noWrap w:val="0"/>
            <w:vAlign w:val="center"/>
          </w:tcPr>
          <w:p w14:paraId="57E1727C">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en-US"/>
              </w:rPr>
              <w:t>一类区</w:t>
            </w:r>
            <w:r>
              <w:rPr>
                <w:rFonts w:hint="default" w:ascii="Times New Roman" w:hAnsi="Times New Roman" w:eastAsia="华文中宋" w:cs="Times New Roman"/>
                <w:szCs w:val="21"/>
                <w:lang w:eastAsia="zh-CN"/>
              </w:rPr>
              <w:t>□</w:t>
            </w:r>
          </w:p>
        </w:tc>
        <w:tc>
          <w:tcPr>
            <w:tcW w:w="2083" w:type="dxa"/>
            <w:gridSpan w:val="7"/>
            <w:tcBorders>
              <w:tl2br w:val="nil"/>
              <w:tr2bl w:val="nil"/>
            </w:tcBorders>
            <w:noWrap w:val="0"/>
            <w:vAlign w:val="center"/>
          </w:tcPr>
          <w:p w14:paraId="200DCB82">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二类区</w:t>
            </w:r>
            <w:r>
              <w:rPr>
                <w:rFonts w:hint="default" w:ascii="Times New Roman" w:hAnsi="Times New Roman" w:eastAsia="华文中宋" w:cs="Times New Roman"/>
                <w:szCs w:val="21"/>
                <w:lang w:eastAsia="zh-CN"/>
              </w:rPr>
              <w:t>☑</w:t>
            </w:r>
          </w:p>
        </w:tc>
        <w:tc>
          <w:tcPr>
            <w:tcW w:w="1692" w:type="dxa"/>
            <w:gridSpan w:val="4"/>
            <w:tcBorders>
              <w:tl2br w:val="nil"/>
              <w:tr2bl w:val="nil"/>
            </w:tcBorders>
            <w:noWrap w:val="0"/>
            <w:vAlign w:val="center"/>
          </w:tcPr>
          <w:p w14:paraId="02D49017">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en-US"/>
              </w:rPr>
              <w:t>一类区和二类区</w:t>
            </w:r>
            <w:r>
              <w:rPr>
                <w:rFonts w:hint="default" w:ascii="Times New Roman" w:hAnsi="Times New Roman" w:eastAsia="华文中宋" w:cs="Times New Roman"/>
                <w:szCs w:val="21"/>
                <w:lang w:eastAsia="zh-CN"/>
              </w:rPr>
              <w:t>□</w:t>
            </w:r>
          </w:p>
        </w:tc>
      </w:tr>
      <w:tr w14:paraId="41C9288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07" w:type="dxa"/>
            <w:vMerge w:val="continue"/>
            <w:tcBorders>
              <w:tl2br w:val="nil"/>
              <w:tr2bl w:val="nil"/>
            </w:tcBorders>
            <w:noWrap w:val="0"/>
            <w:vAlign w:val="center"/>
          </w:tcPr>
          <w:p w14:paraId="3F2BC8DA">
            <w:pPr>
              <w:spacing w:line="300" w:lineRule="exact"/>
              <w:jc w:val="center"/>
              <w:rPr>
                <w:rFonts w:hint="default" w:ascii="Times New Roman" w:hAnsi="Times New Roman" w:eastAsia="华文中宋" w:cs="Times New Roman"/>
                <w:szCs w:val="21"/>
                <w:lang w:eastAsia="en-US"/>
              </w:rPr>
            </w:pPr>
          </w:p>
        </w:tc>
        <w:tc>
          <w:tcPr>
            <w:tcW w:w="1455" w:type="dxa"/>
            <w:tcBorders>
              <w:tl2br w:val="nil"/>
              <w:tr2bl w:val="nil"/>
            </w:tcBorders>
            <w:noWrap w:val="0"/>
            <w:vAlign w:val="center"/>
          </w:tcPr>
          <w:p w14:paraId="643D26C6">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评价基准年</w:t>
            </w:r>
          </w:p>
        </w:tc>
        <w:tc>
          <w:tcPr>
            <w:tcW w:w="6137" w:type="dxa"/>
            <w:gridSpan w:val="18"/>
            <w:tcBorders>
              <w:tl2br w:val="nil"/>
              <w:tr2bl w:val="nil"/>
            </w:tcBorders>
            <w:noWrap w:val="0"/>
            <w:vAlign w:val="center"/>
          </w:tcPr>
          <w:p w14:paraId="286E7D2A">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（20</w:t>
            </w:r>
            <w:r>
              <w:rPr>
                <w:rFonts w:hint="default" w:ascii="Times New Roman" w:hAnsi="Times New Roman" w:eastAsia="华文中宋" w:cs="Times New Roman"/>
                <w:szCs w:val="21"/>
                <w:lang w:val="en-US" w:eastAsia="zh-CN"/>
              </w:rPr>
              <w:t>22</w:t>
            </w:r>
            <w:r>
              <w:rPr>
                <w:rFonts w:hint="default" w:ascii="Times New Roman" w:hAnsi="Times New Roman" w:eastAsia="华文中宋" w:cs="Times New Roman"/>
                <w:szCs w:val="21"/>
                <w:lang w:eastAsia="en-US"/>
              </w:rPr>
              <w:t>）年</w:t>
            </w:r>
          </w:p>
        </w:tc>
      </w:tr>
      <w:tr w14:paraId="1C850AE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07" w:type="dxa"/>
            <w:vMerge w:val="continue"/>
            <w:tcBorders>
              <w:tl2br w:val="nil"/>
              <w:tr2bl w:val="nil"/>
            </w:tcBorders>
            <w:noWrap w:val="0"/>
            <w:vAlign w:val="center"/>
          </w:tcPr>
          <w:p w14:paraId="08C1337E">
            <w:pPr>
              <w:spacing w:line="300" w:lineRule="exact"/>
              <w:jc w:val="center"/>
              <w:rPr>
                <w:rFonts w:hint="default" w:ascii="Times New Roman" w:hAnsi="Times New Roman" w:eastAsia="华文中宋" w:cs="Times New Roman"/>
                <w:szCs w:val="21"/>
                <w:lang w:eastAsia="en-US"/>
              </w:rPr>
            </w:pPr>
          </w:p>
        </w:tc>
        <w:tc>
          <w:tcPr>
            <w:tcW w:w="1455" w:type="dxa"/>
            <w:tcBorders>
              <w:tl2br w:val="nil"/>
              <w:tr2bl w:val="nil"/>
            </w:tcBorders>
            <w:noWrap w:val="0"/>
            <w:vAlign w:val="center"/>
          </w:tcPr>
          <w:p w14:paraId="51991AC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环境空气质量现状调查数据来源</w:t>
            </w:r>
          </w:p>
        </w:tc>
        <w:tc>
          <w:tcPr>
            <w:tcW w:w="2362" w:type="dxa"/>
            <w:gridSpan w:val="7"/>
            <w:tcBorders>
              <w:tl2br w:val="nil"/>
              <w:tr2bl w:val="nil"/>
            </w:tcBorders>
            <w:noWrap w:val="0"/>
            <w:vAlign w:val="center"/>
          </w:tcPr>
          <w:p w14:paraId="7B47BFEA">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长期例行监测数据</w:t>
            </w:r>
            <w:r>
              <w:rPr>
                <w:rFonts w:hint="default" w:ascii="Times New Roman" w:hAnsi="Times New Roman" w:eastAsia="华文中宋" w:cs="Times New Roman"/>
                <w:szCs w:val="21"/>
                <w:lang w:eastAsia="zh-CN"/>
              </w:rPr>
              <w:t>□</w:t>
            </w:r>
          </w:p>
        </w:tc>
        <w:tc>
          <w:tcPr>
            <w:tcW w:w="2083" w:type="dxa"/>
            <w:gridSpan w:val="7"/>
            <w:tcBorders>
              <w:tl2br w:val="nil"/>
              <w:tr2bl w:val="nil"/>
            </w:tcBorders>
            <w:noWrap w:val="0"/>
            <w:vAlign w:val="center"/>
          </w:tcPr>
          <w:p w14:paraId="38B3935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主管部门发布的数据</w:t>
            </w:r>
            <w:r>
              <w:rPr>
                <w:rFonts w:hint="default" w:ascii="Times New Roman" w:hAnsi="Times New Roman" w:eastAsia="华文中宋" w:cs="Times New Roman"/>
                <w:szCs w:val="21"/>
                <w:lang w:eastAsia="zh-CN"/>
              </w:rPr>
              <w:t>☑</w:t>
            </w:r>
          </w:p>
        </w:tc>
        <w:tc>
          <w:tcPr>
            <w:tcW w:w="1692" w:type="dxa"/>
            <w:gridSpan w:val="4"/>
            <w:tcBorders>
              <w:tl2br w:val="nil"/>
              <w:tr2bl w:val="nil"/>
            </w:tcBorders>
            <w:noWrap w:val="0"/>
            <w:vAlign w:val="center"/>
          </w:tcPr>
          <w:p w14:paraId="5C3156E0">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现状补充监测</w:t>
            </w:r>
            <w:r>
              <w:rPr>
                <w:rFonts w:hint="default" w:ascii="Times New Roman" w:hAnsi="Times New Roman" w:eastAsia="华文中宋" w:cs="Times New Roman"/>
                <w:szCs w:val="21"/>
                <w:lang w:eastAsia="zh-CN"/>
              </w:rPr>
              <w:t>☑</w:t>
            </w:r>
          </w:p>
        </w:tc>
      </w:tr>
      <w:tr w14:paraId="1B0C7C9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07" w:type="dxa"/>
            <w:vMerge w:val="continue"/>
            <w:tcBorders>
              <w:tl2br w:val="nil"/>
              <w:tr2bl w:val="nil"/>
            </w:tcBorders>
            <w:noWrap w:val="0"/>
            <w:vAlign w:val="center"/>
          </w:tcPr>
          <w:p w14:paraId="5E0B500C">
            <w:pPr>
              <w:spacing w:line="300" w:lineRule="exact"/>
              <w:jc w:val="center"/>
              <w:rPr>
                <w:rFonts w:hint="default" w:ascii="Times New Roman" w:hAnsi="Times New Roman" w:eastAsia="华文中宋" w:cs="Times New Roman"/>
                <w:szCs w:val="21"/>
                <w:lang w:eastAsia="en-US"/>
              </w:rPr>
            </w:pPr>
          </w:p>
        </w:tc>
        <w:tc>
          <w:tcPr>
            <w:tcW w:w="1455" w:type="dxa"/>
            <w:tcBorders>
              <w:tl2br w:val="nil"/>
              <w:tr2bl w:val="nil"/>
            </w:tcBorders>
            <w:noWrap w:val="0"/>
            <w:vAlign w:val="center"/>
          </w:tcPr>
          <w:p w14:paraId="594958CE">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现状评价</w:t>
            </w:r>
          </w:p>
        </w:tc>
        <w:tc>
          <w:tcPr>
            <w:tcW w:w="3612" w:type="dxa"/>
            <w:gridSpan w:val="12"/>
            <w:tcBorders>
              <w:tl2br w:val="nil"/>
              <w:tr2bl w:val="nil"/>
            </w:tcBorders>
            <w:noWrap w:val="0"/>
            <w:vAlign w:val="center"/>
          </w:tcPr>
          <w:p w14:paraId="30875F0A">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达标</w:t>
            </w:r>
            <w:r>
              <w:rPr>
                <w:rFonts w:hint="default" w:ascii="Times New Roman" w:hAnsi="Times New Roman" w:eastAsia="华文中宋" w:cs="Times New Roman"/>
                <w:szCs w:val="21"/>
                <w:lang w:eastAsia="zh-CN"/>
              </w:rPr>
              <w:t>□</w:t>
            </w:r>
          </w:p>
        </w:tc>
        <w:tc>
          <w:tcPr>
            <w:tcW w:w="2525" w:type="dxa"/>
            <w:gridSpan w:val="6"/>
            <w:tcBorders>
              <w:tl2br w:val="nil"/>
              <w:tr2bl w:val="nil"/>
            </w:tcBorders>
            <w:noWrap w:val="0"/>
            <w:vAlign w:val="center"/>
          </w:tcPr>
          <w:p w14:paraId="47B06345">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不达标区</w:t>
            </w:r>
            <w:r>
              <w:rPr>
                <w:rFonts w:hint="default" w:ascii="Times New Roman" w:hAnsi="Times New Roman" w:eastAsia="华文中宋" w:cs="Times New Roman"/>
                <w:szCs w:val="21"/>
                <w:lang w:eastAsia="zh-CN"/>
              </w:rPr>
              <w:t>☑</w:t>
            </w:r>
          </w:p>
        </w:tc>
      </w:tr>
      <w:tr w14:paraId="698DA47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07" w:type="dxa"/>
            <w:tcBorders>
              <w:tl2br w:val="nil"/>
              <w:tr2bl w:val="nil"/>
            </w:tcBorders>
            <w:noWrap w:val="0"/>
            <w:vAlign w:val="center"/>
          </w:tcPr>
          <w:p w14:paraId="64941C16">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污染源调查</w:t>
            </w:r>
          </w:p>
        </w:tc>
        <w:tc>
          <w:tcPr>
            <w:tcW w:w="1455" w:type="dxa"/>
            <w:tcBorders>
              <w:tl2br w:val="nil"/>
              <w:tr2bl w:val="nil"/>
            </w:tcBorders>
            <w:noWrap w:val="0"/>
            <w:vAlign w:val="center"/>
          </w:tcPr>
          <w:p w14:paraId="36718094">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调查内容</w:t>
            </w:r>
          </w:p>
        </w:tc>
        <w:tc>
          <w:tcPr>
            <w:tcW w:w="2135" w:type="dxa"/>
            <w:gridSpan w:val="6"/>
            <w:tcBorders>
              <w:tl2br w:val="nil"/>
              <w:tr2bl w:val="nil"/>
            </w:tcBorders>
            <w:noWrap w:val="0"/>
            <w:vAlign w:val="center"/>
          </w:tcPr>
          <w:p w14:paraId="2EE2C64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本项目正常排放源</w:t>
            </w:r>
            <w:r>
              <w:rPr>
                <w:rFonts w:hint="default" w:ascii="Times New Roman" w:hAnsi="Times New Roman" w:eastAsia="华文中宋" w:cs="Times New Roman"/>
                <w:szCs w:val="21"/>
                <w:lang w:eastAsia="zh-CN"/>
              </w:rPr>
              <w:t>☑</w:t>
            </w:r>
          </w:p>
          <w:p w14:paraId="0039B327">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rPr>
              <w:t>本项目非正常排放源</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lang w:eastAsia="en-US"/>
              </w:rPr>
              <w:t>现有污染源</w:t>
            </w:r>
            <w:r>
              <w:rPr>
                <w:rFonts w:hint="default" w:ascii="Times New Roman" w:hAnsi="Times New Roman" w:eastAsia="华文中宋" w:cs="Times New Roman"/>
                <w:szCs w:val="21"/>
                <w:lang w:eastAsia="zh-CN"/>
              </w:rPr>
              <w:t>□</w:t>
            </w:r>
          </w:p>
        </w:tc>
        <w:tc>
          <w:tcPr>
            <w:tcW w:w="1477" w:type="dxa"/>
            <w:gridSpan w:val="6"/>
            <w:tcBorders>
              <w:tl2br w:val="nil"/>
              <w:tr2bl w:val="nil"/>
            </w:tcBorders>
            <w:noWrap w:val="0"/>
            <w:vAlign w:val="center"/>
          </w:tcPr>
          <w:p w14:paraId="3EDFDF41">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拟替代的污染源</w:t>
            </w:r>
            <w:r>
              <w:rPr>
                <w:rFonts w:hint="default" w:ascii="Times New Roman" w:hAnsi="Times New Roman" w:eastAsia="华文中宋" w:cs="Times New Roman"/>
                <w:szCs w:val="21"/>
                <w:lang w:eastAsia="zh-CN"/>
              </w:rPr>
              <w:t>□</w:t>
            </w:r>
          </w:p>
        </w:tc>
        <w:tc>
          <w:tcPr>
            <w:tcW w:w="1234" w:type="dxa"/>
            <w:gridSpan w:val="4"/>
            <w:tcBorders>
              <w:tl2br w:val="nil"/>
              <w:tr2bl w:val="nil"/>
            </w:tcBorders>
            <w:noWrap w:val="0"/>
            <w:vAlign w:val="center"/>
          </w:tcPr>
          <w:p w14:paraId="2902851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其他在建、拟建项目污染源</w:t>
            </w:r>
            <w:r>
              <w:rPr>
                <w:rFonts w:hint="default" w:ascii="Times New Roman" w:hAnsi="Times New Roman" w:eastAsia="华文中宋" w:cs="Times New Roman"/>
                <w:szCs w:val="21"/>
                <w:lang w:eastAsia="zh-CN"/>
              </w:rPr>
              <w:t>□</w:t>
            </w:r>
          </w:p>
        </w:tc>
        <w:tc>
          <w:tcPr>
            <w:tcW w:w="1291" w:type="dxa"/>
            <w:gridSpan w:val="2"/>
            <w:tcBorders>
              <w:tl2br w:val="nil"/>
              <w:tr2bl w:val="nil"/>
            </w:tcBorders>
            <w:noWrap w:val="0"/>
            <w:vAlign w:val="center"/>
          </w:tcPr>
          <w:p w14:paraId="2F917128">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区域污染源</w:t>
            </w:r>
            <w:r>
              <w:rPr>
                <w:rFonts w:hint="default" w:ascii="Times New Roman" w:hAnsi="Times New Roman" w:eastAsia="华文中宋" w:cs="Times New Roman"/>
                <w:szCs w:val="21"/>
                <w:lang w:eastAsia="zh-CN"/>
              </w:rPr>
              <w:t>□</w:t>
            </w:r>
          </w:p>
        </w:tc>
      </w:tr>
      <w:tr w14:paraId="1927333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07" w:type="dxa"/>
            <w:vMerge w:val="restart"/>
            <w:tcBorders>
              <w:tl2br w:val="nil"/>
              <w:tr2bl w:val="nil"/>
            </w:tcBorders>
            <w:noWrap w:val="0"/>
            <w:vAlign w:val="center"/>
          </w:tcPr>
          <w:p w14:paraId="78EEC41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大气环境影响预测与评价</w:t>
            </w:r>
          </w:p>
        </w:tc>
        <w:tc>
          <w:tcPr>
            <w:tcW w:w="1455" w:type="dxa"/>
            <w:tcBorders>
              <w:tl2br w:val="nil"/>
              <w:tr2bl w:val="nil"/>
            </w:tcBorders>
            <w:noWrap w:val="0"/>
            <w:vAlign w:val="center"/>
          </w:tcPr>
          <w:p w14:paraId="11A2755A">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预测模型</w:t>
            </w:r>
          </w:p>
        </w:tc>
        <w:tc>
          <w:tcPr>
            <w:tcW w:w="944" w:type="dxa"/>
            <w:gridSpan w:val="2"/>
            <w:tcBorders>
              <w:tl2br w:val="nil"/>
              <w:tr2bl w:val="nil"/>
            </w:tcBorders>
            <w:noWrap w:val="0"/>
            <w:vAlign w:val="center"/>
          </w:tcPr>
          <w:p w14:paraId="7D925FC8">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AERMOD</w:t>
            </w:r>
          </w:p>
          <w:p w14:paraId="412C3BD5">
            <w:pPr>
              <w:spacing w:line="300" w:lineRule="exact"/>
              <w:jc w:val="center"/>
              <w:rPr>
                <w:rFonts w:hint="default" w:ascii="Times New Roman" w:hAnsi="Times New Roman" w:eastAsia="华文中宋" w:cs="Times New Roman"/>
                <w:szCs w:val="21"/>
                <w:lang w:eastAsia="zh-CN"/>
              </w:rPr>
            </w:pPr>
            <w:r>
              <w:rPr>
                <w:rFonts w:hint="eastAsia" w:ascii="Times New Roman" w:hAnsi="Times New Roman" w:eastAsia="华文中宋" w:cs="Times New Roman"/>
                <w:szCs w:val="21"/>
                <w:lang w:eastAsia="zh-CN"/>
              </w:rPr>
              <w:t>□</w:t>
            </w:r>
          </w:p>
        </w:tc>
        <w:tc>
          <w:tcPr>
            <w:tcW w:w="835" w:type="dxa"/>
            <w:gridSpan w:val="3"/>
            <w:tcBorders>
              <w:tl2br w:val="nil"/>
              <w:tr2bl w:val="nil"/>
            </w:tcBorders>
            <w:noWrap w:val="0"/>
            <w:vAlign w:val="center"/>
          </w:tcPr>
          <w:p w14:paraId="5273B6A5">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ADMS</w:t>
            </w:r>
          </w:p>
          <w:p w14:paraId="24818C64">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w:t>
            </w:r>
          </w:p>
        </w:tc>
        <w:tc>
          <w:tcPr>
            <w:tcW w:w="1047" w:type="dxa"/>
            <w:gridSpan w:val="4"/>
            <w:tcBorders>
              <w:tl2br w:val="nil"/>
              <w:tr2bl w:val="nil"/>
            </w:tcBorders>
            <w:noWrap w:val="0"/>
            <w:vAlign w:val="center"/>
          </w:tcPr>
          <w:p w14:paraId="62C01DD1">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AUSTAL2000□</w:t>
            </w:r>
          </w:p>
        </w:tc>
        <w:tc>
          <w:tcPr>
            <w:tcW w:w="1023" w:type="dxa"/>
            <w:gridSpan w:val="4"/>
            <w:tcBorders>
              <w:tl2br w:val="nil"/>
              <w:tr2bl w:val="nil"/>
            </w:tcBorders>
            <w:noWrap w:val="0"/>
            <w:vAlign w:val="center"/>
          </w:tcPr>
          <w:p w14:paraId="1F2203E8">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EDMS/AEDT□</w:t>
            </w:r>
          </w:p>
        </w:tc>
        <w:tc>
          <w:tcPr>
            <w:tcW w:w="596" w:type="dxa"/>
            <w:tcBorders>
              <w:tl2br w:val="nil"/>
              <w:tr2bl w:val="nil"/>
            </w:tcBorders>
            <w:noWrap w:val="0"/>
            <w:vAlign w:val="center"/>
          </w:tcPr>
          <w:p w14:paraId="4D570D57">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CALPUFF□</w:t>
            </w:r>
          </w:p>
        </w:tc>
        <w:tc>
          <w:tcPr>
            <w:tcW w:w="1003" w:type="dxa"/>
            <w:gridSpan w:val="3"/>
            <w:tcBorders>
              <w:tl2br w:val="nil"/>
              <w:tr2bl w:val="nil"/>
            </w:tcBorders>
            <w:noWrap w:val="0"/>
            <w:vAlign w:val="center"/>
          </w:tcPr>
          <w:p w14:paraId="795675AC">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网格模型</w:t>
            </w:r>
          </w:p>
        </w:tc>
        <w:tc>
          <w:tcPr>
            <w:tcW w:w="689" w:type="dxa"/>
            <w:tcBorders>
              <w:tl2br w:val="nil"/>
              <w:tr2bl w:val="nil"/>
            </w:tcBorders>
            <w:noWrap w:val="0"/>
            <w:vAlign w:val="center"/>
          </w:tcPr>
          <w:p w14:paraId="0123366B">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其他</w:t>
            </w:r>
          </w:p>
        </w:tc>
      </w:tr>
      <w:tr w14:paraId="05BD9E8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07" w:type="dxa"/>
            <w:vMerge w:val="continue"/>
            <w:tcBorders>
              <w:tl2br w:val="nil"/>
              <w:tr2bl w:val="nil"/>
            </w:tcBorders>
            <w:noWrap w:val="0"/>
            <w:vAlign w:val="center"/>
          </w:tcPr>
          <w:p w14:paraId="3D2C496A">
            <w:pPr>
              <w:spacing w:line="300" w:lineRule="exact"/>
              <w:jc w:val="center"/>
              <w:rPr>
                <w:rFonts w:hint="default" w:ascii="Times New Roman" w:hAnsi="Times New Roman" w:eastAsia="华文中宋" w:cs="Times New Roman"/>
                <w:szCs w:val="21"/>
                <w:lang w:eastAsia="en-US"/>
              </w:rPr>
            </w:pPr>
          </w:p>
        </w:tc>
        <w:tc>
          <w:tcPr>
            <w:tcW w:w="1455" w:type="dxa"/>
            <w:tcBorders>
              <w:tl2br w:val="nil"/>
              <w:tr2bl w:val="nil"/>
            </w:tcBorders>
            <w:noWrap w:val="0"/>
            <w:vAlign w:val="center"/>
          </w:tcPr>
          <w:p w14:paraId="287C8359">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预测范围</w:t>
            </w:r>
          </w:p>
        </w:tc>
        <w:tc>
          <w:tcPr>
            <w:tcW w:w="1779" w:type="dxa"/>
            <w:gridSpan w:val="5"/>
            <w:tcBorders>
              <w:tl2br w:val="nil"/>
              <w:tr2bl w:val="nil"/>
            </w:tcBorders>
            <w:noWrap w:val="0"/>
            <w:vAlign w:val="center"/>
          </w:tcPr>
          <w:p w14:paraId="356918F3">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边长</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lang w:eastAsia="en-US"/>
              </w:rPr>
              <w:t>50 km</w:t>
            </w:r>
            <w:r>
              <w:rPr>
                <w:rFonts w:hint="default" w:ascii="Times New Roman" w:hAnsi="Times New Roman" w:eastAsia="华文中宋" w:cs="Times New Roman"/>
                <w:szCs w:val="21"/>
                <w:lang w:eastAsia="zh-CN"/>
              </w:rPr>
              <w:t>□</w:t>
            </w:r>
          </w:p>
        </w:tc>
        <w:tc>
          <w:tcPr>
            <w:tcW w:w="2666" w:type="dxa"/>
            <w:gridSpan w:val="9"/>
            <w:tcBorders>
              <w:tl2br w:val="nil"/>
              <w:tr2bl w:val="nil"/>
            </w:tcBorders>
            <w:noWrap w:val="0"/>
            <w:vAlign w:val="center"/>
          </w:tcPr>
          <w:p w14:paraId="7465F67D">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边长5～50 km</w:t>
            </w:r>
            <w:r>
              <w:rPr>
                <w:rFonts w:hint="default" w:ascii="Times New Roman" w:hAnsi="Times New Roman" w:eastAsia="华文中宋" w:cs="Times New Roman"/>
                <w:szCs w:val="21"/>
                <w:lang w:eastAsia="zh-CN"/>
              </w:rPr>
              <w:t>□</w:t>
            </w:r>
          </w:p>
        </w:tc>
        <w:tc>
          <w:tcPr>
            <w:tcW w:w="1692" w:type="dxa"/>
            <w:gridSpan w:val="4"/>
            <w:tcBorders>
              <w:tl2br w:val="nil"/>
              <w:tr2bl w:val="nil"/>
            </w:tcBorders>
            <w:noWrap w:val="0"/>
            <w:vAlign w:val="center"/>
          </w:tcPr>
          <w:p w14:paraId="4DACF313">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边长=5km</w:t>
            </w:r>
            <w:r>
              <w:rPr>
                <w:rFonts w:hint="eastAsia" w:ascii="Times New Roman" w:hAnsi="Times New Roman" w:eastAsia="华文中宋" w:cs="Times New Roman"/>
                <w:szCs w:val="21"/>
                <w:lang w:eastAsia="zh-CN"/>
              </w:rPr>
              <w:t>□</w:t>
            </w:r>
          </w:p>
        </w:tc>
      </w:tr>
      <w:tr w14:paraId="7FBFD2B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07" w:type="dxa"/>
            <w:vMerge w:val="continue"/>
            <w:tcBorders>
              <w:tl2br w:val="nil"/>
              <w:tr2bl w:val="nil"/>
            </w:tcBorders>
            <w:noWrap w:val="0"/>
            <w:vAlign w:val="center"/>
          </w:tcPr>
          <w:p w14:paraId="68EE0C1B">
            <w:pPr>
              <w:spacing w:line="300" w:lineRule="exact"/>
              <w:jc w:val="center"/>
              <w:rPr>
                <w:rFonts w:hint="default" w:ascii="Times New Roman" w:hAnsi="Times New Roman" w:eastAsia="华文中宋" w:cs="Times New Roman"/>
                <w:szCs w:val="21"/>
                <w:lang w:eastAsia="en-US"/>
              </w:rPr>
            </w:pPr>
          </w:p>
        </w:tc>
        <w:tc>
          <w:tcPr>
            <w:tcW w:w="1455" w:type="dxa"/>
            <w:tcBorders>
              <w:tl2br w:val="nil"/>
              <w:tr2bl w:val="nil"/>
            </w:tcBorders>
            <w:noWrap w:val="0"/>
            <w:vAlign w:val="center"/>
          </w:tcPr>
          <w:p w14:paraId="09CE7B0C">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预测因子</w:t>
            </w:r>
          </w:p>
        </w:tc>
        <w:tc>
          <w:tcPr>
            <w:tcW w:w="3474" w:type="dxa"/>
            <w:gridSpan w:val="11"/>
            <w:tcBorders>
              <w:tl2br w:val="nil"/>
              <w:tr2bl w:val="nil"/>
            </w:tcBorders>
            <w:noWrap w:val="0"/>
            <w:vAlign w:val="center"/>
          </w:tcPr>
          <w:p w14:paraId="6BE753E7">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预测因子（</w:t>
            </w:r>
            <w:r>
              <w:rPr>
                <w:rFonts w:hint="default" w:ascii="Times New Roman" w:hAnsi="Times New Roman" w:eastAsia="华文中宋" w:cs="Times New Roman"/>
                <w:szCs w:val="21"/>
                <w:lang w:val="en-US" w:eastAsia="zh-CN"/>
              </w:rPr>
              <w:t>TSP</w:t>
            </w:r>
            <w:r>
              <w:rPr>
                <w:rFonts w:hint="default" w:ascii="Times New Roman" w:hAnsi="Times New Roman" w:eastAsia="华文中宋" w:cs="Times New Roman"/>
                <w:szCs w:val="21"/>
              </w:rPr>
              <w:t>）</w:t>
            </w:r>
          </w:p>
        </w:tc>
        <w:tc>
          <w:tcPr>
            <w:tcW w:w="2663" w:type="dxa"/>
            <w:gridSpan w:val="7"/>
            <w:tcBorders>
              <w:tl2br w:val="nil"/>
              <w:tr2bl w:val="nil"/>
            </w:tcBorders>
            <w:noWrap w:val="0"/>
            <w:vAlign w:val="center"/>
          </w:tcPr>
          <w:p w14:paraId="72456882">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包括二次PM2.5</w:t>
            </w:r>
            <w:r>
              <w:rPr>
                <w:rFonts w:hint="default" w:ascii="Times New Roman" w:hAnsi="Times New Roman" w:eastAsia="华文中宋" w:cs="Times New Roman"/>
                <w:szCs w:val="21"/>
                <w:lang w:eastAsia="zh-CN"/>
              </w:rPr>
              <w:t>□</w:t>
            </w:r>
          </w:p>
          <w:p w14:paraId="37A25DD0">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不包括二次PM2.5</w:t>
            </w:r>
            <w:r>
              <w:rPr>
                <w:rFonts w:hint="eastAsia" w:ascii="Times New Roman" w:hAnsi="Times New Roman" w:eastAsia="华文中宋" w:cs="Times New Roman"/>
                <w:szCs w:val="21"/>
                <w:lang w:eastAsia="zh-CN"/>
              </w:rPr>
              <w:t>□</w:t>
            </w:r>
          </w:p>
        </w:tc>
      </w:tr>
      <w:tr w14:paraId="5462FF5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07" w:type="dxa"/>
            <w:vMerge w:val="continue"/>
            <w:tcBorders>
              <w:tl2br w:val="nil"/>
              <w:tr2bl w:val="nil"/>
            </w:tcBorders>
            <w:noWrap w:val="0"/>
            <w:vAlign w:val="center"/>
          </w:tcPr>
          <w:p w14:paraId="763A091A">
            <w:pPr>
              <w:spacing w:line="300" w:lineRule="exact"/>
              <w:jc w:val="center"/>
              <w:rPr>
                <w:rFonts w:hint="default" w:ascii="Times New Roman" w:hAnsi="Times New Roman" w:eastAsia="华文中宋" w:cs="Times New Roman"/>
                <w:szCs w:val="21"/>
                <w:lang w:eastAsia="en-US"/>
              </w:rPr>
            </w:pPr>
          </w:p>
        </w:tc>
        <w:tc>
          <w:tcPr>
            <w:tcW w:w="1455" w:type="dxa"/>
            <w:tcBorders>
              <w:tl2br w:val="nil"/>
              <w:tr2bl w:val="nil"/>
            </w:tcBorders>
            <w:noWrap w:val="0"/>
            <w:vAlign w:val="center"/>
          </w:tcPr>
          <w:p w14:paraId="1C32F38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正常排放短期浓度贡献值</w:t>
            </w:r>
          </w:p>
        </w:tc>
        <w:tc>
          <w:tcPr>
            <w:tcW w:w="3474" w:type="dxa"/>
            <w:gridSpan w:val="11"/>
            <w:tcBorders>
              <w:tl2br w:val="nil"/>
              <w:tr2bl w:val="nil"/>
            </w:tcBorders>
            <w:noWrap w:val="0"/>
            <w:vAlign w:val="center"/>
          </w:tcPr>
          <w:p w14:paraId="5A3A8A9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C</w:t>
            </w:r>
            <w:r>
              <w:rPr>
                <w:rFonts w:hint="default" w:ascii="Times New Roman" w:hAnsi="Times New Roman" w:eastAsia="华文中宋" w:cs="Times New Roman"/>
                <w:szCs w:val="21"/>
                <w:lang w:eastAsia="zh-CN"/>
              </w:rPr>
              <w:t>本项目</w:t>
            </w:r>
            <w:r>
              <w:rPr>
                <w:rFonts w:hint="default" w:ascii="Times New Roman" w:hAnsi="Times New Roman" w:eastAsia="华文中宋" w:cs="Times New Roman"/>
                <w:szCs w:val="21"/>
              </w:rPr>
              <w:t>最大占标率</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100%</w:t>
            </w:r>
            <w:r>
              <w:rPr>
                <w:rFonts w:hint="default" w:ascii="Times New Roman" w:hAnsi="Times New Roman" w:eastAsia="华文中宋" w:cs="Times New Roman"/>
                <w:szCs w:val="21"/>
              </w:rPr>
              <w:sym w:font="Wingdings 2" w:char="0052"/>
            </w:r>
          </w:p>
        </w:tc>
        <w:tc>
          <w:tcPr>
            <w:tcW w:w="2663" w:type="dxa"/>
            <w:gridSpan w:val="7"/>
            <w:tcBorders>
              <w:tl2br w:val="nil"/>
              <w:tr2bl w:val="nil"/>
            </w:tcBorders>
            <w:noWrap w:val="0"/>
            <w:vAlign w:val="center"/>
          </w:tcPr>
          <w:p w14:paraId="5B946FF1">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C</w:t>
            </w:r>
            <w:r>
              <w:rPr>
                <w:rFonts w:hint="default" w:ascii="Times New Roman" w:hAnsi="Times New Roman" w:eastAsia="华文中宋" w:cs="Times New Roman"/>
                <w:szCs w:val="21"/>
                <w:lang w:eastAsia="zh-CN"/>
              </w:rPr>
              <w:t>本项目</w:t>
            </w:r>
            <w:r>
              <w:rPr>
                <w:rFonts w:hint="default" w:ascii="Times New Roman" w:hAnsi="Times New Roman" w:eastAsia="华文中宋" w:cs="Times New Roman"/>
                <w:szCs w:val="21"/>
              </w:rPr>
              <w:t>最大占标率＞100%□</w:t>
            </w:r>
          </w:p>
        </w:tc>
      </w:tr>
      <w:tr w14:paraId="610C42A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07" w:type="dxa"/>
            <w:vMerge w:val="continue"/>
            <w:tcBorders>
              <w:tl2br w:val="nil"/>
              <w:tr2bl w:val="nil"/>
            </w:tcBorders>
            <w:noWrap w:val="0"/>
            <w:vAlign w:val="center"/>
          </w:tcPr>
          <w:p w14:paraId="621D79E5">
            <w:pPr>
              <w:spacing w:line="300" w:lineRule="exact"/>
              <w:jc w:val="center"/>
              <w:rPr>
                <w:rFonts w:hint="default" w:ascii="Times New Roman" w:hAnsi="Times New Roman" w:eastAsia="华文中宋" w:cs="Times New Roman"/>
                <w:szCs w:val="21"/>
              </w:rPr>
            </w:pPr>
          </w:p>
        </w:tc>
        <w:tc>
          <w:tcPr>
            <w:tcW w:w="1455" w:type="dxa"/>
            <w:vMerge w:val="restart"/>
            <w:tcBorders>
              <w:tl2br w:val="nil"/>
              <w:tr2bl w:val="nil"/>
            </w:tcBorders>
            <w:noWrap w:val="0"/>
            <w:vAlign w:val="center"/>
          </w:tcPr>
          <w:p w14:paraId="57A134D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正常排放年均浓度贡献值</w:t>
            </w:r>
          </w:p>
        </w:tc>
        <w:tc>
          <w:tcPr>
            <w:tcW w:w="835" w:type="dxa"/>
            <w:tcBorders>
              <w:tl2br w:val="nil"/>
              <w:tr2bl w:val="nil"/>
            </w:tcBorders>
            <w:noWrap w:val="0"/>
            <w:vAlign w:val="center"/>
          </w:tcPr>
          <w:p w14:paraId="37396253">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一类区</w:t>
            </w:r>
          </w:p>
        </w:tc>
        <w:tc>
          <w:tcPr>
            <w:tcW w:w="2639" w:type="dxa"/>
            <w:gridSpan w:val="10"/>
            <w:tcBorders>
              <w:tl2br w:val="nil"/>
              <w:tr2bl w:val="nil"/>
            </w:tcBorders>
            <w:noWrap w:val="0"/>
            <w:vAlign w:val="center"/>
          </w:tcPr>
          <w:p w14:paraId="1527EB6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C</w:t>
            </w:r>
            <w:r>
              <w:rPr>
                <w:rFonts w:hint="default" w:ascii="Times New Roman" w:hAnsi="Times New Roman" w:eastAsia="华文中宋" w:cs="Times New Roman"/>
                <w:szCs w:val="21"/>
                <w:lang w:eastAsia="zh-CN"/>
              </w:rPr>
              <w:t>本项目</w:t>
            </w:r>
            <w:r>
              <w:rPr>
                <w:rFonts w:hint="default" w:ascii="Times New Roman" w:hAnsi="Times New Roman" w:eastAsia="华文中宋" w:cs="Times New Roman"/>
                <w:szCs w:val="21"/>
              </w:rPr>
              <w:t>最大占标率</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10%□</w:t>
            </w:r>
          </w:p>
        </w:tc>
        <w:tc>
          <w:tcPr>
            <w:tcW w:w="2663" w:type="dxa"/>
            <w:gridSpan w:val="7"/>
            <w:tcBorders>
              <w:tl2br w:val="nil"/>
              <w:tr2bl w:val="nil"/>
            </w:tcBorders>
            <w:noWrap w:val="0"/>
            <w:vAlign w:val="center"/>
          </w:tcPr>
          <w:p w14:paraId="6A1761D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C</w:t>
            </w:r>
            <w:r>
              <w:rPr>
                <w:rFonts w:hint="default" w:ascii="Times New Roman" w:hAnsi="Times New Roman" w:eastAsia="华文中宋" w:cs="Times New Roman"/>
                <w:szCs w:val="21"/>
                <w:lang w:eastAsia="zh-CN"/>
              </w:rPr>
              <w:t>本项目</w:t>
            </w:r>
            <w:r>
              <w:rPr>
                <w:rFonts w:hint="default" w:ascii="Times New Roman" w:hAnsi="Times New Roman" w:eastAsia="华文中宋" w:cs="Times New Roman"/>
                <w:szCs w:val="21"/>
              </w:rPr>
              <w:t>最大标率＞10%□</w:t>
            </w:r>
          </w:p>
        </w:tc>
      </w:tr>
      <w:tr w14:paraId="4A736A8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07" w:type="dxa"/>
            <w:vMerge w:val="continue"/>
            <w:tcBorders>
              <w:tl2br w:val="nil"/>
              <w:tr2bl w:val="nil"/>
            </w:tcBorders>
            <w:noWrap w:val="0"/>
            <w:vAlign w:val="center"/>
          </w:tcPr>
          <w:p w14:paraId="079673B4">
            <w:pPr>
              <w:spacing w:line="300" w:lineRule="exact"/>
              <w:jc w:val="center"/>
              <w:rPr>
                <w:rFonts w:hint="default" w:ascii="Times New Roman" w:hAnsi="Times New Roman" w:eastAsia="华文中宋" w:cs="Times New Roman"/>
                <w:szCs w:val="21"/>
              </w:rPr>
            </w:pPr>
          </w:p>
        </w:tc>
        <w:tc>
          <w:tcPr>
            <w:tcW w:w="1455" w:type="dxa"/>
            <w:vMerge w:val="continue"/>
            <w:tcBorders>
              <w:tl2br w:val="nil"/>
              <w:tr2bl w:val="nil"/>
            </w:tcBorders>
            <w:noWrap w:val="0"/>
            <w:vAlign w:val="center"/>
          </w:tcPr>
          <w:p w14:paraId="403FAEDD">
            <w:pPr>
              <w:spacing w:line="300" w:lineRule="exact"/>
              <w:jc w:val="center"/>
              <w:rPr>
                <w:rFonts w:hint="default" w:ascii="Times New Roman" w:hAnsi="Times New Roman" w:eastAsia="华文中宋" w:cs="Times New Roman"/>
                <w:szCs w:val="21"/>
              </w:rPr>
            </w:pPr>
          </w:p>
        </w:tc>
        <w:tc>
          <w:tcPr>
            <w:tcW w:w="835" w:type="dxa"/>
            <w:tcBorders>
              <w:tl2br w:val="nil"/>
              <w:tr2bl w:val="nil"/>
            </w:tcBorders>
            <w:noWrap w:val="0"/>
            <w:vAlign w:val="center"/>
          </w:tcPr>
          <w:p w14:paraId="6A98D890">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二类区</w:t>
            </w:r>
          </w:p>
        </w:tc>
        <w:tc>
          <w:tcPr>
            <w:tcW w:w="2639" w:type="dxa"/>
            <w:gridSpan w:val="10"/>
            <w:tcBorders>
              <w:tl2br w:val="nil"/>
              <w:tr2bl w:val="nil"/>
            </w:tcBorders>
            <w:noWrap w:val="0"/>
            <w:vAlign w:val="center"/>
          </w:tcPr>
          <w:p w14:paraId="3DBAC7F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C</w:t>
            </w:r>
            <w:r>
              <w:rPr>
                <w:rFonts w:hint="default" w:ascii="Times New Roman" w:hAnsi="Times New Roman" w:eastAsia="华文中宋" w:cs="Times New Roman"/>
                <w:szCs w:val="21"/>
                <w:lang w:eastAsia="zh-CN"/>
              </w:rPr>
              <w:t>本项目</w:t>
            </w:r>
            <w:r>
              <w:rPr>
                <w:rFonts w:hint="default" w:ascii="Times New Roman" w:hAnsi="Times New Roman" w:eastAsia="华文中宋" w:cs="Times New Roman"/>
                <w:szCs w:val="21"/>
              </w:rPr>
              <w:t>最大占标率</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30%</w:t>
            </w:r>
            <w:r>
              <w:rPr>
                <w:rFonts w:hint="default" w:ascii="Times New Roman" w:hAnsi="Times New Roman" w:eastAsia="华文中宋" w:cs="Times New Roman"/>
                <w:szCs w:val="21"/>
              </w:rPr>
              <w:sym w:font="Wingdings 2" w:char="0052"/>
            </w:r>
          </w:p>
        </w:tc>
        <w:tc>
          <w:tcPr>
            <w:tcW w:w="2663" w:type="dxa"/>
            <w:gridSpan w:val="7"/>
            <w:tcBorders>
              <w:tl2br w:val="nil"/>
              <w:tr2bl w:val="nil"/>
            </w:tcBorders>
            <w:noWrap w:val="0"/>
            <w:vAlign w:val="center"/>
          </w:tcPr>
          <w:p w14:paraId="5A080DB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C</w:t>
            </w:r>
            <w:r>
              <w:rPr>
                <w:rFonts w:hint="default" w:ascii="Times New Roman" w:hAnsi="Times New Roman" w:eastAsia="华文中宋" w:cs="Times New Roman"/>
                <w:szCs w:val="21"/>
                <w:lang w:eastAsia="zh-CN"/>
              </w:rPr>
              <w:t>本项目</w:t>
            </w:r>
            <w:r>
              <w:rPr>
                <w:rFonts w:hint="default" w:ascii="Times New Roman" w:hAnsi="Times New Roman" w:eastAsia="华文中宋" w:cs="Times New Roman"/>
                <w:szCs w:val="21"/>
              </w:rPr>
              <w:t>最大标率＞30%□</w:t>
            </w:r>
          </w:p>
        </w:tc>
      </w:tr>
      <w:tr w14:paraId="2D3BF30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07" w:type="dxa"/>
            <w:vMerge w:val="continue"/>
            <w:tcBorders>
              <w:tl2br w:val="nil"/>
              <w:tr2bl w:val="nil"/>
            </w:tcBorders>
            <w:noWrap w:val="0"/>
            <w:vAlign w:val="center"/>
          </w:tcPr>
          <w:p w14:paraId="45223BEF">
            <w:pPr>
              <w:spacing w:line="300" w:lineRule="exact"/>
              <w:jc w:val="center"/>
              <w:rPr>
                <w:rFonts w:hint="default" w:ascii="Times New Roman" w:hAnsi="Times New Roman" w:eastAsia="华文中宋" w:cs="Times New Roman"/>
                <w:szCs w:val="21"/>
              </w:rPr>
            </w:pPr>
          </w:p>
        </w:tc>
        <w:tc>
          <w:tcPr>
            <w:tcW w:w="1455" w:type="dxa"/>
            <w:tcBorders>
              <w:tl2br w:val="nil"/>
              <w:tr2bl w:val="nil"/>
            </w:tcBorders>
            <w:noWrap w:val="0"/>
            <w:vAlign w:val="center"/>
          </w:tcPr>
          <w:p w14:paraId="1F976D53">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非正常排放1h浓度贡献值</w:t>
            </w:r>
          </w:p>
        </w:tc>
        <w:tc>
          <w:tcPr>
            <w:tcW w:w="1452" w:type="dxa"/>
            <w:gridSpan w:val="4"/>
            <w:tcBorders>
              <w:tl2br w:val="nil"/>
              <w:tr2bl w:val="nil"/>
            </w:tcBorders>
            <w:noWrap w:val="0"/>
            <w:vAlign w:val="center"/>
          </w:tcPr>
          <w:p w14:paraId="3E639F9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非正常持续时长（0）h</w:t>
            </w:r>
          </w:p>
        </w:tc>
        <w:tc>
          <w:tcPr>
            <w:tcW w:w="2022" w:type="dxa"/>
            <w:gridSpan w:val="7"/>
            <w:tcBorders>
              <w:tl2br w:val="nil"/>
              <w:tr2bl w:val="nil"/>
            </w:tcBorders>
            <w:noWrap w:val="0"/>
            <w:vAlign w:val="center"/>
          </w:tcPr>
          <w:p w14:paraId="74C59203">
            <w:pPr>
              <w:spacing w:line="300" w:lineRule="exact"/>
              <w:jc w:val="center"/>
              <w:rPr>
                <w:rFonts w:hint="eastAsia" w:ascii="Times New Roman" w:hAnsi="Times New Roman" w:eastAsia="华文中宋" w:cs="Times New Roman"/>
                <w:szCs w:val="21"/>
                <w:lang w:eastAsia="zh-CN"/>
              </w:rPr>
            </w:pPr>
            <w:r>
              <w:rPr>
                <w:rFonts w:hint="default" w:ascii="Times New Roman" w:hAnsi="Times New Roman" w:eastAsia="华文中宋" w:cs="Times New Roman"/>
                <w:szCs w:val="21"/>
              </w:rPr>
              <w:t>C</w:t>
            </w:r>
            <w:r>
              <w:rPr>
                <w:rFonts w:hint="default" w:ascii="Times New Roman" w:hAnsi="Times New Roman" w:eastAsia="华文中宋" w:cs="Times New Roman"/>
                <w:szCs w:val="21"/>
                <w:lang w:eastAsia="zh-CN"/>
              </w:rPr>
              <w:t>非正常</w:t>
            </w:r>
            <w:r>
              <w:rPr>
                <w:rFonts w:hint="default" w:ascii="Times New Roman" w:hAnsi="Times New Roman" w:eastAsia="华文中宋" w:cs="Times New Roman"/>
                <w:szCs w:val="21"/>
              </w:rPr>
              <w:t>占标率</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100%</w:t>
            </w:r>
            <w:r>
              <w:rPr>
                <w:rFonts w:hint="eastAsia" w:ascii="Times New Roman" w:hAnsi="Times New Roman" w:eastAsia="华文中宋" w:cs="Times New Roman"/>
                <w:szCs w:val="21"/>
                <w:lang w:eastAsia="zh-CN"/>
              </w:rPr>
              <w:t>□</w:t>
            </w:r>
          </w:p>
        </w:tc>
        <w:tc>
          <w:tcPr>
            <w:tcW w:w="2663" w:type="dxa"/>
            <w:gridSpan w:val="7"/>
            <w:tcBorders>
              <w:tl2br w:val="nil"/>
              <w:tr2bl w:val="nil"/>
            </w:tcBorders>
            <w:noWrap w:val="0"/>
            <w:vAlign w:val="center"/>
          </w:tcPr>
          <w:p w14:paraId="71667F29">
            <w:pPr>
              <w:spacing w:line="300" w:lineRule="exact"/>
              <w:jc w:val="center"/>
              <w:rPr>
                <w:rFonts w:hint="eastAsia" w:ascii="Times New Roman" w:hAnsi="Times New Roman" w:eastAsia="华文中宋" w:cs="Times New Roman"/>
                <w:szCs w:val="21"/>
                <w:lang w:eastAsia="zh-CN"/>
              </w:rPr>
            </w:pPr>
            <w:r>
              <w:rPr>
                <w:rFonts w:hint="default" w:ascii="Times New Roman" w:hAnsi="Times New Roman" w:eastAsia="华文中宋" w:cs="Times New Roman"/>
                <w:szCs w:val="21"/>
              </w:rPr>
              <w:t>C</w:t>
            </w:r>
            <w:r>
              <w:rPr>
                <w:rFonts w:hint="default" w:ascii="Times New Roman" w:hAnsi="Times New Roman" w:eastAsia="华文中宋" w:cs="Times New Roman"/>
                <w:szCs w:val="21"/>
                <w:lang w:eastAsia="zh-CN"/>
              </w:rPr>
              <w:t>非正常</w:t>
            </w:r>
            <w:r>
              <w:rPr>
                <w:rFonts w:hint="default" w:ascii="Times New Roman" w:hAnsi="Times New Roman" w:eastAsia="华文中宋" w:cs="Times New Roman"/>
                <w:szCs w:val="21"/>
              </w:rPr>
              <w:t>占标率＞100%</w:t>
            </w:r>
            <w:r>
              <w:rPr>
                <w:rFonts w:hint="eastAsia" w:ascii="Times New Roman" w:hAnsi="Times New Roman" w:eastAsia="华文中宋" w:cs="Times New Roman"/>
                <w:szCs w:val="21"/>
                <w:lang w:eastAsia="zh-CN"/>
              </w:rPr>
              <w:t>☑</w:t>
            </w:r>
          </w:p>
        </w:tc>
      </w:tr>
      <w:tr w14:paraId="47F6FFA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07" w:type="dxa"/>
            <w:vMerge w:val="continue"/>
            <w:tcBorders>
              <w:tl2br w:val="nil"/>
              <w:tr2bl w:val="nil"/>
            </w:tcBorders>
            <w:noWrap w:val="0"/>
            <w:vAlign w:val="center"/>
          </w:tcPr>
          <w:p w14:paraId="288C466E">
            <w:pPr>
              <w:spacing w:line="300" w:lineRule="exact"/>
              <w:jc w:val="center"/>
              <w:rPr>
                <w:rFonts w:hint="default" w:ascii="Times New Roman" w:hAnsi="Times New Roman" w:eastAsia="华文中宋" w:cs="Times New Roman"/>
                <w:szCs w:val="21"/>
              </w:rPr>
            </w:pPr>
          </w:p>
        </w:tc>
        <w:tc>
          <w:tcPr>
            <w:tcW w:w="1455" w:type="dxa"/>
            <w:tcBorders>
              <w:tl2br w:val="nil"/>
              <w:tr2bl w:val="nil"/>
            </w:tcBorders>
            <w:noWrap w:val="0"/>
            <w:vAlign w:val="center"/>
          </w:tcPr>
          <w:p w14:paraId="6C79973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保证率日平均浓度和年平均浓度叠加值</w:t>
            </w:r>
          </w:p>
        </w:tc>
        <w:tc>
          <w:tcPr>
            <w:tcW w:w="2967" w:type="dxa"/>
            <w:gridSpan w:val="10"/>
            <w:tcBorders>
              <w:tl2br w:val="nil"/>
              <w:tr2bl w:val="nil"/>
            </w:tcBorders>
            <w:noWrap w:val="0"/>
            <w:vAlign w:val="center"/>
          </w:tcPr>
          <w:p w14:paraId="5C230C83">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C</w:t>
            </w:r>
            <w:r>
              <w:rPr>
                <w:rFonts w:hint="default" w:ascii="Times New Roman" w:hAnsi="Times New Roman" w:eastAsia="华文中宋" w:cs="Times New Roman"/>
                <w:szCs w:val="21"/>
                <w:lang w:eastAsia="zh-CN"/>
              </w:rPr>
              <w:t>叠加</w:t>
            </w:r>
            <w:r>
              <w:rPr>
                <w:rFonts w:hint="default" w:ascii="Times New Roman" w:hAnsi="Times New Roman" w:eastAsia="华文中宋" w:cs="Times New Roman"/>
                <w:szCs w:val="21"/>
                <w:lang w:eastAsia="en-US"/>
              </w:rPr>
              <w:t>达标</w:t>
            </w:r>
            <w:r>
              <w:rPr>
                <w:rFonts w:hint="default" w:ascii="Times New Roman" w:hAnsi="Times New Roman" w:eastAsia="华文中宋" w:cs="Times New Roman"/>
                <w:szCs w:val="21"/>
                <w:lang w:eastAsia="en-US"/>
              </w:rPr>
              <w:sym w:font="Wingdings 2" w:char="00A3"/>
            </w:r>
          </w:p>
        </w:tc>
        <w:tc>
          <w:tcPr>
            <w:tcW w:w="3170" w:type="dxa"/>
            <w:gridSpan w:val="8"/>
            <w:tcBorders>
              <w:tl2br w:val="nil"/>
              <w:tr2bl w:val="nil"/>
            </w:tcBorders>
            <w:noWrap w:val="0"/>
            <w:vAlign w:val="center"/>
          </w:tcPr>
          <w:p w14:paraId="02182F0B">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C</w:t>
            </w:r>
            <w:r>
              <w:rPr>
                <w:rFonts w:hint="default" w:ascii="Times New Roman" w:hAnsi="Times New Roman" w:eastAsia="华文中宋" w:cs="Times New Roman"/>
                <w:szCs w:val="21"/>
                <w:lang w:eastAsia="zh-CN"/>
              </w:rPr>
              <w:t>叠加</w:t>
            </w:r>
            <w:r>
              <w:rPr>
                <w:rFonts w:hint="default" w:ascii="Times New Roman" w:hAnsi="Times New Roman" w:eastAsia="华文中宋" w:cs="Times New Roman"/>
                <w:szCs w:val="21"/>
                <w:lang w:eastAsia="en-US"/>
              </w:rPr>
              <w:t>不达标□</w:t>
            </w:r>
          </w:p>
        </w:tc>
      </w:tr>
      <w:tr w14:paraId="18BE72F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07" w:type="dxa"/>
            <w:vMerge w:val="continue"/>
            <w:tcBorders>
              <w:tl2br w:val="nil"/>
              <w:tr2bl w:val="nil"/>
            </w:tcBorders>
            <w:noWrap w:val="0"/>
            <w:vAlign w:val="center"/>
          </w:tcPr>
          <w:p w14:paraId="6194F67C">
            <w:pPr>
              <w:spacing w:line="300" w:lineRule="exact"/>
              <w:jc w:val="center"/>
              <w:rPr>
                <w:rFonts w:hint="default" w:ascii="Times New Roman" w:hAnsi="Times New Roman" w:eastAsia="华文中宋" w:cs="Times New Roman"/>
                <w:szCs w:val="21"/>
                <w:lang w:eastAsia="en-US"/>
              </w:rPr>
            </w:pPr>
          </w:p>
        </w:tc>
        <w:tc>
          <w:tcPr>
            <w:tcW w:w="1455" w:type="dxa"/>
            <w:tcBorders>
              <w:tl2br w:val="nil"/>
              <w:tr2bl w:val="nil"/>
            </w:tcBorders>
            <w:noWrap w:val="0"/>
            <w:vAlign w:val="center"/>
          </w:tcPr>
          <w:p w14:paraId="3B0A6B3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区域环境质量的整体变化情况</w:t>
            </w:r>
          </w:p>
        </w:tc>
        <w:tc>
          <w:tcPr>
            <w:tcW w:w="2967" w:type="dxa"/>
            <w:gridSpan w:val="10"/>
            <w:tcBorders>
              <w:tl2br w:val="nil"/>
              <w:tr2bl w:val="nil"/>
            </w:tcBorders>
            <w:noWrap w:val="0"/>
            <w:vAlign w:val="center"/>
          </w:tcPr>
          <w:p w14:paraId="6C5D13EF">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k</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lang w:eastAsia="en-US"/>
              </w:rPr>
              <w:t>−20%</w:t>
            </w:r>
            <w:r>
              <w:rPr>
                <w:rFonts w:hint="default" w:ascii="Times New Roman" w:hAnsi="Times New Roman" w:eastAsia="华文中宋" w:cs="Times New Roman"/>
                <w:szCs w:val="21"/>
                <w:lang w:eastAsia="en-US"/>
              </w:rPr>
              <w:sym w:font="Wingdings 2" w:char="00A3"/>
            </w:r>
          </w:p>
        </w:tc>
        <w:tc>
          <w:tcPr>
            <w:tcW w:w="3170" w:type="dxa"/>
            <w:gridSpan w:val="8"/>
            <w:tcBorders>
              <w:tl2br w:val="nil"/>
              <w:tr2bl w:val="nil"/>
            </w:tcBorders>
            <w:noWrap w:val="0"/>
            <w:vAlign w:val="center"/>
          </w:tcPr>
          <w:p w14:paraId="3E0F2279">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k</w:t>
            </w:r>
            <w:r>
              <w:rPr>
                <w:rFonts w:hint="default" w:ascii="Times New Roman" w:hAnsi="Times New Roman" w:eastAsia="华文中宋" w:cs="Times New Roman"/>
                <w:szCs w:val="21"/>
                <w:lang w:eastAsia="zh-CN"/>
              </w:rPr>
              <w:t>&gt;</w:t>
            </w:r>
            <w:r>
              <w:rPr>
                <w:rFonts w:hint="default" w:ascii="Times New Roman" w:hAnsi="Times New Roman" w:eastAsia="华文中宋" w:cs="Times New Roman"/>
                <w:szCs w:val="21"/>
                <w:lang w:eastAsia="en-US"/>
              </w:rPr>
              <w:t>−20%□</w:t>
            </w:r>
          </w:p>
        </w:tc>
      </w:tr>
      <w:tr w14:paraId="31B5A34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07" w:type="dxa"/>
            <w:vMerge w:val="restart"/>
            <w:tcBorders>
              <w:tl2br w:val="nil"/>
              <w:tr2bl w:val="nil"/>
            </w:tcBorders>
            <w:noWrap w:val="0"/>
            <w:vAlign w:val="center"/>
          </w:tcPr>
          <w:p w14:paraId="4C2376EE">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环境监测计划</w:t>
            </w:r>
          </w:p>
        </w:tc>
        <w:tc>
          <w:tcPr>
            <w:tcW w:w="1455" w:type="dxa"/>
            <w:tcBorders>
              <w:tl2br w:val="nil"/>
              <w:tr2bl w:val="nil"/>
            </w:tcBorders>
            <w:noWrap w:val="0"/>
            <w:vAlign w:val="center"/>
          </w:tcPr>
          <w:p w14:paraId="55597074">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污染源监测</w:t>
            </w:r>
          </w:p>
        </w:tc>
        <w:tc>
          <w:tcPr>
            <w:tcW w:w="2713" w:type="dxa"/>
            <w:gridSpan w:val="8"/>
            <w:tcBorders>
              <w:tl2br w:val="nil"/>
              <w:tr2bl w:val="nil"/>
            </w:tcBorders>
            <w:noWrap w:val="0"/>
            <w:vAlign w:val="center"/>
          </w:tcPr>
          <w:p w14:paraId="50A95741">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监测因子：（</w:t>
            </w:r>
            <w:r>
              <w:rPr>
                <w:rFonts w:hint="default" w:ascii="Times New Roman" w:hAnsi="Times New Roman" w:eastAsia="华文中宋" w:cs="Times New Roman"/>
                <w:szCs w:val="21"/>
                <w:lang w:val="en-US" w:eastAsia="zh-CN"/>
              </w:rPr>
              <w:t>TSP浓度</w:t>
            </w:r>
            <w:r>
              <w:rPr>
                <w:rFonts w:hint="default" w:ascii="Times New Roman" w:hAnsi="Times New Roman" w:eastAsia="华文中宋" w:cs="Times New Roman"/>
                <w:szCs w:val="21"/>
              </w:rPr>
              <w:t>）</w:t>
            </w:r>
          </w:p>
        </w:tc>
        <w:tc>
          <w:tcPr>
            <w:tcW w:w="2133" w:type="dxa"/>
            <w:gridSpan w:val="8"/>
            <w:tcBorders>
              <w:tl2br w:val="nil"/>
              <w:tr2bl w:val="nil"/>
            </w:tcBorders>
            <w:noWrap w:val="0"/>
            <w:vAlign w:val="center"/>
          </w:tcPr>
          <w:p w14:paraId="19F861B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有组织废气监测</w:t>
            </w:r>
            <w:r>
              <w:rPr>
                <w:rFonts w:hint="default" w:ascii="Times New Roman" w:hAnsi="Times New Roman" w:eastAsia="华文中宋" w:cs="Times New Roman"/>
                <w:szCs w:val="21"/>
                <w:lang w:eastAsia="zh-CN"/>
              </w:rPr>
              <w:t>□</w:t>
            </w:r>
          </w:p>
          <w:p w14:paraId="0CA1B13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无组织废气监测</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w:t>
            </w:r>
          </w:p>
        </w:tc>
        <w:tc>
          <w:tcPr>
            <w:tcW w:w="1291" w:type="dxa"/>
            <w:gridSpan w:val="2"/>
            <w:tcBorders>
              <w:tl2br w:val="nil"/>
              <w:tr2bl w:val="nil"/>
            </w:tcBorders>
            <w:noWrap w:val="0"/>
            <w:vAlign w:val="center"/>
          </w:tcPr>
          <w:p w14:paraId="49A3D8A3">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无监测</w:t>
            </w:r>
            <w:r>
              <w:rPr>
                <w:rFonts w:hint="default" w:ascii="Times New Roman" w:hAnsi="Times New Roman" w:eastAsia="华文中宋" w:cs="Times New Roman"/>
                <w:szCs w:val="21"/>
                <w:lang w:eastAsia="zh-CN"/>
              </w:rPr>
              <w:t>□</w:t>
            </w:r>
          </w:p>
        </w:tc>
      </w:tr>
      <w:tr w14:paraId="1B1E1F9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07" w:type="dxa"/>
            <w:vMerge w:val="continue"/>
            <w:tcBorders>
              <w:tl2br w:val="nil"/>
              <w:tr2bl w:val="nil"/>
            </w:tcBorders>
            <w:noWrap w:val="0"/>
            <w:vAlign w:val="center"/>
          </w:tcPr>
          <w:p w14:paraId="2A1A6D8C">
            <w:pPr>
              <w:spacing w:line="300" w:lineRule="exact"/>
              <w:jc w:val="center"/>
              <w:rPr>
                <w:rFonts w:hint="default" w:ascii="Times New Roman" w:hAnsi="Times New Roman" w:eastAsia="华文中宋" w:cs="Times New Roman"/>
                <w:szCs w:val="21"/>
                <w:lang w:eastAsia="en-US"/>
              </w:rPr>
            </w:pPr>
          </w:p>
        </w:tc>
        <w:tc>
          <w:tcPr>
            <w:tcW w:w="1455" w:type="dxa"/>
            <w:tcBorders>
              <w:tl2br w:val="nil"/>
              <w:tr2bl w:val="nil"/>
            </w:tcBorders>
            <w:noWrap w:val="0"/>
            <w:vAlign w:val="center"/>
          </w:tcPr>
          <w:p w14:paraId="1FBC53BB">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环境质量监测</w:t>
            </w:r>
          </w:p>
        </w:tc>
        <w:tc>
          <w:tcPr>
            <w:tcW w:w="2713" w:type="dxa"/>
            <w:gridSpan w:val="8"/>
            <w:tcBorders>
              <w:tl2br w:val="nil"/>
              <w:tr2bl w:val="nil"/>
            </w:tcBorders>
            <w:noWrap w:val="0"/>
            <w:vAlign w:val="center"/>
          </w:tcPr>
          <w:p w14:paraId="18C1879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监测因子：（</w:t>
            </w:r>
            <w:r>
              <w:rPr>
                <w:rFonts w:hint="eastAsia" w:ascii="Times New Roman" w:hAnsi="Times New Roman" w:eastAsia="华文中宋" w:cs="Times New Roman"/>
                <w:szCs w:val="21"/>
                <w:lang w:val="en-US" w:eastAsia="zh-CN"/>
              </w:rPr>
              <w:t>TSP</w:t>
            </w:r>
            <w:r>
              <w:rPr>
                <w:rFonts w:hint="default" w:ascii="Times New Roman" w:hAnsi="Times New Roman" w:eastAsia="华文中宋" w:cs="Times New Roman"/>
                <w:szCs w:val="21"/>
              </w:rPr>
              <w:t>）</w:t>
            </w:r>
          </w:p>
        </w:tc>
        <w:tc>
          <w:tcPr>
            <w:tcW w:w="2133" w:type="dxa"/>
            <w:gridSpan w:val="8"/>
            <w:tcBorders>
              <w:tl2br w:val="nil"/>
              <w:tr2bl w:val="nil"/>
            </w:tcBorders>
            <w:noWrap w:val="0"/>
            <w:vAlign w:val="center"/>
          </w:tcPr>
          <w:p w14:paraId="79ABFBC2">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监测点位数</w:t>
            </w:r>
            <w:r>
              <w:rPr>
                <w:rFonts w:hint="eastAsia" w:ascii="Times New Roman" w:hAnsi="Times New Roman" w:eastAsia="华文中宋" w:cs="Times New Roman"/>
                <w:szCs w:val="21"/>
                <w:lang w:eastAsia="zh-CN"/>
              </w:rPr>
              <w:t>（</w:t>
            </w:r>
            <w:r>
              <w:rPr>
                <w:rFonts w:hint="eastAsia" w:ascii="Times New Roman" w:hAnsi="Times New Roman" w:eastAsia="华文中宋" w:cs="Times New Roman"/>
                <w:szCs w:val="21"/>
                <w:lang w:val="en-US" w:eastAsia="zh-CN"/>
              </w:rPr>
              <w:t>1</w:t>
            </w:r>
            <w:r>
              <w:rPr>
                <w:rFonts w:hint="default" w:ascii="Times New Roman" w:hAnsi="Times New Roman" w:eastAsia="华文中宋" w:cs="Times New Roman"/>
                <w:szCs w:val="21"/>
                <w:lang w:eastAsia="en-US"/>
              </w:rPr>
              <w:t>）</w:t>
            </w:r>
          </w:p>
        </w:tc>
        <w:tc>
          <w:tcPr>
            <w:tcW w:w="1291" w:type="dxa"/>
            <w:gridSpan w:val="2"/>
            <w:tcBorders>
              <w:tl2br w:val="nil"/>
              <w:tr2bl w:val="nil"/>
            </w:tcBorders>
            <w:noWrap w:val="0"/>
            <w:vAlign w:val="center"/>
          </w:tcPr>
          <w:p w14:paraId="634E0BA9">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无监测</w:t>
            </w:r>
            <w:r>
              <w:rPr>
                <w:rFonts w:hint="default" w:ascii="Times New Roman" w:hAnsi="Times New Roman" w:eastAsia="华文中宋" w:cs="Times New Roman"/>
                <w:szCs w:val="21"/>
                <w:lang w:eastAsia="zh-CN"/>
              </w:rPr>
              <w:t>□</w:t>
            </w:r>
          </w:p>
        </w:tc>
      </w:tr>
      <w:tr w14:paraId="14155C2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07" w:type="dxa"/>
            <w:vMerge w:val="restart"/>
            <w:tcBorders>
              <w:tl2br w:val="nil"/>
              <w:tr2bl w:val="nil"/>
            </w:tcBorders>
            <w:noWrap w:val="0"/>
            <w:vAlign w:val="center"/>
          </w:tcPr>
          <w:p w14:paraId="63FA81D2">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评价</w:t>
            </w:r>
          </w:p>
          <w:p w14:paraId="36450397">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结论</w:t>
            </w:r>
          </w:p>
        </w:tc>
        <w:tc>
          <w:tcPr>
            <w:tcW w:w="1455" w:type="dxa"/>
            <w:tcBorders>
              <w:tl2br w:val="nil"/>
              <w:tr2bl w:val="nil"/>
            </w:tcBorders>
            <w:noWrap w:val="0"/>
            <w:vAlign w:val="center"/>
          </w:tcPr>
          <w:p w14:paraId="4B6A69C4">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环境影响</w:t>
            </w:r>
          </w:p>
        </w:tc>
        <w:tc>
          <w:tcPr>
            <w:tcW w:w="6137" w:type="dxa"/>
            <w:gridSpan w:val="18"/>
            <w:tcBorders>
              <w:tl2br w:val="nil"/>
              <w:tr2bl w:val="nil"/>
            </w:tcBorders>
            <w:noWrap w:val="0"/>
            <w:vAlign w:val="center"/>
          </w:tcPr>
          <w:p w14:paraId="22A21D8F">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可以接受</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lang w:eastAsia="en-US"/>
              </w:rPr>
              <w:t>不可以接受□</w:t>
            </w:r>
          </w:p>
        </w:tc>
      </w:tr>
      <w:tr w14:paraId="4868EA6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07" w:type="dxa"/>
            <w:vMerge w:val="continue"/>
            <w:tcBorders>
              <w:tl2br w:val="nil"/>
              <w:tr2bl w:val="nil"/>
            </w:tcBorders>
            <w:noWrap w:val="0"/>
            <w:vAlign w:val="center"/>
          </w:tcPr>
          <w:p w14:paraId="72E63F36">
            <w:pPr>
              <w:spacing w:line="300" w:lineRule="exact"/>
              <w:jc w:val="center"/>
              <w:rPr>
                <w:rFonts w:hint="default" w:ascii="Times New Roman" w:hAnsi="Times New Roman" w:eastAsia="华文中宋" w:cs="Times New Roman"/>
                <w:szCs w:val="21"/>
                <w:lang w:eastAsia="en-US"/>
              </w:rPr>
            </w:pPr>
          </w:p>
        </w:tc>
        <w:tc>
          <w:tcPr>
            <w:tcW w:w="1455" w:type="dxa"/>
            <w:tcBorders>
              <w:tl2br w:val="nil"/>
              <w:tr2bl w:val="nil"/>
            </w:tcBorders>
            <w:noWrap w:val="0"/>
            <w:vAlign w:val="center"/>
          </w:tcPr>
          <w:p w14:paraId="2CC40EC1">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大气环境防护</w:t>
            </w:r>
          </w:p>
          <w:p w14:paraId="62FA27B9">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距离</w:t>
            </w:r>
          </w:p>
        </w:tc>
        <w:tc>
          <w:tcPr>
            <w:tcW w:w="6137" w:type="dxa"/>
            <w:gridSpan w:val="18"/>
            <w:tcBorders>
              <w:tl2br w:val="nil"/>
              <w:tr2bl w:val="nil"/>
            </w:tcBorders>
            <w:noWrap w:val="0"/>
            <w:vAlign w:val="center"/>
          </w:tcPr>
          <w:p w14:paraId="6ACFA923">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本项目无需设置大气环境防护距离</w:t>
            </w:r>
          </w:p>
        </w:tc>
      </w:tr>
      <w:tr w14:paraId="49FC9BD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07" w:type="dxa"/>
            <w:vMerge w:val="continue"/>
            <w:tcBorders>
              <w:tl2br w:val="nil"/>
              <w:tr2bl w:val="nil"/>
            </w:tcBorders>
            <w:noWrap w:val="0"/>
            <w:vAlign w:val="center"/>
          </w:tcPr>
          <w:p w14:paraId="4E415CD3">
            <w:pPr>
              <w:spacing w:line="300" w:lineRule="exact"/>
              <w:jc w:val="center"/>
              <w:rPr>
                <w:rFonts w:hint="default" w:ascii="Times New Roman" w:hAnsi="Times New Roman" w:eastAsia="华文中宋" w:cs="Times New Roman"/>
                <w:szCs w:val="21"/>
              </w:rPr>
            </w:pPr>
          </w:p>
        </w:tc>
        <w:tc>
          <w:tcPr>
            <w:tcW w:w="1455" w:type="dxa"/>
            <w:tcBorders>
              <w:tl2br w:val="nil"/>
              <w:tr2bl w:val="nil"/>
            </w:tcBorders>
            <w:noWrap w:val="0"/>
            <w:vAlign w:val="center"/>
          </w:tcPr>
          <w:p w14:paraId="671C9F19">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污染源年</w:t>
            </w:r>
          </w:p>
          <w:p w14:paraId="2634DB2B">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排放量</w:t>
            </w:r>
          </w:p>
        </w:tc>
        <w:tc>
          <w:tcPr>
            <w:tcW w:w="1452" w:type="dxa"/>
            <w:gridSpan w:val="4"/>
            <w:tcBorders>
              <w:tl2br w:val="nil"/>
              <w:tr2bl w:val="nil"/>
            </w:tcBorders>
            <w:noWrap w:val="0"/>
            <w:vAlign w:val="center"/>
          </w:tcPr>
          <w:p w14:paraId="1E885ED2">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SO</w:t>
            </w:r>
            <w:r>
              <w:rPr>
                <w:rFonts w:hint="default" w:ascii="Times New Roman" w:hAnsi="Times New Roman" w:eastAsia="华文中宋" w:cs="Times New Roman"/>
                <w:szCs w:val="21"/>
                <w:vertAlign w:val="subscript"/>
                <w:lang w:val="en-US" w:eastAsia="zh-CN"/>
              </w:rPr>
              <w:t>2</w:t>
            </w:r>
            <w:r>
              <w:rPr>
                <w:rFonts w:hint="eastAsia" w:ascii="Times New Roman" w:hAnsi="Times New Roman" w:eastAsia="华文中宋" w:cs="Times New Roman"/>
                <w:szCs w:val="21"/>
                <w:vertAlign w:val="subscript"/>
                <w:lang w:val="en-US" w:eastAsia="zh-CN"/>
              </w:rPr>
              <w:t>：</w:t>
            </w:r>
            <w:r>
              <w:rPr>
                <w:rFonts w:hint="eastAsia" w:ascii="Times New Roman" w:hAnsi="Times New Roman" w:eastAsia="华文中宋" w:cs="Times New Roman"/>
                <w:szCs w:val="21"/>
                <w:lang w:eastAsia="zh-CN"/>
              </w:rPr>
              <w:t>(</w:t>
            </w:r>
            <w:r>
              <w:rPr>
                <w:rFonts w:hint="eastAsia" w:ascii="Times New Roman" w:hAnsi="Times New Roman" w:eastAsia="华文中宋" w:cs="Times New Roman"/>
                <w:szCs w:val="21"/>
                <w:lang w:val="en-US" w:eastAsia="zh-CN"/>
              </w:rPr>
              <w:t>3.781)t</w:t>
            </w:r>
            <w:r>
              <w:rPr>
                <w:rFonts w:hint="default" w:ascii="Times New Roman" w:hAnsi="Times New Roman" w:eastAsia="华文中宋" w:cs="Times New Roman"/>
                <w:szCs w:val="21"/>
                <w:lang w:eastAsia="en-US"/>
              </w:rPr>
              <w:t>/a</w:t>
            </w:r>
          </w:p>
        </w:tc>
        <w:tc>
          <w:tcPr>
            <w:tcW w:w="1515" w:type="dxa"/>
            <w:gridSpan w:val="6"/>
            <w:tcBorders>
              <w:tl2br w:val="nil"/>
              <w:tr2bl w:val="nil"/>
            </w:tcBorders>
            <w:noWrap w:val="0"/>
            <w:vAlign w:val="center"/>
          </w:tcPr>
          <w:p w14:paraId="080FE886">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NOx</w:t>
            </w:r>
            <w:r>
              <w:rPr>
                <w:rFonts w:hint="eastAsia" w:ascii="Times New Roman" w:hAnsi="Times New Roman" w:eastAsia="华文中宋" w:cs="Times New Roman"/>
                <w:szCs w:val="21"/>
                <w:lang w:eastAsia="zh-CN"/>
              </w:rPr>
              <w:t>：(</w:t>
            </w:r>
            <w:r>
              <w:rPr>
                <w:rFonts w:hint="eastAsia" w:ascii="Times New Roman" w:hAnsi="Times New Roman" w:eastAsia="华文中宋" w:cs="Times New Roman"/>
                <w:szCs w:val="21"/>
                <w:lang w:val="en-US" w:eastAsia="zh-CN"/>
              </w:rPr>
              <w:t>7.237)t</w:t>
            </w:r>
            <w:r>
              <w:rPr>
                <w:rFonts w:hint="default" w:ascii="Times New Roman" w:hAnsi="Times New Roman" w:eastAsia="华文中宋" w:cs="Times New Roman"/>
                <w:szCs w:val="21"/>
                <w:lang w:eastAsia="en-US"/>
              </w:rPr>
              <w:t>/a</w:t>
            </w:r>
          </w:p>
        </w:tc>
        <w:tc>
          <w:tcPr>
            <w:tcW w:w="1616" w:type="dxa"/>
            <w:gridSpan w:val="5"/>
            <w:tcBorders>
              <w:tl2br w:val="nil"/>
              <w:tr2bl w:val="nil"/>
            </w:tcBorders>
            <w:noWrap w:val="0"/>
            <w:vAlign w:val="center"/>
          </w:tcPr>
          <w:p w14:paraId="4580F69C">
            <w:pPr>
              <w:spacing w:line="300" w:lineRule="exact"/>
              <w:jc w:val="center"/>
              <w:rPr>
                <w:rFonts w:hint="default" w:ascii="Times New Roman" w:hAnsi="Times New Roman" w:eastAsia="华文中宋" w:cs="Times New Roman"/>
                <w:szCs w:val="21"/>
                <w:lang w:eastAsia="en-US"/>
              </w:rPr>
            </w:pPr>
            <w:r>
              <w:rPr>
                <w:rFonts w:hint="default" w:ascii="Times New Roman" w:hAnsi="Times New Roman" w:eastAsia="华文中宋" w:cs="Times New Roman"/>
                <w:szCs w:val="21"/>
                <w:lang w:eastAsia="en-US"/>
              </w:rPr>
              <w:t>颗粒物：（</w:t>
            </w:r>
            <w:r>
              <w:rPr>
                <w:rFonts w:hint="eastAsia" w:ascii="Times New Roman" w:hAnsi="Times New Roman" w:eastAsia="华文中宋" w:cs="Times New Roman"/>
                <w:szCs w:val="21"/>
                <w:lang w:val="en-US" w:eastAsia="zh-CN"/>
              </w:rPr>
              <w:t>4.7311</w:t>
            </w:r>
            <w:r>
              <w:rPr>
                <w:rFonts w:hint="default" w:ascii="Times New Roman" w:hAnsi="Times New Roman" w:eastAsia="华文中宋" w:cs="Times New Roman"/>
                <w:szCs w:val="21"/>
                <w:lang w:eastAsia="en-US"/>
              </w:rPr>
              <w:t>）t/a</w:t>
            </w:r>
          </w:p>
        </w:tc>
        <w:tc>
          <w:tcPr>
            <w:tcW w:w="1554" w:type="dxa"/>
            <w:gridSpan w:val="3"/>
            <w:tcBorders>
              <w:tl2br w:val="nil"/>
              <w:tr2bl w:val="nil"/>
            </w:tcBorders>
            <w:noWrap w:val="0"/>
            <w:vAlign w:val="center"/>
          </w:tcPr>
          <w:p w14:paraId="163719D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铅及其化合物：（</w:t>
            </w:r>
            <w:r>
              <w:rPr>
                <w:rFonts w:hint="eastAsia" w:ascii="Times New Roman" w:hAnsi="Times New Roman" w:eastAsia="华文中宋" w:cs="Times New Roman"/>
                <w:szCs w:val="21"/>
                <w:highlight w:val="none"/>
                <w:lang w:val="en-US" w:eastAsia="zh-CN"/>
              </w:rPr>
              <w:t>0.024</w:t>
            </w:r>
            <w:r>
              <w:rPr>
                <w:rFonts w:hint="eastAsia" w:ascii="Times New Roman" w:hAnsi="Times New Roman" w:eastAsia="华文中宋" w:cs="Times New Roman"/>
                <w:szCs w:val="21"/>
                <w:lang w:val="en-US" w:eastAsia="zh-CN"/>
              </w:rPr>
              <w:t>）</w:t>
            </w:r>
            <w:r>
              <w:rPr>
                <w:rFonts w:hint="eastAsia" w:ascii="Times New Roman" w:hAnsi="Times New Roman" w:eastAsia="华文中宋" w:cs="Times New Roman"/>
                <w:szCs w:val="21"/>
                <w:highlight w:val="none"/>
                <w:lang w:val="en-US" w:eastAsia="zh-CN"/>
              </w:rPr>
              <w:t>t/a</w:t>
            </w:r>
          </w:p>
        </w:tc>
      </w:tr>
      <w:tr w14:paraId="664C824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399" w:type="dxa"/>
            <w:gridSpan w:val="20"/>
            <w:tcBorders>
              <w:tl2br w:val="nil"/>
              <w:tr2bl w:val="nil"/>
            </w:tcBorders>
            <w:noWrap w:val="0"/>
            <w:vAlign w:val="center"/>
          </w:tcPr>
          <w:p w14:paraId="19449AA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注：“□”为勾选项，填“√”；“（）”为内容填写项</w:t>
            </w:r>
          </w:p>
        </w:tc>
      </w:tr>
    </w:tbl>
    <w:p w14:paraId="42B5023D">
      <w:pPr>
        <w:pStyle w:val="4"/>
        <w:spacing w:before="120" w:after="120" w:line="500" w:lineRule="exact"/>
        <w:rPr>
          <w:rFonts w:hint="default" w:ascii="Times New Roman" w:hAnsi="Times New Roman" w:eastAsia="华文中宋" w:cs="Times New Roman"/>
          <w:kern w:val="0"/>
          <w:sz w:val="24"/>
          <w:szCs w:val="24"/>
          <w:lang w:val="en-US" w:eastAsia="zh-CN"/>
        </w:rPr>
      </w:pPr>
      <w:bookmarkStart w:id="176" w:name="_Toc15797"/>
      <w:r>
        <w:rPr>
          <w:rFonts w:hint="default" w:ascii="Times New Roman" w:hAnsi="Times New Roman" w:eastAsia="华文中宋" w:cs="Times New Roman"/>
          <w:kern w:val="0"/>
          <w:sz w:val="24"/>
          <w:szCs w:val="24"/>
          <w:lang w:val="en-US" w:eastAsia="zh-CN"/>
        </w:rPr>
        <w:t>5.2.2地表水环境影响分析</w:t>
      </w:r>
      <w:bookmarkEnd w:id="176"/>
    </w:p>
    <w:p w14:paraId="2987C9F9">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val="en-US" w:eastAsia="zh-CN"/>
        </w:rPr>
        <w:t>根据工程分析的结果，该矿山露天开采工程对地表水环境的影响主要</w:t>
      </w:r>
      <w:r>
        <w:rPr>
          <w:rFonts w:hint="eastAsia" w:ascii="Times New Roman" w:hAnsi="Times New Roman" w:eastAsia="华文中宋" w:cs="Times New Roman"/>
          <w:color w:val="auto"/>
          <w:lang w:val="en-US" w:eastAsia="zh-CN"/>
        </w:rPr>
        <w:t>来自</w:t>
      </w:r>
      <w:r>
        <w:rPr>
          <w:rFonts w:hint="eastAsia" w:ascii="Times New Roman" w:hAnsi="Times New Roman" w:cs="Times New Roman"/>
          <w:color w:val="auto"/>
          <w:lang w:val="en-US" w:eastAsia="zh-CN"/>
        </w:rPr>
        <w:t>矿坑水、</w:t>
      </w:r>
      <w:r>
        <w:rPr>
          <w:rFonts w:hint="default" w:ascii="Times New Roman" w:hAnsi="Times New Roman" w:eastAsia="华文中宋" w:cs="Times New Roman"/>
          <w:color w:val="auto"/>
          <w:lang w:val="en-US" w:eastAsia="zh-CN"/>
        </w:rPr>
        <w:t>废石堆场淋溶水、生活</w:t>
      </w:r>
      <w:r>
        <w:rPr>
          <w:rFonts w:hint="eastAsia" w:ascii="Times New Roman" w:hAnsi="Times New Roman" w:cs="Times New Roman"/>
          <w:color w:val="auto"/>
          <w:lang w:val="en-US" w:eastAsia="zh-CN"/>
        </w:rPr>
        <w:t>污</w:t>
      </w:r>
      <w:r>
        <w:rPr>
          <w:rFonts w:hint="default" w:ascii="Times New Roman" w:hAnsi="Times New Roman" w:eastAsia="华文中宋" w:cs="Times New Roman"/>
          <w:color w:val="auto"/>
          <w:lang w:val="en-US" w:eastAsia="zh-CN"/>
        </w:rPr>
        <w:t>水。</w:t>
      </w:r>
    </w:p>
    <w:p w14:paraId="22AE0D52">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（1）矿坑水</w:t>
      </w:r>
    </w:p>
    <w:p w14:paraId="0A6B80E4">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据《新疆民丰县盼水河锑铅矿水文地质勘查报告》</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矿体开采方式主要为凹陷式开采。勘查区施工钻孔均为干孔，静止水位观测最深的钻孔孔深为102米（干孔，为勘查区内控制最低标高5020.2米），矿床评价深度均位于地下水位之上，仅局部存在少量裂隙水，故在露天开采过程中可不考虑地下水对矿床充水的情况。矿床主要充水来源为大气降水</w:t>
      </w:r>
      <w:r>
        <w:rPr>
          <w:rFonts w:hint="eastAsia" w:ascii="Times New Roman" w:hAnsi="Times New Roman" w:eastAsia="华文中宋" w:cs="Times New Roman"/>
          <w:color w:val="auto"/>
          <w:lang w:val="en-US" w:eastAsia="zh-CN"/>
        </w:rPr>
        <w:t>。根据</w:t>
      </w:r>
      <w:r>
        <w:rPr>
          <w:rFonts w:hint="default" w:ascii="Times New Roman" w:hAnsi="Times New Roman" w:eastAsia="华文中宋" w:cs="Times New Roman"/>
          <w:color w:val="auto"/>
          <w:lang w:val="en-US" w:eastAsia="zh-CN"/>
        </w:rPr>
        <w:t>民丰县气象局资料</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多年平均降雨量约140毫米</w:t>
      </w:r>
      <w:r>
        <w:rPr>
          <w:rFonts w:hint="eastAsia" w:ascii="Times New Roman" w:hAnsi="Times New Roman" w:eastAsia="华文中宋" w:cs="Times New Roman"/>
          <w:color w:val="auto"/>
          <w:lang w:val="en-US" w:eastAsia="zh-CN"/>
        </w:rPr>
        <w:t>，有效日均降水量按60d计，则北露天采场年矿坑降水为65.7m</w:t>
      </w:r>
      <w:r>
        <w:rPr>
          <w:rFonts w:hint="eastAsia" w:ascii="Times New Roman" w:hAnsi="Times New Roman" w:eastAsia="华文中宋" w:cs="Times New Roman"/>
          <w:color w:val="auto"/>
          <w:vertAlign w:val="superscript"/>
          <w:lang w:val="en-US" w:eastAsia="zh-CN"/>
        </w:rPr>
        <w:t>3</w:t>
      </w:r>
      <w:r>
        <w:rPr>
          <w:rFonts w:hint="eastAsia" w:ascii="Times New Roman" w:hAnsi="Times New Roman" w:eastAsia="华文中宋" w:cs="Times New Roman"/>
          <w:color w:val="auto"/>
          <w:lang w:val="en-US" w:eastAsia="zh-CN"/>
        </w:rPr>
        <w:t>/d（3942m</w:t>
      </w:r>
      <w:r>
        <w:rPr>
          <w:rFonts w:hint="eastAsia" w:ascii="Times New Roman" w:hAnsi="Times New Roman" w:eastAsia="华文中宋" w:cs="Times New Roman"/>
          <w:color w:val="auto"/>
          <w:vertAlign w:val="superscript"/>
          <w:lang w:val="en-US" w:eastAsia="zh-CN"/>
        </w:rPr>
        <w:t>3</w:t>
      </w:r>
      <w:r>
        <w:rPr>
          <w:rFonts w:hint="eastAsia" w:ascii="Times New Roman" w:hAnsi="Times New Roman" w:eastAsia="华文中宋" w:cs="Times New Roman"/>
          <w:color w:val="auto"/>
          <w:lang w:val="en-US" w:eastAsia="zh-CN"/>
        </w:rPr>
        <w:t>/a），南露天采场矿坑降水为31.36m</w:t>
      </w:r>
      <w:r>
        <w:rPr>
          <w:rFonts w:hint="eastAsia" w:ascii="Times New Roman" w:hAnsi="Times New Roman" w:eastAsia="华文中宋" w:cs="Times New Roman"/>
          <w:color w:val="auto"/>
          <w:vertAlign w:val="superscript"/>
          <w:lang w:val="en-US" w:eastAsia="zh-CN"/>
        </w:rPr>
        <w:t>3</w:t>
      </w:r>
      <w:r>
        <w:rPr>
          <w:rFonts w:hint="eastAsia" w:ascii="Times New Roman" w:hAnsi="Times New Roman" w:eastAsia="华文中宋" w:cs="Times New Roman"/>
          <w:color w:val="auto"/>
          <w:lang w:val="en-US" w:eastAsia="zh-CN"/>
        </w:rPr>
        <w:t>/d（188</w:t>
      </w:r>
      <w:r>
        <w:rPr>
          <w:rFonts w:hint="eastAsia" w:ascii="Times New Roman" w:hAnsi="Times New Roman" w:cs="Times New Roman"/>
          <w:color w:val="auto"/>
          <w:lang w:val="en-US" w:eastAsia="zh-CN"/>
        </w:rPr>
        <w:t>2</w:t>
      </w:r>
      <w:r>
        <w:rPr>
          <w:rFonts w:hint="eastAsia" w:ascii="Times New Roman" w:hAnsi="Times New Roman" w:eastAsia="华文中宋" w:cs="Times New Roman"/>
          <w:color w:val="auto"/>
          <w:lang w:val="en-US" w:eastAsia="zh-CN"/>
        </w:rPr>
        <w:t>m</w:t>
      </w:r>
      <w:r>
        <w:rPr>
          <w:rFonts w:hint="eastAsia" w:ascii="Times New Roman" w:hAnsi="Times New Roman" w:eastAsia="华文中宋" w:cs="Times New Roman"/>
          <w:color w:val="auto"/>
          <w:vertAlign w:val="superscript"/>
          <w:lang w:val="en-US" w:eastAsia="zh-CN"/>
        </w:rPr>
        <w:t>3</w:t>
      </w:r>
      <w:r>
        <w:rPr>
          <w:rFonts w:hint="eastAsia" w:ascii="Times New Roman" w:hAnsi="Times New Roman" w:eastAsia="华文中宋" w:cs="Times New Roman"/>
          <w:color w:val="auto"/>
          <w:lang w:val="en-US" w:eastAsia="zh-CN"/>
        </w:rPr>
        <w:t>/a）</w:t>
      </w:r>
      <w:r>
        <w:rPr>
          <w:rFonts w:hint="eastAsia" w:ascii="Times New Roman" w:hAnsi="Times New Roman" w:cs="Times New Roman"/>
          <w:color w:val="auto"/>
          <w:lang w:val="en-US" w:eastAsia="zh-CN"/>
        </w:rPr>
        <w:t>，考虑到本项目南北露天采场先后开采，为方便计算，矿坑水产生量取其平均值2912m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/a</w:t>
      </w:r>
      <w:r>
        <w:rPr>
          <w:rFonts w:hint="eastAsia" w:ascii="Times New Roman" w:hAnsi="Times New Roman" w:eastAsia="华文中宋" w:cs="Times New Roman"/>
          <w:color w:val="auto"/>
          <w:lang w:val="en-US" w:eastAsia="zh-CN"/>
        </w:rPr>
        <w:t>。</w:t>
      </w:r>
      <w:r>
        <w:rPr>
          <w:rFonts w:hint="eastAsia" w:ascii="Times New Roman" w:hAnsi="Times New Roman" w:cs="Times New Roman"/>
          <w:color w:val="auto"/>
          <w:lang w:val="en-US" w:eastAsia="zh-CN"/>
        </w:rPr>
        <w:t>项目矿坑水经泵抽取至集水池内，项目区蒸发量远大于降水量，矿坑水在集水池内全部自然蒸发。</w:t>
      </w:r>
    </w:p>
    <w:p w14:paraId="4AB1408C">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（2）废石堆</w:t>
      </w:r>
      <w:r>
        <w:rPr>
          <w:rFonts w:hint="eastAsia" w:ascii="Times New Roman" w:hAnsi="Times New Roman" w:eastAsia="华文中宋" w:cs="Times New Roman"/>
          <w:color w:val="auto"/>
          <w:lang w:val="en-US" w:eastAsia="zh-CN"/>
        </w:rPr>
        <w:t>放</w:t>
      </w:r>
      <w:r>
        <w:rPr>
          <w:rFonts w:hint="default" w:ascii="Times New Roman" w:hAnsi="Times New Roman" w:eastAsia="华文中宋" w:cs="Times New Roman"/>
          <w:color w:val="auto"/>
          <w:lang w:val="en-US" w:eastAsia="zh-CN"/>
        </w:rPr>
        <w:t>场淋溶水环境影响分析</w:t>
      </w:r>
    </w:p>
    <w:p w14:paraId="0F73C5D7">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val="en-US" w:eastAsia="zh-CN"/>
        </w:rPr>
        <w:t>本工程砂石浸出液中所有</w:t>
      </w:r>
      <w:r>
        <w:rPr>
          <w:rFonts w:hint="eastAsia" w:ascii="Times New Roman" w:hAnsi="Times New Roman" w:eastAsia="华文中宋" w:cs="Times New Roman"/>
          <w:color w:val="auto"/>
          <w:lang w:val="en-US" w:eastAsia="zh-CN"/>
        </w:rPr>
        <w:t>检测项目</w:t>
      </w:r>
      <w:r>
        <w:rPr>
          <w:rFonts w:hint="default" w:ascii="Times New Roman" w:hAnsi="Times New Roman" w:eastAsia="华文中宋" w:cs="Times New Roman"/>
          <w:color w:val="auto"/>
          <w:lang w:val="en-US" w:eastAsia="zh-CN"/>
        </w:rPr>
        <w:t>浓度值均低于《危险废物鉴别标准</w:t>
      </w:r>
      <w:r>
        <w:rPr>
          <w:rFonts w:hint="eastAsia" w:ascii="Times New Roman" w:hAnsi="Times New Roman" w:eastAsia="华文中宋" w:cs="Times New Roman"/>
          <w:color w:val="auto"/>
          <w:lang w:val="en-US" w:eastAsia="zh-CN"/>
        </w:rPr>
        <w:t xml:space="preserve"> </w:t>
      </w:r>
      <w:r>
        <w:rPr>
          <w:rFonts w:hint="default" w:ascii="Times New Roman" w:hAnsi="Times New Roman" w:eastAsia="华文中宋" w:cs="Times New Roman"/>
          <w:color w:val="auto"/>
          <w:lang w:val="en-US" w:eastAsia="zh-CN"/>
        </w:rPr>
        <w:t>浸出毒性鉴别》（GB5085.3-2007）中最高允许排放浓度，同时未超过《污水综合排放标准》（GB8978-1996）中最高允许排放浓度，由此确定本工程产生的废石为第I类一般工业固体废物，可按照第I类一般工业固体废物处理，可采用改性压实粘土类衬层或具有同等以上隔水效力的其他材料防渗衬层，其防渗性能应至少相当于渗透系数为1.0×10</w:t>
      </w:r>
      <w:r>
        <w:rPr>
          <w:rFonts w:hint="eastAsia" w:ascii="Times New Roman" w:hAnsi="Times New Roman" w:eastAsia="华文中宋" w:cs="Times New Roman"/>
          <w:color w:val="auto"/>
          <w:vertAlign w:val="superscript"/>
          <w:lang w:val="en-US" w:eastAsia="zh-CN"/>
        </w:rPr>
        <w:t>-</w:t>
      </w:r>
      <w:r>
        <w:rPr>
          <w:rFonts w:hint="default" w:ascii="Times New Roman" w:hAnsi="Times New Roman" w:eastAsia="华文中宋" w:cs="Times New Roman"/>
          <w:color w:val="auto"/>
          <w:vertAlign w:val="superscript"/>
          <w:lang w:val="en-US" w:eastAsia="zh-CN"/>
        </w:rPr>
        <w:t>5</w:t>
      </w:r>
      <w:r>
        <w:rPr>
          <w:rFonts w:hint="default" w:ascii="Times New Roman" w:hAnsi="Times New Roman" w:eastAsia="华文中宋" w:cs="Times New Roman"/>
          <w:color w:val="auto"/>
          <w:lang w:val="en-US" w:eastAsia="zh-CN"/>
        </w:rPr>
        <w:t>cm/s且厚度为0.75m的天然基础层。</w:t>
      </w:r>
    </w:p>
    <w:p w14:paraId="4D0791C0">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val="en-US" w:eastAsia="zh-CN"/>
        </w:rPr>
        <w:t>废石露天堆放，经风吹、日晒、雨淋和温度的变化等影响，将发生物理和化学变化，废石经降水淋洗后，表面的细颗粒会随降水迁移，其中可溶性组分也会进入淋溶中，可能影响水环境和土壤环境。但本矿区所在区域平均降水量为140mm，年平均蒸发量为2400mm，降水量远小于蒸发量。矿区地层岩性为</w:t>
      </w:r>
      <w:r>
        <w:rPr>
          <w:rFonts w:hint="default" w:ascii="Times New Roman" w:hAnsi="Times New Roman" w:eastAsia="华文中宋" w:cs="Times New Roman"/>
          <w:color w:val="auto"/>
        </w:rPr>
        <w:t>泥质粉砂岩、粉砂质泥岩、中细粒砂岩</w:t>
      </w:r>
      <w:r>
        <w:rPr>
          <w:rFonts w:hint="default" w:ascii="Times New Roman" w:hAnsi="Times New Roman" w:eastAsia="华文中宋" w:cs="Times New Roman"/>
          <w:color w:val="auto"/>
          <w:lang w:val="en-US" w:eastAsia="zh-CN"/>
        </w:rPr>
        <w:t>，项目所在区域蒸发量较大，废石淋溶液通过垂直渗透或补给方式污染地下水环境的可能性较小。因此，不管是从废石场的水文地质条件还是废石场淋溶液的</w:t>
      </w:r>
      <w:r>
        <w:rPr>
          <w:rFonts w:hint="eastAsia" w:ascii="Times New Roman" w:hAnsi="Times New Roman" w:eastAsia="华文中宋" w:cs="Times New Roman"/>
          <w:color w:val="auto"/>
          <w:lang w:val="en-US" w:eastAsia="zh-CN"/>
        </w:rPr>
        <w:t>成分分析</w:t>
      </w:r>
      <w:r>
        <w:rPr>
          <w:rFonts w:hint="default" w:ascii="Times New Roman" w:hAnsi="Times New Roman" w:eastAsia="华文中宋" w:cs="Times New Roman"/>
          <w:color w:val="auto"/>
          <w:lang w:val="en-US" w:eastAsia="zh-CN"/>
        </w:rPr>
        <w:t>，废石场淋溶水对区域地下水环境的影响均较小。</w:t>
      </w:r>
    </w:p>
    <w:p w14:paraId="0509CEFF">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评价要求在废石场外修建引流渠和渗滤液收集池</w:t>
      </w:r>
      <w:r>
        <w:rPr>
          <w:rFonts w:hint="eastAsia" w:ascii="Times New Roman" w:hAnsi="Times New Roman" w:cs="Times New Roman"/>
          <w:color w:val="auto"/>
          <w:lang w:val="en-US" w:eastAsia="zh-CN"/>
        </w:rPr>
        <w:t>（200m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收集废石淋溶水</w:t>
      </w:r>
      <w:r>
        <w:rPr>
          <w:rFonts w:hint="eastAsia" w:ascii="Times New Roman" w:hAnsi="Times New Roman" w:cs="Times New Roman"/>
          <w:color w:val="auto"/>
          <w:lang w:val="en-US" w:eastAsia="zh-CN"/>
        </w:rPr>
        <w:t>，根据项目所在区域气候，蒸发量远大于降雨量，因此项目淋溶水全部自然蒸发，不会产生废水。</w:t>
      </w:r>
      <w:r>
        <w:rPr>
          <w:rFonts w:hint="default" w:ascii="Times New Roman" w:hAnsi="Times New Roman" w:eastAsia="华文中宋" w:cs="Times New Roman"/>
          <w:color w:val="auto"/>
          <w:lang w:val="en-US" w:eastAsia="zh-CN"/>
        </w:rPr>
        <w:t>综上所述，排土场不会对地表水造成影响。</w:t>
      </w:r>
    </w:p>
    <w:p w14:paraId="2F2DFD11">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（3）生活污水</w:t>
      </w:r>
    </w:p>
    <w:p w14:paraId="475D4D76">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生活污水主要来自职工食堂、洗漱等生活污水（</w:t>
      </w:r>
      <w:r>
        <w:rPr>
          <w:rFonts w:hint="eastAsia" w:ascii="Times New Roman" w:hAnsi="Times New Roman" w:cs="Times New Roman"/>
          <w:color w:val="auto"/>
          <w:lang w:val="en-US" w:eastAsia="zh-CN"/>
        </w:rPr>
        <w:t>800</w:t>
      </w:r>
      <w:r>
        <w:rPr>
          <w:rFonts w:hint="default" w:ascii="Times New Roman" w:hAnsi="Times New Roman" w:eastAsia="华文中宋" w:cs="Times New Roman"/>
          <w:color w:val="auto"/>
          <w:lang w:val="en-US" w:eastAsia="zh-CN"/>
        </w:rPr>
        <w:t>m</w:t>
      </w:r>
      <w:r>
        <w:rPr>
          <w:rFonts w:hint="default" w:ascii="Times New Roman" w:hAnsi="Times New Roman" w:eastAsia="华文中宋" w:cs="Times New Roman"/>
          <w:color w:val="auto"/>
          <w:vertAlign w:val="superscript"/>
          <w:lang w:val="en-US" w:eastAsia="zh-CN"/>
        </w:rPr>
        <w:t>3</w:t>
      </w:r>
      <w:r>
        <w:rPr>
          <w:rFonts w:hint="default" w:ascii="Times New Roman" w:hAnsi="Times New Roman" w:eastAsia="华文中宋" w:cs="Times New Roman"/>
          <w:color w:val="auto"/>
          <w:lang w:val="en-US" w:eastAsia="zh-CN"/>
        </w:rPr>
        <w:t>/a），生活污水处理站处理规模Q=10m</w:t>
      </w:r>
      <w:r>
        <w:rPr>
          <w:rFonts w:hint="default" w:ascii="Times New Roman" w:hAnsi="Times New Roman" w:eastAsia="华文中宋" w:cs="Times New Roman"/>
          <w:color w:val="auto"/>
          <w:vertAlign w:val="superscript"/>
          <w:lang w:val="en-US" w:eastAsia="zh-CN"/>
        </w:rPr>
        <w:t>3</w:t>
      </w:r>
      <w:r>
        <w:rPr>
          <w:rFonts w:hint="default" w:ascii="Times New Roman" w:hAnsi="Times New Roman" w:eastAsia="华文中宋" w:cs="Times New Roman"/>
          <w:color w:val="auto"/>
          <w:lang w:val="en-US" w:eastAsia="zh-CN"/>
        </w:rPr>
        <w:t>/d，处理设施为地埋式一体化，经</w:t>
      </w:r>
      <w:r>
        <w:rPr>
          <w:rFonts w:hint="default" w:ascii="Times New Roman" w:hAnsi="Times New Roman" w:cs="Times New Roman" w:eastAsiaTheme="minorEastAsia"/>
          <w:color w:val="auto"/>
          <w:kern w:val="0"/>
          <w:sz w:val="24"/>
          <w:szCs w:val="24"/>
          <w:highlight w:val="none"/>
          <w:lang w:val="en-US" w:eastAsia="zh-CN" w:bidi="ar"/>
        </w:rPr>
        <w:t>“</w:t>
      </w:r>
      <w:r>
        <w:rPr>
          <w:rFonts w:hint="eastAsia" w:ascii="Times New Roman" w:hAnsi="Times New Roman" w:cs="Times New Roman" w:eastAsiaTheme="minorEastAsia"/>
          <w:color w:val="auto"/>
          <w:kern w:val="0"/>
          <w:sz w:val="24"/>
          <w:szCs w:val="24"/>
          <w:highlight w:val="none"/>
          <w:lang w:val="en-US" w:eastAsia="zh-CN" w:bidi="ar"/>
        </w:rPr>
        <w:t>AO+MBR</w:t>
      </w:r>
      <w:r>
        <w:rPr>
          <w:rFonts w:hint="default" w:ascii="Times New Roman" w:hAnsi="Times New Roman" w:cs="Times New Roman" w:eastAsiaTheme="minorEastAsia"/>
          <w:color w:val="auto"/>
          <w:kern w:val="0"/>
          <w:sz w:val="24"/>
          <w:szCs w:val="24"/>
          <w:highlight w:val="none"/>
          <w:lang w:val="en-US" w:eastAsia="zh-CN" w:bidi="ar"/>
        </w:rPr>
        <w:t>+混凝沉淀+过滤+消毒”</w:t>
      </w:r>
      <w:r>
        <w:rPr>
          <w:rFonts w:hint="default" w:ascii="Times New Roman" w:hAnsi="Times New Roman" w:eastAsia="华文中宋" w:cs="Times New Roman"/>
          <w:color w:val="auto"/>
          <w:lang w:val="en-US" w:eastAsia="zh-CN"/>
        </w:rPr>
        <w:t>后，出水目标执行《农村生活污水处理排放标准》（DB654275-2019）表2中</w:t>
      </w:r>
      <w:r>
        <w:rPr>
          <w:rFonts w:hint="eastAsia" w:ascii="Times New Roman" w:hAnsi="Times New Roman" w:eastAsia="华文中宋" w:cs="Times New Roman"/>
          <w:color w:val="auto"/>
          <w:lang w:val="en-US" w:eastAsia="zh-CN"/>
        </w:rPr>
        <w:t>A</w:t>
      </w:r>
      <w:r>
        <w:rPr>
          <w:rFonts w:hint="default" w:ascii="Times New Roman" w:hAnsi="Times New Roman" w:eastAsia="华文中宋" w:cs="Times New Roman"/>
          <w:color w:val="auto"/>
          <w:lang w:val="en-US" w:eastAsia="zh-CN"/>
        </w:rPr>
        <w:t>级排放标准。生活污水经处理后全部用于废石堆放场降尘、道路抑尘洒水，不外排。生活污水不进入地表水体，对地表水水体水质产生影响较小。</w:t>
      </w:r>
    </w:p>
    <w:p w14:paraId="0312EBC9">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20" w:firstLineChars="200"/>
        <w:textAlignment w:val="auto"/>
        <w:outlineLvl w:val="9"/>
        <w:rPr>
          <w:rFonts w:hint="default" w:ascii="Times New Roman" w:hAnsi="Times New Roman" w:eastAsia="宋体" w:cs="Times New Roman"/>
          <w:bCs/>
          <w:color w:val="auto"/>
          <w:sz w:val="24"/>
          <w:szCs w:val="32"/>
          <w:highlight w:val="none"/>
          <w:lang w:val="en-US" w:eastAsia="zh-CN"/>
        </w:rPr>
      </w:pPr>
      <w:r>
        <w:rPr>
          <w:rFonts w:hint="eastAsia" w:ascii="Times New Roman" w:hAnsi="Times New Roman" w:cs="Times New Roman"/>
          <w:color w:val="auto"/>
          <w:lang w:val="en-US" w:eastAsia="zh-CN"/>
        </w:rPr>
        <w:t>（4）</w:t>
      </w:r>
      <w:r>
        <w:rPr>
          <w:rFonts w:hint="default" w:ascii="Times New Roman" w:hAnsi="Times New Roman" w:eastAsia="宋体" w:cs="Times New Roman"/>
          <w:bCs/>
          <w:color w:val="auto"/>
          <w:sz w:val="24"/>
          <w:szCs w:val="32"/>
          <w:highlight w:val="none"/>
          <w:lang w:val="en-US" w:eastAsia="zh-CN"/>
        </w:rPr>
        <w:t>突发事故应对措施</w:t>
      </w:r>
    </w:p>
    <w:p w14:paraId="7E1B6BAE">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textAlignment w:val="auto"/>
        <w:outlineLvl w:val="9"/>
        <w:rPr>
          <w:rFonts w:hint="default" w:ascii="Times New Roman" w:hAnsi="Times New Roman" w:eastAsia="宋体" w:cs="Times New Roman"/>
          <w:bCs/>
          <w:color w:val="auto"/>
          <w:sz w:val="24"/>
          <w:szCs w:val="32"/>
          <w:highlight w:val="none"/>
          <w:lang w:val="en-US" w:eastAsia="zh-CN"/>
        </w:rPr>
      </w:pPr>
      <w:r>
        <w:rPr>
          <w:rFonts w:hint="default" w:ascii="Times New Roman" w:hAnsi="Times New Roman" w:eastAsia="华文中宋" w:cs="Times New Roman"/>
          <w:snapToGrid w:val="0"/>
          <w:color w:val="auto"/>
          <w:kern w:val="0"/>
          <w:sz w:val="24"/>
          <w:szCs w:val="20"/>
          <w:lang w:val="en-US" w:eastAsia="zh-CN" w:bidi="ar-SA"/>
        </w:rPr>
        <w:t>事故状态下，废石堆</w:t>
      </w:r>
      <w:r>
        <w:rPr>
          <w:rFonts w:hint="eastAsia" w:ascii="Times New Roman" w:hAnsi="Times New Roman" w:eastAsia="华文中宋" w:cs="Times New Roman"/>
          <w:snapToGrid w:val="0"/>
          <w:color w:val="auto"/>
          <w:kern w:val="0"/>
          <w:sz w:val="24"/>
          <w:szCs w:val="20"/>
          <w:lang w:val="en-US" w:eastAsia="zh-CN" w:bidi="ar-SA"/>
        </w:rPr>
        <w:t>放</w:t>
      </w:r>
      <w:r>
        <w:rPr>
          <w:rFonts w:hint="default" w:ascii="Times New Roman" w:hAnsi="Times New Roman" w:eastAsia="华文中宋" w:cs="Times New Roman"/>
          <w:snapToGrid w:val="0"/>
          <w:color w:val="auto"/>
          <w:kern w:val="0"/>
          <w:sz w:val="24"/>
          <w:szCs w:val="20"/>
          <w:lang w:val="en-US" w:eastAsia="zh-CN" w:bidi="ar-SA"/>
        </w:rPr>
        <w:t>场淋溶水</w:t>
      </w:r>
      <w:r>
        <w:rPr>
          <w:rFonts w:hint="eastAsia" w:ascii="Times New Roman" w:hAnsi="Times New Roman" w:eastAsia="华文中宋" w:cs="Times New Roman"/>
          <w:snapToGrid w:val="0"/>
          <w:color w:val="auto"/>
          <w:kern w:val="0"/>
          <w:sz w:val="24"/>
          <w:szCs w:val="20"/>
          <w:lang w:val="en-US" w:eastAsia="zh-CN" w:bidi="ar-SA"/>
        </w:rPr>
        <w:t>及生活污水</w:t>
      </w:r>
      <w:r>
        <w:rPr>
          <w:rFonts w:hint="default" w:ascii="Times New Roman" w:hAnsi="Times New Roman" w:eastAsia="华文中宋" w:cs="Times New Roman"/>
          <w:snapToGrid w:val="0"/>
          <w:color w:val="auto"/>
          <w:kern w:val="0"/>
          <w:sz w:val="24"/>
          <w:szCs w:val="20"/>
          <w:lang w:val="en-US" w:eastAsia="zh-CN" w:bidi="ar-SA"/>
        </w:rPr>
        <w:t>可能会对地表水体产生一定程度的污染，这种污染具有突发性、瞬时性等特点。因此，为避免矿区开采突发事故污染地表水水质，评价建议在</w:t>
      </w:r>
      <w:r>
        <w:rPr>
          <w:rFonts w:hint="default" w:ascii="Times New Roman" w:hAnsi="Times New Roman" w:eastAsia="宋体" w:cs="Times New Roman"/>
          <w:bCs/>
          <w:color w:val="auto"/>
          <w:sz w:val="24"/>
          <w:szCs w:val="32"/>
          <w:highlight w:val="none"/>
          <w:lang w:val="en-US" w:eastAsia="zh-CN"/>
        </w:rPr>
        <w:t>生产中必须加强监控和管理，制定各类风险事故情况下的应急预案，以确保地表水水质不受污染。</w:t>
      </w:r>
    </w:p>
    <w:p w14:paraId="4097E221">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宋体" w:cs="Times New Roman"/>
          <w:bCs/>
          <w:color w:val="auto"/>
          <w:sz w:val="24"/>
          <w:szCs w:val="32"/>
          <w:highlight w:val="none"/>
          <w:lang w:val="en-US" w:eastAsia="zh-CN"/>
        </w:rPr>
        <w:t>废石堆放场、</w:t>
      </w:r>
      <w:r>
        <w:rPr>
          <w:rFonts w:hint="default" w:ascii="Times New Roman" w:hAnsi="Times New Roman" w:eastAsia="宋体" w:cs="Times New Roman"/>
          <w:bCs/>
          <w:color w:val="auto"/>
          <w:sz w:val="24"/>
          <w:szCs w:val="32"/>
          <w:highlight w:val="none"/>
          <w:lang w:val="en-US" w:eastAsia="zh-CN"/>
        </w:rPr>
        <w:t>生活区留设足够的事故池（容纳24h事故废水，分别设置在生活污水、</w:t>
      </w:r>
      <w:r>
        <w:rPr>
          <w:rFonts w:hint="eastAsia" w:ascii="Times New Roman" w:hAnsi="Times New Roman" w:eastAsia="宋体" w:cs="Times New Roman"/>
          <w:bCs/>
          <w:color w:val="auto"/>
          <w:sz w:val="24"/>
          <w:szCs w:val="32"/>
          <w:highlight w:val="none"/>
          <w:lang w:val="en-US" w:eastAsia="zh-CN"/>
        </w:rPr>
        <w:t>废石堆放场</w:t>
      </w:r>
      <w:r>
        <w:rPr>
          <w:rFonts w:hint="default" w:ascii="Times New Roman" w:hAnsi="Times New Roman" w:eastAsia="宋体" w:cs="Times New Roman"/>
          <w:bCs/>
          <w:color w:val="auto"/>
          <w:sz w:val="24"/>
          <w:szCs w:val="32"/>
          <w:highlight w:val="none"/>
          <w:lang w:val="en-US" w:eastAsia="zh-CN"/>
        </w:rPr>
        <w:t>旁），用于收集生产生活事故废水，保证事故状态下不会造成二次水污染。</w:t>
      </w:r>
    </w:p>
    <w:p w14:paraId="7559EE30">
      <w:pPr>
        <w:pStyle w:val="24"/>
        <w:snapToGrid w:val="0"/>
        <w:jc w:val="left"/>
        <w:rPr>
          <w:rFonts w:hint="default" w:ascii="Times New Roman" w:hAnsi="Times New Roman" w:eastAsia="华文中宋" w:cs="Times New Roman"/>
          <w:color w:val="auto"/>
          <w:lang w:val="en-GB" w:eastAsia="zh-CN"/>
        </w:rPr>
      </w:pPr>
      <w:r>
        <w:rPr>
          <w:rFonts w:hint="default" w:ascii="Times New Roman" w:hAnsi="Times New Roman" w:eastAsia="华文中宋" w:cs="Times New Roman"/>
          <w:color w:val="auto"/>
          <w:lang w:val="en-GB" w:eastAsia="zh-CN"/>
        </w:rPr>
        <w:t>本项目地表水环境影响评价自查表见表</w:t>
      </w:r>
      <w:r>
        <w:rPr>
          <w:rFonts w:hint="default" w:ascii="Times New Roman" w:hAnsi="Times New Roman" w:eastAsia="华文中宋" w:cs="Times New Roman"/>
          <w:color w:val="auto"/>
          <w:lang w:val="en-US" w:eastAsia="zh-CN"/>
        </w:rPr>
        <w:t>5.2-1</w:t>
      </w:r>
      <w:r>
        <w:rPr>
          <w:rFonts w:hint="eastAsia" w:ascii="Times New Roman" w:hAnsi="Times New Roman" w:cs="Times New Roman"/>
          <w:color w:val="auto"/>
          <w:lang w:val="en-US" w:eastAsia="zh-CN"/>
        </w:rPr>
        <w:t>4</w:t>
      </w:r>
      <w:r>
        <w:rPr>
          <w:rFonts w:hint="default" w:ascii="Times New Roman" w:hAnsi="Times New Roman" w:eastAsia="华文中宋" w:cs="Times New Roman"/>
          <w:color w:val="auto"/>
          <w:lang w:val="en-GB" w:eastAsia="zh-CN"/>
        </w:rPr>
        <w:t>。</w:t>
      </w:r>
    </w:p>
    <w:p w14:paraId="72DBC6DB">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表5.2-1</w:t>
      </w:r>
      <w:r>
        <w:rPr>
          <w:rFonts w:hint="eastAsia" w:ascii="Times New Roman" w:hAnsi="Times New Roman" w:eastAsia="华文中宋" w:cs="Times New Roman"/>
          <w:b/>
          <w:szCs w:val="21"/>
          <w:lang w:val="en-US" w:eastAsia="zh-CN"/>
        </w:rPr>
        <w:t>4</w:t>
      </w:r>
      <w:r>
        <w:rPr>
          <w:rFonts w:hint="default" w:ascii="Times New Roman" w:hAnsi="Times New Roman" w:eastAsia="华文中宋" w:cs="Times New Roman"/>
          <w:b/>
          <w:szCs w:val="21"/>
          <w:lang w:val="en-US" w:eastAsia="zh-CN"/>
        </w:rPr>
        <w:t xml:space="preserve">  地表水环境影响评价自查表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458"/>
        <w:gridCol w:w="1267"/>
        <w:gridCol w:w="1257"/>
        <w:gridCol w:w="423"/>
        <w:gridCol w:w="283"/>
        <w:gridCol w:w="56"/>
        <w:gridCol w:w="519"/>
        <w:gridCol w:w="999"/>
        <w:gridCol w:w="282"/>
        <w:gridCol w:w="456"/>
        <w:gridCol w:w="139"/>
        <w:gridCol w:w="571"/>
        <w:gridCol w:w="87"/>
        <w:gridCol w:w="693"/>
        <w:gridCol w:w="1026"/>
      </w:tblGrid>
      <w:tr w14:paraId="41F2F8B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5" w:type="dxa"/>
            <w:gridSpan w:val="2"/>
            <w:tcBorders>
              <w:tl2br w:val="nil"/>
              <w:tr2bl w:val="nil"/>
            </w:tcBorders>
            <w:noWrap w:val="0"/>
            <w:vAlign w:val="center"/>
          </w:tcPr>
          <w:p w14:paraId="025902D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工作内容</w:t>
            </w:r>
          </w:p>
        </w:tc>
        <w:tc>
          <w:tcPr>
            <w:tcW w:w="6791" w:type="dxa"/>
            <w:gridSpan w:val="13"/>
            <w:tcBorders>
              <w:tl2br w:val="nil"/>
              <w:tr2bl w:val="nil"/>
            </w:tcBorders>
            <w:noWrap w:val="0"/>
            <w:vAlign w:val="center"/>
          </w:tcPr>
          <w:p w14:paraId="53F353C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自查项目</w:t>
            </w:r>
          </w:p>
        </w:tc>
      </w:tr>
      <w:tr w14:paraId="6E7EE59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8" w:type="dxa"/>
            <w:vMerge w:val="restart"/>
            <w:tcBorders>
              <w:tl2br w:val="nil"/>
              <w:tr2bl w:val="nil"/>
            </w:tcBorders>
            <w:noWrap w:val="0"/>
            <w:vAlign w:val="center"/>
          </w:tcPr>
          <w:p w14:paraId="73BA99D1">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影响识别</w:t>
            </w:r>
          </w:p>
        </w:tc>
        <w:tc>
          <w:tcPr>
            <w:tcW w:w="1267" w:type="dxa"/>
            <w:tcBorders>
              <w:tl2br w:val="nil"/>
              <w:tr2bl w:val="nil"/>
            </w:tcBorders>
            <w:noWrap w:val="0"/>
            <w:vAlign w:val="center"/>
          </w:tcPr>
          <w:p w14:paraId="4B4094F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影响类型</w:t>
            </w:r>
          </w:p>
        </w:tc>
        <w:tc>
          <w:tcPr>
            <w:tcW w:w="6791" w:type="dxa"/>
            <w:gridSpan w:val="13"/>
            <w:tcBorders>
              <w:tl2br w:val="nil"/>
              <w:tr2bl w:val="nil"/>
            </w:tcBorders>
            <w:noWrap w:val="0"/>
            <w:vAlign w:val="center"/>
          </w:tcPr>
          <w:p w14:paraId="18BEBCF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水污染影响型</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；水文要素影响型</w:t>
            </w:r>
            <w:r>
              <w:rPr>
                <w:rFonts w:hint="default" w:ascii="Times New Roman" w:hAnsi="Times New Roman" w:eastAsia="华文中宋" w:cs="Times New Roman"/>
                <w:szCs w:val="21"/>
                <w:lang w:eastAsia="zh-CN"/>
              </w:rPr>
              <w:t>□</w:t>
            </w:r>
          </w:p>
        </w:tc>
      </w:tr>
      <w:tr w14:paraId="763A3DE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8" w:type="dxa"/>
            <w:vMerge w:val="continue"/>
            <w:tcBorders>
              <w:tl2br w:val="nil"/>
              <w:tr2bl w:val="nil"/>
            </w:tcBorders>
            <w:noWrap w:val="0"/>
            <w:vAlign w:val="center"/>
          </w:tcPr>
          <w:p w14:paraId="259A8685">
            <w:pPr>
              <w:spacing w:line="300" w:lineRule="exact"/>
              <w:jc w:val="center"/>
              <w:rPr>
                <w:rFonts w:hint="default" w:ascii="Times New Roman" w:hAnsi="Times New Roman" w:eastAsia="华文中宋" w:cs="Times New Roman"/>
                <w:szCs w:val="21"/>
              </w:rPr>
            </w:pPr>
          </w:p>
        </w:tc>
        <w:tc>
          <w:tcPr>
            <w:tcW w:w="1267" w:type="dxa"/>
            <w:tcBorders>
              <w:tl2br w:val="nil"/>
              <w:tr2bl w:val="nil"/>
            </w:tcBorders>
            <w:noWrap w:val="0"/>
            <w:vAlign w:val="center"/>
          </w:tcPr>
          <w:p w14:paraId="0876B38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水环境保护目标</w:t>
            </w:r>
          </w:p>
        </w:tc>
        <w:tc>
          <w:tcPr>
            <w:tcW w:w="6791" w:type="dxa"/>
            <w:gridSpan w:val="13"/>
            <w:tcBorders>
              <w:tl2br w:val="nil"/>
              <w:tr2bl w:val="nil"/>
            </w:tcBorders>
            <w:noWrap w:val="0"/>
            <w:vAlign w:val="center"/>
          </w:tcPr>
          <w:p w14:paraId="072B0C9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饮用水水源保护区□；饮用水取水口□；涉水的自然保护区□；重要湿地□；重点保护与</w:t>
            </w:r>
            <w:r>
              <w:rPr>
                <w:rFonts w:hint="default" w:ascii="Times New Roman" w:hAnsi="Times New Roman" w:eastAsia="华文中宋" w:cs="Times New Roman"/>
                <w:szCs w:val="21"/>
                <w:lang w:eastAsia="zh-CN"/>
              </w:rPr>
              <w:t>珍稀</w:t>
            </w:r>
            <w:r>
              <w:rPr>
                <w:rFonts w:hint="default" w:ascii="Times New Roman" w:hAnsi="Times New Roman" w:eastAsia="华文中宋" w:cs="Times New Roman"/>
                <w:szCs w:val="21"/>
              </w:rPr>
              <w:t>水生生物的栖息地□；重要水生生物的自然产卵场及索饵场、越冬场和洄游通道、天然渔场等渔业水体□；涉水的风景名胜区□；其他</w:t>
            </w:r>
            <w:r>
              <w:rPr>
                <w:rFonts w:hint="eastAsia" w:ascii="Times New Roman" w:hAnsi="Times New Roman" w:eastAsia="华文中宋" w:cs="Times New Roman"/>
                <w:szCs w:val="21"/>
                <w:lang w:eastAsia="zh-CN"/>
              </w:rPr>
              <w:t>□</w:t>
            </w:r>
          </w:p>
        </w:tc>
      </w:tr>
      <w:tr w14:paraId="3CB4320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8" w:type="dxa"/>
            <w:vMerge w:val="continue"/>
            <w:tcBorders>
              <w:tl2br w:val="nil"/>
              <w:tr2bl w:val="nil"/>
            </w:tcBorders>
            <w:noWrap w:val="0"/>
            <w:vAlign w:val="center"/>
          </w:tcPr>
          <w:p w14:paraId="45E3D7C5">
            <w:pPr>
              <w:spacing w:line="300" w:lineRule="exact"/>
              <w:jc w:val="center"/>
              <w:rPr>
                <w:rFonts w:hint="default" w:ascii="Times New Roman" w:hAnsi="Times New Roman" w:eastAsia="华文中宋" w:cs="Times New Roman"/>
                <w:szCs w:val="21"/>
              </w:rPr>
            </w:pPr>
          </w:p>
        </w:tc>
        <w:tc>
          <w:tcPr>
            <w:tcW w:w="1267" w:type="dxa"/>
            <w:vMerge w:val="restart"/>
            <w:tcBorders>
              <w:tl2br w:val="nil"/>
              <w:tr2bl w:val="nil"/>
            </w:tcBorders>
            <w:noWrap w:val="0"/>
            <w:vAlign w:val="center"/>
          </w:tcPr>
          <w:p w14:paraId="66BB661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影响途径</w:t>
            </w:r>
          </w:p>
        </w:tc>
        <w:tc>
          <w:tcPr>
            <w:tcW w:w="3537" w:type="dxa"/>
            <w:gridSpan w:val="6"/>
            <w:tcBorders>
              <w:tl2br w:val="nil"/>
              <w:tr2bl w:val="nil"/>
            </w:tcBorders>
            <w:noWrap w:val="0"/>
            <w:vAlign w:val="center"/>
          </w:tcPr>
          <w:p w14:paraId="348B09E3">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水污染影响型</w:t>
            </w:r>
          </w:p>
        </w:tc>
        <w:tc>
          <w:tcPr>
            <w:tcW w:w="3254" w:type="dxa"/>
            <w:gridSpan w:val="7"/>
            <w:tcBorders>
              <w:tl2br w:val="nil"/>
              <w:tr2bl w:val="nil"/>
            </w:tcBorders>
            <w:noWrap w:val="0"/>
            <w:vAlign w:val="center"/>
          </w:tcPr>
          <w:p w14:paraId="2ACF4A30">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水文要素影响型</w:t>
            </w:r>
          </w:p>
        </w:tc>
      </w:tr>
      <w:tr w14:paraId="146D988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8" w:type="dxa"/>
            <w:vMerge w:val="continue"/>
            <w:tcBorders>
              <w:tl2br w:val="nil"/>
              <w:tr2bl w:val="nil"/>
            </w:tcBorders>
            <w:noWrap w:val="0"/>
            <w:vAlign w:val="center"/>
          </w:tcPr>
          <w:p w14:paraId="5705C6FB">
            <w:pPr>
              <w:spacing w:line="300" w:lineRule="exact"/>
              <w:jc w:val="center"/>
              <w:rPr>
                <w:rFonts w:hint="default" w:ascii="Times New Roman" w:hAnsi="Times New Roman" w:eastAsia="华文中宋" w:cs="Times New Roman"/>
                <w:szCs w:val="21"/>
              </w:rPr>
            </w:pPr>
          </w:p>
        </w:tc>
        <w:tc>
          <w:tcPr>
            <w:tcW w:w="1267" w:type="dxa"/>
            <w:vMerge w:val="continue"/>
            <w:tcBorders>
              <w:tl2br w:val="nil"/>
              <w:tr2bl w:val="nil"/>
            </w:tcBorders>
            <w:noWrap w:val="0"/>
            <w:vAlign w:val="center"/>
          </w:tcPr>
          <w:p w14:paraId="23AF7A89">
            <w:pPr>
              <w:spacing w:line="300" w:lineRule="exact"/>
              <w:jc w:val="center"/>
              <w:rPr>
                <w:rFonts w:hint="default" w:ascii="Times New Roman" w:hAnsi="Times New Roman" w:eastAsia="华文中宋" w:cs="Times New Roman"/>
                <w:szCs w:val="21"/>
              </w:rPr>
            </w:pPr>
          </w:p>
        </w:tc>
        <w:tc>
          <w:tcPr>
            <w:tcW w:w="3537" w:type="dxa"/>
            <w:gridSpan w:val="6"/>
            <w:tcBorders>
              <w:tl2br w:val="nil"/>
              <w:tr2bl w:val="nil"/>
            </w:tcBorders>
            <w:noWrap w:val="0"/>
            <w:vAlign w:val="center"/>
          </w:tcPr>
          <w:p w14:paraId="2627DC51">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直接排放</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；间接排放</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；其他</w:t>
            </w:r>
            <w:r>
              <w:rPr>
                <w:rFonts w:hint="eastAsia" w:ascii="Times New Roman" w:hAnsi="Times New Roman" w:eastAsia="华文中宋" w:cs="Times New Roman"/>
                <w:szCs w:val="21"/>
                <w:lang w:eastAsia="zh-CN"/>
              </w:rPr>
              <w:t>☑</w:t>
            </w:r>
          </w:p>
        </w:tc>
        <w:tc>
          <w:tcPr>
            <w:tcW w:w="3254" w:type="dxa"/>
            <w:gridSpan w:val="7"/>
            <w:tcBorders>
              <w:tl2br w:val="nil"/>
              <w:tr2bl w:val="nil"/>
            </w:tcBorders>
            <w:noWrap w:val="0"/>
            <w:vAlign w:val="center"/>
          </w:tcPr>
          <w:p w14:paraId="78E64891">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水温</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；径流</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；水域面积</w:t>
            </w:r>
            <w:r>
              <w:rPr>
                <w:rFonts w:hint="default" w:ascii="Times New Roman" w:hAnsi="Times New Roman" w:eastAsia="华文中宋" w:cs="Times New Roman"/>
                <w:szCs w:val="21"/>
                <w:lang w:eastAsia="zh-CN"/>
              </w:rPr>
              <w:t>□</w:t>
            </w:r>
          </w:p>
        </w:tc>
      </w:tr>
      <w:tr w14:paraId="6755430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8" w:type="dxa"/>
            <w:vMerge w:val="continue"/>
            <w:tcBorders>
              <w:tl2br w:val="nil"/>
              <w:tr2bl w:val="nil"/>
            </w:tcBorders>
            <w:noWrap w:val="0"/>
            <w:vAlign w:val="center"/>
          </w:tcPr>
          <w:p w14:paraId="6D21E516">
            <w:pPr>
              <w:spacing w:line="300" w:lineRule="exact"/>
              <w:jc w:val="center"/>
              <w:rPr>
                <w:rFonts w:hint="default" w:ascii="Times New Roman" w:hAnsi="Times New Roman" w:eastAsia="华文中宋" w:cs="Times New Roman"/>
                <w:szCs w:val="21"/>
              </w:rPr>
            </w:pPr>
          </w:p>
        </w:tc>
        <w:tc>
          <w:tcPr>
            <w:tcW w:w="1267" w:type="dxa"/>
            <w:tcBorders>
              <w:tl2br w:val="nil"/>
              <w:tr2bl w:val="nil"/>
            </w:tcBorders>
            <w:noWrap w:val="0"/>
            <w:vAlign w:val="center"/>
          </w:tcPr>
          <w:p w14:paraId="799AB7A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影响因子</w:t>
            </w:r>
          </w:p>
        </w:tc>
        <w:tc>
          <w:tcPr>
            <w:tcW w:w="3537" w:type="dxa"/>
            <w:gridSpan w:val="6"/>
            <w:tcBorders>
              <w:tl2br w:val="nil"/>
              <w:tr2bl w:val="nil"/>
            </w:tcBorders>
            <w:noWrap w:val="0"/>
            <w:vAlign w:val="center"/>
          </w:tcPr>
          <w:p w14:paraId="1B75B12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持久性污染物□；有毒有害污染物□；非持久性污染物</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；pH值□；热污染□；富营养化□；其他□</w:t>
            </w:r>
          </w:p>
        </w:tc>
        <w:tc>
          <w:tcPr>
            <w:tcW w:w="3254" w:type="dxa"/>
            <w:gridSpan w:val="7"/>
            <w:tcBorders>
              <w:tl2br w:val="nil"/>
              <w:tr2bl w:val="nil"/>
            </w:tcBorders>
            <w:noWrap w:val="0"/>
            <w:vAlign w:val="center"/>
          </w:tcPr>
          <w:p w14:paraId="77CE35D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水温□；水位（水深）□；流速□；流量□；其他□</w:t>
            </w:r>
          </w:p>
        </w:tc>
      </w:tr>
      <w:tr w14:paraId="4E18D82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5" w:type="dxa"/>
            <w:gridSpan w:val="2"/>
            <w:vMerge w:val="restart"/>
            <w:tcBorders>
              <w:tl2br w:val="nil"/>
              <w:tr2bl w:val="nil"/>
            </w:tcBorders>
            <w:noWrap w:val="0"/>
            <w:vAlign w:val="center"/>
          </w:tcPr>
          <w:p w14:paraId="3E07F7E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评价等级</w:t>
            </w:r>
          </w:p>
        </w:tc>
        <w:tc>
          <w:tcPr>
            <w:tcW w:w="3537" w:type="dxa"/>
            <w:gridSpan w:val="6"/>
            <w:tcBorders>
              <w:tl2br w:val="nil"/>
              <w:tr2bl w:val="nil"/>
            </w:tcBorders>
            <w:noWrap w:val="0"/>
            <w:vAlign w:val="center"/>
          </w:tcPr>
          <w:p w14:paraId="24A458C0">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水污染影响型</w:t>
            </w:r>
          </w:p>
        </w:tc>
        <w:tc>
          <w:tcPr>
            <w:tcW w:w="3254" w:type="dxa"/>
            <w:gridSpan w:val="7"/>
            <w:tcBorders>
              <w:tl2br w:val="nil"/>
              <w:tr2bl w:val="nil"/>
            </w:tcBorders>
            <w:noWrap w:val="0"/>
            <w:vAlign w:val="center"/>
          </w:tcPr>
          <w:p w14:paraId="6ADF63B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水文要素影响型</w:t>
            </w:r>
          </w:p>
        </w:tc>
      </w:tr>
      <w:tr w14:paraId="515D544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5" w:type="dxa"/>
            <w:gridSpan w:val="2"/>
            <w:vMerge w:val="continue"/>
            <w:tcBorders>
              <w:tl2br w:val="nil"/>
              <w:tr2bl w:val="nil"/>
            </w:tcBorders>
            <w:noWrap w:val="0"/>
            <w:vAlign w:val="center"/>
          </w:tcPr>
          <w:p w14:paraId="0CB99482">
            <w:pPr>
              <w:spacing w:line="300" w:lineRule="exact"/>
              <w:jc w:val="center"/>
              <w:rPr>
                <w:rFonts w:hint="default" w:ascii="Times New Roman" w:hAnsi="Times New Roman" w:eastAsia="华文中宋" w:cs="Times New Roman"/>
                <w:szCs w:val="21"/>
              </w:rPr>
            </w:pPr>
          </w:p>
        </w:tc>
        <w:tc>
          <w:tcPr>
            <w:tcW w:w="3537" w:type="dxa"/>
            <w:gridSpan w:val="6"/>
            <w:tcBorders>
              <w:tl2br w:val="nil"/>
              <w:tr2bl w:val="nil"/>
            </w:tcBorders>
            <w:noWrap w:val="0"/>
            <w:vAlign w:val="center"/>
          </w:tcPr>
          <w:p w14:paraId="6400045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一级□；二级□；三级A□；三级B</w:t>
            </w:r>
            <w:r>
              <w:rPr>
                <w:rFonts w:hint="default" w:ascii="Times New Roman" w:hAnsi="Times New Roman" w:eastAsia="华文中宋" w:cs="Times New Roman"/>
                <w:szCs w:val="21"/>
                <w:lang w:eastAsia="zh-CN"/>
              </w:rPr>
              <w:t>☑</w:t>
            </w:r>
          </w:p>
        </w:tc>
        <w:tc>
          <w:tcPr>
            <w:tcW w:w="3254" w:type="dxa"/>
            <w:gridSpan w:val="7"/>
            <w:tcBorders>
              <w:tl2br w:val="nil"/>
              <w:tr2bl w:val="nil"/>
            </w:tcBorders>
            <w:noWrap w:val="0"/>
            <w:vAlign w:val="center"/>
          </w:tcPr>
          <w:p w14:paraId="0463278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一级□；二级□；三级□</w:t>
            </w:r>
          </w:p>
        </w:tc>
      </w:tr>
      <w:tr w14:paraId="4D630BA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8" w:type="dxa"/>
            <w:vMerge w:val="restart"/>
            <w:tcBorders>
              <w:tl2br w:val="nil"/>
              <w:tr2bl w:val="nil"/>
            </w:tcBorders>
            <w:noWrap w:val="0"/>
            <w:vAlign w:val="center"/>
          </w:tcPr>
          <w:p w14:paraId="1E29C14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现状调查</w:t>
            </w:r>
          </w:p>
        </w:tc>
        <w:tc>
          <w:tcPr>
            <w:tcW w:w="1267" w:type="dxa"/>
            <w:vMerge w:val="restart"/>
            <w:tcBorders>
              <w:tl2br w:val="nil"/>
              <w:tr2bl w:val="nil"/>
            </w:tcBorders>
            <w:noWrap w:val="0"/>
            <w:vAlign w:val="center"/>
          </w:tcPr>
          <w:p w14:paraId="7247C12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区域污染源</w:t>
            </w:r>
          </w:p>
        </w:tc>
        <w:tc>
          <w:tcPr>
            <w:tcW w:w="3537" w:type="dxa"/>
            <w:gridSpan w:val="6"/>
            <w:tcBorders>
              <w:tl2br w:val="nil"/>
              <w:tr2bl w:val="nil"/>
            </w:tcBorders>
            <w:noWrap w:val="0"/>
            <w:vAlign w:val="center"/>
          </w:tcPr>
          <w:p w14:paraId="54CED72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调查项目</w:t>
            </w:r>
          </w:p>
        </w:tc>
        <w:tc>
          <w:tcPr>
            <w:tcW w:w="3254" w:type="dxa"/>
            <w:gridSpan w:val="7"/>
            <w:tcBorders>
              <w:tl2br w:val="nil"/>
              <w:tr2bl w:val="nil"/>
            </w:tcBorders>
            <w:noWrap w:val="0"/>
            <w:vAlign w:val="center"/>
          </w:tcPr>
          <w:p w14:paraId="69AB55B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数据来源</w:t>
            </w:r>
          </w:p>
        </w:tc>
      </w:tr>
      <w:tr w14:paraId="3563179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8" w:type="dxa"/>
            <w:vMerge w:val="continue"/>
            <w:tcBorders>
              <w:tl2br w:val="nil"/>
              <w:tr2bl w:val="nil"/>
            </w:tcBorders>
            <w:noWrap w:val="0"/>
            <w:vAlign w:val="center"/>
          </w:tcPr>
          <w:p w14:paraId="146BD90E">
            <w:pPr>
              <w:spacing w:line="300" w:lineRule="exact"/>
              <w:jc w:val="center"/>
              <w:rPr>
                <w:rFonts w:hint="default" w:ascii="Times New Roman" w:hAnsi="Times New Roman" w:eastAsia="华文中宋" w:cs="Times New Roman"/>
                <w:szCs w:val="21"/>
              </w:rPr>
            </w:pPr>
          </w:p>
        </w:tc>
        <w:tc>
          <w:tcPr>
            <w:tcW w:w="1267" w:type="dxa"/>
            <w:vMerge w:val="continue"/>
            <w:tcBorders>
              <w:tl2br w:val="nil"/>
              <w:tr2bl w:val="nil"/>
            </w:tcBorders>
            <w:noWrap w:val="0"/>
            <w:vAlign w:val="center"/>
          </w:tcPr>
          <w:p w14:paraId="2023E640">
            <w:pPr>
              <w:spacing w:line="300" w:lineRule="exact"/>
              <w:jc w:val="center"/>
              <w:rPr>
                <w:rFonts w:hint="default" w:ascii="Times New Roman" w:hAnsi="Times New Roman" w:eastAsia="华文中宋" w:cs="Times New Roman"/>
                <w:szCs w:val="21"/>
              </w:rPr>
            </w:pPr>
          </w:p>
        </w:tc>
        <w:tc>
          <w:tcPr>
            <w:tcW w:w="1680" w:type="dxa"/>
            <w:gridSpan w:val="2"/>
            <w:tcBorders>
              <w:tl2br w:val="nil"/>
              <w:tr2bl w:val="nil"/>
            </w:tcBorders>
            <w:noWrap w:val="0"/>
            <w:vAlign w:val="center"/>
          </w:tcPr>
          <w:p w14:paraId="2C4FA86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已建□；在建□；</w:t>
            </w:r>
          </w:p>
          <w:p w14:paraId="755629B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拟建</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；其他□</w:t>
            </w:r>
          </w:p>
        </w:tc>
        <w:tc>
          <w:tcPr>
            <w:tcW w:w="1857" w:type="dxa"/>
            <w:gridSpan w:val="4"/>
            <w:tcBorders>
              <w:tl2br w:val="nil"/>
              <w:tr2bl w:val="nil"/>
            </w:tcBorders>
            <w:noWrap w:val="0"/>
            <w:vAlign w:val="center"/>
          </w:tcPr>
          <w:p w14:paraId="03675A5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拟替代的污染源□</w:t>
            </w:r>
          </w:p>
        </w:tc>
        <w:tc>
          <w:tcPr>
            <w:tcW w:w="3254" w:type="dxa"/>
            <w:gridSpan w:val="7"/>
            <w:tcBorders>
              <w:tl2br w:val="nil"/>
              <w:tr2bl w:val="nil"/>
            </w:tcBorders>
            <w:noWrap w:val="0"/>
            <w:vAlign w:val="center"/>
          </w:tcPr>
          <w:p w14:paraId="6F40ACA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排污许可证□；环评□；环保验收□；即有实施□；现场监测□；入河排放口数据□；其他□</w:t>
            </w:r>
          </w:p>
        </w:tc>
      </w:tr>
      <w:tr w14:paraId="5FA8000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8" w:type="dxa"/>
            <w:vMerge w:val="continue"/>
            <w:tcBorders>
              <w:tl2br w:val="nil"/>
              <w:tr2bl w:val="nil"/>
            </w:tcBorders>
            <w:noWrap w:val="0"/>
            <w:vAlign w:val="center"/>
          </w:tcPr>
          <w:p w14:paraId="2294F3F9">
            <w:pPr>
              <w:spacing w:line="300" w:lineRule="exact"/>
              <w:jc w:val="center"/>
              <w:rPr>
                <w:rFonts w:hint="default" w:ascii="Times New Roman" w:hAnsi="Times New Roman" w:eastAsia="华文中宋" w:cs="Times New Roman"/>
                <w:szCs w:val="21"/>
              </w:rPr>
            </w:pPr>
          </w:p>
        </w:tc>
        <w:tc>
          <w:tcPr>
            <w:tcW w:w="1267" w:type="dxa"/>
            <w:vMerge w:val="restart"/>
            <w:tcBorders>
              <w:tl2br w:val="nil"/>
              <w:tr2bl w:val="nil"/>
            </w:tcBorders>
            <w:noWrap w:val="0"/>
            <w:vAlign w:val="center"/>
          </w:tcPr>
          <w:p w14:paraId="07AECE4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受影响水体水环境质量</w:t>
            </w:r>
          </w:p>
        </w:tc>
        <w:tc>
          <w:tcPr>
            <w:tcW w:w="3537" w:type="dxa"/>
            <w:gridSpan w:val="6"/>
            <w:tcBorders>
              <w:tl2br w:val="nil"/>
              <w:tr2bl w:val="nil"/>
            </w:tcBorders>
            <w:noWrap w:val="0"/>
            <w:vAlign w:val="center"/>
          </w:tcPr>
          <w:p w14:paraId="3A726D2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调查时期</w:t>
            </w:r>
          </w:p>
        </w:tc>
        <w:tc>
          <w:tcPr>
            <w:tcW w:w="3254" w:type="dxa"/>
            <w:gridSpan w:val="7"/>
            <w:tcBorders>
              <w:tl2br w:val="nil"/>
              <w:tr2bl w:val="nil"/>
            </w:tcBorders>
            <w:noWrap w:val="0"/>
            <w:vAlign w:val="center"/>
          </w:tcPr>
          <w:p w14:paraId="4667DA0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数据来源</w:t>
            </w:r>
          </w:p>
        </w:tc>
      </w:tr>
      <w:tr w14:paraId="5DDA2E0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8" w:type="dxa"/>
            <w:vMerge w:val="continue"/>
            <w:tcBorders>
              <w:tl2br w:val="nil"/>
              <w:tr2bl w:val="nil"/>
            </w:tcBorders>
            <w:noWrap w:val="0"/>
            <w:vAlign w:val="center"/>
          </w:tcPr>
          <w:p w14:paraId="013647FC">
            <w:pPr>
              <w:spacing w:line="300" w:lineRule="exact"/>
              <w:jc w:val="center"/>
              <w:rPr>
                <w:rFonts w:hint="default" w:ascii="Times New Roman" w:hAnsi="Times New Roman" w:eastAsia="华文中宋" w:cs="Times New Roman"/>
                <w:szCs w:val="21"/>
              </w:rPr>
            </w:pPr>
          </w:p>
        </w:tc>
        <w:tc>
          <w:tcPr>
            <w:tcW w:w="1267" w:type="dxa"/>
            <w:vMerge w:val="continue"/>
            <w:tcBorders>
              <w:tl2br w:val="nil"/>
              <w:tr2bl w:val="nil"/>
            </w:tcBorders>
            <w:noWrap w:val="0"/>
            <w:vAlign w:val="center"/>
          </w:tcPr>
          <w:p w14:paraId="5587EDC0">
            <w:pPr>
              <w:spacing w:line="300" w:lineRule="exact"/>
              <w:jc w:val="center"/>
              <w:rPr>
                <w:rFonts w:hint="default" w:ascii="Times New Roman" w:hAnsi="Times New Roman" w:eastAsia="华文中宋" w:cs="Times New Roman"/>
                <w:szCs w:val="21"/>
              </w:rPr>
            </w:pPr>
          </w:p>
        </w:tc>
        <w:tc>
          <w:tcPr>
            <w:tcW w:w="3537" w:type="dxa"/>
            <w:gridSpan w:val="6"/>
            <w:tcBorders>
              <w:tl2br w:val="nil"/>
              <w:tr2bl w:val="nil"/>
            </w:tcBorders>
            <w:noWrap w:val="0"/>
            <w:vAlign w:val="center"/>
          </w:tcPr>
          <w:p w14:paraId="062937F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丰水期□；平水期□；枯水期□；</w:t>
            </w:r>
          </w:p>
          <w:p w14:paraId="048E854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冰封期</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；春季□；夏季</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；秋季□；</w:t>
            </w:r>
          </w:p>
          <w:p w14:paraId="187E325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冬季□</w:t>
            </w:r>
          </w:p>
        </w:tc>
        <w:tc>
          <w:tcPr>
            <w:tcW w:w="3254" w:type="dxa"/>
            <w:gridSpan w:val="7"/>
            <w:tcBorders>
              <w:tl2br w:val="nil"/>
              <w:tr2bl w:val="nil"/>
            </w:tcBorders>
            <w:noWrap w:val="0"/>
            <w:vAlign w:val="center"/>
          </w:tcPr>
          <w:p w14:paraId="235539F3">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生态环境保护主管部门□；</w:t>
            </w:r>
          </w:p>
          <w:p w14:paraId="2140FE10">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rPr>
              <w:t>补充监测□；其他</w:t>
            </w:r>
            <w:r>
              <w:rPr>
                <w:rFonts w:hint="eastAsia" w:ascii="Times New Roman" w:hAnsi="Times New Roman" w:eastAsia="华文中宋" w:cs="Times New Roman"/>
                <w:szCs w:val="21"/>
                <w:lang w:eastAsia="zh-CN"/>
              </w:rPr>
              <w:t>□</w:t>
            </w:r>
          </w:p>
        </w:tc>
      </w:tr>
      <w:tr w14:paraId="5BA90B7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8" w:type="dxa"/>
            <w:vMerge w:val="continue"/>
            <w:tcBorders>
              <w:tl2br w:val="nil"/>
              <w:tr2bl w:val="nil"/>
            </w:tcBorders>
            <w:noWrap w:val="0"/>
            <w:vAlign w:val="center"/>
          </w:tcPr>
          <w:p w14:paraId="53AE8BBD">
            <w:pPr>
              <w:spacing w:line="300" w:lineRule="exact"/>
              <w:jc w:val="center"/>
              <w:rPr>
                <w:rFonts w:hint="default" w:ascii="Times New Roman" w:hAnsi="Times New Roman" w:eastAsia="华文中宋" w:cs="Times New Roman"/>
                <w:szCs w:val="21"/>
              </w:rPr>
            </w:pPr>
          </w:p>
        </w:tc>
        <w:tc>
          <w:tcPr>
            <w:tcW w:w="1267" w:type="dxa"/>
            <w:tcBorders>
              <w:tl2br w:val="nil"/>
              <w:tr2bl w:val="nil"/>
            </w:tcBorders>
            <w:noWrap w:val="0"/>
            <w:vAlign w:val="center"/>
          </w:tcPr>
          <w:p w14:paraId="6D15996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区域水资源开发利用状况</w:t>
            </w:r>
          </w:p>
        </w:tc>
        <w:tc>
          <w:tcPr>
            <w:tcW w:w="6791" w:type="dxa"/>
            <w:gridSpan w:val="13"/>
            <w:tcBorders>
              <w:tl2br w:val="nil"/>
              <w:tr2bl w:val="nil"/>
            </w:tcBorders>
            <w:noWrap w:val="0"/>
            <w:vAlign w:val="center"/>
          </w:tcPr>
          <w:p w14:paraId="0FD7F76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未开发</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；开发量40%以下□；开发量40%以上□</w:t>
            </w:r>
          </w:p>
        </w:tc>
      </w:tr>
      <w:tr w14:paraId="7662834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8" w:type="dxa"/>
            <w:vMerge w:val="continue"/>
            <w:tcBorders>
              <w:tl2br w:val="nil"/>
              <w:tr2bl w:val="nil"/>
            </w:tcBorders>
            <w:noWrap w:val="0"/>
            <w:vAlign w:val="center"/>
          </w:tcPr>
          <w:p w14:paraId="0AFB9715">
            <w:pPr>
              <w:spacing w:line="300" w:lineRule="exact"/>
              <w:jc w:val="center"/>
              <w:rPr>
                <w:rFonts w:hint="default" w:ascii="Times New Roman" w:hAnsi="Times New Roman" w:eastAsia="华文中宋" w:cs="Times New Roman"/>
                <w:szCs w:val="21"/>
              </w:rPr>
            </w:pPr>
          </w:p>
        </w:tc>
        <w:tc>
          <w:tcPr>
            <w:tcW w:w="1267" w:type="dxa"/>
            <w:vMerge w:val="restart"/>
            <w:tcBorders>
              <w:tl2br w:val="nil"/>
              <w:tr2bl w:val="nil"/>
            </w:tcBorders>
            <w:noWrap w:val="0"/>
            <w:vAlign w:val="center"/>
          </w:tcPr>
          <w:p w14:paraId="20B4477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水文情势调查</w:t>
            </w:r>
          </w:p>
        </w:tc>
        <w:tc>
          <w:tcPr>
            <w:tcW w:w="3537" w:type="dxa"/>
            <w:gridSpan w:val="6"/>
            <w:tcBorders>
              <w:tl2br w:val="nil"/>
              <w:tr2bl w:val="nil"/>
            </w:tcBorders>
            <w:noWrap w:val="0"/>
            <w:vAlign w:val="center"/>
          </w:tcPr>
          <w:p w14:paraId="66A9957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调查时期</w:t>
            </w:r>
          </w:p>
        </w:tc>
        <w:tc>
          <w:tcPr>
            <w:tcW w:w="3254" w:type="dxa"/>
            <w:gridSpan w:val="7"/>
            <w:tcBorders>
              <w:tl2br w:val="nil"/>
              <w:tr2bl w:val="nil"/>
            </w:tcBorders>
            <w:noWrap w:val="0"/>
            <w:vAlign w:val="center"/>
          </w:tcPr>
          <w:p w14:paraId="2802541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数据来源</w:t>
            </w:r>
          </w:p>
        </w:tc>
      </w:tr>
      <w:tr w14:paraId="0AABC69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8" w:type="dxa"/>
            <w:vMerge w:val="continue"/>
            <w:tcBorders>
              <w:tl2br w:val="nil"/>
              <w:tr2bl w:val="nil"/>
            </w:tcBorders>
            <w:noWrap w:val="0"/>
            <w:vAlign w:val="center"/>
          </w:tcPr>
          <w:p w14:paraId="316C0D02">
            <w:pPr>
              <w:spacing w:line="300" w:lineRule="exact"/>
              <w:jc w:val="center"/>
              <w:rPr>
                <w:rFonts w:hint="default" w:ascii="Times New Roman" w:hAnsi="Times New Roman" w:eastAsia="华文中宋" w:cs="Times New Roman"/>
                <w:szCs w:val="21"/>
              </w:rPr>
            </w:pPr>
          </w:p>
        </w:tc>
        <w:tc>
          <w:tcPr>
            <w:tcW w:w="1267" w:type="dxa"/>
            <w:vMerge w:val="continue"/>
            <w:tcBorders>
              <w:tl2br w:val="nil"/>
              <w:tr2bl w:val="nil"/>
            </w:tcBorders>
            <w:noWrap w:val="0"/>
            <w:vAlign w:val="center"/>
          </w:tcPr>
          <w:p w14:paraId="31500504">
            <w:pPr>
              <w:spacing w:line="300" w:lineRule="exact"/>
              <w:jc w:val="center"/>
              <w:rPr>
                <w:rFonts w:hint="default" w:ascii="Times New Roman" w:hAnsi="Times New Roman" w:eastAsia="华文中宋" w:cs="Times New Roman"/>
                <w:szCs w:val="21"/>
              </w:rPr>
            </w:pPr>
          </w:p>
        </w:tc>
        <w:tc>
          <w:tcPr>
            <w:tcW w:w="3537" w:type="dxa"/>
            <w:gridSpan w:val="6"/>
            <w:tcBorders>
              <w:tl2br w:val="nil"/>
              <w:tr2bl w:val="nil"/>
            </w:tcBorders>
            <w:noWrap w:val="0"/>
            <w:vAlign w:val="center"/>
          </w:tcPr>
          <w:p w14:paraId="7286F85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丰水期</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；平水期</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；枯水期</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w:t>
            </w:r>
          </w:p>
          <w:p w14:paraId="79D9874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冰封期</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；春季</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；夏季</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；秋季</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；冬季</w:t>
            </w:r>
            <w:r>
              <w:rPr>
                <w:rFonts w:hint="default" w:ascii="Times New Roman" w:hAnsi="Times New Roman" w:eastAsia="华文中宋" w:cs="Times New Roman"/>
                <w:szCs w:val="21"/>
                <w:lang w:eastAsia="zh-CN"/>
              </w:rPr>
              <w:t>□</w:t>
            </w:r>
          </w:p>
        </w:tc>
        <w:tc>
          <w:tcPr>
            <w:tcW w:w="3254" w:type="dxa"/>
            <w:gridSpan w:val="7"/>
            <w:tcBorders>
              <w:tl2br w:val="nil"/>
              <w:tr2bl w:val="nil"/>
            </w:tcBorders>
            <w:noWrap w:val="0"/>
            <w:vAlign w:val="center"/>
          </w:tcPr>
          <w:p w14:paraId="1F5FD354">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rPr>
              <w:t>水行政主管部门</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；补充监测</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；其他</w:t>
            </w:r>
            <w:r>
              <w:rPr>
                <w:rFonts w:hint="default" w:ascii="Times New Roman" w:hAnsi="Times New Roman" w:eastAsia="华文中宋" w:cs="Times New Roman"/>
                <w:szCs w:val="21"/>
                <w:lang w:eastAsia="zh-CN"/>
              </w:rPr>
              <w:t>☑</w:t>
            </w:r>
          </w:p>
        </w:tc>
      </w:tr>
      <w:tr w14:paraId="2952B6F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8" w:type="dxa"/>
            <w:vMerge w:val="continue"/>
            <w:tcBorders>
              <w:tl2br w:val="nil"/>
              <w:tr2bl w:val="nil"/>
            </w:tcBorders>
            <w:noWrap w:val="0"/>
            <w:vAlign w:val="center"/>
          </w:tcPr>
          <w:p w14:paraId="007A61D1">
            <w:pPr>
              <w:spacing w:line="300" w:lineRule="exact"/>
              <w:jc w:val="center"/>
              <w:rPr>
                <w:rFonts w:hint="default" w:ascii="Times New Roman" w:hAnsi="Times New Roman" w:eastAsia="华文中宋" w:cs="Times New Roman"/>
                <w:szCs w:val="21"/>
              </w:rPr>
            </w:pPr>
          </w:p>
        </w:tc>
        <w:tc>
          <w:tcPr>
            <w:tcW w:w="1267" w:type="dxa"/>
            <w:vMerge w:val="restart"/>
            <w:tcBorders>
              <w:tl2br w:val="nil"/>
              <w:tr2bl w:val="nil"/>
            </w:tcBorders>
            <w:noWrap w:val="0"/>
            <w:vAlign w:val="center"/>
          </w:tcPr>
          <w:p w14:paraId="0781A44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补充监测</w:t>
            </w:r>
          </w:p>
        </w:tc>
        <w:tc>
          <w:tcPr>
            <w:tcW w:w="3537" w:type="dxa"/>
            <w:gridSpan w:val="6"/>
            <w:tcBorders>
              <w:tl2br w:val="nil"/>
              <w:tr2bl w:val="nil"/>
            </w:tcBorders>
            <w:noWrap w:val="0"/>
            <w:vAlign w:val="center"/>
          </w:tcPr>
          <w:p w14:paraId="475F145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监测时间</w:t>
            </w:r>
          </w:p>
        </w:tc>
        <w:tc>
          <w:tcPr>
            <w:tcW w:w="1448" w:type="dxa"/>
            <w:gridSpan w:val="4"/>
            <w:tcBorders>
              <w:tl2br w:val="nil"/>
              <w:tr2bl w:val="nil"/>
            </w:tcBorders>
            <w:noWrap w:val="0"/>
            <w:vAlign w:val="center"/>
          </w:tcPr>
          <w:p w14:paraId="0CE7A56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监测因子</w:t>
            </w:r>
          </w:p>
        </w:tc>
        <w:tc>
          <w:tcPr>
            <w:tcW w:w="1806" w:type="dxa"/>
            <w:gridSpan w:val="3"/>
            <w:tcBorders>
              <w:tl2br w:val="nil"/>
              <w:tr2bl w:val="nil"/>
            </w:tcBorders>
            <w:noWrap w:val="0"/>
            <w:vAlign w:val="center"/>
          </w:tcPr>
          <w:p w14:paraId="2BDFF93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监测断面或点位</w:t>
            </w:r>
          </w:p>
        </w:tc>
      </w:tr>
      <w:tr w14:paraId="6E785FE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8" w:type="dxa"/>
            <w:vMerge w:val="continue"/>
            <w:tcBorders>
              <w:tl2br w:val="nil"/>
              <w:tr2bl w:val="nil"/>
            </w:tcBorders>
            <w:noWrap w:val="0"/>
            <w:vAlign w:val="center"/>
          </w:tcPr>
          <w:p w14:paraId="02456E23">
            <w:pPr>
              <w:spacing w:line="300" w:lineRule="exact"/>
              <w:jc w:val="center"/>
              <w:rPr>
                <w:rFonts w:hint="default" w:ascii="Times New Roman" w:hAnsi="Times New Roman" w:eastAsia="华文中宋" w:cs="Times New Roman"/>
                <w:szCs w:val="21"/>
              </w:rPr>
            </w:pPr>
          </w:p>
        </w:tc>
        <w:tc>
          <w:tcPr>
            <w:tcW w:w="1267" w:type="dxa"/>
            <w:vMerge w:val="continue"/>
            <w:tcBorders>
              <w:tl2br w:val="nil"/>
              <w:tr2bl w:val="nil"/>
            </w:tcBorders>
            <w:noWrap w:val="0"/>
            <w:vAlign w:val="center"/>
          </w:tcPr>
          <w:p w14:paraId="7690175A">
            <w:pPr>
              <w:spacing w:line="300" w:lineRule="exact"/>
              <w:jc w:val="center"/>
              <w:rPr>
                <w:rFonts w:hint="default" w:ascii="Times New Roman" w:hAnsi="Times New Roman" w:eastAsia="华文中宋" w:cs="Times New Roman"/>
                <w:szCs w:val="21"/>
              </w:rPr>
            </w:pPr>
          </w:p>
        </w:tc>
        <w:tc>
          <w:tcPr>
            <w:tcW w:w="3537" w:type="dxa"/>
            <w:gridSpan w:val="6"/>
            <w:tcBorders>
              <w:tl2br w:val="nil"/>
              <w:tr2bl w:val="nil"/>
            </w:tcBorders>
            <w:noWrap w:val="0"/>
            <w:vAlign w:val="center"/>
          </w:tcPr>
          <w:p w14:paraId="007BF8D1">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丰水期</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；平水期</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；枯水期</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w:t>
            </w:r>
          </w:p>
          <w:p w14:paraId="4DD2BBE7">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冰封期</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；春季</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；夏季</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；秋季</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；冬季</w:t>
            </w:r>
            <w:r>
              <w:rPr>
                <w:rFonts w:hint="default" w:ascii="Times New Roman" w:hAnsi="Times New Roman" w:eastAsia="华文中宋" w:cs="Times New Roman"/>
                <w:szCs w:val="21"/>
                <w:lang w:eastAsia="zh-CN"/>
              </w:rPr>
              <w:t>□</w:t>
            </w:r>
          </w:p>
        </w:tc>
        <w:tc>
          <w:tcPr>
            <w:tcW w:w="1448" w:type="dxa"/>
            <w:gridSpan w:val="4"/>
            <w:tcBorders>
              <w:tl2br w:val="nil"/>
              <w:tr2bl w:val="nil"/>
            </w:tcBorders>
            <w:noWrap w:val="0"/>
            <w:vAlign w:val="center"/>
          </w:tcPr>
          <w:p w14:paraId="643AD3D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w:t>
            </w:r>
          </w:p>
        </w:tc>
        <w:tc>
          <w:tcPr>
            <w:tcW w:w="1806" w:type="dxa"/>
            <w:gridSpan w:val="3"/>
            <w:tcBorders>
              <w:tl2br w:val="nil"/>
              <w:tr2bl w:val="nil"/>
            </w:tcBorders>
            <w:noWrap w:val="0"/>
            <w:vAlign w:val="center"/>
          </w:tcPr>
          <w:p w14:paraId="18C8957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监测断面或点位个数（）个</w:t>
            </w:r>
          </w:p>
        </w:tc>
      </w:tr>
      <w:tr w14:paraId="097FA67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8" w:type="dxa"/>
            <w:vMerge w:val="restart"/>
            <w:tcBorders>
              <w:tl2br w:val="nil"/>
              <w:tr2bl w:val="nil"/>
            </w:tcBorders>
            <w:noWrap w:val="0"/>
            <w:vAlign w:val="center"/>
          </w:tcPr>
          <w:p w14:paraId="4471282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现状评价</w:t>
            </w:r>
          </w:p>
        </w:tc>
        <w:tc>
          <w:tcPr>
            <w:tcW w:w="1267" w:type="dxa"/>
            <w:tcBorders>
              <w:tl2br w:val="nil"/>
              <w:tr2bl w:val="nil"/>
            </w:tcBorders>
            <w:noWrap w:val="0"/>
            <w:vAlign w:val="center"/>
          </w:tcPr>
          <w:p w14:paraId="664CEFB0">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评价范围</w:t>
            </w:r>
          </w:p>
        </w:tc>
        <w:tc>
          <w:tcPr>
            <w:tcW w:w="6791" w:type="dxa"/>
            <w:gridSpan w:val="13"/>
            <w:tcBorders>
              <w:tl2br w:val="nil"/>
              <w:tr2bl w:val="nil"/>
            </w:tcBorders>
            <w:noWrap w:val="0"/>
            <w:vAlign w:val="center"/>
          </w:tcPr>
          <w:p w14:paraId="1D2C4A7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不设评价范围</w:t>
            </w:r>
          </w:p>
        </w:tc>
      </w:tr>
      <w:tr w14:paraId="7943ED8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8" w:type="dxa"/>
            <w:vMerge w:val="continue"/>
            <w:tcBorders>
              <w:tl2br w:val="nil"/>
              <w:tr2bl w:val="nil"/>
            </w:tcBorders>
            <w:noWrap w:val="0"/>
            <w:vAlign w:val="center"/>
          </w:tcPr>
          <w:p w14:paraId="47B80396">
            <w:pPr>
              <w:spacing w:line="300" w:lineRule="exact"/>
              <w:jc w:val="center"/>
              <w:rPr>
                <w:rFonts w:hint="default" w:ascii="Times New Roman" w:hAnsi="Times New Roman" w:eastAsia="华文中宋" w:cs="Times New Roman"/>
                <w:szCs w:val="21"/>
              </w:rPr>
            </w:pPr>
          </w:p>
        </w:tc>
        <w:tc>
          <w:tcPr>
            <w:tcW w:w="1267" w:type="dxa"/>
            <w:tcBorders>
              <w:tl2br w:val="nil"/>
              <w:tr2bl w:val="nil"/>
            </w:tcBorders>
            <w:noWrap w:val="0"/>
            <w:vAlign w:val="center"/>
          </w:tcPr>
          <w:p w14:paraId="356F5B3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评价因子</w:t>
            </w:r>
          </w:p>
        </w:tc>
        <w:tc>
          <w:tcPr>
            <w:tcW w:w="6791" w:type="dxa"/>
            <w:gridSpan w:val="13"/>
            <w:tcBorders>
              <w:tl2br w:val="nil"/>
              <w:tr2bl w:val="nil"/>
            </w:tcBorders>
            <w:noWrap w:val="0"/>
            <w:vAlign w:val="center"/>
          </w:tcPr>
          <w:p w14:paraId="0AD99EC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w:t>
            </w:r>
          </w:p>
        </w:tc>
      </w:tr>
      <w:tr w14:paraId="49DF91F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8" w:type="dxa"/>
            <w:vMerge w:val="continue"/>
            <w:tcBorders>
              <w:tl2br w:val="nil"/>
              <w:tr2bl w:val="nil"/>
            </w:tcBorders>
            <w:noWrap w:val="0"/>
            <w:vAlign w:val="center"/>
          </w:tcPr>
          <w:p w14:paraId="390B058D">
            <w:pPr>
              <w:spacing w:line="300" w:lineRule="exact"/>
              <w:jc w:val="center"/>
              <w:rPr>
                <w:rFonts w:hint="default" w:ascii="Times New Roman" w:hAnsi="Times New Roman" w:eastAsia="华文中宋" w:cs="Times New Roman"/>
                <w:szCs w:val="21"/>
              </w:rPr>
            </w:pPr>
          </w:p>
        </w:tc>
        <w:tc>
          <w:tcPr>
            <w:tcW w:w="1267" w:type="dxa"/>
            <w:tcBorders>
              <w:tl2br w:val="nil"/>
              <w:tr2bl w:val="nil"/>
            </w:tcBorders>
            <w:noWrap w:val="0"/>
            <w:vAlign w:val="center"/>
          </w:tcPr>
          <w:p w14:paraId="047A3E0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评价标准</w:t>
            </w:r>
          </w:p>
        </w:tc>
        <w:tc>
          <w:tcPr>
            <w:tcW w:w="6791" w:type="dxa"/>
            <w:gridSpan w:val="13"/>
            <w:tcBorders>
              <w:tl2br w:val="nil"/>
              <w:tr2bl w:val="nil"/>
            </w:tcBorders>
            <w:noWrap w:val="0"/>
            <w:vAlign w:val="center"/>
          </w:tcPr>
          <w:p w14:paraId="18D9694C">
            <w:pPr>
              <w:spacing w:line="300" w:lineRule="exact"/>
              <w:jc w:val="center"/>
              <w:rPr>
                <w:rFonts w:hint="eastAsia" w:ascii="Times New Roman" w:hAnsi="Times New Roman" w:eastAsia="华文中宋" w:cs="Times New Roman"/>
                <w:szCs w:val="21"/>
                <w:lang w:eastAsia="zh-CN"/>
              </w:rPr>
            </w:pPr>
            <w:r>
              <w:rPr>
                <w:rFonts w:hint="default" w:ascii="Times New Roman" w:hAnsi="Times New Roman" w:eastAsia="华文中宋" w:cs="Times New Roman"/>
                <w:szCs w:val="21"/>
              </w:rPr>
              <w:t>河流、湖库、河口：Ⅰ类</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；Ⅱ类；Ⅲ类</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；Ⅳ类□；Ⅴ类</w:t>
            </w:r>
            <w:r>
              <w:rPr>
                <w:rFonts w:hint="eastAsia" w:ascii="Times New Roman" w:hAnsi="Times New Roman" w:eastAsia="华文中宋" w:cs="Times New Roman"/>
                <w:szCs w:val="21"/>
                <w:lang w:eastAsia="zh-CN"/>
              </w:rPr>
              <w:t>□</w:t>
            </w:r>
          </w:p>
          <w:p w14:paraId="4E9EA216">
            <w:pPr>
              <w:spacing w:line="300" w:lineRule="exact"/>
              <w:jc w:val="center"/>
              <w:rPr>
                <w:rFonts w:hint="eastAsia" w:ascii="Times New Roman" w:hAnsi="Times New Roman" w:eastAsia="华文中宋" w:cs="Times New Roman"/>
                <w:szCs w:val="21"/>
                <w:lang w:eastAsia="zh-CN"/>
              </w:rPr>
            </w:pPr>
            <w:r>
              <w:rPr>
                <w:rFonts w:hint="default" w:ascii="Times New Roman" w:hAnsi="Times New Roman" w:eastAsia="华文中宋" w:cs="Times New Roman"/>
                <w:szCs w:val="21"/>
              </w:rPr>
              <w:t>近岸海域：第一类</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；第二类</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；第三类</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；第四类</w:t>
            </w:r>
            <w:r>
              <w:rPr>
                <w:rFonts w:hint="eastAsia" w:ascii="Times New Roman" w:hAnsi="Times New Roman" w:eastAsia="华文中宋" w:cs="Times New Roman"/>
                <w:szCs w:val="21"/>
                <w:lang w:eastAsia="zh-CN"/>
              </w:rPr>
              <w:t>□</w:t>
            </w:r>
          </w:p>
          <w:p w14:paraId="2798A28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规划年评价标准（）</w:t>
            </w:r>
          </w:p>
        </w:tc>
      </w:tr>
      <w:tr w14:paraId="362194F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8" w:type="dxa"/>
            <w:vMerge w:val="continue"/>
            <w:tcBorders>
              <w:tl2br w:val="nil"/>
              <w:tr2bl w:val="nil"/>
            </w:tcBorders>
            <w:noWrap w:val="0"/>
            <w:vAlign w:val="center"/>
          </w:tcPr>
          <w:p w14:paraId="3F5131A2">
            <w:pPr>
              <w:spacing w:line="300" w:lineRule="exact"/>
              <w:jc w:val="center"/>
              <w:rPr>
                <w:rFonts w:hint="default" w:ascii="Times New Roman" w:hAnsi="Times New Roman" w:eastAsia="华文中宋" w:cs="Times New Roman"/>
                <w:szCs w:val="21"/>
              </w:rPr>
            </w:pPr>
          </w:p>
        </w:tc>
        <w:tc>
          <w:tcPr>
            <w:tcW w:w="1267" w:type="dxa"/>
            <w:tcBorders>
              <w:tl2br w:val="nil"/>
              <w:tr2bl w:val="nil"/>
            </w:tcBorders>
            <w:noWrap w:val="0"/>
            <w:vAlign w:val="center"/>
          </w:tcPr>
          <w:p w14:paraId="7CB8719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评价时期</w:t>
            </w:r>
          </w:p>
        </w:tc>
        <w:tc>
          <w:tcPr>
            <w:tcW w:w="6791" w:type="dxa"/>
            <w:gridSpan w:val="13"/>
            <w:tcBorders>
              <w:tl2br w:val="nil"/>
              <w:tr2bl w:val="nil"/>
            </w:tcBorders>
            <w:noWrap w:val="0"/>
            <w:vAlign w:val="center"/>
          </w:tcPr>
          <w:p w14:paraId="0AD9934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丰水期□；平水期□；枯水期</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；冰封期</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w:t>
            </w:r>
          </w:p>
          <w:p w14:paraId="06A8224B">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rPr>
              <w:t>春季□；夏季</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；秋季□；冬季</w:t>
            </w:r>
            <w:r>
              <w:rPr>
                <w:rFonts w:hint="default" w:ascii="Times New Roman" w:hAnsi="Times New Roman" w:eastAsia="华文中宋" w:cs="Times New Roman"/>
                <w:szCs w:val="21"/>
                <w:lang w:eastAsia="zh-CN"/>
              </w:rPr>
              <w:t>□</w:t>
            </w:r>
          </w:p>
        </w:tc>
      </w:tr>
      <w:tr w14:paraId="4DC5CC0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8" w:type="dxa"/>
            <w:vMerge w:val="continue"/>
            <w:tcBorders>
              <w:tl2br w:val="nil"/>
              <w:tr2bl w:val="nil"/>
            </w:tcBorders>
            <w:noWrap w:val="0"/>
            <w:vAlign w:val="center"/>
          </w:tcPr>
          <w:p w14:paraId="68FCB22F">
            <w:pPr>
              <w:spacing w:line="300" w:lineRule="exact"/>
              <w:jc w:val="center"/>
              <w:rPr>
                <w:rFonts w:hint="default" w:ascii="Times New Roman" w:hAnsi="Times New Roman" w:eastAsia="华文中宋" w:cs="Times New Roman"/>
                <w:szCs w:val="21"/>
              </w:rPr>
            </w:pPr>
          </w:p>
        </w:tc>
        <w:tc>
          <w:tcPr>
            <w:tcW w:w="1267" w:type="dxa"/>
            <w:tcBorders>
              <w:tl2br w:val="nil"/>
              <w:tr2bl w:val="nil"/>
            </w:tcBorders>
            <w:noWrap w:val="0"/>
            <w:vAlign w:val="center"/>
          </w:tcPr>
          <w:p w14:paraId="7C90013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评价结论</w:t>
            </w:r>
          </w:p>
        </w:tc>
        <w:tc>
          <w:tcPr>
            <w:tcW w:w="5765" w:type="dxa"/>
            <w:gridSpan w:val="12"/>
            <w:tcBorders>
              <w:tl2br w:val="nil"/>
              <w:tr2bl w:val="nil"/>
            </w:tcBorders>
            <w:noWrap w:val="0"/>
            <w:vAlign w:val="center"/>
          </w:tcPr>
          <w:p w14:paraId="12E8174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水环境功能区或水功能区、近岸海域环境功能区水质达标状况□：达标</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；不达标□</w:t>
            </w:r>
          </w:p>
          <w:p w14:paraId="75E6356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水环境控制单元或断面水质达标状况□：达标</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；不达标□</w:t>
            </w:r>
          </w:p>
          <w:p w14:paraId="799D423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水环境保护目标质量状况□：达标</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；不达标□</w:t>
            </w:r>
          </w:p>
          <w:p w14:paraId="6159BF5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对照断面、控制断面等代表性断面的水质状况□：达标</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w:t>
            </w:r>
          </w:p>
          <w:p w14:paraId="09A8CCB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不达标□</w:t>
            </w:r>
          </w:p>
          <w:p w14:paraId="05BF397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底泥污染评价□</w:t>
            </w:r>
          </w:p>
          <w:p w14:paraId="7B17123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水资源与开发利用程度及其水文情势评价□</w:t>
            </w:r>
          </w:p>
          <w:p w14:paraId="29E3B98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水环境质量回顾评价□</w:t>
            </w:r>
          </w:p>
          <w:p w14:paraId="5F12D99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流域（区域）水资源（包括水能资源）与开发利用总体状况、生态流量管理要求与现状满足程度、建设项目占用水域空间的水流状况与河湖演变状况□</w:t>
            </w:r>
          </w:p>
        </w:tc>
        <w:tc>
          <w:tcPr>
            <w:tcW w:w="1026" w:type="dxa"/>
            <w:tcBorders>
              <w:tl2br w:val="nil"/>
              <w:tr2bl w:val="nil"/>
            </w:tcBorders>
            <w:noWrap w:val="0"/>
            <w:vAlign w:val="center"/>
          </w:tcPr>
          <w:p w14:paraId="637056D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达标区</w:t>
            </w:r>
            <w:r>
              <w:rPr>
                <w:rFonts w:hint="eastAsia" w:ascii="Times New Roman" w:hAnsi="Times New Roman" w:eastAsia="华文中宋" w:cs="Times New Roman"/>
                <w:szCs w:val="21"/>
                <w:lang w:eastAsia="zh-CN"/>
              </w:rPr>
              <w:t>□</w:t>
            </w:r>
          </w:p>
          <w:p w14:paraId="670E2F0A">
            <w:pPr>
              <w:spacing w:line="300" w:lineRule="exact"/>
              <w:jc w:val="center"/>
              <w:rPr>
                <w:rFonts w:hint="eastAsia" w:ascii="Times New Roman" w:hAnsi="Times New Roman" w:eastAsia="华文中宋" w:cs="Times New Roman"/>
                <w:szCs w:val="21"/>
                <w:lang w:eastAsia="zh-CN"/>
              </w:rPr>
            </w:pPr>
            <w:r>
              <w:rPr>
                <w:rFonts w:hint="default" w:ascii="Times New Roman" w:hAnsi="Times New Roman" w:eastAsia="华文中宋" w:cs="Times New Roman"/>
                <w:szCs w:val="21"/>
              </w:rPr>
              <w:t>不达标区</w:t>
            </w:r>
            <w:r>
              <w:rPr>
                <w:rFonts w:hint="eastAsia" w:ascii="Times New Roman" w:hAnsi="Times New Roman" w:eastAsia="华文中宋" w:cs="Times New Roman"/>
                <w:szCs w:val="21"/>
                <w:lang w:eastAsia="zh-CN"/>
              </w:rPr>
              <w:t>□</w:t>
            </w:r>
          </w:p>
        </w:tc>
      </w:tr>
      <w:tr w14:paraId="5628F91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8" w:type="dxa"/>
            <w:vMerge w:val="restart"/>
            <w:tcBorders>
              <w:tl2br w:val="nil"/>
              <w:tr2bl w:val="nil"/>
            </w:tcBorders>
            <w:noWrap w:val="0"/>
            <w:vAlign w:val="center"/>
          </w:tcPr>
          <w:p w14:paraId="6BD040E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影响预测</w:t>
            </w:r>
          </w:p>
        </w:tc>
        <w:tc>
          <w:tcPr>
            <w:tcW w:w="1267" w:type="dxa"/>
            <w:tcBorders>
              <w:tl2br w:val="nil"/>
              <w:tr2bl w:val="nil"/>
            </w:tcBorders>
            <w:noWrap w:val="0"/>
            <w:vAlign w:val="center"/>
          </w:tcPr>
          <w:p w14:paraId="0FE6A6E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预测范围</w:t>
            </w:r>
          </w:p>
        </w:tc>
        <w:tc>
          <w:tcPr>
            <w:tcW w:w="6791" w:type="dxa"/>
            <w:gridSpan w:val="13"/>
            <w:tcBorders>
              <w:tl2br w:val="nil"/>
              <w:tr2bl w:val="nil"/>
            </w:tcBorders>
            <w:noWrap w:val="0"/>
            <w:vAlign w:val="center"/>
          </w:tcPr>
          <w:p w14:paraId="2A3DF31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河流：长度（）km；湖库、河口及近岸海域：面积（）km</w:t>
            </w:r>
            <w:r>
              <w:rPr>
                <w:rFonts w:hint="default" w:ascii="Times New Roman" w:hAnsi="Times New Roman" w:eastAsia="华文中宋" w:cs="Times New Roman"/>
                <w:szCs w:val="21"/>
                <w:vertAlign w:val="superscript"/>
              </w:rPr>
              <w:t>2</w:t>
            </w:r>
          </w:p>
        </w:tc>
      </w:tr>
      <w:tr w14:paraId="0DB687A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8" w:type="dxa"/>
            <w:vMerge w:val="continue"/>
            <w:tcBorders>
              <w:tl2br w:val="nil"/>
              <w:tr2bl w:val="nil"/>
            </w:tcBorders>
            <w:noWrap w:val="0"/>
            <w:vAlign w:val="center"/>
          </w:tcPr>
          <w:p w14:paraId="22F69B86">
            <w:pPr>
              <w:spacing w:line="300" w:lineRule="exact"/>
              <w:jc w:val="center"/>
              <w:rPr>
                <w:rFonts w:hint="default" w:ascii="Times New Roman" w:hAnsi="Times New Roman" w:eastAsia="华文中宋" w:cs="Times New Roman"/>
                <w:szCs w:val="21"/>
              </w:rPr>
            </w:pPr>
          </w:p>
        </w:tc>
        <w:tc>
          <w:tcPr>
            <w:tcW w:w="1267" w:type="dxa"/>
            <w:tcBorders>
              <w:tl2br w:val="nil"/>
              <w:tr2bl w:val="nil"/>
            </w:tcBorders>
            <w:noWrap w:val="0"/>
            <w:vAlign w:val="center"/>
          </w:tcPr>
          <w:p w14:paraId="253829C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预测因子</w:t>
            </w:r>
          </w:p>
        </w:tc>
        <w:tc>
          <w:tcPr>
            <w:tcW w:w="6791" w:type="dxa"/>
            <w:gridSpan w:val="13"/>
            <w:tcBorders>
              <w:tl2br w:val="nil"/>
              <w:tr2bl w:val="nil"/>
            </w:tcBorders>
            <w:noWrap w:val="0"/>
            <w:vAlign w:val="center"/>
          </w:tcPr>
          <w:p w14:paraId="4A84023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w:t>
            </w:r>
          </w:p>
        </w:tc>
      </w:tr>
      <w:tr w14:paraId="46DAD49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8" w:type="dxa"/>
            <w:vMerge w:val="continue"/>
            <w:tcBorders>
              <w:tl2br w:val="nil"/>
              <w:tr2bl w:val="nil"/>
            </w:tcBorders>
            <w:noWrap w:val="0"/>
            <w:vAlign w:val="center"/>
          </w:tcPr>
          <w:p w14:paraId="67C71169">
            <w:pPr>
              <w:spacing w:line="300" w:lineRule="exact"/>
              <w:jc w:val="center"/>
              <w:rPr>
                <w:rFonts w:hint="default" w:ascii="Times New Roman" w:hAnsi="Times New Roman" w:eastAsia="华文中宋" w:cs="Times New Roman"/>
                <w:szCs w:val="21"/>
              </w:rPr>
            </w:pPr>
          </w:p>
        </w:tc>
        <w:tc>
          <w:tcPr>
            <w:tcW w:w="1267" w:type="dxa"/>
            <w:tcBorders>
              <w:tl2br w:val="nil"/>
              <w:tr2bl w:val="nil"/>
            </w:tcBorders>
            <w:noWrap w:val="0"/>
            <w:vAlign w:val="center"/>
          </w:tcPr>
          <w:p w14:paraId="6A2D59F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预测时期</w:t>
            </w:r>
          </w:p>
        </w:tc>
        <w:tc>
          <w:tcPr>
            <w:tcW w:w="6791" w:type="dxa"/>
            <w:gridSpan w:val="13"/>
            <w:tcBorders>
              <w:tl2br w:val="nil"/>
              <w:tr2bl w:val="nil"/>
            </w:tcBorders>
            <w:noWrap w:val="0"/>
            <w:vAlign w:val="center"/>
          </w:tcPr>
          <w:p w14:paraId="2EBCAD4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丰水期</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；平水期</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；枯水期</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；冰封期</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；春季</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；夏季</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；秋季</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w:t>
            </w:r>
          </w:p>
          <w:p w14:paraId="435F986D">
            <w:pPr>
              <w:spacing w:line="300" w:lineRule="exact"/>
              <w:jc w:val="center"/>
              <w:rPr>
                <w:rFonts w:hint="eastAsia" w:ascii="Times New Roman" w:hAnsi="Times New Roman" w:eastAsia="华文中宋" w:cs="Times New Roman"/>
                <w:szCs w:val="21"/>
                <w:lang w:eastAsia="zh-CN"/>
              </w:rPr>
            </w:pPr>
            <w:r>
              <w:rPr>
                <w:rFonts w:hint="default" w:ascii="Times New Roman" w:hAnsi="Times New Roman" w:eastAsia="华文中宋" w:cs="Times New Roman"/>
                <w:szCs w:val="21"/>
              </w:rPr>
              <w:t>冬季</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；设计水文条件</w:t>
            </w:r>
            <w:r>
              <w:rPr>
                <w:rFonts w:hint="eastAsia" w:ascii="Times New Roman" w:hAnsi="Times New Roman" w:eastAsia="华文中宋" w:cs="Times New Roman"/>
                <w:szCs w:val="21"/>
                <w:lang w:eastAsia="zh-CN"/>
              </w:rPr>
              <w:t>□</w:t>
            </w:r>
          </w:p>
        </w:tc>
      </w:tr>
      <w:tr w14:paraId="4CBDC6E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8" w:type="dxa"/>
            <w:vMerge w:val="continue"/>
            <w:tcBorders>
              <w:tl2br w:val="nil"/>
              <w:tr2bl w:val="nil"/>
            </w:tcBorders>
            <w:noWrap w:val="0"/>
            <w:vAlign w:val="center"/>
          </w:tcPr>
          <w:p w14:paraId="2875F52A">
            <w:pPr>
              <w:spacing w:line="300" w:lineRule="exact"/>
              <w:jc w:val="center"/>
              <w:rPr>
                <w:rFonts w:hint="default" w:ascii="Times New Roman" w:hAnsi="Times New Roman" w:eastAsia="华文中宋" w:cs="Times New Roman"/>
                <w:szCs w:val="21"/>
              </w:rPr>
            </w:pPr>
          </w:p>
        </w:tc>
        <w:tc>
          <w:tcPr>
            <w:tcW w:w="1267" w:type="dxa"/>
            <w:tcBorders>
              <w:tl2br w:val="nil"/>
              <w:tr2bl w:val="nil"/>
            </w:tcBorders>
            <w:noWrap w:val="0"/>
            <w:vAlign w:val="center"/>
          </w:tcPr>
          <w:p w14:paraId="04628EE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预测情景</w:t>
            </w:r>
          </w:p>
        </w:tc>
        <w:tc>
          <w:tcPr>
            <w:tcW w:w="6791" w:type="dxa"/>
            <w:gridSpan w:val="13"/>
            <w:tcBorders>
              <w:tl2br w:val="nil"/>
              <w:tr2bl w:val="nil"/>
            </w:tcBorders>
            <w:noWrap w:val="0"/>
            <w:vAlign w:val="center"/>
          </w:tcPr>
          <w:p w14:paraId="0955DE8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建设期</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；生产运行期</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；服务期满后</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w:t>
            </w:r>
          </w:p>
          <w:p w14:paraId="55470B2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正常工况</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；非正常工况</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；污染控制和减缓措施方案</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w:t>
            </w:r>
          </w:p>
          <w:p w14:paraId="755FF2A0">
            <w:pPr>
              <w:spacing w:line="300" w:lineRule="exact"/>
              <w:jc w:val="center"/>
              <w:rPr>
                <w:rFonts w:hint="eastAsia" w:ascii="Times New Roman" w:hAnsi="Times New Roman" w:eastAsia="华文中宋" w:cs="Times New Roman"/>
                <w:szCs w:val="21"/>
                <w:lang w:eastAsia="zh-CN"/>
              </w:rPr>
            </w:pPr>
            <w:r>
              <w:rPr>
                <w:rFonts w:hint="default" w:ascii="Times New Roman" w:hAnsi="Times New Roman" w:eastAsia="华文中宋" w:cs="Times New Roman"/>
                <w:szCs w:val="21"/>
              </w:rPr>
              <w:t>区（流）域环境质量改善目标要求情景</w:t>
            </w:r>
            <w:r>
              <w:rPr>
                <w:rFonts w:hint="eastAsia" w:ascii="Times New Roman" w:hAnsi="Times New Roman" w:eastAsia="华文中宋" w:cs="Times New Roman"/>
                <w:szCs w:val="21"/>
                <w:lang w:eastAsia="zh-CN"/>
              </w:rPr>
              <w:t>□</w:t>
            </w:r>
          </w:p>
        </w:tc>
      </w:tr>
      <w:tr w14:paraId="32B205D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8" w:type="dxa"/>
            <w:vMerge w:val="continue"/>
            <w:tcBorders>
              <w:tl2br w:val="nil"/>
              <w:tr2bl w:val="nil"/>
            </w:tcBorders>
            <w:noWrap w:val="0"/>
            <w:vAlign w:val="center"/>
          </w:tcPr>
          <w:p w14:paraId="77109931">
            <w:pPr>
              <w:spacing w:line="300" w:lineRule="exact"/>
              <w:jc w:val="center"/>
              <w:rPr>
                <w:rFonts w:hint="default" w:ascii="Times New Roman" w:hAnsi="Times New Roman" w:eastAsia="华文中宋" w:cs="Times New Roman"/>
                <w:szCs w:val="21"/>
              </w:rPr>
            </w:pPr>
          </w:p>
        </w:tc>
        <w:tc>
          <w:tcPr>
            <w:tcW w:w="1267" w:type="dxa"/>
            <w:tcBorders>
              <w:tl2br w:val="nil"/>
              <w:tr2bl w:val="nil"/>
            </w:tcBorders>
            <w:noWrap w:val="0"/>
            <w:vAlign w:val="center"/>
          </w:tcPr>
          <w:p w14:paraId="0FB37AC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预测方法</w:t>
            </w:r>
          </w:p>
        </w:tc>
        <w:tc>
          <w:tcPr>
            <w:tcW w:w="6791" w:type="dxa"/>
            <w:gridSpan w:val="13"/>
            <w:tcBorders>
              <w:tl2br w:val="nil"/>
              <w:tr2bl w:val="nil"/>
            </w:tcBorders>
            <w:noWrap w:val="0"/>
            <w:vAlign w:val="center"/>
          </w:tcPr>
          <w:p w14:paraId="0E644906">
            <w:pPr>
              <w:spacing w:line="300" w:lineRule="exact"/>
              <w:jc w:val="center"/>
              <w:rPr>
                <w:rFonts w:hint="eastAsia" w:ascii="Times New Roman" w:hAnsi="Times New Roman" w:eastAsia="华文中宋" w:cs="Times New Roman"/>
                <w:szCs w:val="21"/>
                <w:lang w:eastAsia="zh-CN"/>
              </w:rPr>
            </w:pPr>
            <w:r>
              <w:rPr>
                <w:rFonts w:hint="default" w:ascii="Times New Roman" w:hAnsi="Times New Roman" w:eastAsia="华文中宋" w:cs="Times New Roman"/>
                <w:szCs w:val="21"/>
              </w:rPr>
              <w:t>数值解</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；解析解</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；其他</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；导则推荐模式</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；其他</w:t>
            </w:r>
            <w:r>
              <w:rPr>
                <w:rFonts w:hint="eastAsia" w:ascii="Times New Roman" w:hAnsi="Times New Roman" w:eastAsia="华文中宋" w:cs="Times New Roman"/>
                <w:szCs w:val="21"/>
                <w:lang w:eastAsia="zh-CN"/>
              </w:rPr>
              <w:t>□</w:t>
            </w:r>
          </w:p>
        </w:tc>
      </w:tr>
      <w:tr w14:paraId="439B2E3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8" w:type="dxa"/>
            <w:vMerge w:val="restart"/>
            <w:tcBorders>
              <w:tl2br w:val="nil"/>
              <w:tr2bl w:val="nil"/>
            </w:tcBorders>
            <w:noWrap w:val="0"/>
            <w:vAlign w:val="center"/>
          </w:tcPr>
          <w:p w14:paraId="59A16A6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影响评价</w:t>
            </w:r>
          </w:p>
        </w:tc>
        <w:tc>
          <w:tcPr>
            <w:tcW w:w="1267" w:type="dxa"/>
            <w:tcBorders>
              <w:tl2br w:val="nil"/>
              <w:tr2bl w:val="nil"/>
            </w:tcBorders>
            <w:noWrap w:val="0"/>
            <w:vAlign w:val="center"/>
          </w:tcPr>
          <w:p w14:paraId="2798903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水污染物控制和水环境影响减缓措施有效性评价</w:t>
            </w:r>
          </w:p>
        </w:tc>
        <w:tc>
          <w:tcPr>
            <w:tcW w:w="6791" w:type="dxa"/>
            <w:gridSpan w:val="13"/>
            <w:tcBorders>
              <w:tl2br w:val="nil"/>
              <w:tr2bl w:val="nil"/>
            </w:tcBorders>
            <w:noWrap w:val="0"/>
            <w:vAlign w:val="center"/>
          </w:tcPr>
          <w:p w14:paraId="79E2388B">
            <w:pPr>
              <w:spacing w:line="300" w:lineRule="exact"/>
              <w:jc w:val="center"/>
              <w:rPr>
                <w:rFonts w:hint="eastAsia" w:ascii="Times New Roman" w:hAnsi="Times New Roman" w:eastAsia="华文中宋" w:cs="Times New Roman"/>
                <w:szCs w:val="21"/>
                <w:lang w:eastAsia="zh-CN"/>
              </w:rPr>
            </w:pPr>
            <w:r>
              <w:rPr>
                <w:rFonts w:hint="default" w:ascii="Times New Roman" w:hAnsi="Times New Roman" w:eastAsia="华文中宋" w:cs="Times New Roman"/>
                <w:szCs w:val="21"/>
              </w:rPr>
              <w:t>区（流）域水环境质量改善目标</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；替代消减源</w:t>
            </w:r>
            <w:r>
              <w:rPr>
                <w:rFonts w:hint="eastAsia" w:ascii="Times New Roman" w:hAnsi="Times New Roman" w:eastAsia="华文中宋" w:cs="Times New Roman"/>
                <w:szCs w:val="21"/>
                <w:lang w:eastAsia="zh-CN"/>
              </w:rPr>
              <w:t>□</w:t>
            </w:r>
          </w:p>
        </w:tc>
      </w:tr>
      <w:tr w14:paraId="5D3AF9A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8" w:type="dxa"/>
            <w:vMerge w:val="continue"/>
            <w:tcBorders>
              <w:tl2br w:val="nil"/>
              <w:tr2bl w:val="nil"/>
            </w:tcBorders>
            <w:noWrap w:val="0"/>
            <w:vAlign w:val="center"/>
          </w:tcPr>
          <w:p w14:paraId="66C94D0A">
            <w:pPr>
              <w:spacing w:line="300" w:lineRule="exact"/>
              <w:jc w:val="center"/>
              <w:rPr>
                <w:rFonts w:hint="default" w:ascii="Times New Roman" w:hAnsi="Times New Roman" w:eastAsia="华文中宋" w:cs="Times New Roman"/>
                <w:szCs w:val="21"/>
              </w:rPr>
            </w:pPr>
          </w:p>
        </w:tc>
        <w:tc>
          <w:tcPr>
            <w:tcW w:w="1267" w:type="dxa"/>
            <w:tcBorders>
              <w:tl2br w:val="nil"/>
              <w:tr2bl w:val="nil"/>
            </w:tcBorders>
            <w:noWrap w:val="0"/>
            <w:vAlign w:val="center"/>
          </w:tcPr>
          <w:p w14:paraId="15DE6453">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水环境影响评价</w:t>
            </w:r>
          </w:p>
        </w:tc>
        <w:tc>
          <w:tcPr>
            <w:tcW w:w="6791" w:type="dxa"/>
            <w:gridSpan w:val="13"/>
            <w:tcBorders>
              <w:tl2br w:val="nil"/>
              <w:tr2bl w:val="nil"/>
            </w:tcBorders>
            <w:noWrap w:val="0"/>
            <w:vAlign w:val="center"/>
          </w:tcPr>
          <w:p w14:paraId="5F34D66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排放口混合区外满足水环境管理要求</w:t>
            </w:r>
            <w:r>
              <w:rPr>
                <w:rFonts w:hint="eastAsia" w:ascii="Times New Roman" w:hAnsi="Times New Roman" w:eastAsia="华文中宋" w:cs="Times New Roman"/>
                <w:szCs w:val="21"/>
                <w:lang w:val="en-US" w:eastAsia="zh-CN"/>
              </w:rPr>
              <w:t>□</w:t>
            </w:r>
          </w:p>
          <w:p w14:paraId="70CFC94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水环境功能区或水功能区、近岸海域环境功能区水质达标</w:t>
            </w:r>
            <w:r>
              <w:rPr>
                <w:rFonts w:hint="eastAsia" w:ascii="Times New Roman" w:hAnsi="Times New Roman" w:eastAsia="华文中宋" w:cs="Times New Roman"/>
                <w:szCs w:val="21"/>
                <w:lang w:val="en-US" w:eastAsia="zh-CN"/>
              </w:rPr>
              <w:t>□</w:t>
            </w:r>
          </w:p>
          <w:p w14:paraId="2A26458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满足水环境保护目标水域水环境质量要求</w:t>
            </w:r>
            <w:r>
              <w:rPr>
                <w:rFonts w:hint="eastAsia" w:ascii="Times New Roman" w:hAnsi="Times New Roman" w:eastAsia="华文中宋" w:cs="Times New Roman"/>
                <w:szCs w:val="21"/>
                <w:lang w:val="en-US" w:eastAsia="zh-CN"/>
              </w:rPr>
              <w:t>□</w:t>
            </w:r>
          </w:p>
          <w:p w14:paraId="4576799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水环境控制单元或断面水质达标</w:t>
            </w:r>
            <w:r>
              <w:rPr>
                <w:rFonts w:hint="eastAsia" w:ascii="Times New Roman" w:hAnsi="Times New Roman" w:eastAsia="华文中宋" w:cs="Times New Roman"/>
                <w:szCs w:val="21"/>
                <w:lang w:val="en-US" w:eastAsia="zh-CN"/>
              </w:rPr>
              <w:t>□</w:t>
            </w:r>
          </w:p>
          <w:p w14:paraId="787B5A77">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满足重点水污染物排放总量控制指标要求，重点行业建设项目，主要污染物排放满足等量或减量替代要求</w:t>
            </w:r>
            <w:r>
              <w:rPr>
                <w:rFonts w:hint="eastAsia" w:ascii="Times New Roman" w:hAnsi="Times New Roman" w:eastAsia="华文中宋" w:cs="Times New Roman"/>
                <w:szCs w:val="21"/>
                <w:lang w:val="en-US" w:eastAsia="zh-CN"/>
              </w:rPr>
              <w:t>□</w:t>
            </w:r>
          </w:p>
          <w:p w14:paraId="039E4D5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满足区（流）域水环境质量改善目标要求</w:t>
            </w:r>
            <w:r>
              <w:rPr>
                <w:rFonts w:hint="eastAsia" w:ascii="Times New Roman" w:hAnsi="Times New Roman" w:eastAsia="华文中宋" w:cs="Times New Roman"/>
                <w:szCs w:val="21"/>
                <w:lang w:val="en-US" w:eastAsia="zh-CN"/>
              </w:rPr>
              <w:t>□</w:t>
            </w:r>
          </w:p>
          <w:p w14:paraId="54448DD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水文要素影响型建设项目同时应包括水文情势变化评价、主要水文特征值影响评价、生态流量符合性评价</w:t>
            </w:r>
            <w:r>
              <w:rPr>
                <w:rFonts w:hint="eastAsia" w:ascii="Times New Roman" w:hAnsi="Times New Roman" w:eastAsia="华文中宋" w:cs="Times New Roman"/>
                <w:szCs w:val="21"/>
                <w:lang w:val="en-US" w:eastAsia="zh-CN"/>
              </w:rPr>
              <w:t>□</w:t>
            </w:r>
          </w:p>
          <w:p w14:paraId="6B60F67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对于新设或调整入河（湖库、近岸海域）排放口的建设项目，应包括排放口设置的环境合理性评价</w:t>
            </w:r>
            <w:r>
              <w:rPr>
                <w:rFonts w:hint="eastAsia" w:ascii="Times New Roman" w:hAnsi="Times New Roman" w:eastAsia="华文中宋" w:cs="Times New Roman"/>
                <w:szCs w:val="21"/>
                <w:lang w:val="en-US" w:eastAsia="zh-CN"/>
              </w:rPr>
              <w:t>□</w:t>
            </w:r>
          </w:p>
          <w:p w14:paraId="0959822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满足生态保护红线、水环境质量底线、资源利用上线和环境准入清单管理要求</w:t>
            </w:r>
            <w:r>
              <w:rPr>
                <w:rFonts w:hint="eastAsia" w:ascii="Times New Roman" w:hAnsi="Times New Roman" w:eastAsia="华文中宋" w:cs="Times New Roman"/>
                <w:szCs w:val="21"/>
                <w:lang w:val="en-US" w:eastAsia="zh-CN"/>
              </w:rPr>
              <w:t>□</w:t>
            </w:r>
          </w:p>
        </w:tc>
      </w:tr>
      <w:tr w14:paraId="29B80D5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8" w:type="dxa"/>
            <w:vMerge w:val="continue"/>
            <w:tcBorders>
              <w:tl2br w:val="nil"/>
              <w:tr2bl w:val="nil"/>
            </w:tcBorders>
            <w:noWrap w:val="0"/>
            <w:vAlign w:val="center"/>
          </w:tcPr>
          <w:p w14:paraId="2E653046">
            <w:pPr>
              <w:spacing w:line="300" w:lineRule="exact"/>
              <w:jc w:val="center"/>
              <w:rPr>
                <w:rFonts w:hint="default" w:ascii="Times New Roman" w:hAnsi="Times New Roman" w:eastAsia="华文中宋" w:cs="Times New Roman"/>
                <w:szCs w:val="21"/>
              </w:rPr>
            </w:pPr>
          </w:p>
        </w:tc>
        <w:tc>
          <w:tcPr>
            <w:tcW w:w="1267" w:type="dxa"/>
            <w:vMerge w:val="restart"/>
            <w:tcBorders>
              <w:tl2br w:val="nil"/>
              <w:tr2bl w:val="nil"/>
            </w:tcBorders>
            <w:noWrap w:val="0"/>
            <w:vAlign w:val="center"/>
          </w:tcPr>
          <w:p w14:paraId="718CD98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污染源排放量核算</w:t>
            </w:r>
          </w:p>
        </w:tc>
        <w:tc>
          <w:tcPr>
            <w:tcW w:w="1963" w:type="dxa"/>
            <w:gridSpan w:val="3"/>
            <w:tcBorders>
              <w:tl2br w:val="nil"/>
              <w:tr2bl w:val="nil"/>
            </w:tcBorders>
            <w:noWrap w:val="0"/>
            <w:vAlign w:val="center"/>
          </w:tcPr>
          <w:p w14:paraId="6270C527">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污染物名称</w:t>
            </w:r>
          </w:p>
        </w:tc>
        <w:tc>
          <w:tcPr>
            <w:tcW w:w="2312" w:type="dxa"/>
            <w:gridSpan w:val="5"/>
            <w:tcBorders>
              <w:tl2br w:val="nil"/>
              <w:tr2bl w:val="nil"/>
            </w:tcBorders>
            <w:noWrap w:val="0"/>
            <w:vAlign w:val="center"/>
          </w:tcPr>
          <w:p w14:paraId="744297A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排放量/（t/a）</w:t>
            </w:r>
          </w:p>
        </w:tc>
        <w:tc>
          <w:tcPr>
            <w:tcW w:w="2516" w:type="dxa"/>
            <w:gridSpan w:val="5"/>
            <w:tcBorders>
              <w:tl2br w:val="nil"/>
              <w:tr2bl w:val="nil"/>
            </w:tcBorders>
            <w:noWrap w:val="0"/>
            <w:vAlign w:val="center"/>
          </w:tcPr>
          <w:p w14:paraId="0262A9E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排放浓度/（mg/L）</w:t>
            </w:r>
          </w:p>
        </w:tc>
      </w:tr>
      <w:tr w14:paraId="3619C86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8" w:type="dxa"/>
            <w:vMerge w:val="continue"/>
            <w:tcBorders>
              <w:tl2br w:val="nil"/>
              <w:tr2bl w:val="nil"/>
            </w:tcBorders>
            <w:noWrap w:val="0"/>
            <w:vAlign w:val="center"/>
          </w:tcPr>
          <w:p w14:paraId="6C464196">
            <w:pPr>
              <w:spacing w:line="300" w:lineRule="exact"/>
              <w:jc w:val="center"/>
              <w:rPr>
                <w:rFonts w:hint="default" w:ascii="Times New Roman" w:hAnsi="Times New Roman" w:eastAsia="华文中宋" w:cs="Times New Roman"/>
                <w:szCs w:val="21"/>
              </w:rPr>
            </w:pPr>
          </w:p>
        </w:tc>
        <w:tc>
          <w:tcPr>
            <w:tcW w:w="1267" w:type="dxa"/>
            <w:vMerge w:val="continue"/>
            <w:tcBorders>
              <w:tl2br w:val="nil"/>
              <w:tr2bl w:val="nil"/>
            </w:tcBorders>
            <w:noWrap w:val="0"/>
            <w:vAlign w:val="center"/>
          </w:tcPr>
          <w:p w14:paraId="69D02417">
            <w:pPr>
              <w:spacing w:line="300" w:lineRule="exact"/>
              <w:jc w:val="center"/>
              <w:rPr>
                <w:rFonts w:hint="default" w:ascii="Times New Roman" w:hAnsi="Times New Roman" w:eastAsia="华文中宋" w:cs="Times New Roman"/>
                <w:szCs w:val="21"/>
              </w:rPr>
            </w:pPr>
          </w:p>
        </w:tc>
        <w:tc>
          <w:tcPr>
            <w:tcW w:w="1963" w:type="dxa"/>
            <w:gridSpan w:val="3"/>
            <w:tcBorders>
              <w:tl2br w:val="nil"/>
              <w:tr2bl w:val="nil"/>
            </w:tcBorders>
            <w:noWrap w:val="0"/>
            <w:vAlign w:val="center"/>
          </w:tcPr>
          <w:p w14:paraId="337D7280">
            <w:pPr>
              <w:spacing w:line="300" w:lineRule="exact"/>
              <w:jc w:val="center"/>
              <w:rPr>
                <w:rFonts w:hint="default" w:ascii="Times New Roman" w:hAnsi="Times New Roman" w:eastAsia="华文中宋" w:cs="Times New Roman"/>
                <w:szCs w:val="21"/>
                <w:lang w:val="en-US" w:eastAsia="zh-CN"/>
              </w:rPr>
            </w:pPr>
          </w:p>
        </w:tc>
        <w:tc>
          <w:tcPr>
            <w:tcW w:w="2312" w:type="dxa"/>
            <w:gridSpan w:val="5"/>
            <w:tcBorders>
              <w:tl2br w:val="nil"/>
              <w:tr2bl w:val="nil"/>
            </w:tcBorders>
            <w:noWrap w:val="0"/>
            <w:vAlign w:val="center"/>
          </w:tcPr>
          <w:p w14:paraId="1334CA94">
            <w:pPr>
              <w:spacing w:line="300" w:lineRule="exact"/>
              <w:jc w:val="center"/>
              <w:rPr>
                <w:rFonts w:hint="default" w:ascii="Times New Roman" w:hAnsi="Times New Roman" w:eastAsia="华文中宋" w:cs="Times New Roman"/>
                <w:szCs w:val="21"/>
                <w:lang w:val="en-US"/>
              </w:rPr>
            </w:pPr>
          </w:p>
        </w:tc>
        <w:tc>
          <w:tcPr>
            <w:tcW w:w="2516" w:type="dxa"/>
            <w:gridSpan w:val="5"/>
            <w:tcBorders>
              <w:tl2br w:val="nil"/>
              <w:tr2bl w:val="nil"/>
            </w:tcBorders>
            <w:noWrap w:val="0"/>
            <w:vAlign w:val="center"/>
          </w:tcPr>
          <w:p w14:paraId="380FA82B">
            <w:pPr>
              <w:spacing w:line="300" w:lineRule="exact"/>
              <w:jc w:val="center"/>
              <w:rPr>
                <w:rFonts w:hint="default" w:ascii="Times New Roman" w:hAnsi="Times New Roman" w:eastAsia="华文中宋" w:cs="Times New Roman"/>
                <w:szCs w:val="21"/>
                <w:lang w:val="en-US" w:eastAsia="zh-CN"/>
              </w:rPr>
            </w:pPr>
          </w:p>
        </w:tc>
      </w:tr>
      <w:tr w14:paraId="7A3FA54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8" w:type="dxa"/>
            <w:vMerge w:val="continue"/>
            <w:tcBorders>
              <w:tl2br w:val="nil"/>
              <w:tr2bl w:val="nil"/>
            </w:tcBorders>
            <w:noWrap w:val="0"/>
            <w:vAlign w:val="center"/>
          </w:tcPr>
          <w:p w14:paraId="525CB3A7">
            <w:pPr>
              <w:spacing w:line="300" w:lineRule="exact"/>
              <w:jc w:val="center"/>
              <w:rPr>
                <w:rFonts w:hint="default" w:ascii="Times New Roman" w:hAnsi="Times New Roman" w:eastAsia="华文中宋" w:cs="Times New Roman"/>
                <w:szCs w:val="21"/>
              </w:rPr>
            </w:pPr>
          </w:p>
        </w:tc>
        <w:tc>
          <w:tcPr>
            <w:tcW w:w="1267" w:type="dxa"/>
            <w:vMerge w:val="continue"/>
            <w:tcBorders>
              <w:tl2br w:val="nil"/>
              <w:tr2bl w:val="nil"/>
            </w:tcBorders>
            <w:noWrap w:val="0"/>
            <w:vAlign w:val="center"/>
          </w:tcPr>
          <w:p w14:paraId="2D53E340">
            <w:pPr>
              <w:spacing w:line="300" w:lineRule="exact"/>
              <w:jc w:val="center"/>
              <w:rPr>
                <w:rFonts w:hint="default" w:ascii="Times New Roman" w:hAnsi="Times New Roman" w:eastAsia="华文中宋" w:cs="Times New Roman"/>
                <w:szCs w:val="21"/>
              </w:rPr>
            </w:pPr>
          </w:p>
        </w:tc>
        <w:tc>
          <w:tcPr>
            <w:tcW w:w="1963" w:type="dxa"/>
            <w:gridSpan w:val="3"/>
            <w:tcBorders>
              <w:tl2br w:val="nil"/>
              <w:tr2bl w:val="nil"/>
            </w:tcBorders>
            <w:noWrap w:val="0"/>
            <w:vAlign w:val="center"/>
          </w:tcPr>
          <w:p w14:paraId="358E82BB">
            <w:pPr>
              <w:spacing w:line="300" w:lineRule="exact"/>
              <w:jc w:val="center"/>
              <w:rPr>
                <w:rFonts w:hint="default" w:ascii="Times New Roman" w:hAnsi="Times New Roman" w:eastAsia="华文中宋" w:cs="Times New Roman"/>
                <w:szCs w:val="21"/>
                <w:lang w:val="en-US" w:eastAsia="zh-CN"/>
              </w:rPr>
            </w:pPr>
          </w:p>
        </w:tc>
        <w:tc>
          <w:tcPr>
            <w:tcW w:w="2312" w:type="dxa"/>
            <w:gridSpan w:val="5"/>
            <w:tcBorders>
              <w:tl2br w:val="nil"/>
              <w:tr2bl w:val="nil"/>
            </w:tcBorders>
            <w:noWrap w:val="0"/>
            <w:vAlign w:val="center"/>
          </w:tcPr>
          <w:p w14:paraId="3EB6B797">
            <w:pPr>
              <w:spacing w:line="300" w:lineRule="exact"/>
              <w:jc w:val="center"/>
              <w:rPr>
                <w:rFonts w:hint="default" w:ascii="Times New Roman" w:hAnsi="Times New Roman" w:eastAsia="华文中宋" w:cs="Times New Roman"/>
                <w:szCs w:val="21"/>
                <w:lang w:val="en-US"/>
              </w:rPr>
            </w:pPr>
          </w:p>
        </w:tc>
        <w:tc>
          <w:tcPr>
            <w:tcW w:w="2516" w:type="dxa"/>
            <w:gridSpan w:val="5"/>
            <w:tcBorders>
              <w:tl2br w:val="nil"/>
              <w:tr2bl w:val="nil"/>
            </w:tcBorders>
            <w:noWrap w:val="0"/>
            <w:vAlign w:val="center"/>
          </w:tcPr>
          <w:p w14:paraId="6A6B2EA8">
            <w:pPr>
              <w:spacing w:line="300" w:lineRule="exact"/>
              <w:jc w:val="center"/>
              <w:rPr>
                <w:rFonts w:hint="default" w:ascii="Times New Roman" w:hAnsi="Times New Roman" w:eastAsia="华文中宋" w:cs="Times New Roman"/>
                <w:szCs w:val="21"/>
                <w:lang w:val="en-US" w:eastAsia="zh-CN"/>
              </w:rPr>
            </w:pPr>
          </w:p>
        </w:tc>
      </w:tr>
      <w:tr w14:paraId="60AF6E2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8" w:type="dxa"/>
            <w:vMerge w:val="continue"/>
            <w:tcBorders>
              <w:tl2br w:val="nil"/>
              <w:tr2bl w:val="nil"/>
            </w:tcBorders>
            <w:noWrap w:val="0"/>
            <w:vAlign w:val="center"/>
          </w:tcPr>
          <w:p w14:paraId="34203DEC">
            <w:pPr>
              <w:spacing w:line="300" w:lineRule="exact"/>
              <w:jc w:val="center"/>
              <w:rPr>
                <w:rFonts w:hint="default" w:ascii="Times New Roman" w:hAnsi="Times New Roman" w:eastAsia="华文中宋" w:cs="Times New Roman"/>
                <w:szCs w:val="21"/>
              </w:rPr>
            </w:pPr>
          </w:p>
        </w:tc>
        <w:tc>
          <w:tcPr>
            <w:tcW w:w="1267" w:type="dxa"/>
            <w:vMerge w:val="restart"/>
            <w:tcBorders>
              <w:tl2br w:val="nil"/>
              <w:tr2bl w:val="nil"/>
            </w:tcBorders>
            <w:noWrap w:val="0"/>
            <w:vAlign w:val="center"/>
          </w:tcPr>
          <w:p w14:paraId="0D69535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替代源排放情况</w:t>
            </w:r>
          </w:p>
        </w:tc>
        <w:tc>
          <w:tcPr>
            <w:tcW w:w="1257" w:type="dxa"/>
            <w:tcBorders>
              <w:tl2br w:val="nil"/>
              <w:tr2bl w:val="nil"/>
            </w:tcBorders>
            <w:noWrap w:val="0"/>
            <w:vAlign w:val="center"/>
          </w:tcPr>
          <w:p w14:paraId="17E6199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污染源名称</w:t>
            </w:r>
          </w:p>
        </w:tc>
        <w:tc>
          <w:tcPr>
            <w:tcW w:w="1281" w:type="dxa"/>
            <w:gridSpan w:val="4"/>
            <w:tcBorders>
              <w:tl2br w:val="nil"/>
              <w:tr2bl w:val="nil"/>
            </w:tcBorders>
            <w:noWrap w:val="0"/>
            <w:vAlign w:val="center"/>
          </w:tcPr>
          <w:p w14:paraId="513AD91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排污许可证号</w:t>
            </w:r>
          </w:p>
        </w:tc>
        <w:tc>
          <w:tcPr>
            <w:tcW w:w="1281" w:type="dxa"/>
            <w:gridSpan w:val="2"/>
            <w:tcBorders>
              <w:tl2br w:val="nil"/>
              <w:tr2bl w:val="nil"/>
            </w:tcBorders>
            <w:noWrap w:val="0"/>
            <w:vAlign w:val="center"/>
          </w:tcPr>
          <w:p w14:paraId="640D19B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污染物名称</w:t>
            </w:r>
          </w:p>
        </w:tc>
        <w:tc>
          <w:tcPr>
            <w:tcW w:w="1253" w:type="dxa"/>
            <w:gridSpan w:val="4"/>
            <w:tcBorders>
              <w:tl2br w:val="nil"/>
              <w:tr2bl w:val="nil"/>
            </w:tcBorders>
            <w:noWrap w:val="0"/>
            <w:vAlign w:val="center"/>
          </w:tcPr>
          <w:p w14:paraId="4DFD2EE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排放量/（t/a）</w:t>
            </w:r>
          </w:p>
        </w:tc>
        <w:tc>
          <w:tcPr>
            <w:tcW w:w="1719" w:type="dxa"/>
            <w:gridSpan w:val="2"/>
            <w:tcBorders>
              <w:tl2br w:val="nil"/>
              <w:tr2bl w:val="nil"/>
            </w:tcBorders>
            <w:noWrap w:val="0"/>
            <w:vAlign w:val="center"/>
          </w:tcPr>
          <w:p w14:paraId="5221675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排放浓度/（mg/L）</w:t>
            </w:r>
          </w:p>
        </w:tc>
      </w:tr>
      <w:tr w14:paraId="7EB20A6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23" w:hRule="atLeast"/>
          <w:jc w:val="center"/>
        </w:trPr>
        <w:tc>
          <w:tcPr>
            <w:tcW w:w="458" w:type="dxa"/>
            <w:vMerge w:val="continue"/>
            <w:tcBorders>
              <w:tl2br w:val="nil"/>
              <w:tr2bl w:val="nil"/>
            </w:tcBorders>
            <w:noWrap w:val="0"/>
            <w:vAlign w:val="center"/>
          </w:tcPr>
          <w:p w14:paraId="40AC969C">
            <w:pPr>
              <w:spacing w:line="300" w:lineRule="exact"/>
              <w:jc w:val="center"/>
              <w:rPr>
                <w:rFonts w:hint="default" w:ascii="Times New Roman" w:hAnsi="Times New Roman" w:eastAsia="华文中宋" w:cs="Times New Roman"/>
                <w:szCs w:val="21"/>
              </w:rPr>
            </w:pPr>
          </w:p>
        </w:tc>
        <w:tc>
          <w:tcPr>
            <w:tcW w:w="1267" w:type="dxa"/>
            <w:vMerge w:val="continue"/>
            <w:tcBorders>
              <w:tl2br w:val="nil"/>
              <w:tr2bl w:val="nil"/>
            </w:tcBorders>
            <w:noWrap w:val="0"/>
            <w:vAlign w:val="center"/>
          </w:tcPr>
          <w:p w14:paraId="02412F2E">
            <w:pPr>
              <w:spacing w:line="300" w:lineRule="exact"/>
              <w:jc w:val="center"/>
              <w:rPr>
                <w:rFonts w:hint="default" w:ascii="Times New Roman" w:hAnsi="Times New Roman" w:eastAsia="华文中宋" w:cs="Times New Roman"/>
                <w:szCs w:val="21"/>
              </w:rPr>
            </w:pPr>
          </w:p>
        </w:tc>
        <w:tc>
          <w:tcPr>
            <w:tcW w:w="1257" w:type="dxa"/>
            <w:tcBorders>
              <w:tl2br w:val="nil"/>
              <w:tr2bl w:val="nil"/>
            </w:tcBorders>
            <w:noWrap w:val="0"/>
            <w:vAlign w:val="center"/>
          </w:tcPr>
          <w:p w14:paraId="5D843736">
            <w:pPr>
              <w:spacing w:line="300" w:lineRule="exact"/>
              <w:jc w:val="center"/>
              <w:rPr>
                <w:rFonts w:hint="default" w:ascii="Times New Roman" w:hAnsi="Times New Roman" w:eastAsia="华文中宋" w:cs="Times New Roman"/>
                <w:szCs w:val="21"/>
              </w:rPr>
            </w:pPr>
          </w:p>
        </w:tc>
        <w:tc>
          <w:tcPr>
            <w:tcW w:w="1281" w:type="dxa"/>
            <w:gridSpan w:val="4"/>
            <w:tcBorders>
              <w:tl2br w:val="nil"/>
              <w:tr2bl w:val="nil"/>
            </w:tcBorders>
            <w:noWrap w:val="0"/>
            <w:vAlign w:val="center"/>
          </w:tcPr>
          <w:p w14:paraId="18859183">
            <w:pPr>
              <w:spacing w:line="300" w:lineRule="exact"/>
              <w:jc w:val="center"/>
              <w:rPr>
                <w:rFonts w:hint="default" w:ascii="Times New Roman" w:hAnsi="Times New Roman" w:eastAsia="华文中宋" w:cs="Times New Roman"/>
                <w:szCs w:val="21"/>
              </w:rPr>
            </w:pPr>
          </w:p>
        </w:tc>
        <w:tc>
          <w:tcPr>
            <w:tcW w:w="1281" w:type="dxa"/>
            <w:gridSpan w:val="2"/>
            <w:tcBorders>
              <w:tl2br w:val="nil"/>
              <w:tr2bl w:val="nil"/>
            </w:tcBorders>
            <w:noWrap w:val="0"/>
            <w:vAlign w:val="center"/>
          </w:tcPr>
          <w:p w14:paraId="5CAAB126">
            <w:pPr>
              <w:spacing w:line="300" w:lineRule="exact"/>
              <w:jc w:val="center"/>
              <w:rPr>
                <w:rFonts w:hint="default" w:ascii="Times New Roman" w:hAnsi="Times New Roman" w:eastAsia="华文中宋" w:cs="Times New Roman"/>
                <w:szCs w:val="21"/>
              </w:rPr>
            </w:pPr>
          </w:p>
        </w:tc>
        <w:tc>
          <w:tcPr>
            <w:tcW w:w="1253" w:type="dxa"/>
            <w:gridSpan w:val="4"/>
            <w:tcBorders>
              <w:tl2br w:val="nil"/>
              <w:tr2bl w:val="nil"/>
            </w:tcBorders>
            <w:noWrap w:val="0"/>
            <w:vAlign w:val="center"/>
          </w:tcPr>
          <w:p w14:paraId="79963036">
            <w:pPr>
              <w:spacing w:line="300" w:lineRule="exact"/>
              <w:jc w:val="center"/>
              <w:rPr>
                <w:rFonts w:hint="default" w:ascii="Times New Roman" w:hAnsi="Times New Roman" w:eastAsia="华文中宋" w:cs="Times New Roman"/>
                <w:szCs w:val="21"/>
              </w:rPr>
            </w:pPr>
          </w:p>
        </w:tc>
        <w:tc>
          <w:tcPr>
            <w:tcW w:w="1719" w:type="dxa"/>
            <w:gridSpan w:val="2"/>
            <w:tcBorders>
              <w:tl2br w:val="nil"/>
              <w:tr2bl w:val="nil"/>
            </w:tcBorders>
            <w:noWrap w:val="0"/>
            <w:vAlign w:val="center"/>
          </w:tcPr>
          <w:p w14:paraId="6538F62A">
            <w:pPr>
              <w:spacing w:line="300" w:lineRule="exact"/>
              <w:jc w:val="center"/>
              <w:rPr>
                <w:rFonts w:hint="default" w:ascii="Times New Roman" w:hAnsi="Times New Roman" w:eastAsia="华文中宋" w:cs="Times New Roman"/>
                <w:szCs w:val="21"/>
              </w:rPr>
            </w:pPr>
          </w:p>
        </w:tc>
      </w:tr>
      <w:tr w14:paraId="41BE12C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8" w:type="dxa"/>
            <w:vMerge w:val="continue"/>
            <w:tcBorders>
              <w:tl2br w:val="nil"/>
              <w:tr2bl w:val="nil"/>
            </w:tcBorders>
            <w:noWrap w:val="0"/>
            <w:vAlign w:val="center"/>
          </w:tcPr>
          <w:p w14:paraId="2AB548FF">
            <w:pPr>
              <w:spacing w:line="300" w:lineRule="exact"/>
              <w:jc w:val="center"/>
              <w:rPr>
                <w:rFonts w:hint="default" w:ascii="Times New Roman" w:hAnsi="Times New Roman" w:eastAsia="华文中宋" w:cs="Times New Roman"/>
                <w:szCs w:val="21"/>
              </w:rPr>
            </w:pPr>
          </w:p>
        </w:tc>
        <w:tc>
          <w:tcPr>
            <w:tcW w:w="1267" w:type="dxa"/>
            <w:tcBorders>
              <w:tl2br w:val="nil"/>
              <w:tr2bl w:val="nil"/>
            </w:tcBorders>
            <w:noWrap w:val="0"/>
            <w:vAlign w:val="center"/>
          </w:tcPr>
          <w:p w14:paraId="195C676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生态流量确定</w:t>
            </w:r>
          </w:p>
        </w:tc>
        <w:tc>
          <w:tcPr>
            <w:tcW w:w="6791" w:type="dxa"/>
            <w:gridSpan w:val="13"/>
            <w:tcBorders>
              <w:tl2br w:val="nil"/>
              <w:tr2bl w:val="nil"/>
            </w:tcBorders>
            <w:noWrap w:val="0"/>
            <w:vAlign w:val="center"/>
          </w:tcPr>
          <w:p w14:paraId="6CDAD19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生态流量：一般水期（）m³/s；鱼类繁殖期（）m³/s；其他（）m³/s</w:t>
            </w:r>
          </w:p>
          <w:p w14:paraId="593888C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生态水位：一般水期（）m；鱼类繁殖期（）m；其他（）m</w:t>
            </w:r>
          </w:p>
        </w:tc>
      </w:tr>
      <w:tr w14:paraId="690278A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8" w:type="dxa"/>
            <w:vMerge w:val="restart"/>
            <w:tcBorders>
              <w:tl2br w:val="nil"/>
              <w:tr2bl w:val="nil"/>
            </w:tcBorders>
            <w:noWrap w:val="0"/>
            <w:vAlign w:val="center"/>
          </w:tcPr>
          <w:p w14:paraId="3CB3EDD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防治措施</w:t>
            </w:r>
          </w:p>
        </w:tc>
        <w:tc>
          <w:tcPr>
            <w:tcW w:w="1267" w:type="dxa"/>
            <w:tcBorders>
              <w:tl2br w:val="nil"/>
              <w:tr2bl w:val="nil"/>
            </w:tcBorders>
            <w:noWrap w:val="0"/>
            <w:vAlign w:val="center"/>
          </w:tcPr>
          <w:p w14:paraId="0A4F7B2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环保措施</w:t>
            </w:r>
          </w:p>
        </w:tc>
        <w:tc>
          <w:tcPr>
            <w:tcW w:w="6791" w:type="dxa"/>
            <w:gridSpan w:val="13"/>
            <w:tcBorders>
              <w:tl2br w:val="nil"/>
              <w:tr2bl w:val="nil"/>
            </w:tcBorders>
            <w:noWrap w:val="0"/>
            <w:vAlign w:val="center"/>
          </w:tcPr>
          <w:p w14:paraId="32569731">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污水处理设施</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；水文减缓设施□；生态流量保障设施□；区域削减□；依托其他工程措施□；其他□</w:t>
            </w:r>
          </w:p>
        </w:tc>
      </w:tr>
      <w:tr w14:paraId="06546DD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8" w:type="dxa"/>
            <w:vMerge w:val="continue"/>
            <w:tcBorders>
              <w:tl2br w:val="nil"/>
              <w:tr2bl w:val="nil"/>
            </w:tcBorders>
            <w:noWrap w:val="0"/>
            <w:vAlign w:val="center"/>
          </w:tcPr>
          <w:p w14:paraId="461D1891">
            <w:pPr>
              <w:spacing w:line="300" w:lineRule="exact"/>
              <w:jc w:val="center"/>
              <w:rPr>
                <w:rFonts w:hint="default" w:ascii="Times New Roman" w:hAnsi="Times New Roman" w:eastAsia="华文中宋" w:cs="Times New Roman"/>
                <w:szCs w:val="21"/>
              </w:rPr>
            </w:pPr>
          </w:p>
        </w:tc>
        <w:tc>
          <w:tcPr>
            <w:tcW w:w="1267" w:type="dxa"/>
            <w:vMerge w:val="restart"/>
            <w:tcBorders>
              <w:tl2br w:val="nil"/>
              <w:tr2bl w:val="nil"/>
            </w:tcBorders>
            <w:noWrap w:val="0"/>
            <w:vAlign w:val="center"/>
          </w:tcPr>
          <w:p w14:paraId="6EDF8EC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监测计划</w:t>
            </w:r>
          </w:p>
        </w:tc>
        <w:tc>
          <w:tcPr>
            <w:tcW w:w="2019" w:type="dxa"/>
            <w:gridSpan w:val="4"/>
            <w:tcBorders>
              <w:tl2br w:val="nil"/>
              <w:tr2bl w:val="nil"/>
            </w:tcBorders>
            <w:noWrap w:val="0"/>
            <w:vAlign w:val="center"/>
          </w:tcPr>
          <w:p w14:paraId="1E68C242">
            <w:pPr>
              <w:spacing w:line="300" w:lineRule="exact"/>
              <w:jc w:val="center"/>
              <w:rPr>
                <w:rFonts w:hint="default" w:ascii="Times New Roman" w:hAnsi="Times New Roman" w:eastAsia="华文中宋" w:cs="Times New Roman"/>
                <w:szCs w:val="21"/>
              </w:rPr>
            </w:pPr>
          </w:p>
        </w:tc>
        <w:tc>
          <w:tcPr>
            <w:tcW w:w="2395" w:type="dxa"/>
            <w:gridSpan w:val="5"/>
            <w:tcBorders>
              <w:tl2br w:val="nil"/>
              <w:tr2bl w:val="nil"/>
            </w:tcBorders>
            <w:noWrap w:val="0"/>
            <w:vAlign w:val="center"/>
          </w:tcPr>
          <w:p w14:paraId="38D90170">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环境质量</w:t>
            </w:r>
          </w:p>
        </w:tc>
        <w:tc>
          <w:tcPr>
            <w:tcW w:w="2377" w:type="dxa"/>
            <w:gridSpan w:val="4"/>
            <w:tcBorders>
              <w:tl2br w:val="nil"/>
              <w:tr2bl w:val="nil"/>
            </w:tcBorders>
            <w:noWrap w:val="0"/>
            <w:vAlign w:val="center"/>
          </w:tcPr>
          <w:p w14:paraId="2C19C36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污染源</w:t>
            </w:r>
          </w:p>
        </w:tc>
      </w:tr>
      <w:tr w14:paraId="1F529EB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8" w:type="dxa"/>
            <w:vMerge w:val="continue"/>
            <w:tcBorders>
              <w:tl2br w:val="nil"/>
              <w:tr2bl w:val="nil"/>
            </w:tcBorders>
            <w:noWrap w:val="0"/>
            <w:vAlign w:val="center"/>
          </w:tcPr>
          <w:p w14:paraId="138D436A">
            <w:pPr>
              <w:spacing w:line="300" w:lineRule="exact"/>
              <w:jc w:val="center"/>
              <w:rPr>
                <w:rFonts w:hint="default" w:ascii="Times New Roman" w:hAnsi="Times New Roman" w:eastAsia="华文中宋" w:cs="Times New Roman"/>
                <w:szCs w:val="21"/>
              </w:rPr>
            </w:pPr>
          </w:p>
        </w:tc>
        <w:tc>
          <w:tcPr>
            <w:tcW w:w="1267" w:type="dxa"/>
            <w:vMerge w:val="continue"/>
            <w:tcBorders>
              <w:tl2br w:val="nil"/>
              <w:tr2bl w:val="nil"/>
            </w:tcBorders>
            <w:noWrap w:val="0"/>
            <w:vAlign w:val="center"/>
          </w:tcPr>
          <w:p w14:paraId="39F6D2DA">
            <w:pPr>
              <w:spacing w:line="300" w:lineRule="exact"/>
              <w:jc w:val="center"/>
              <w:rPr>
                <w:rFonts w:hint="default" w:ascii="Times New Roman" w:hAnsi="Times New Roman" w:eastAsia="华文中宋" w:cs="Times New Roman"/>
                <w:szCs w:val="21"/>
              </w:rPr>
            </w:pPr>
          </w:p>
        </w:tc>
        <w:tc>
          <w:tcPr>
            <w:tcW w:w="2019" w:type="dxa"/>
            <w:gridSpan w:val="4"/>
            <w:tcBorders>
              <w:tl2br w:val="nil"/>
              <w:tr2bl w:val="nil"/>
            </w:tcBorders>
            <w:noWrap w:val="0"/>
            <w:vAlign w:val="center"/>
          </w:tcPr>
          <w:p w14:paraId="092A64D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监测方式</w:t>
            </w:r>
          </w:p>
        </w:tc>
        <w:tc>
          <w:tcPr>
            <w:tcW w:w="2395" w:type="dxa"/>
            <w:gridSpan w:val="5"/>
            <w:tcBorders>
              <w:tl2br w:val="nil"/>
              <w:tr2bl w:val="nil"/>
            </w:tcBorders>
            <w:noWrap w:val="0"/>
            <w:vAlign w:val="center"/>
          </w:tcPr>
          <w:p w14:paraId="1145718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手动</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；自动</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w:t>
            </w:r>
          </w:p>
          <w:p w14:paraId="15F5BCE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无监测</w:t>
            </w:r>
            <w:r>
              <w:rPr>
                <w:rFonts w:hint="eastAsia" w:ascii="Times New Roman" w:hAnsi="Times New Roman" w:eastAsia="华文中宋" w:cs="Times New Roman"/>
                <w:szCs w:val="21"/>
                <w:lang w:eastAsia="zh-CN"/>
              </w:rPr>
              <w:t>□</w:t>
            </w:r>
          </w:p>
        </w:tc>
        <w:tc>
          <w:tcPr>
            <w:tcW w:w="2377" w:type="dxa"/>
            <w:gridSpan w:val="4"/>
            <w:tcBorders>
              <w:tl2br w:val="nil"/>
              <w:tr2bl w:val="nil"/>
            </w:tcBorders>
            <w:noWrap w:val="0"/>
            <w:vAlign w:val="center"/>
          </w:tcPr>
          <w:p w14:paraId="42C852D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手动</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；自动□；</w:t>
            </w:r>
          </w:p>
          <w:p w14:paraId="403E997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无监测</w:t>
            </w:r>
            <w:r>
              <w:rPr>
                <w:rFonts w:hint="default" w:ascii="Times New Roman" w:hAnsi="Times New Roman" w:eastAsia="华文中宋" w:cs="Times New Roman"/>
                <w:szCs w:val="21"/>
                <w:lang w:eastAsia="zh-CN"/>
              </w:rPr>
              <w:t>□</w:t>
            </w:r>
          </w:p>
        </w:tc>
      </w:tr>
      <w:tr w14:paraId="2B1DB38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8" w:type="dxa"/>
            <w:vMerge w:val="continue"/>
            <w:tcBorders>
              <w:tl2br w:val="nil"/>
              <w:tr2bl w:val="nil"/>
            </w:tcBorders>
            <w:noWrap w:val="0"/>
            <w:vAlign w:val="center"/>
          </w:tcPr>
          <w:p w14:paraId="28DE2A46">
            <w:pPr>
              <w:spacing w:line="300" w:lineRule="exact"/>
              <w:jc w:val="center"/>
              <w:rPr>
                <w:rFonts w:hint="default" w:ascii="Times New Roman" w:hAnsi="Times New Roman" w:eastAsia="华文中宋" w:cs="Times New Roman"/>
                <w:szCs w:val="21"/>
              </w:rPr>
            </w:pPr>
          </w:p>
        </w:tc>
        <w:tc>
          <w:tcPr>
            <w:tcW w:w="1267" w:type="dxa"/>
            <w:vMerge w:val="continue"/>
            <w:tcBorders>
              <w:tl2br w:val="nil"/>
              <w:tr2bl w:val="nil"/>
            </w:tcBorders>
            <w:noWrap w:val="0"/>
            <w:vAlign w:val="center"/>
          </w:tcPr>
          <w:p w14:paraId="5A8A0EFA">
            <w:pPr>
              <w:spacing w:line="300" w:lineRule="exact"/>
              <w:jc w:val="center"/>
              <w:rPr>
                <w:rFonts w:hint="default" w:ascii="Times New Roman" w:hAnsi="Times New Roman" w:eastAsia="华文中宋" w:cs="Times New Roman"/>
                <w:szCs w:val="21"/>
              </w:rPr>
            </w:pPr>
          </w:p>
        </w:tc>
        <w:tc>
          <w:tcPr>
            <w:tcW w:w="2019" w:type="dxa"/>
            <w:gridSpan w:val="4"/>
            <w:tcBorders>
              <w:tl2br w:val="nil"/>
              <w:tr2bl w:val="nil"/>
            </w:tcBorders>
            <w:noWrap w:val="0"/>
            <w:vAlign w:val="center"/>
          </w:tcPr>
          <w:p w14:paraId="362376F0">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监测点位</w:t>
            </w:r>
          </w:p>
        </w:tc>
        <w:tc>
          <w:tcPr>
            <w:tcW w:w="2395" w:type="dxa"/>
            <w:gridSpan w:val="5"/>
            <w:tcBorders>
              <w:tl2br w:val="nil"/>
              <w:tr2bl w:val="nil"/>
            </w:tcBorders>
            <w:noWrap w:val="0"/>
            <w:vAlign w:val="center"/>
          </w:tcPr>
          <w:p w14:paraId="3BB2D0F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w:t>
            </w:r>
          </w:p>
        </w:tc>
        <w:tc>
          <w:tcPr>
            <w:tcW w:w="2377" w:type="dxa"/>
            <w:gridSpan w:val="4"/>
            <w:tcBorders>
              <w:tl2br w:val="nil"/>
              <w:tr2bl w:val="nil"/>
            </w:tcBorders>
            <w:noWrap w:val="0"/>
            <w:vAlign w:val="center"/>
          </w:tcPr>
          <w:p w14:paraId="3918885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w:t>
            </w:r>
            <w:r>
              <w:rPr>
                <w:rFonts w:hint="default" w:ascii="Times New Roman" w:hAnsi="Times New Roman" w:eastAsia="华文中宋" w:cs="Times New Roman"/>
                <w:szCs w:val="21"/>
                <w:lang w:val="en-US" w:eastAsia="zh-CN"/>
              </w:rPr>
              <w:t>厂区总排口</w:t>
            </w:r>
            <w:r>
              <w:rPr>
                <w:rFonts w:hint="default" w:ascii="Times New Roman" w:hAnsi="Times New Roman" w:eastAsia="华文中宋" w:cs="Times New Roman"/>
                <w:szCs w:val="21"/>
              </w:rPr>
              <w:t>）</w:t>
            </w:r>
          </w:p>
        </w:tc>
      </w:tr>
      <w:tr w14:paraId="0DA4605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8" w:type="dxa"/>
            <w:vMerge w:val="continue"/>
            <w:tcBorders>
              <w:tl2br w:val="nil"/>
              <w:tr2bl w:val="nil"/>
            </w:tcBorders>
            <w:noWrap w:val="0"/>
            <w:vAlign w:val="center"/>
          </w:tcPr>
          <w:p w14:paraId="34F48C93">
            <w:pPr>
              <w:spacing w:line="300" w:lineRule="exact"/>
              <w:jc w:val="center"/>
              <w:rPr>
                <w:rFonts w:hint="default" w:ascii="Times New Roman" w:hAnsi="Times New Roman" w:eastAsia="华文中宋" w:cs="Times New Roman"/>
                <w:szCs w:val="21"/>
              </w:rPr>
            </w:pPr>
          </w:p>
        </w:tc>
        <w:tc>
          <w:tcPr>
            <w:tcW w:w="1267" w:type="dxa"/>
            <w:vMerge w:val="continue"/>
            <w:tcBorders>
              <w:tl2br w:val="nil"/>
              <w:tr2bl w:val="nil"/>
            </w:tcBorders>
            <w:noWrap w:val="0"/>
            <w:vAlign w:val="center"/>
          </w:tcPr>
          <w:p w14:paraId="5A3BD9BA">
            <w:pPr>
              <w:spacing w:line="300" w:lineRule="exact"/>
              <w:jc w:val="center"/>
              <w:rPr>
                <w:rFonts w:hint="default" w:ascii="Times New Roman" w:hAnsi="Times New Roman" w:eastAsia="华文中宋" w:cs="Times New Roman"/>
                <w:szCs w:val="21"/>
              </w:rPr>
            </w:pPr>
          </w:p>
        </w:tc>
        <w:tc>
          <w:tcPr>
            <w:tcW w:w="2019" w:type="dxa"/>
            <w:gridSpan w:val="4"/>
            <w:tcBorders>
              <w:tl2br w:val="nil"/>
              <w:tr2bl w:val="nil"/>
            </w:tcBorders>
            <w:noWrap w:val="0"/>
            <w:vAlign w:val="center"/>
          </w:tcPr>
          <w:p w14:paraId="517808A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监测因子</w:t>
            </w:r>
          </w:p>
        </w:tc>
        <w:tc>
          <w:tcPr>
            <w:tcW w:w="2395" w:type="dxa"/>
            <w:gridSpan w:val="5"/>
            <w:tcBorders>
              <w:tl2br w:val="nil"/>
              <w:tr2bl w:val="nil"/>
            </w:tcBorders>
            <w:noWrap w:val="0"/>
            <w:vAlign w:val="center"/>
          </w:tcPr>
          <w:p w14:paraId="41757A67">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w:t>
            </w:r>
          </w:p>
        </w:tc>
        <w:tc>
          <w:tcPr>
            <w:tcW w:w="2377" w:type="dxa"/>
            <w:gridSpan w:val="4"/>
            <w:tcBorders>
              <w:tl2br w:val="nil"/>
              <w:tr2bl w:val="nil"/>
            </w:tcBorders>
            <w:noWrap w:val="0"/>
            <w:vAlign w:val="center"/>
          </w:tcPr>
          <w:p w14:paraId="19162B5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w:t>
            </w:r>
          </w:p>
        </w:tc>
      </w:tr>
      <w:tr w14:paraId="05C75F1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8" w:type="dxa"/>
            <w:vMerge w:val="continue"/>
            <w:tcBorders>
              <w:tl2br w:val="nil"/>
              <w:tr2bl w:val="nil"/>
            </w:tcBorders>
            <w:noWrap w:val="0"/>
            <w:vAlign w:val="center"/>
          </w:tcPr>
          <w:p w14:paraId="26A1DE09">
            <w:pPr>
              <w:spacing w:line="300" w:lineRule="exact"/>
              <w:jc w:val="center"/>
              <w:rPr>
                <w:rFonts w:hint="default" w:ascii="Times New Roman" w:hAnsi="Times New Roman" w:eastAsia="华文中宋" w:cs="Times New Roman"/>
                <w:szCs w:val="21"/>
              </w:rPr>
            </w:pPr>
          </w:p>
        </w:tc>
        <w:tc>
          <w:tcPr>
            <w:tcW w:w="1267" w:type="dxa"/>
            <w:tcBorders>
              <w:tl2br w:val="nil"/>
              <w:tr2bl w:val="nil"/>
            </w:tcBorders>
            <w:noWrap w:val="0"/>
            <w:vAlign w:val="center"/>
          </w:tcPr>
          <w:p w14:paraId="29DB7B8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污染物排放清单</w:t>
            </w:r>
          </w:p>
        </w:tc>
        <w:tc>
          <w:tcPr>
            <w:tcW w:w="6791" w:type="dxa"/>
            <w:gridSpan w:val="13"/>
            <w:tcBorders>
              <w:tl2br w:val="nil"/>
              <w:tr2bl w:val="nil"/>
            </w:tcBorders>
            <w:noWrap w:val="0"/>
            <w:vAlign w:val="center"/>
          </w:tcPr>
          <w:p w14:paraId="6A1D82D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w:t>
            </w:r>
          </w:p>
        </w:tc>
      </w:tr>
      <w:tr w14:paraId="0423447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725" w:type="dxa"/>
            <w:gridSpan w:val="2"/>
            <w:tcBorders>
              <w:tl2br w:val="nil"/>
              <w:tr2bl w:val="nil"/>
            </w:tcBorders>
            <w:noWrap w:val="0"/>
            <w:vAlign w:val="center"/>
          </w:tcPr>
          <w:p w14:paraId="3B13CB03">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评价结论</w:t>
            </w:r>
          </w:p>
        </w:tc>
        <w:tc>
          <w:tcPr>
            <w:tcW w:w="6791" w:type="dxa"/>
            <w:gridSpan w:val="13"/>
            <w:tcBorders>
              <w:tl2br w:val="nil"/>
              <w:tr2bl w:val="nil"/>
            </w:tcBorders>
            <w:noWrap w:val="0"/>
            <w:vAlign w:val="center"/>
          </w:tcPr>
          <w:p w14:paraId="14D24D57">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可以接受√；不可以接受□</w:t>
            </w:r>
          </w:p>
        </w:tc>
      </w:tr>
      <w:tr w14:paraId="680ABAF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516" w:type="dxa"/>
            <w:gridSpan w:val="15"/>
            <w:tcBorders>
              <w:tl2br w:val="nil"/>
              <w:tr2bl w:val="nil"/>
            </w:tcBorders>
            <w:noWrap w:val="0"/>
            <w:vAlign w:val="center"/>
          </w:tcPr>
          <w:p w14:paraId="7CCE9EE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注：“□”为勾选项，填“√”；“（）”为内容填写项</w:t>
            </w:r>
          </w:p>
        </w:tc>
      </w:tr>
    </w:tbl>
    <w:p w14:paraId="1A81D1B7">
      <w:pPr>
        <w:pStyle w:val="4"/>
        <w:spacing w:before="120" w:after="120" w:line="500" w:lineRule="exact"/>
        <w:rPr>
          <w:rFonts w:hint="default" w:ascii="Times New Roman" w:hAnsi="Times New Roman" w:eastAsia="华文中宋" w:cs="Times New Roman"/>
          <w:kern w:val="0"/>
          <w:sz w:val="24"/>
          <w:szCs w:val="24"/>
          <w:lang w:val="en-US" w:eastAsia="zh-CN"/>
        </w:rPr>
      </w:pPr>
      <w:bookmarkStart w:id="177" w:name="_Ref536438965"/>
      <w:bookmarkStart w:id="178" w:name="_Toc7059"/>
      <w:r>
        <w:rPr>
          <w:rFonts w:hint="default" w:ascii="Times New Roman" w:hAnsi="Times New Roman" w:eastAsia="华文中宋" w:cs="Times New Roman"/>
          <w:kern w:val="0"/>
          <w:sz w:val="24"/>
          <w:szCs w:val="24"/>
          <w:lang w:val="en-US" w:eastAsia="zh-CN"/>
        </w:rPr>
        <w:t>5.2.3地下水环境影响评</w:t>
      </w:r>
      <w:bookmarkEnd w:id="177"/>
      <w:r>
        <w:rPr>
          <w:rFonts w:hint="default" w:ascii="Times New Roman" w:hAnsi="Times New Roman" w:eastAsia="华文中宋" w:cs="Times New Roman"/>
          <w:kern w:val="0"/>
          <w:sz w:val="24"/>
          <w:szCs w:val="24"/>
          <w:lang w:val="en-US" w:eastAsia="zh-CN"/>
        </w:rPr>
        <w:t>价</w:t>
      </w:r>
      <w:bookmarkEnd w:id="178"/>
    </w:p>
    <w:p w14:paraId="358D5EB1">
      <w:pPr>
        <w:rPr>
          <w:rFonts w:hint="eastAsia" w:ascii="Times New Roman" w:hAnsi="Times New Roman" w:eastAsia="华文中宋" w:cs="Times New Roman"/>
          <w:b/>
          <w:bCs/>
          <w:kern w:val="0"/>
          <w:sz w:val="24"/>
          <w:szCs w:val="24"/>
          <w:lang w:val="en-US" w:eastAsia="zh-CN"/>
        </w:rPr>
      </w:pPr>
      <w:r>
        <w:rPr>
          <w:rFonts w:hint="eastAsia" w:ascii="Times New Roman" w:hAnsi="Times New Roman" w:eastAsia="华文中宋" w:cs="Times New Roman"/>
          <w:b/>
          <w:bCs/>
          <w:kern w:val="0"/>
          <w:sz w:val="24"/>
          <w:szCs w:val="24"/>
          <w:lang w:val="en-US" w:eastAsia="zh-CN"/>
        </w:rPr>
        <w:t>5.2.3.1包气带防污性能</w:t>
      </w:r>
    </w:p>
    <w:p w14:paraId="6E59CFF5">
      <w:pPr>
        <w:pStyle w:val="24"/>
        <w:snapToGrid w:val="0"/>
        <w:jc w:val="left"/>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建设项目场地的包气带防污性能按包气带中岩（土）层的分布情况分为强、中、弱三级，分级原则见表5.2-15。</w:t>
      </w:r>
    </w:p>
    <w:p w14:paraId="79CCF63E">
      <w:pPr>
        <w:adjustRightInd w:val="0"/>
        <w:snapToGrid w:val="0"/>
        <w:spacing w:before="250" w:beforeLines="50"/>
        <w:ind w:firstLine="422" w:firstLineChars="200"/>
        <w:jc w:val="center"/>
        <w:rPr>
          <w:rFonts w:hint="eastAsia" w:ascii="Times New Roman" w:hAnsi="Times New Roman" w:eastAsia="华文中宋" w:cs="Times New Roman"/>
          <w:b/>
          <w:szCs w:val="21"/>
          <w:lang w:val="en-US" w:eastAsia="zh-CN"/>
        </w:rPr>
      </w:pPr>
      <w:r>
        <w:rPr>
          <w:rFonts w:hint="eastAsia" w:ascii="Times New Roman" w:hAnsi="Times New Roman" w:eastAsia="华文中宋" w:cs="Times New Roman"/>
          <w:b/>
          <w:szCs w:val="21"/>
          <w:lang w:val="en-US" w:eastAsia="zh-CN"/>
        </w:rPr>
        <w:t>表5.2-15  包气带防污性能分级</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7805"/>
      </w:tblGrid>
      <w:tr w14:paraId="05F61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Align w:val="center"/>
          </w:tcPr>
          <w:p w14:paraId="3FE8AE1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分级</w:t>
            </w:r>
          </w:p>
        </w:tc>
        <w:tc>
          <w:tcPr>
            <w:tcW w:w="7805" w:type="dxa"/>
            <w:vAlign w:val="center"/>
          </w:tcPr>
          <w:p w14:paraId="7CD7596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包气带岩（土）的渗透性能</w:t>
            </w:r>
          </w:p>
        </w:tc>
      </w:tr>
      <w:tr w14:paraId="27566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Align w:val="center"/>
          </w:tcPr>
          <w:p w14:paraId="2FFCA8C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强</w:t>
            </w:r>
          </w:p>
        </w:tc>
        <w:tc>
          <w:tcPr>
            <w:tcW w:w="7805" w:type="dxa"/>
            <w:vAlign w:val="center"/>
          </w:tcPr>
          <w:p w14:paraId="3B88286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岩</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土</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层单层Mb</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1.0m，渗透系数K≤1x</w:t>
            </w:r>
            <w:r>
              <w:rPr>
                <w:rFonts w:hint="default" w:ascii="Times New Roman" w:hAnsi="Times New Roman" w:eastAsia="华文中宋" w:cs="Times New Roman"/>
                <w:szCs w:val="21"/>
                <w:vertAlign w:val="baseline"/>
                <w:lang w:val="en-US" w:eastAsia="zh-CN"/>
              </w:rPr>
              <w:t>10</w:t>
            </w:r>
            <w:r>
              <w:rPr>
                <w:rFonts w:hint="eastAsia" w:ascii="Times New Roman" w:hAnsi="Times New Roman" w:eastAsia="华文中宋" w:cs="Times New Roman"/>
                <w:szCs w:val="21"/>
                <w:vertAlign w:val="superscript"/>
                <w:lang w:val="en-US" w:eastAsia="zh-CN"/>
              </w:rPr>
              <w:t>-6</w:t>
            </w:r>
            <w:r>
              <w:rPr>
                <w:rFonts w:hint="default" w:ascii="Times New Roman" w:hAnsi="Times New Roman" w:eastAsia="华文中宋" w:cs="Times New Roman"/>
                <w:szCs w:val="21"/>
                <w:lang w:val="en-US" w:eastAsia="zh-CN"/>
              </w:rPr>
              <w:t>cm/s，且分布连续、稳定</w:t>
            </w:r>
          </w:p>
        </w:tc>
      </w:tr>
      <w:tr w14:paraId="7A059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Merge w:val="restart"/>
            <w:vAlign w:val="center"/>
          </w:tcPr>
          <w:p w14:paraId="78DB8D9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中</w:t>
            </w:r>
          </w:p>
        </w:tc>
        <w:tc>
          <w:tcPr>
            <w:tcW w:w="7805" w:type="dxa"/>
            <w:vAlign w:val="center"/>
          </w:tcPr>
          <w:p w14:paraId="648C415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岩</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土</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层单层0.5m≤Mb&lt;1.0m，渗透系数K≤1x10</w:t>
            </w:r>
            <w:r>
              <w:rPr>
                <w:rFonts w:hint="eastAsia" w:ascii="Times New Roman" w:hAnsi="Times New Roman" w:eastAsia="华文中宋" w:cs="Times New Roman"/>
                <w:szCs w:val="21"/>
                <w:vertAlign w:val="superscript"/>
                <w:lang w:val="en-US" w:eastAsia="zh-CN"/>
              </w:rPr>
              <w:t>-6</w:t>
            </w:r>
            <w:r>
              <w:rPr>
                <w:rFonts w:hint="default" w:ascii="Times New Roman" w:hAnsi="Times New Roman" w:eastAsia="华文中宋" w:cs="Times New Roman"/>
                <w:szCs w:val="21"/>
                <w:lang w:val="en-US" w:eastAsia="zh-CN"/>
              </w:rPr>
              <w:t>cm/s，且分布连续、稳定</w:t>
            </w:r>
          </w:p>
        </w:tc>
      </w:tr>
      <w:tr w14:paraId="5E47A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Merge w:val="continue"/>
            <w:vAlign w:val="center"/>
          </w:tcPr>
          <w:p w14:paraId="4F00EC8C">
            <w:pPr>
              <w:spacing w:line="300" w:lineRule="exact"/>
              <w:jc w:val="center"/>
              <w:rPr>
                <w:rFonts w:hint="default" w:ascii="Times New Roman" w:hAnsi="Times New Roman" w:eastAsia="华文中宋" w:cs="Times New Roman"/>
                <w:szCs w:val="21"/>
                <w:lang w:val="en-US" w:eastAsia="zh-CN"/>
              </w:rPr>
            </w:pPr>
          </w:p>
        </w:tc>
        <w:tc>
          <w:tcPr>
            <w:tcW w:w="7805" w:type="dxa"/>
            <w:vAlign w:val="center"/>
          </w:tcPr>
          <w:p w14:paraId="62DA34F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岩</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土</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层单层Mb&gt;1.0m，渗透系数10</w:t>
            </w:r>
            <w:r>
              <w:rPr>
                <w:rFonts w:hint="eastAsia" w:ascii="Times New Roman" w:hAnsi="Times New Roman" w:eastAsia="华文中宋" w:cs="Times New Roman"/>
                <w:szCs w:val="21"/>
                <w:vertAlign w:val="superscript"/>
                <w:lang w:val="en-US" w:eastAsia="zh-CN"/>
              </w:rPr>
              <w:t>-6</w:t>
            </w:r>
            <w:r>
              <w:rPr>
                <w:rFonts w:hint="default" w:ascii="Times New Roman" w:hAnsi="Times New Roman" w:eastAsia="华文中宋" w:cs="Times New Roman"/>
                <w:szCs w:val="21"/>
                <w:lang w:val="en-US" w:eastAsia="zh-CN"/>
              </w:rPr>
              <w:t>cm/s&lt;K≤1x10</w:t>
            </w:r>
            <w:r>
              <w:rPr>
                <w:rFonts w:hint="eastAsia" w:ascii="Times New Roman" w:hAnsi="Times New Roman" w:eastAsia="华文中宋" w:cs="Times New Roman"/>
                <w:szCs w:val="21"/>
                <w:vertAlign w:val="superscript"/>
                <w:lang w:val="en-US" w:eastAsia="zh-CN"/>
              </w:rPr>
              <w:t>-4</w:t>
            </w:r>
            <w:r>
              <w:rPr>
                <w:rFonts w:hint="default" w:ascii="Times New Roman" w:hAnsi="Times New Roman" w:eastAsia="华文中宋" w:cs="Times New Roman"/>
                <w:szCs w:val="21"/>
                <w:lang w:val="en-US" w:eastAsia="zh-CN"/>
              </w:rPr>
              <w:t>cm/s，且分布连续、稳定</w:t>
            </w:r>
          </w:p>
        </w:tc>
      </w:tr>
      <w:tr w14:paraId="5F7D0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Align w:val="center"/>
          </w:tcPr>
          <w:p w14:paraId="690C012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弱</w:t>
            </w:r>
          </w:p>
        </w:tc>
        <w:tc>
          <w:tcPr>
            <w:tcW w:w="7805" w:type="dxa"/>
            <w:vAlign w:val="center"/>
          </w:tcPr>
          <w:p w14:paraId="21A109E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岩</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土</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层厚度不满足上述“强”和“中”的条件</w:t>
            </w:r>
          </w:p>
        </w:tc>
      </w:tr>
    </w:tbl>
    <w:p w14:paraId="60685B6E">
      <w:pPr>
        <w:pStyle w:val="24"/>
        <w:snapToGrid w:val="0"/>
        <w:jc w:val="left"/>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由本项目水文地质条件可知：地下水埋深102m以上，第四系厚度在1～2m，基岩厚度≥102m，故Mb≥1.0m。渗透系数1.5m/d，即K＞1×10</w:t>
      </w:r>
      <w:r>
        <w:rPr>
          <w:rFonts w:hint="eastAsia" w:ascii="Times New Roman" w:hAnsi="Times New Roman" w:cs="Times New Roman"/>
          <w:color w:val="auto"/>
          <w:highlight w:val="none"/>
          <w:vertAlign w:val="superscript"/>
          <w:lang w:val="en-US" w:eastAsia="zh-CN"/>
        </w:rPr>
        <w:t>-4</w:t>
      </w:r>
      <w:r>
        <w:rPr>
          <w:rFonts w:hint="eastAsia" w:ascii="Times New Roman" w:hAnsi="Times New Roman" w:cs="Times New Roman"/>
          <w:color w:val="auto"/>
          <w:highlight w:val="none"/>
          <w:lang w:val="en-US" w:eastAsia="zh-CN"/>
        </w:rPr>
        <w:t>cm/s。综合判定项目区场地包气带防污性能为弱。</w:t>
      </w:r>
    </w:p>
    <w:p w14:paraId="64AF462F">
      <w:pPr>
        <w:pStyle w:val="24"/>
        <w:snapToGrid w:val="0"/>
        <w:ind w:left="0" w:leftChars="0" w:firstLine="0" w:firstLineChars="0"/>
        <w:jc w:val="left"/>
        <w:rPr>
          <w:rFonts w:hint="default" w:ascii="Times New Roman" w:hAnsi="Times New Roman" w:eastAsia="华文中宋" w:cs="Times New Roman"/>
          <w:b/>
          <w:bCs/>
          <w:color w:val="auto"/>
          <w:lang w:val="en-US" w:eastAsia="zh-CN"/>
        </w:rPr>
      </w:pPr>
      <w:r>
        <w:rPr>
          <w:rFonts w:hint="eastAsia" w:ascii="Times New Roman" w:hAnsi="Times New Roman" w:eastAsia="华文中宋" w:cs="Times New Roman"/>
          <w:b/>
          <w:bCs/>
          <w:color w:val="auto"/>
          <w:lang w:val="en-US" w:eastAsia="zh-CN"/>
        </w:rPr>
        <w:t>5.2.3.</w:t>
      </w:r>
      <w:r>
        <w:rPr>
          <w:rFonts w:hint="eastAsia" w:ascii="Times New Roman" w:hAnsi="Times New Roman" w:cs="Times New Roman"/>
          <w:b/>
          <w:bCs/>
          <w:color w:val="auto"/>
          <w:lang w:val="en-US" w:eastAsia="zh-CN"/>
        </w:rPr>
        <w:t>2</w:t>
      </w:r>
      <w:r>
        <w:rPr>
          <w:rFonts w:hint="eastAsia" w:ascii="Times New Roman" w:hAnsi="Times New Roman" w:eastAsia="华文中宋" w:cs="Times New Roman"/>
          <w:b/>
          <w:bCs/>
          <w:color w:val="auto"/>
          <w:lang w:val="en-US" w:eastAsia="zh-CN"/>
        </w:rPr>
        <w:t>区域水文地质条件情况</w:t>
      </w:r>
    </w:p>
    <w:p w14:paraId="0DDE7529">
      <w:pPr>
        <w:pStyle w:val="24"/>
        <w:snapToGrid w:val="0"/>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矿区所在区域南北自然条件差异较大，因此水文地质条件亦较为复杂，地下水类型较多，补、径、排方式多样，水化学变化明显。根据地下水赋存条件和水力性质，将区域地下水类型划分为第四系松散岩类孔隙水、基岩裂隙水和冻结层水三种类型。</w:t>
      </w:r>
    </w:p>
    <w:p w14:paraId="0C214256">
      <w:pPr>
        <w:pStyle w:val="24"/>
        <w:snapToGrid w:val="0"/>
        <w:jc w:val="left"/>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（1）基岩裂隙含水层</w:t>
      </w:r>
    </w:p>
    <w:p w14:paraId="698A9B35">
      <w:pPr>
        <w:pStyle w:val="24"/>
        <w:snapToGrid w:val="0"/>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主要分布在民丰县南部中低山区。大气降水、冰雪融水入渗是地下水的主要补给来源。基岩裂隙水赋存在古生界泥盆系、石炭系、二叠系和中生界侏罗系地层的裂隙及断裂破碎带中；地下水接受大气降水、冰雪融水的双重补给，径流以地表分水岭为界，分水岭以南多以侧向径流方式流入山间盆地或谷地；分水岭以北，由于地形切割强烈，地下水多在沟谷中出露成泉后入河或直接侧向补给河水，河水出山口补给北麓平原。基岩裂隙水水质良好，矿化度多小于1g/L，阴离子类型以SO</w:t>
      </w:r>
      <w:r>
        <w:rPr>
          <w:rFonts w:hint="default" w:ascii="Times New Roman" w:hAnsi="Times New Roman" w:cs="Times New Roman"/>
          <w:color w:val="auto"/>
          <w:highlight w:val="none"/>
          <w:vertAlign w:val="subscript"/>
          <w:lang w:val="en-US" w:eastAsia="zh-CN"/>
        </w:rPr>
        <w:t>4</w:t>
      </w:r>
      <w:r>
        <w:rPr>
          <w:rFonts w:hint="default" w:ascii="Times New Roman" w:hAnsi="Times New Roman" w:cs="Times New Roman"/>
          <w:color w:val="auto"/>
          <w:highlight w:val="none"/>
          <w:lang w:val="en-US" w:eastAsia="zh-CN"/>
        </w:rPr>
        <w:t>-Cl型为主。</w:t>
      </w:r>
    </w:p>
    <w:p w14:paraId="351DF4FF">
      <w:pPr>
        <w:pStyle w:val="24"/>
        <w:snapToGrid w:val="0"/>
        <w:jc w:val="left"/>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（2）第四系松散岩类透水不含水层</w:t>
      </w:r>
    </w:p>
    <w:p w14:paraId="619E8F69">
      <w:pPr>
        <w:pStyle w:val="24"/>
        <w:snapToGrid w:val="0"/>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主要分布在倾斜平原区和北部沙漠区，在南部山区的山间洼地有小面积分布。</w:t>
      </w:r>
    </w:p>
    <w:p w14:paraId="2F0396C9">
      <w:pPr>
        <w:pStyle w:val="24"/>
        <w:snapToGrid w:val="0"/>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1）倾斜平原区松散岩类孔隙水</w:t>
      </w:r>
    </w:p>
    <w:p w14:paraId="69B3D515">
      <w:pPr>
        <w:pStyle w:val="24"/>
        <w:snapToGrid w:val="0"/>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含水层时代以上更新统为主，岩性在洪积扇中上部为卵砾石、砂砾石，赋存孔隙潜水，至下部，颗粒逐渐变细，具有多层结构，赋存潜水和承压水，隔水层为亚粘土和粘土。各河流及两岸地带潜水含水层富水性一般为100-1000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/d，仅在尼雅河两岸地带富水性在1000-5000m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/d，其余地区潜水含水层富水性为&lt;100 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/d，矿化度多小于1g/L，类型以SO</w:t>
      </w:r>
      <w:r>
        <w:rPr>
          <w:rFonts w:hint="default" w:ascii="Times New Roman" w:hAnsi="Times New Roman" w:cs="Times New Roman"/>
          <w:color w:val="auto"/>
          <w:highlight w:val="none"/>
          <w:vertAlign w:val="subscript"/>
          <w:lang w:val="en-US" w:eastAsia="zh-CN"/>
        </w:rPr>
        <w:t>4</w:t>
      </w:r>
      <w:r>
        <w:rPr>
          <w:rFonts w:hint="default" w:ascii="Times New Roman" w:hAnsi="Times New Roman" w:cs="Times New Roman"/>
          <w:color w:val="auto"/>
          <w:highlight w:val="none"/>
          <w:lang w:val="en-US" w:eastAsia="zh-CN"/>
        </w:rPr>
        <w:t>Cl-Ga型为主。</w:t>
      </w:r>
    </w:p>
    <w:p w14:paraId="5E8C7744">
      <w:pPr>
        <w:pStyle w:val="24"/>
        <w:snapToGrid w:val="0"/>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2）沙漠区松散岩类孔隙水</w:t>
      </w:r>
    </w:p>
    <w:p w14:paraId="280F90FE">
      <w:pPr>
        <w:pStyle w:val="24"/>
        <w:snapToGrid w:val="0"/>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含水层岩性为粉砂及风积砂，潜水含水层富水性为小于250m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d。在北部沙漠区由于河水入渗是地下水唯一的补给源。不同季节，地下水的补给、迳流、排泄有较大差异。地下水径流总的方向由南向北缓慢流动，深层承压水和远离河道的潜水甚至呈停滞状态。地下水的排泄方式主要是潜水蒸发和植物蒸腾，由于水力坡度小，含水层颗粒细，并含较多盐分，蒸发强烈，因此地下水水质很差，矿化度大于1g/L，类型以SO</w:t>
      </w:r>
      <w:r>
        <w:rPr>
          <w:rFonts w:hint="default" w:ascii="Times New Roman" w:hAnsi="Times New Roman" w:cs="Times New Roman"/>
          <w:color w:val="auto"/>
          <w:highlight w:val="none"/>
          <w:vertAlign w:val="subscript"/>
          <w:lang w:val="en-US" w:eastAsia="zh-CN"/>
        </w:rPr>
        <w:t>4</w:t>
      </w:r>
      <w:r>
        <w:rPr>
          <w:rFonts w:hint="default" w:ascii="Times New Roman" w:hAnsi="Times New Roman" w:cs="Times New Roman"/>
          <w:color w:val="auto"/>
          <w:highlight w:val="none"/>
          <w:lang w:val="en-US" w:eastAsia="zh-CN"/>
        </w:rPr>
        <w:t>.Cl-Ca.Mg型为主。随着石油开发和塔克拉玛干沙漠绿色走廊的灌溉，地下水开采量不断增大，地下水的补给、迳流、排泄受人类开采的影响发生改变。</w:t>
      </w:r>
    </w:p>
    <w:p w14:paraId="2C33EFDC">
      <w:pPr>
        <w:pStyle w:val="24"/>
        <w:snapToGrid w:val="0"/>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3）山间洼地松散岩类孔隙水</w:t>
      </w:r>
    </w:p>
    <w:p w14:paraId="4B8F3364">
      <w:pPr>
        <w:pStyle w:val="24"/>
        <w:snapToGrid w:val="0"/>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主要赋存于盆地、谷地中的洪积、冲洪积砂砾石、卵砾石层中。山间洼地中央潜水含水层富水性为100-1000m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/d</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洼地周边地区潜水含水层富水性为&lt;100m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/d。补给来源为冰雪融水和大气降水入渗，径流途中，少部分被潜水面蒸发和植物蒸腾排泄，大部分流入湖泊后被水面蒸发。</w:t>
      </w:r>
    </w:p>
    <w:p w14:paraId="6B3CA134">
      <w:pPr>
        <w:pStyle w:val="24"/>
        <w:snapToGrid w:val="0"/>
        <w:jc w:val="left"/>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冻结层水</w:t>
      </w:r>
    </w:p>
    <w:p w14:paraId="642A1811">
      <w:pPr>
        <w:pStyle w:val="24"/>
        <w:snapToGrid w:val="0"/>
        <w:jc w:val="left"/>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冻结层水分布在南部中、高山区，含水层由海相碎屑岩、碳酸盐岩及第四系松散堆积物组成。含水层底板为多年冻土，上边界为潜水面，含水层厚度、结构等随季节变化，一般5-10月，季节性融冻层解冻，冻结层上含水层中地下水径流畅通，11月至翌年4月为封冻期，含水层介质被冻实，成为不透水层。地下水主要补给方式为大气降水入渗和山区冰雪融水入渗。地下水排泄方式为潜水面蒸发和转化为湖水后被湖面蒸发。地下水水质良好，矿化度多小于1g/L。</w:t>
      </w:r>
    </w:p>
    <w:p w14:paraId="2E89C048">
      <w:pPr>
        <w:pStyle w:val="24"/>
        <w:snapToGrid w:val="0"/>
        <w:jc w:val="left"/>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5.2.3.2项目区水文地质条件</w:t>
      </w:r>
    </w:p>
    <w:p w14:paraId="4905CB67">
      <w:pPr>
        <w:pStyle w:val="24"/>
        <w:snapToGrid w:val="0"/>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矿区所处的水文地质单元总体地势北西高南东低。区内地下水北侧、西侧以地表分水岭为补给边界，南侧、东侧以沟谷为边界，接受大气降水（雨、雪及高山融雪）及侧向径流补给，沿基岩裂隙或松散堆积体孔隙，从高处往低处径流，矿区处于水文地质单元中部。由于区域自然地理条件较为干旱，大气降水稀少，且矿区内矿床及围岩均为透水不含水层。故矿区水文地质单元属相对独立、封闭、贫水的水文地质区。综合分析，矿区边界水文地质条件可以归结为：北、西两侧为补给区，南侧、东侧为排泄区，地下水埋藏较深，对矿床及围岩影响较小。</w:t>
      </w:r>
      <w:r>
        <w:rPr>
          <w:rFonts w:hint="eastAsia" w:ascii="Times New Roman" w:hAnsi="Times New Roman" w:cs="Times New Roman"/>
          <w:color w:val="auto"/>
          <w:highlight w:val="none"/>
          <w:lang w:val="en-US" w:eastAsia="zh-CN"/>
        </w:rPr>
        <w:t>依据充水矿床复杂程度类型，确定矿区水文地质勘探复杂程度类型为第二型水文地质条件简单矿床。矿区构造纲要图见图5.2-1，矿区水文地质图见图5.2-2。</w:t>
      </w:r>
    </w:p>
    <w:p w14:paraId="545F0B57">
      <w:pPr>
        <w:adjustRightInd w:val="0"/>
        <w:snapToGrid w:val="0"/>
        <w:spacing w:before="250" w:beforeLines="50"/>
        <w:ind w:firstLine="422" w:firstLineChars="200"/>
        <w:jc w:val="center"/>
        <w:rPr>
          <w:rFonts w:hint="default" w:ascii="Times New Roman" w:hAnsi="Times New Roman" w:eastAsia="华文中宋" w:cs="Times New Roman"/>
          <w:b/>
          <w:szCs w:val="21"/>
          <w:highlight w:val="none"/>
          <w:lang w:val="en-US" w:eastAsia="zh-CN"/>
        </w:rPr>
      </w:pPr>
      <w:r>
        <w:rPr>
          <w:rFonts w:hint="eastAsia" w:ascii="Times New Roman" w:hAnsi="Times New Roman" w:eastAsia="华文中宋" w:cs="Times New Roman"/>
          <w:b/>
          <w:szCs w:val="21"/>
          <w:highlight w:val="none"/>
          <w:lang w:val="en-US" w:eastAsia="zh-CN"/>
        </w:rPr>
        <w:t>表5.2-16  矿床充水类型</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01"/>
        <w:gridCol w:w="1177"/>
        <w:gridCol w:w="2295"/>
        <w:gridCol w:w="1804"/>
        <w:gridCol w:w="1936"/>
      </w:tblGrid>
      <w:tr w14:paraId="430E4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noWrap w:val="0"/>
            <w:vAlign w:val="center"/>
          </w:tcPr>
          <w:p w14:paraId="2941A057">
            <w:pPr>
              <w:spacing w:line="0" w:lineRule="atLeast"/>
              <w:ind w:left="0" w:leftChars="0" w:firstLine="0" w:firstLineChars="0"/>
              <w:jc w:val="center"/>
              <w:rPr>
                <w:rFonts w:hint="eastAsia" w:ascii="宋体" w:hAnsi="宋体" w:eastAsia="宋体" w:cs="宋体"/>
                <w:b w:val="0"/>
                <w:bCs w:val="0"/>
                <w:color w:val="000000"/>
                <w:sz w:val="21"/>
                <w:szCs w:val="21"/>
                <w:highlight w:val="none"/>
                <w:lang w:eastAsia="zh-CN"/>
              </w:rPr>
            </w:pPr>
            <w:r>
              <w:rPr>
                <w:rFonts w:hint="eastAsia" w:ascii="宋体" w:hAnsi="宋体" w:eastAsia="宋体" w:cs="宋体"/>
                <w:b w:val="0"/>
                <w:bCs w:val="0"/>
                <w:color w:val="000000"/>
                <w:sz w:val="21"/>
                <w:szCs w:val="21"/>
                <w:highlight w:val="none"/>
                <w:lang w:eastAsia="zh-CN"/>
              </w:rPr>
              <w:t>类别</w:t>
            </w:r>
          </w:p>
        </w:tc>
        <w:tc>
          <w:tcPr>
            <w:tcW w:w="2088" w:type="pct"/>
            <w:gridSpan w:val="2"/>
            <w:noWrap w:val="0"/>
            <w:vAlign w:val="center"/>
          </w:tcPr>
          <w:p w14:paraId="608EB1BE">
            <w:pPr>
              <w:spacing w:line="0" w:lineRule="atLeast"/>
              <w:ind w:left="0" w:leftChars="0" w:firstLine="0" w:firstLineChars="0"/>
              <w:jc w:val="center"/>
              <w:rPr>
                <w:rFonts w:hint="default" w:ascii="宋体" w:hAnsi="宋体" w:eastAsia="宋体" w:cs="宋体"/>
                <w:b w:val="0"/>
                <w:bCs w:val="0"/>
                <w:color w:val="000000"/>
                <w:sz w:val="21"/>
                <w:szCs w:val="21"/>
                <w:highlight w:val="none"/>
                <w:lang w:val="en-US" w:eastAsia="zh-CN"/>
              </w:rPr>
            </w:pPr>
            <w:r>
              <w:rPr>
                <w:rFonts w:hint="eastAsia" w:ascii="宋体" w:hAnsi="宋体" w:eastAsia="宋体" w:cs="宋体"/>
                <w:b w:val="0"/>
                <w:bCs w:val="0"/>
                <w:color w:val="000000"/>
                <w:sz w:val="21"/>
                <w:szCs w:val="21"/>
                <w:highlight w:val="none"/>
                <w:lang w:eastAsia="zh-CN"/>
              </w:rPr>
              <w:t>矿床充水类型</w:t>
            </w:r>
          </w:p>
        </w:tc>
        <w:tc>
          <w:tcPr>
            <w:tcW w:w="2248" w:type="pct"/>
            <w:gridSpan w:val="2"/>
            <w:noWrap w:val="0"/>
            <w:vAlign w:val="center"/>
          </w:tcPr>
          <w:p w14:paraId="5119CB72">
            <w:pPr>
              <w:spacing w:line="0" w:lineRule="atLeast"/>
              <w:ind w:left="0" w:leftChars="0" w:firstLine="0" w:firstLineChars="0"/>
              <w:jc w:val="center"/>
              <w:rPr>
                <w:rFonts w:hint="eastAsia" w:ascii="宋体" w:hAnsi="宋体" w:eastAsia="宋体" w:cs="宋体"/>
                <w:b w:val="0"/>
                <w:bCs w:val="0"/>
                <w:color w:val="000000"/>
                <w:sz w:val="21"/>
                <w:szCs w:val="21"/>
                <w:highlight w:val="none"/>
                <w:lang w:eastAsia="zh-CN"/>
              </w:rPr>
            </w:pPr>
            <w:r>
              <w:rPr>
                <w:rFonts w:hint="eastAsia" w:ascii="宋体" w:hAnsi="宋体" w:eastAsia="宋体" w:cs="宋体"/>
                <w:b w:val="0"/>
                <w:bCs w:val="0"/>
                <w:color w:val="000000"/>
                <w:sz w:val="21"/>
                <w:szCs w:val="21"/>
                <w:highlight w:val="none"/>
                <w:lang w:eastAsia="zh-CN"/>
              </w:rPr>
              <w:t>主要充水含水层</w:t>
            </w:r>
          </w:p>
        </w:tc>
      </w:tr>
      <w:tr w14:paraId="48BD5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noWrap w:val="0"/>
            <w:vAlign w:val="center"/>
          </w:tcPr>
          <w:p w14:paraId="12BD29CD">
            <w:pPr>
              <w:spacing w:line="0" w:lineRule="atLeast"/>
              <w:ind w:left="0" w:leftChars="0" w:firstLine="0" w:firstLineChars="0"/>
              <w:jc w:val="center"/>
              <w:rPr>
                <w:rFonts w:hint="eastAsia" w:ascii="宋体" w:hAnsi="宋体" w:eastAsia="宋体" w:cs="宋体"/>
                <w:color w:val="000000"/>
                <w:w w:val="99"/>
                <w:sz w:val="21"/>
                <w:szCs w:val="21"/>
                <w:highlight w:val="none"/>
                <w:lang w:eastAsia="zh-CN"/>
              </w:rPr>
            </w:pPr>
            <w:r>
              <w:rPr>
                <w:rFonts w:hint="eastAsia" w:ascii="宋体" w:hAnsi="宋体" w:eastAsia="宋体" w:cs="宋体"/>
                <w:color w:val="000000"/>
                <w:sz w:val="21"/>
                <w:szCs w:val="21"/>
                <w:highlight w:val="none"/>
                <w:lang w:eastAsia="zh-CN"/>
              </w:rPr>
              <w:t>第一类</w:t>
            </w:r>
          </w:p>
        </w:tc>
        <w:tc>
          <w:tcPr>
            <w:tcW w:w="2088" w:type="pct"/>
            <w:gridSpan w:val="2"/>
            <w:noWrap w:val="0"/>
            <w:vAlign w:val="center"/>
          </w:tcPr>
          <w:p w14:paraId="5F2CEA91">
            <w:pPr>
              <w:spacing w:line="0" w:lineRule="atLeast"/>
              <w:ind w:left="0" w:leftChars="0" w:firstLine="0" w:firstLineChars="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孔隙充水矿床</w:t>
            </w:r>
          </w:p>
        </w:tc>
        <w:tc>
          <w:tcPr>
            <w:tcW w:w="2248" w:type="pct"/>
            <w:gridSpan w:val="2"/>
            <w:noWrap w:val="0"/>
            <w:vAlign w:val="center"/>
          </w:tcPr>
          <w:p w14:paraId="56DC0E0A">
            <w:pPr>
              <w:spacing w:line="0" w:lineRule="atLeast"/>
              <w:ind w:left="0" w:leftChars="0"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以孔隙含水层充水为主</w:t>
            </w:r>
          </w:p>
        </w:tc>
      </w:tr>
      <w:tr w14:paraId="13B68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noWrap w:val="0"/>
            <w:vAlign w:val="center"/>
          </w:tcPr>
          <w:p w14:paraId="568D9E26">
            <w:pPr>
              <w:spacing w:line="0" w:lineRule="atLeast"/>
              <w:ind w:left="0" w:leftChars="0" w:firstLine="0" w:firstLineChars="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第二类</w:t>
            </w:r>
          </w:p>
        </w:tc>
        <w:tc>
          <w:tcPr>
            <w:tcW w:w="2088" w:type="pct"/>
            <w:gridSpan w:val="2"/>
            <w:noWrap w:val="0"/>
            <w:vAlign w:val="center"/>
          </w:tcPr>
          <w:p w14:paraId="64EBBFAE">
            <w:pPr>
              <w:spacing w:line="0" w:lineRule="atLeast"/>
              <w:ind w:left="0" w:leftChars="0" w:firstLine="0" w:firstLineChars="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裂隙充水矿床</w:t>
            </w:r>
          </w:p>
        </w:tc>
        <w:tc>
          <w:tcPr>
            <w:tcW w:w="2248" w:type="pct"/>
            <w:gridSpan w:val="2"/>
            <w:noWrap w:val="0"/>
            <w:vAlign w:val="center"/>
          </w:tcPr>
          <w:p w14:paraId="6FB88812">
            <w:pPr>
              <w:spacing w:line="0" w:lineRule="atLeast"/>
              <w:ind w:left="0" w:leftChars="0" w:firstLine="0" w:firstLineChars="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以裂隙含水层充水为主</w:t>
            </w:r>
          </w:p>
        </w:tc>
      </w:tr>
      <w:tr w14:paraId="31AA8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vMerge w:val="restart"/>
            <w:noWrap w:val="0"/>
            <w:vAlign w:val="center"/>
          </w:tcPr>
          <w:p w14:paraId="05717E73">
            <w:pPr>
              <w:spacing w:line="0" w:lineRule="atLeast"/>
              <w:ind w:left="0" w:leftChars="0" w:firstLine="0" w:firstLineChars="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第三类</w:t>
            </w:r>
          </w:p>
        </w:tc>
        <w:tc>
          <w:tcPr>
            <w:tcW w:w="708" w:type="pct"/>
            <w:vMerge w:val="restart"/>
            <w:noWrap w:val="0"/>
            <w:vAlign w:val="center"/>
          </w:tcPr>
          <w:p w14:paraId="77C973AF">
            <w:pPr>
              <w:spacing w:line="0" w:lineRule="atLeast"/>
              <w:ind w:left="0" w:leftChars="0" w:firstLine="0" w:firstLineChars="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岩溶充水矿床</w:t>
            </w:r>
          </w:p>
        </w:tc>
        <w:tc>
          <w:tcPr>
            <w:tcW w:w="2465" w:type="pct"/>
            <w:gridSpan w:val="2"/>
            <w:noWrap w:val="0"/>
            <w:vAlign w:val="center"/>
          </w:tcPr>
          <w:p w14:paraId="48DFCB8A">
            <w:pPr>
              <w:spacing w:line="0" w:lineRule="atLeast"/>
              <w:ind w:left="0" w:leftChars="0" w:firstLine="0" w:firstLineChars="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第一亚类：溶蚀裂隙为主的岩溶充水矿床</w:t>
            </w:r>
          </w:p>
        </w:tc>
        <w:tc>
          <w:tcPr>
            <w:tcW w:w="1164" w:type="pct"/>
            <w:vMerge w:val="restart"/>
            <w:noWrap w:val="0"/>
            <w:vAlign w:val="center"/>
          </w:tcPr>
          <w:p w14:paraId="3BB90C6C">
            <w:pPr>
              <w:spacing w:line="0" w:lineRule="atLeast"/>
              <w:ind w:left="0" w:leftChars="0" w:firstLine="0" w:firstLineChars="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以岩溶含水层充水为主</w:t>
            </w:r>
          </w:p>
        </w:tc>
      </w:tr>
      <w:tr w14:paraId="463B5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vMerge w:val="continue"/>
            <w:noWrap w:val="0"/>
            <w:vAlign w:val="center"/>
          </w:tcPr>
          <w:p w14:paraId="0711BF92">
            <w:pPr>
              <w:spacing w:line="0" w:lineRule="atLeast"/>
              <w:ind w:left="0" w:leftChars="0" w:firstLine="0" w:firstLineChars="0"/>
              <w:jc w:val="center"/>
              <w:rPr>
                <w:rFonts w:hint="eastAsia" w:ascii="宋体" w:hAnsi="宋体" w:eastAsia="宋体" w:cs="宋体"/>
                <w:color w:val="000000"/>
                <w:sz w:val="21"/>
                <w:szCs w:val="21"/>
                <w:highlight w:val="none"/>
                <w:lang w:eastAsia="zh-CN"/>
              </w:rPr>
            </w:pPr>
          </w:p>
        </w:tc>
        <w:tc>
          <w:tcPr>
            <w:tcW w:w="708" w:type="pct"/>
            <w:vMerge w:val="continue"/>
            <w:noWrap w:val="0"/>
            <w:vAlign w:val="center"/>
          </w:tcPr>
          <w:p w14:paraId="10FAF0E5">
            <w:pPr>
              <w:spacing w:line="0" w:lineRule="atLeast"/>
              <w:ind w:left="0" w:leftChars="0" w:firstLine="0" w:firstLineChars="0"/>
              <w:jc w:val="center"/>
              <w:rPr>
                <w:rFonts w:hint="eastAsia" w:ascii="宋体" w:hAnsi="宋体" w:eastAsia="宋体" w:cs="宋体"/>
                <w:color w:val="000000"/>
                <w:sz w:val="21"/>
                <w:szCs w:val="21"/>
                <w:highlight w:val="none"/>
                <w:lang w:eastAsia="zh-CN"/>
              </w:rPr>
            </w:pPr>
          </w:p>
        </w:tc>
        <w:tc>
          <w:tcPr>
            <w:tcW w:w="2465" w:type="pct"/>
            <w:gridSpan w:val="2"/>
            <w:noWrap w:val="0"/>
            <w:vAlign w:val="center"/>
          </w:tcPr>
          <w:p w14:paraId="5769DCDB">
            <w:pPr>
              <w:spacing w:line="0" w:lineRule="atLeast"/>
              <w:ind w:left="0" w:leftChars="0" w:firstLine="0" w:firstLineChars="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第二亚类：溶洞为主的岩溶充水矿床</w:t>
            </w:r>
          </w:p>
        </w:tc>
        <w:tc>
          <w:tcPr>
            <w:tcW w:w="1164" w:type="pct"/>
            <w:vMerge w:val="continue"/>
            <w:noWrap w:val="0"/>
            <w:vAlign w:val="center"/>
          </w:tcPr>
          <w:p w14:paraId="1C57B3B1">
            <w:pPr>
              <w:spacing w:line="0" w:lineRule="atLeast"/>
              <w:ind w:left="0" w:leftChars="0" w:firstLine="0" w:firstLineChars="0"/>
              <w:jc w:val="center"/>
              <w:rPr>
                <w:rFonts w:hint="eastAsia" w:ascii="宋体" w:hAnsi="宋体" w:eastAsia="宋体" w:cs="宋体"/>
                <w:color w:val="000000"/>
                <w:sz w:val="21"/>
                <w:szCs w:val="21"/>
                <w:highlight w:val="none"/>
                <w:lang w:eastAsia="zh-CN"/>
              </w:rPr>
            </w:pPr>
          </w:p>
        </w:tc>
      </w:tr>
      <w:tr w14:paraId="46433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vMerge w:val="continue"/>
            <w:noWrap w:val="0"/>
            <w:vAlign w:val="center"/>
          </w:tcPr>
          <w:p w14:paraId="4D66C97C">
            <w:pPr>
              <w:spacing w:line="0" w:lineRule="atLeast"/>
              <w:ind w:left="0" w:leftChars="0" w:firstLine="0" w:firstLineChars="0"/>
              <w:jc w:val="center"/>
              <w:rPr>
                <w:rFonts w:hint="eastAsia" w:ascii="宋体" w:hAnsi="宋体" w:eastAsia="宋体" w:cs="宋体"/>
                <w:color w:val="000000"/>
                <w:sz w:val="21"/>
                <w:szCs w:val="21"/>
                <w:highlight w:val="none"/>
                <w:lang w:eastAsia="zh-CN"/>
              </w:rPr>
            </w:pPr>
          </w:p>
        </w:tc>
        <w:tc>
          <w:tcPr>
            <w:tcW w:w="708" w:type="pct"/>
            <w:vMerge w:val="continue"/>
            <w:noWrap w:val="0"/>
            <w:vAlign w:val="center"/>
          </w:tcPr>
          <w:p w14:paraId="01D1D313">
            <w:pPr>
              <w:spacing w:line="0" w:lineRule="atLeast"/>
              <w:ind w:left="0" w:leftChars="0" w:firstLine="0" w:firstLineChars="0"/>
              <w:jc w:val="center"/>
              <w:rPr>
                <w:rFonts w:hint="default" w:ascii="宋体" w:hAnsi="宋体" w:eastAsia="宋体" w:cs="宋体"/>
                <w:color w:val="000000"/>
                <w:sz w:val="21"/>
                <w:szCs w:val="21"/>
                <w:highlight w:val="none"/>
                <w:lang w:val="en-US" w:eastAsia="zh-CN"/>
              </w:rPr>
            </w:pPr>
          </w:p>
        </w:tc>
        <w:tc>
          <w:tcPr>
            <w:tcW w:w="2465" w:type="pct"/>
            <w:gridSpan w:val="2"/>
            <w:noWrap w:val="0"/>
            <w:vAlign w:val="center"/>
          </w:tcPr>
          <w:p w14:paraId="2A26CA2C">
            <w:pPr>
              <w:spacing w:line="0" w:lineRule="atLeast"/>
              <w:ind w:left="0" w:leftChars="0" w:firstLine="0" w:firstLineChars="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第三亚类：地下河为主的岩溶充水矿床</w:t>
            </w:r>
          </w:p>
        </w:tc>
        <w:tc>
          <w:tcPr>
            <w:tcW w:w="1164" w:type="pct"/>
            <w:vMerge w:val="continue"/>
            <w:noWrap w:val="0"/>
            <w:vAlign w:val="center"/>
          </w:tcPr>
          <w:p w14:paraId="23A3F5E7">
            <w:pPr>
              <w:spacing w:line="0" w:lineRule="atLeast"/>
              <w:ind w:left="0" w:leftChars="0" w:firstLine="0" w:firstLineChars="0"/>
              <w:jc w:val="center"/>
              <w:rPr>
                <w:rFonts w:hint="eastAsia" w:ascii="宋体" w:hAnsi="宋体" w:eastAsia="宋体" w:cs="宋体"/>
                <w:color w:val="000000"/>
                <w:sz w:val="21"/>
                <w:szCs w:val="21"/>
                <w:highlight w:val="none"/>
              </w:rPr>
            </w:pPr>
          </w:p>
        </w:tc>
      </w:tr>
    </w:tbl>
    <w:p w14:paraId="27B135B8">
      <w:pPr>
        <w:adjustRightInd w:val="0"/>
        <w:snapToGrid w:val="0"/>
        <w:spacing w:before="250" w:beforeLines="50"/>
        <w:ind w:firstLine="422" w:firstLineChars="200"/>
        <w:jc w:val="center"/>
        <w:rPr>
          <w:rFonts w:hint="default" w:ascii="Times New Roman" w:hAnsi="Times New Roman" w:eastAsia="华文中宋" w:cs="Times New Roman"/>
          <w:b/>
          <w:szCs w:val="21"/>
          <w:highlight w:val="none"/>
          <w:lang w:val="en-US" w:eastAsia="zh-CN"/>
        </w:rPr>
      </w:pPr>
      <w:r>
        <w:rPr>
          <w:rFonts w:hint="eastAsia" w:ascii="Times New Roman" w:hAnsi="Times New Roman" w:eastAsia="华文中宋" w:cs="Times New Roman"/>
          <w:b/>
          <w:szCs w:val="21"/>
          <w:highlight w:val="none"/>
          <w:lang w:val="en-US" w:eastAsia="zh-CN"/>
        </w:rPr>
        <w:t>表5.2-17  充水矿床复杂程度类型</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47"/>
        <w:gridCol w:w="2388"/>
        <w:gridCol w:w="2239"/>
        <w:gridCol w:w="2039"/>
      </w:tblGrid>
      <w:tr w14:paraId="500AD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4" w:hRule="exact"/>
          <w:jc w:val="center"/>
        </w:trPr>
        <w:tc>
          <w:tcPr>
            <w:tcW w:w="990" w:type="pct"/>
            <w:noWrap w:val="0"/>
            <w:vAlign w:val="center"/>
          </w:tcPr>
          <w:p w14:paraId="2CFE14B2">
            <w:pPr>
              <w:spacing w:line="0" w:lineRule="atLeast"/>
              <w:ind w:left="0" w:leftChars="0" w:firstLine="0" w:firstLineChars="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划分依据</w:t>
            </w:r>
          </w:p>
        </w:tc>
        <w:tc>
          <w:tcPr>
            <w:tcW w:w="1436" w:type="pct"/>
            <w:noWrap w:val="0"/>
            <w:vAlign w:val="center"/>
          </w:tcPr>
          <w:p w14:paraId="2A3DE30B">
            <w:pPr>
              <w:spacing w:line="0" w:lineRule="atLeast"/>
              <w:ind w:left="0" w:leftChars="0" w:firstLine="0" w:firstLineChars="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第一型水文地质条件简单矿床</w:t>
            </w:r>
          </w:p>
        </w:tc>
        <w:tc>
          <w:tcPr>
            <w:tcW w:w="1346" w:type="pct"/>
            <w:noWrap w:val="0"/>
            <w:vAlign w:val="center"/>
          </w:tcPr>
          <w:p w14:paraId="4CCC0868">
            <w:pPr>
              <w:spacing w:line="0" w:lineRule="atLeast"/>
              <w:ind w:left="0" w:leftChars="0" w:firstLine="0" w:firstLineChars="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第二型水文地质条件中等矿床</w:t>
            </w:r>
          </w:p>
        </w:tc>
        <w:tc>
          <w:tcPr>
            <w:tcW w:w="1226" w:type="pct"/>
            <w:noWrap w:val="0"/>
            <w:vAlign w:val="center"/>
          </w:tcPr>
          <w:p w14:paraId="00839687">
            <w:pPr>
              <w:spacing w:line="0" w:lineRule="atLeast"/>
              <w:ind w:left="0" w:leftChars="0" w:firstLine="0" w:firstLineChars="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第三型水文地质条件</w:t>
            </w:r>
          </w:p>
          <w:p w14:paraId="368493CA">
            <w:pPr>
              <w:spacing w:line="0" w:lineRule="atLeast"/>
              <w:ind w:left="0" w:leftChars="0" w:firstLine="0" w:firstLineChars="0"/>
              <w:jc w:val="both"/>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复杂矿床</w:t>
            </w:r>
          </w:p>
        </w:tc>
      </w:tr>
      <w:tr w14:paraId="51677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990" w:type="pct"/>
            <w:noWrap w:val="0"/>
            <w:vAlign w:val="center"/>
          </w:tcPr>
          <w:p w14:paraId="13EDA6F7">
            <w:pPr>
              <w:spacing w:line="0" w:lineRule="atLeast"/>
              <w:ind w:left="0" w:leftChars="0" w:firstLine="0" w:firstLineChars="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矿床的排水条件、地表水体与矿体的关系</w:t>
            </w:r>
          </w:p>
        </w:tc>
        <w:tc>
          <w:tcPr>
            <w:tcW w:w="1436" w:type="pct"/>
            <w:noWrap w:val="0"/>
            <w:vAlign w:val="center"/>
          </w:tcPr>
          <w:p w14:paraId="2E9C1BF8">
            <w:pPr>
              <w:spacing w:line="0" w:lineRule="atLeast"/>
              <w:ind w:left="0" w:leftChars="0" w:firstLine="0" w:firstLineChars="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主要矿体位于当地侵蚀基准面以上，地形有利于自然排水；主要矿体位于当地侵蚀基准面以下，附近无地表水体</w:t>
            </w:r>
          </w:p>
        </w:tc>
        <w:tc>
          <w:tcPr>
            <w:tcW w:w="1346" w:type="pct"/>
            <w:noWrap w:val="0"/>
            <w:vAlign w:val="center"/>
          </w:tcPr>
          <w:p w14:paraId="0A7D0E97">
            <w:pPr>
              <w:spacing w:line="0" w:lineRule="atLeast"/>
              <w:ind w:left="0" w:leftChars="0" w:firstLine="0" w:firstLineChars="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主要矿体位于当地侵蚀基准面以下，附近地表水不构成矿床的主要充水因素</w:t>
            </w:r>
          </w:p>
        </w:tc>
        <w:tc>
          <w:tcPr>
            <w:tcW w:w="1226" w:type="pct"/>
            <w:noWrap w:val="0"/>
            <w:vAlign w:val="center"/>
          </w:tcPr>
          <w:p w14:paraId="207FF746">
            <w:pPr>
              <w:spacing w:line="0" w:lineRule="atLeast"/>
              <w:ind w:left="0" w:leftChars="0" w:firstLine="0" w:firstLineChars="0"/>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主要矿体位于当地侵蚀基准面以下；附近存在较大的地表水体且与地下水水力联系密切；</w:t>
            </w:r>
          </w:p>
          <w:p w14:paraId="0316F4AA">
            <w:pPr>
              <w:spacing w:line="0" w:lineRule="atLeast"/>
              <w:ind w:left="0" w:leftChars="0" w:firstLine="0" w:firstLineChars="0"/>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地质构造复杂，存在沟通区域性强含水层（带）</w:t>
            </w:r>
          </w:p>
          <w:p w14:paraId="76CAA748">
            <w:pPr>
              <w:spacing w:line="0" w:lineRule="atLeast"/>
              <w:ind w:left="0" w:leftChars="0" w:firstLine="0" w:firstLineChars="0"/>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的强导水构造</w:t>
            </w:r>
          </w:p>
        </w:tc>
      </w:tr>
      <w:tr w14:paraId="6EE1B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990" w:type="pct"/>
            <w:noWrap w:val="0"/>
            <w:vAlign w:val="center"/>
          </w:tcPr>
          <w:p w14:paraId="3A6E3A23">
            <w:pPr>
              <w:spacing w:line="0" w:lineRule="atLeast"/>
              <w:ind w:left="0" w:leftChars="0" w:firstLine="0" w:firstLineChars="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主要充水含水层的补给条件</w:t>
            </w:r>
          </w:p>
        </w:tc>
        <w:tc>
          <w:tcPr>
            <w:tcW w:w="1436" w:type="pct"/>
            <w:noWrap w:val="0"/>
            <w:vAlign w:val="center"/>
          </w:tcPr>
          <w:p w14:paraId="6BB49CDB">
            <w:pPr>
              <w:spacing w:line="0" w:lineRule="atLeast"/>
              <w:ind w:left="0" w:leftChars="0" w:firstLine="0" w:firstLineChars="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差</w:t>
            </w:r>
          </w:p>
        </w:tc>
        <w:tc>
          <w:tcPr>
            <w:tcW w:w="1346" w:type="pct"/>
            <w:noWrap w:val="0"/>
            <w:vAlign w:val="center"/>
          </w:tcPr>
          <w:p w14:paraId="77A01D50">
            <w:pPr>
              <w:spacing w:line="0" w:lineRule="atLeast"/>
              <w:ind w:left="0" w:leftChars="0" w:firstLine="0" w:firstLineChars="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一般</w:t>
            </w:r>
          </w:p>
        </w:tc>
        <w:tc>
          <w:tcPr>
            <w:tcW w:w="1226" w:type="pct"/>
            <w:noWrap w:val="0"/>
            <w:vAlign w:val="center"/>
          </w:tcPr>
          <w:p w14:paraId="785FBB89">
            <w:pPr>
              <w:spacing w:line="0" w:lineRule="atLeast"/>
              <w:ind w:left="0" w:leftChars="0" w:firstLine="0" w:firstLineChars="0"/>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好</w:t>
            </w:r>
          </w:p>
        </w:tc>
      </w:tr>
      <w:tr w14:paraId="7C3BB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0" w:type="pct"/>
            <w:noWrap w:val="0"/>
            <w:vAlign w:val="center"/>
          </w:tcPr>
          <w:p w14:paraId="453A26AA">
            <w:pPr>
              <w:spacing w:line="0" w:lineRule="atLeast"/>
              <w:ind w:left="0" w:leftChars="0" w:firstLine="0" w:firstLineChars="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第四系覆盖</w:t>
            </w:r>
          </w:p>
        </w:tc>
        <w:tc>
          <w:tcPr>
            <w:tcW w:w="1436" w:type="pct"/>
            <w:noWrap w:val="0"/>
            <w:vAlign w:val="center"/>
          </w:tcPr>
          <w:p w14:paraId="0189C750">
            <w:pPr>
              <w:spacing w:line="0" w:lineRule="atLeast"/>
              <w:ind w:left="0" w:leftChars="0" w:firstLine="0" w:firstLineChars="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很少或无第四系覆盖</w:t>
            </w:r>
          </w:p>
        </w:tc>
        <w:tc>
          <w:tcPr>
            <w:tcW w:w="1346" w:type="pct"/>
            <w:noWrap w:val="0"/>
            <w:vAlign w:val="center"/>
          </w:tcPr>
          <w:p w14:paraId="1C4A5DAE">
            <w:pPr>
              <w:spacing w:line="0" w:lineRule="atLeast"/>
              <w:ind w:left="0" w:leftChars="0" w:firstLine="0" w:firstLineChars="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第四系覆盖面积小且薄</w:t>
            </w:r>
          </w:p>
        </w:tc>
        <w:tc>
          <w:tcPr>
            <w:tcW w:w="1226" w:type="pct"/>
            <w:noWrap w:val="0"/>
            <w:vAlign w:val="center"/>
          </w:tcPr>
          <w:p w14:paraId="7F6ACA4B">
            <w:pPr>
              <w:spacing w:line="0" w:lineRule="atLeast"/>
              <w:ind w:left="0" w:leftChars="0" w:firstLine="0" w:firstLineChars="0"/>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第四系覆盖面积大，含水层分布广</w:t>
            </w:r>
          </w:p>
        </w:tc>
      </w:tr>
      <w:tr w14:paraId="55B7F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atLeast"/>
          <w:jc w:val="center"/>
        </w:trPr>
        <w:tc>
          <w:tcPr>
            <w:tcW w:w="990" w:type="pct"/>
            <w:noWrap w:val="0"/>
            <w:vAlign w:val="center"/>
          </w:tcPr>
          <w:p w14:paraId="1C9CE2A0">
            <w:pPr>
              <w:spacing w:line="0" w:lineRule="atLeast"/>
              <w:ind w:left="0" w:leftChars="0" w:firstLine="0" w:firstLineChars="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水文地质边界条件</w:t>
            </w:r>
          </w:p>
        </w:tc>
        <w:tc>
          <w:tcPr>
            <w:tcW w:w="1436" w:type="pct"/>
            <w:noWrap w:val="0"/>
            <w:vAlign w:val="center"/>
          </w:tcPr>
          <w:p w14:paraId="6B042744">
            <w:pPr>
              <w:spacing w:line="0" w:lineRule="atLeast"/>
              <w:ind w:left="0" w:leftChars="0" w:firstLine="0" w:firstLineChars="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简单</w:t>
            </w:r>
          </w:p>
        </w:tc>
        <w:tc>
          <w:tcPr>
            <w:tcW w:w="1346" w:type="pct"/>
            <w:noWrap w:val="0"/>
            <w:vAlign w:val="center"/>
          </w:tcPr>
          <w:p w14:paraId="36E8C5BC">
            <w:pPr>
              <w:spacing w:line="0" w:lineRule="atLeast"/>
              <w:ind w:left="0" w:leftChars="0" w:firstLine="0" w:firstLineChars="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中等</w:t>
            </w:r>
          </w:p>
        </w:tc>
        <w:tc>
          <w:tcPr>
            <w:tcW w:w="1226" w:type="pct"/>
            <w:noWrap w:val="0"/>
            <w:vAlign w:val="center"/>
          </w:tcPr>
          <w:p w14:paraId="5F1CA24A">
            <w:pPr>
              <w:spacing w:line="0" w:lineRule="atLeast"/>
              <w:ind w:left="0" w:leftChars="0" w:firstLine="0" w:firstLineChars="0"/>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复杂</w:t>
            </w:r>
          </w:p>
        </w:tc>
      </w:tr>
      <w:tr w14:paraId="75981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9" w:hRule="atLeast"/>
          <w:jc w:val="center"/>
        </w:trPr>
        <w:tc>
          <w:tcPr>
            <w:tcW w:w="990" w:type="pct"/>
            <w:noWrap w:val="0"/>
            <w:vAlign w:val="center"/>
          </w:tcPr>
          <w:p w14:paraId="379825D5">
            <w:pPr>
              <w:spacing w:line="0" w:lineRule="atLeast"/>
              <w:ind w:left="0" w:leftChars="0" w:firstLine="0" w:firstLineChars="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充水含水层富水性</w:t>
            </w:r>
          </w:p>
        </w:tc>
        <w:tc>
          <w:tcPr>
            <w:tcW w:w="1436" w:type="pct"/>
            <w:noWrap w:val="0"/>
            <w:vAlign w:val="center"/>
          </w:tcPr>
          <w:p w14:paraId="2341BE1E">
            <w:pPr>
              <w:spacing w:line="0" w:lineRule="atLeast"/>
              <w:ind w:left="0" w:leftChars="0" w:firstLine="0" w:firstLineChars="0"/>
              <w:jc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eastAsia="zh-CN"/>
              </w:rPr>
              <w:t>弱</w:t>
            </w:r>
          </w:p>
        </w:tc>
        <w:tc>
          <w:tcPr>
            <w:tcW w:w="1346" w:type="pct"/>
            <w:noWrap w:val="0"/>
            <w:vAlign w:val="center"/>
          </w:tcPr>
          <w:p w14:paraId="156B9A54">
            <w:pPr>
              <w:spacing w:line="0" w:lineRule="atLeast"/>
              <w:ind w:left="0" w:leftChars="0" w:firstLine="0" w:firstLineChars="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中等</w:t>
            </w:r>
          </w:p>
        </w:tc>
        <w:tc>
          <w:tcPr>
            <w:tcW w:w="1226" w:type="pct"/>
            <w:noWrap w:val="0"/>
            <w:vAlign w:val="center"/>
          </w:tcPr>
          <w:p w14:paraId="4BC468DA">
            <w:pPr>
              <w:spacing w:line="0" w:lineRule="atLeast"/>
              <w:ind w:left="0" w:leftChars="0" w:firstLine="0" w:firstLineChars="0"/>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强</w:t>
            </w:r>
          </w:p>
        </w:tc>
      </w:tr>
      <w:tr w14:paraId="6E1E8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2" w:hRule="atLeast"/>
          <w:jc w:val="center"/>
        </w:trPr>
        <w:tc>
          <w:tcPr>
            <w:tcW w:w="990" w:type="pct"/>
            <w:noWrap w:val="0"/>
            <w:vAlign w:val="center"/>
          </w:tcPr>
          <w:p w14:paraId="75380BBE">
            <w:pPr>
              <w:spacing w:line="0" w:lineRule="atLeast"/>
              <w:ind w:left="0" w:leftChars="0" w:firstLine="0" w:firstLineChars="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隔水性能</w:t>
            </w:r>
          </w:p>
        </w:tc>
        <w:tc>
          <w:tcPr>
            <w:tcW w:w="1436" w:type="pct"/>
            <w:noWrap w:val="0"/>
            <w:vAlign w:val="center"/>
          </w:tcPr>
          <w:p w14:paraId="2F137497">
            <w:pPr>
              <w:spacing w:line="0" w:lineRule="atLeast"/>
              <w:ind w:left="0" w:leftChars="0" w:firstLine="0" w:firstLineChars="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存在良好隔水层</w:t>
            </w:r>
          </w:p>
        </w:tc>
        <w:tc>
          <w:tcPr>
            <w:tcW w:w="1346" w:type="pct"/>
            <w:noWrap w:val="0"/>
            <w:vAlign w:val="center"/>
          </w:tcPr>
          <w:p w14:paraId="09161032">
            <w:pPr>
              <w:spacing w:line="0" w:lineRule="atLeast"/>
              <w:ind w:left="0" w:leftChars="0" w:firstLine="0" w:firstLineChars="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无强导水构造</w:t>
            </w:r>
          </w:p>
        </w:tc>
        <w:tc>
          <w:tcPr>
            <w:tcW w:w="1226" w:type="pct"/>
            <w:noWrap w:val="0"/>
            <w:vAlign w:val="center"/>
          </w:tcPr>
          <w:p w14:paraId="7DA446A2">
            <w:pPr>
              <w:spacing w:line="0" w:lineRule="atLeast"/>
              <w:ind w:left="0" w:leftChars="0" w:firstLine="0" w:firstLineChars="0"/>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存在强导水构造沟通充水含水层</w:t>
            </w:r>
          </w:p>
        </w:tc>
      </w:tr>
      <w:tr w14:paraId="7D262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1" w:hRule="exact"/>
          <w:jc w:val="center"/>
        </w:trPr>
        <w:tc>
          <w:tcPr>
            <w:tcW w:w="990" w:type="pct"/>
            <w:noWrap w:val="0"/>
            <w:vAlign w:val="center"/>
          </w:tcPr>
          <w:p w14:paraId="2B02D021">
            <w:pPr>
              <w:spacing w:line="0" w:lineRule="atLeast"/>
              <w:ind w:left="0" w:leftChars="0" w:firstLine="0" w:firstLineChars="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老窟水及分布状况</w:t>
            </w:r>
          </w:p>
        </w:tc>
        <w:tc>
          <w:tcPr>
            <w:tcW w:w="1436" w:type="pct"/>
            <w:noWrap w:val="0"/>
            <w:vAlign w:val="center"/>
          </w:tcPr>
          <w:p w14:paraId="4C9612C7">
            <w:pPr>
              <w:spacing w:line="0" w:lineRule="atLeast"/>
              <w:ind w:left="0" w:leftChars="0" w:firstLine="0" w:firstLineChars="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无老窟水分布</w:t>
            </w:r>
          </w:p>
        </w:tc>
        <w:tc>
          <w:tcPr>
            <w:tcW w:w="1346" w:type="pct"/>
            <w:noWrap w:val="0"/>
            <w:vAlign w:val="center"/>
          </w:tcPr>
          <w:p w14:paraId="74C44F68">
            <w:pPr>
              <w:spacing w:line="0" w:lineRule="atLeast"/>
              <w:ind w:left="0" w:leftChars="0" w:firstLine="0" w:firstLineChars="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存在少量老窟水，位置、范围、积水量清楚</w:t>
            </w:r>
          </w:p>
        </w:tc>
        <w:tc>
          <w:tcPr>
            <w:tcW w:w="1226" w:type="pct"/>
            <w:noWrap w:val="0"/>
            <w:vAlign w:val="center"/>
          </w:tcPr>
          <w:p w14:paraId="489986DF">
            <w:pPr>
              <w:spacing w:line="0" w:lineRule="atLeast"/>
              <w:ind w:left="0" w:leftChars="0" w:firstLine="0" w:firstLineChars="0"/>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eastAsia="zh-CN"/>
              </w:rPr>
              <w:t>存在大量老窟水，位置、范围、积水量不清除</w:t>
            </w:r>
          </w:p>
        </w:tc>
      </w:tr>
      <w:tr w14:paraId="4E0FE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exact"/>
          <w:jc w:val="center"/>
        </w:trPr>
        <w:tc>
          <w:tcPr>
            <w:tcW w:w="990" w:type="pct"/>
            <w:noWrap w:val="0"/>
            <w:vAlign w:val="center"/>
          </w:tcPr>
          <w:p w14:paraId="4A2ED874">
            <w:pPr>
              <w:spacing w:line="0" w:lineRule="atLeast"/>
              <w:ind w:left="0" w:leftChars="0" w:firstLine="0" w:firstLineChars="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疏干排水是否产生地表塌陷、沉降</w:t>
            </w:r>
          </w:p>
        </w:tc>
        <w:tc>
          <w:tcPr>
            <w:tcW w:w="1436" w:type="pct"/>
            <w:noWrap w:val="0"/>
            <w:vAlign w:val="center"/>
          </w:tcPr>
          <w:p w14:paraId="0769C8A9">
            <w:pPr>
              <w:spacing w:line="0" w:lineRule="atLeast"/>
              <w:ind w:left="0" w:leftChars="0" w:firstLine="0" w:firstLineChars="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疏干排水不会产生塌陷、沉降</w:t>
            </w:r>
          </w:p>
        </w:tc>
        <w:tc>
          <w:tcPr>
            <w:tcW w:w="1346" w:type="pct"/>
            <w:noWrap w:val="0"/>
            <w:vAlign w:val="center"/>
          </w:tcPr>
          <w:p w14:paraId="2BBD1474">
            <w:pPr>
              <w:spacing w:line="0" w:lineRule="atLeast"/>
              <w:ind w:left="0" w:leftChars="0" w:firstLine="0" w:firstLineChars="0"/>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疏干排水可能产生少量塌陷</w:t>
            </w:r>
          </w:p>
        </w:tc>
        <w:tc>
          <w:tcPr>
            <w:tcW w:w="1226" w:type="pct"/>
            <w:noWrap w:val="0"/>
            <w:vAlign w:val="center"/>
          </w:tcPr>
          <w:p w14:paraId="594658A3">
            <w:pPr>
              <w:spacing w:line="0" w:lineRule="atLeast"/>
              <w:ind w:left="0" w:leftChars="0" w:firstLine="0" w:firstLineChars="0"/>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eastAsia="zh-CN"/>
              </w:rPr>
              <w:t>疏干排水可能产生大量塌陷、沉降</w:t>
            </w:r>
          </w:p>
        </w:tc>
      </w:tr>
    </w:tbl>
    <w:p w14:paraId="64C3193A">
      <w:pPr>
        <w:pStyle w:val="24"/>
        <w:snapToGrid w:val="0"/>
        <w:ind w:left="0" w:leftChars="0" w:firstLine="0" w:firstLineChars="0"/>
        <w:jc w:val="left"/>
        <w:rPr>
          <w:rFonts w:hint="default" w:ascii="Times New Roman" w:hAnsi="Times New Roman" w:eastAsia="华文中宋" w:cs="Times New Roman"/>
          <w:sz w:val="24"/>
          <w:highlight w:val="none"/>
          <w:lang w:val="en-US" w:eastAsia="zh-CN"/>
        </w:rPr>
      </w:pPr>
      <w:r>
        <w:rPr>
          <w:rFonts w:hint="eastAsia" w:ascii="Times New Roman" w:hAnsi="Times New Roman" w:eastAsia="华文中宋" w:cs="Times New Roman"/>
          <w:b/>
          <w:bCs/>
          <w:color w:val="auto"/>
          <w:lang w:val="en-US" w:eastAsia="zh-CN"/>
        </w:rPr>
        <w:t>5.2.3.</w:t>
      </w:r>
      <w:r>
        <w:rPr>
          <w:rFonts w:hint="eastAsia" w:ascii="Times New Roman" w:hAnsi="Times New Roman" w:cs="Times New Roman"/>
          <w:b/>
          <w:bCs/>
          <w:color w:val="auto"/>
          <w:lang w:val="en-US" w:eastAsia="zh-CN"/>
        </w:rPr>
        <w:t>3</w:t>
      </w:r>
      <w:r>
        <w:rPr>
          <w:rFonts w:hint="default" w:ascii="Times New Roman" w:hAnsi="Times New Roman" w:eastAsia="华文中宋" w:cs="Times New Roman"/>
          <w:b/>
          <w:bCs/>
          <w:color w:val="auto"/>
          <w:lang w:val="en-US" w:eastAsia="zh-CN"/>
        </w:rPr>
        <w:t>地下水的补给、径流、排泄</w:t>
      </w:r>
    </w:p>
    <w:p w14:paraId="4D181ACB">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区域降水主要集中在南部山区，大气降水和冰雪融水除部分下渗补给基岩地下水外，大多在山区沟谷汇流，由河谷出山口潜流补给平原区。同时，山区基岩裂隙水亦通过基岩裂隙向山前排泄补给平原区地下水。</w:t>
      </w:r>
    </w:p>
    <w:p w14:paraId="3E10C1D9">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此外，山区地下水接受降水和冰雪融水渗入补给后，沿岩石裂隙和断层破碎带从高处向低处经过短途径流，于深切的沟谷中以下降泉的形式进行排泄。山间沟谷冲积层构成了地下水的主要排泄通道。靠近中山和低山丘陵地带，降水渗入补给量少，地下水一部分形成泉水，受到蒸发损耗，有些泉水再次渗入地下转为地下径流，以沟谷潜流形式排泄</w:t>
      </w:r>
      <w:r>
        <w:rPr>
          <w:rFonts w:hint="eastAsia" w:ascii="Times New Roman" w:hAnsi="Times New Roman" w:eastAsia="华文中宋" w:cs="Times New Roman"/>
          <w:sz w:val="24"/>
          <w:highlight w:val="none"/>
          <w:lang w:val="en-US" w:eastAsia="zh-CN"/>
        </w:rPr>
        <w:t>，</w:t>
      </w:r>
      <w:r>
        <w:rPr>
          <w:rFonts w:hint="default" w:ascii="Times New Roman" w:hAnsi="Times New Roman" w:eastAsia="华文中宋" w:cs="Times New Roman"/>
          <w:sz w:val="24"/>
          <w:highlight w:val="none"/>
          <w:lang w:val="en-US" w:eastAsia="zh-CN"/>
        </w:rPr>
        <w:t>直接补给与其接触的平原区地下水。</w:t>
      </w:r>
    </w:p>
    <w:p w14:paraId="6D1C47D2">
      <w:pPr>
        <w:pStyle w:val="24"/>
        <w:snapToGrid w:val="0"/>
        <w:jc w:val="left"/>
        <w:rPr>
          <w:rFonts w:hint="default" w:ascii="Times New Roman" w:hAnsi="Times New Roman" w:eastAsia="华文中宋" w:cs="Times New Roman"/>
          <w:color w:val="auto"/>
          <w:highlight w:val="none"/>
          <w:lang w:val="en-US" w:eastAsia="zh-CN"/>
        </w:rPr>
      </w:pPr>
      <w:r>
        <w:rPr>
          <w:rFonts w:hint="default" w:ascii="Times New Roman" w:hAnsi="Times New Roman" w:cs="Times New Roman"/>
          <w:color w:val="auto"/>
          <w:highlight w:val="none"/>
          <w:lang w:val="en-US" w:eastAsia="zh-CN"/>
        </w:rPr>
        <w:t>（1）</w:t>
      </w:r>
      <w:r>
        <w:rPr>
          <w:rFonts w:hint="default" w:ascii="Times New Roman" w:hAnsi="Times New Roman" w:eastAsia="华文中宋" w:cs="Times New Roman"/>
          <w:color w:val="auto"/>
          <w:highlight w:val="none"/>
          <w:lang w:val="en-US" w:eastAsia="zh-CN"/>
        </w:rPr>
        <w:t>矿床充水因素分析</w:t>
      </w:r>
    </w:p>
    <w:p w14:paraId="2DB7460B">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eastAsia" w:ascii="Times New Roman" w:hAnsi="Times New Roman" w:eastAsia="华文中宋" w:cs="Times New Roman"/>
          <w:sz w:val="24"/>
          <w:highlight w:val="none"/>
          <w:lang w:val="en-US" w:eastAsia="zh-CN"/>
        </w:rPr>
        <w:t>1）</w:t>
      </w:r>
      <w:r>
        <w:rPr>
          <w:rFonts w:hint="default" w:ascii="Times New Roman" w:hAnsi="Times New Roman" w:eastAsia="华文中宋" w:cs="Times New Roman"/>
          <w:sz w:val="24"/>
          <w:highlight w:val="none"/>
          <w:lang w:val="en-US" w:eastAsia="zh-CN"/>
        </w:rPr>
        <w:t>地表水</w:t>
      </w:r>
    </w:p>
    <w:p w14:paraId="6BFCB9C0">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①水塘</w:t>
      </w:r>
    </w:p>
    <w:p w14:paraId="6641181F">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本矿区南部有两处洼地水塘，水塘1（水面标高5108米）距离北露天采场500米，距离南露天采场120米，但水塘2（水面标高5102米）距离北露天采场620米，距离南露天采场350米，矿区规划采场最低开采标高5088米，矿山开采标高低于水塘水面标高。</w:t>
      </w:r>
    </w:p>
    <w:p w14:paraId="6CF3390E">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highlight w:val="none"/>
          <w:lang w:val="en-US" w:eastAsia="zh-CN"/>
        </w:rPr>
        <w:t>本区地层岩性由岩屑砂岩、深灰色泥质粉砂岩组成，节理裂隙弱发育，岩层渗透能力较差，</w:t>
      </w:r>
      <w:r>
        <w:rPr>
          <w:rFonts w:hint="default" w:ascii="Times New Roman" w:hAnsi="Times New Roman" w:eastAsia="华文中宋" w:cs="Times New Roman"/>
          <w:sz w:val="24"/>
          <w:lang w:val="en-US" w:eastAsia="zh-CN"/>
        </w:rPr>
        <w:t>两处水塘几乎呈闭流状态，不能外泄，损耗于湖面蒸发及下渗。水塘的补给水源主要来自春季矿区及周边的冰雪融水，夏季雨雪补给量较少。</w:t>
      </w:r>
      <w:r>
        <w:rPr>
          <w:rFonts w:hint="eastAsia" w:ascii="Times New Roman" w:hAnsi="Times New Roman" w:eastAsia="华文中宋" w:cs="Times New Roman"/>
          <w:sz w:val="24"/>
          <w:lang w:val="en-US" w:eastAsia="zh-CN"/>
        </w:rPr>
        <w:t>项目1#、2#水塘与项目各个工业场地距离较远，在项目落实本报告提出的各项环保措施后，运营期正常开展工业活动过程中基本不会对矿区内两处水塘产生环境影响。</w:t>
      </w:r>
    </w:p>
    <w:p w14:paraId="56656736">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②河流（季节性地表水）</w:t>
      </w:r>
    </w:p>
    <w:p w14:paraId="58C37311">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矿区内无常年性河流分布，但季节性小冲沟发育，且在矿区东侧约0.6千米处发育有季节性河流盼水河，自南向北流经，为冰雪</w:t>
      </w:r>
      <w:r>
        <w:rPr>
          <w:rFonts w:hint="eastAsia" w:ascii="Times New Roman" w:hAnsi="Times New Roman" w:eastAsia="华文中宋" w:cs="Times New Roman"/>
          <w:sz w:val="24"/>
          <w:highlight w:val="none"/>
          <w:lang w:val="en-US" w:eastAsia="zh-CN"/>
        </w:rPr>
        <w:t>融化型</w:t>
      </w:r>
      <w:r>
        <w:rPr>
          <w:rFonts w:hint="default" w:ascii="Times New Roman" w:hAnsi="Times New Roman" w:eastAsia="华文中宋" w:cs="Times New Roman"/>
          <w:sz w:val="24"/>
          <w:highlight w:val="none"/>
          <w:lang w:val="en-US" w:eastAsia="zh-CN"/>
        </w:rPr>
        <w:t>河流，4-10月平均流量约0.38m</w:t>
      </w:r>
      <w:r>
        <w:rPr>
          <w:rFonts w:hint="default" w:ascii="Times New Roman" w:hAnsi="Times New Roman" w:eastAsia="华文中宋" w:cs="Times New Roman"/>
          <w:sz w:val="24"/>
          <w:highlight w:val="none"/>
          <w:vertAlign w:val="superscript"/>
          <w:lang w:val="en-US" w:eastAsia="zh-CN"/>
        </w:rPr>
        <w:t>3</w:t>
      </w:r>
      <w:r>
        <w:rPr>
          <w:rFonts w:hint="default" w:ascii="Times New Roman" w:hAnsi="Times New Roman" w:eastAsia="华文中宋" w:cs="Times New Roman"/>
          <w:sz w:val="24"/>
          <w:highlight w:val="none"/>
          <w:lang w:val="en-US" w:eastAsia="zh-CN"/>
        </w:rPr>
        <w:t>/s，11月至翌年3月为冰封期。</w:t>
      </w:r>
    </w:p>
    <w:p w14:paraId="6B8EF811">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矿区北露天采场距离盼水河950米，南露天采场距离盼水河1100米，采场最低开采标高均为5088米，低于河流水面标高，高差10米。因河流距离露天采场距离较远，且由于本区地层透水能力差，矿床充水因素可不考虑河流补给。</w:t>
      </w:r>
    </w:p>
    <w:p w14:paraId="34891CC3">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eastAsia" w:ascii="Times New Roman" w:hAnsi="Times New Roman" w:eastAsia="华文中宋" w:cs="Times New Roman"/>
          <w:sz w:val="24"/>
          <w:highlight w:val="none"/>
          <w:lang w:val="en-US" w:eastAsia="zh-CN"/>
        </w:rPr>
        <w:t>2）</w:t>
      </w:r>
      <w:r>
        <w:rPr>
          <w:rFonts w:hint="default" w:ascii="Times New Roman" w:hAnsi="Times New Roman" w:eastAsia="华文中宋" w:cs="Times New Roman"/>
          <w:sz w:val="24"/>
          <w:highlight w:val="none"/>
          <w:lang w:val="en-US" w:eastAsia="zh-CN"/>
        </w:rPr>
        <w:t>地下水</w:t>
      </w:r>
    </w:p>
    <w:p w14:paraId="6693BF6F">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矿区采用露天方式开采，开采标高为5088</w:t>
      </w:r>
      <w:r>
        <w:rPr>
          <w:rFonts w:hint="eastAsia" w:ascii="Times New Roman" w:hAnsi="Times New Roman" w:eastAsia="华文中宋" w:cs="Times New Roman"/>
          <w:sz w:val="24"/>
          <w:highlight w:val="none"/>
          <w:lang w:val="en-US" w:eastAsia="zh-CN"/>
        </w:rPr>
        <w:t>～</w:t>
      </w:r>
      <w:r>
        <w:rPr>
          <w:rFonts w:hint="default" w:ascii="Times New Roman" w:hAnsi="Times New Roman" w:eastAsia="华文中宋" w:cs="Times New Roman"/>
          <w:sz w:val="24"/>
          <w:highlight w:val="none"/>
          <w:lang w:val="en-US" w:eastAsia="zh-CN"/>
        </w:rPr>
        <w:t>5152米，矿区地下水位标高在5020.2米以下。矿床开采最低标高位于地下水位之上，因此，基岩裂隙水对矿坑充水基本无影响。</w:t>
      </w:r>
    </w:p>
    <w:p w14:paraId="13FBEC32">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eastAsia" w:ascii="Times New Roman" w:hAnsi="Times New Roman" w:eastAsia="华文中宋" w:cs="Times New Roman"/>
          <w:sz w:val="24"/>
          <w:highlight w:val="none"/>
          <w:lang w:val="en-US" w:eastAsia="zh-CN"/>
        </w:rPr>
        <w:t>3）</w:t>
      </w:r>
      <w:r>
        <w:rPr>
          <w:rFonts w:hint="default" w:ascii="Times New Roman" w:hAnsi="Times New Roman" w:eastAsia="华文中宋" w:cs="Times New Roman"/>
          <w:sz w:val="24"/>
          <w:highlight w:val="none"/>
          <w:lang w:val="en-US" w:eastAsia="zh-CN"/>
        </w:rPr>
        <w:t>大气降水</w:t>
      </w:r>
    </w:p>
    <w:p w14:paraId="54183B26">
      <w:pPr>
        <w:adjustRightInd w:val="0"/>
        <w:snapToGrid w:val="0"/>
        <w:spacing w:line="500" w:lineRule="exact"/>
        <w:ind w:firstLine="480" w:firstLineChars="200"/>
        <w:jc w:val="left"/>
        <w:rPr>
          <w:rFonts w:hint="default" w:ascii="Times New Roman" w:hAnsi="Times New Roman" w:eastAsia="华文中宋" w:cs="Times New Roman"/>
          <w:sz w:val="24"/>
          <w:highlight w:val="none"/>
          <w:lang w:val="en-US" w:eastAsia="zh-CN"/>
        </w:rPr>
      </w:pPr>
      <w:r>
        <w:rPr>
          <w:rFonts w:hint="default" w:ascii="Times New Roman" w:hAnsi="Times New Roman" w:eastAsia="华文中宋" w:cs="Times New Roman"/>
          <w:sz w:val="24"/>
          <w:highlight w:val="none"/>
          <w:lang w:val="en-US" w:eastAsia="zh-CN"/>
        </w:rPr>
        <w:t>矿区属典型大陆性高寒气候，昼夜和四季的温差变化大，夏季短暂。据民丰县气象局资料：最高气温仅20-25℃，冬季寒冷而漫长，最低温度可达-40℃，昼夜温差最大时达25℃-30℃，年均气低于-4℃，每年10月至次年4月为封冻期，降雪较少，5月份开始解冻，伴随大风、降雪，多年平均降雨量约140毫米，年蒸发量为2400余毫米。高寒、缺氧、气压低、昼夜温差大是其气候特点。矿床开采方式为露天开采，因此周期性的暴雨是矿床的主要充水因素。</w:t>
      </w:r>
    </w:p>
    <w:p w14:paraId="23B3B252">
      <w:pPr>
        <w:pStyle w:val="24"/>
        <w:snapToGrid w:val="0"/>
        <w:ind w:left="0" w:leftChars="0" w:firstLine="0" w:firstLineChars="0"/>
        <w:jc w:val="left"/>
        <w:rPr>
          <w:rFonts w:hint="default" w:ascii="Times New Roman" w:hAnsi="Times New Roman" w:eastAsia="华文中宋" w:cs="Times New Roman"/>
          <w:b/>
          <w:bCs/>
          <w:color w:val="000000" w:themeColor="text1"/>
          <w:sz w:val="24"/>
          <w:lang w:val="en-US" w:eastAsia="zh-CN"/>
          <w14:textFill>
            <w14:solidFill>
              <w14:schemeClr w14:val="tx1"/>
            </w14:solidFill>
          </w14:textFill>
        </w:rPr>
      </w:pPr>
      <w:r>
        <w:rPr>
          <w:rFonts w:hint="eastAsia" w:ascii="Times New Roman" w:hAnsi="Times New Roman" w:eastAsia="华文中宋" w:cs="Times New Roman"/>
          <w:b/>
          <w:bCs/>
          <w:color w:val="000000" w:themeColor="text1"/>
          <w:lang w:val="en-US" w:eastAsia="zh-CN"/>
          <w14:textFill>
            <w14:solidFill>
              <w14:schemeClr w14:val="tx1"/>
            </w14:solidFill>
          </w14:textFill>
        </w:rPr>
        <w:t>5.2.3.</w:t>
      </w:r>
      <w:r>
        <w:rPr>
          <w:rFonts w:hint="eastAsia" w:ascii="Times New Roman" w:hAnsi="Times New Roman" w:cs="Times New Roman"/>
          <w:b/>
          <w:bCs/>
          <w:color w:val="000000" w:themeColor="text1"/>
          <w:lang w:val="en-US" w:eastAsia="zh-CN"/>
          <w14:textFill>
            <w14:solidFill>
              <w14:schemeClr w14:val="tx1"/>
            </w14:solidFill>
          </w14:textFill>
        </w:rPr>
        <w:t>4</w:t>
      </w:r>
      <w:r>
        <w:rPr>
          <w:rFonts w:hint="default" w:ascii="Times New Roman" w:hAnsi="Times New Roman" w:eastAsia="华文中宋" w:cs="Times New Roman"/>
          <w:b/>
          <w:bCs/>
          <w:color w:val="000000" w:themeColor="text1"/>
          <w:sz w:val="24"/>
          <w:lang w:val="en-US" w:eastAsia="zh-CN"/>
          <w14:textFill>
            <w14:solidFill>
              <w14:schemeClr w14:val="tx1"/>
            </w14:solidFill>
          </w14:textFill>
        </w:rPr>
        <w:t>对地下水水质的预测分析</w:t>
      </w:r>
    </w:p>
    <w:p w14:paraId="0684E831">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本工程属于《环境影响评价技术导则 地下水环境》（HJ610-2016）附录A地下水环境影响评价行业分类表中的</w:t>
      </w:r>
      <w:r>
        <w:rPr>
          <w:rFonts w:hint="eastAsia" w:ascii="Times New Roman" w:hAnsi="Times New Roman" w:eastAsia="华文中宋" w:cs="Times New Roman"/>
          <w:sz w:val="24"/>
          <w:lang w:val="en-US" w:eastAsia="zh-CN"/>
        </w:rPr>
        <w:t>“H有色金属”</w:t>
      </w:r>
      <w:r>
        <w:rPr>
          <w:rFonts w:hint="default" w:ascii="Times New Roman" w:hAnsi="Times New Roman" w:eastAsia="华文中宋" w:cs="Times New Roman"/>
          <w:sz w:val="24"/>
          <w:lang w:val="en-US" w:eastAsia="zh-CN"/>
        </w:rPr>
        <w:t>中</w:t>
      </w:r>
      <w:r>
        <w:rPr>
          <w:rFonts w:hint="eastAsia" w:ascii="Times New Roman" w:hAnsi="Times New Roman" w:eastAsia="华文中宋" w:cs="Times New Roman"/>
          <w:sz w:val="24"/>
          <w:lang w:val="en-US" w:eastAsia="zh-CN"/>
        </w:rPr>
        <w:t>“47采选”</w:t>
      </w:r>
      <w:r>
        <w:rPr>
          <w:rFonts w:hint="default" w:ascii="Times New Roman" w:hAnsi="Times New Roman" w:eastAsia="华文中宋" w:cs="Times New Roman"/>
          <w:sz w:val="24"/>
          <w:lang w:val="en-US" w:eastAsia="zh-CN"/>
        </w:rPr>
        <w:t>类，确定本工程所属的废砂石场地下水环境影响评价项目类别为Ⅰ类，废砂石堆场地下水环境影响评价级别为二级。地下水二级评价采用解析解或类比法进行污染预测。本次采取解析解进行预测。</w:t>
      </w:r>
    </w:p>
    <w:p w14:paraId="160C42CB">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本次模拟预测，根据污染风险分析的情景设计，在选定优先控制污染物的基础上，分别对地下水污染物在不同时段的运移距离、超标范围进行模拟预测，污染情景的源强数据通过工程分析类比调查予以确定。</w:t>
      </w:r>
    </w:p>
    <w:p w14:paraId="78C2FF27">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（1）</w:t>
      </w:r>
      <w:r>
        <w:rPr>
          <w:rFonts w:hint="default" w:ascii="Times New Roman" w:hAnsi="Times New Roman" w:eastAsia="华文中宋" w:cs="Times New Roman"/>
          <w:sz w:val="24"/>
          <w:lang w:val="en-US" w:eastAsia="zh-CN"/>
        </w:rPr>
        <w:t>预测情景及预测因子</w:t>
      </w:r>
    </w:p>
    <w:p w14:paraId="6352E9D8">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①影响途径</w:t>
      </w:r>
    </w:p>
    <w:p w14:paraId="14C3CF17">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生产废水能否进入含水层取决于地质、水文地质条件和工程采取的防渗漏措施。对于承压水层由于上部有隔水顶板，只要废水不进入补给区，就不会污染地下水。对于潜水含水层，若其顶板为厚度不大的强透水层，废水则有可能通过隔水顶板进入含水层。由于潜水含水层的埋藏特点，导致其在任何部位都可接受补给，污染的危险性较大，其能否被污染取决于包气带的土壤性质和厚度，包气带中的细小颗粒可以滤去吸附某些污染物质。当废水分布于流域系统的补给区时，随着时间延续，污染物质将沿流线从补给区向排泄区逐渐扩展，最终可波及整个流动系统。当污染源位于排泄区，污染影响的范围比较局限，对地下水的影响较小。</w:t>
      </w:r>
    </w:p>
    <w:p w14:paraId="640EF2D5">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本工程开采产生的废石堆存于露天废石堆场，因大气降水的淋溶及空气氧化作用可能会使废石中有害物质溶出而对矿区土壤及水环境产生污染。废砂石堆场在晴天和旱季时无废水外排，在雨天和雨季才有废水外排，其废水产生量与废砂石堆场的汇水面积、当地降雨量和地表径流系数等因素有关。因此本次评价选择雨季大气降水对开采废石的淋融作用对地下水环境的影响进行预测。</w:t>
      </w:r>
    </w:p>
    <w:p w14:paraId="63DB1FCB">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②污染因子及浓度确定</w:t>
      </w:r>
    </w:p>
    <w:p w14:paraId="3A739428">
      <w:pPr>
        <w:adjustRightInd w:val="0"/>
        <w:snapToGrid w:val="0"/>
        <w:spacing w:line="500" w:lineRule="exact"/>
        <w:ind w:firstLine="480" w:firstLineChars="200"/>
        <w:jc w:val="left"/>
        <w:rPr>
          <w:rFonts w:hint="default" w:ascii="Times New Roman" w:hAnsi="Times New Roman" w:eastAsia="华文中宋" w:cs="Times New Roman"/>
          <w:sz w:val="24"/>
        </w:rPr>
      </w:pPr>
      <w:r>
        <w:rPr>
          <w:rFonts w:hint="default" w:ascii="Times New Roman" w:hAnsi="Times New Roman" w:eastAsia="华文中宋" w:cs="Times New Roman"/>
          <w:sz w:val="24"/>
          <w:lang w:val="en-US" w:eastAsia="zh-CN"/>
        </w:rPr>
        <w:t>根据江苏微谱监测技术有限公司对本工程矿石进行浸出试验，对照《危险废物鉴别标准</w:t>
      </w:r>
      <w:r>
        <w:rPr>
          <w:rFonts w:hint="eastAsia" w:ascii="Times New Roman" w:hAnsi="Times New Roman" w:eastAsia="华文中宋" w:cs="Times New Roman"/>
          <w:sz w:val="24"/>
          <w:lang w:val="en-US" w:eastAsia="zh-CN"/>
        </w:rPr>
        <w:t xml:space="preserve"> </w:t>
      </w:r>
      <w:r>
        <w:rPr>
          <w:rFonts w:hint="default" w:ascii="Times New Roman" w:hAnsi="Times New Roman" w:eastAsia="华文中宋" w:cs="Times New Roman"/>
          <w:sz w:val="24"/>
          <w:lang w:val="en-US" w:eastAsia="zh-CN"/>
        </w:rPr>
        <w:t>浸出毒性鉴别》（GB5085.3-2007）及《</w:t>
      </w:r>
      <w:r>
        <w:rPr>
          <w:rFonts w:hint="eastAsia" w:ascii="Times New Roman" w:hAnsi="Times New Roman" w:eastAsia="华文中宋" w:cs="Times New Roman"/>
          <w:sz w:val="24"/>
          <w:lang w:val="en-US" w:eastAsia="zh-CN"/>
        </w:rPr>
        <w:t>固体废物 浸出毒性浸出方法 翻转法</w:t>
      </w:r>
      <w:r>
        <w:rPr>
          <w:rFonts w:hint="default" w:ascii="Times New Roman" w:hAnsi="Times New Roman" w:eastAsia="华文中宋" w:cs="Times New Roman"/>
          <w:sz w:val="24"/>
          <w:lang w:val="en-US" w:eastAsia="zh-CN"/>
        </w:rPr>
        <w:t>》（GB5086.1-1997）中鉴别标准分析判断本项目废石性质，对照《污水综合排放标准》（GB8978-1996）中最高允许排放浓度中的标准要求，因此本工程废石不具有危险特性，为一般I类固体废物。</w:t>
      </w:r>
    </w:p>
    <w:p w14:paraId="3D92F0D6">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本项目废石堆场淋溶液水质参考废石水浸试验结果，详见下表。</w:t>
      </w:r>
      <w:r>
        <w:rPr>
          <w:rFonts w:hint="eastAsia" w:ascii="Times New Roman" w:hAnsi="Times New Roman" w:eastAsia="华文中宋" w:cs="Times New Roman"/>
          <w:sz w:val="24"/>
          <w:lang w:val="en-US" w:eastAsia="zh-CN"/>
        </w:rPr>
        <w:t>本项目为铅锑矿开采，废石浸出实验未测出铅，因此本次预测因子为锌。</w:t>
      </w:r>
    </w:p>
    <w:p w14:paraId="696F85E8">
      <w:pPr>
        <w:adjustRightInd w:val="0"/>
        <w:snapToGrid w:val="0"/>
        <w:spacing w:before="250" w:beforeLines="50"/>
        <w:ind w:firstLine="422" w:firstLineChars="200"/>
        <w:jc w:val="center"/>
        <w:rPr>
          <w:rFonts w:hint="eastAsia"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表5.2-</w:t>
      </w:r>
      <w:r>
        <w:rPr>
          <w:rFonts w:hint="eastAsia" w:ascii="Times New Roman" w:hAnsi="Times New Roman" w:eastAsia="华文中宋" w:cs="Times New Roman"/>
          <w:b/>
          <w:szCs w:val="21"/>
          <w:lang w:val="en-US" w:eastAsia="zh-CN"/>
        </w:rPr>
        <w:t>18</w:t>
      </w:r>
      <w:r>
        <w:rPr>
          <w:rFonts w:hint="default" w:ascii="Times New Roman" w:hAnsi="Times New Roman" w:eastAsia="华文中宋" w:cs="Times New Roman"/>
          <w:b/>
          <w:szCs w:val="21"/>
          <w:lang w:val="en-US" w:eastAsia="zh-CN"/>
        </w:rPr>
        <w:t xml:space="preserve">  废石浸出实验结果统计  </w:t>
      </w:r>
      <w:r>
        <w:rPr>
          <w:rFonts w:hint="eastAsia" w:ascii="Times New Roman" w:hAnsi="Times New Roman" w:eastAsia="华文中宋" w:cs="Times New Roman"/>
          <w:b/>
          <w:szCs w:val="21"/>
          <w:lang w:val="en-US" w:eastAsia="zh-CN"/>
        </w:rPr>
        <w:t>单位：</w:t>
      </w:r>
      <w:r>
        <w:rPr>
          <w:rFonts w:hint="default" w:ascii="Times New Roman" w:hAnsi="Times New Roman" w:eastAsia="华文中宋" w:cs="Times New Roman"/>
          <w:b/>
          <w:szCs w:val="21"/>
          <w:lang w:val="en-US" w:eastAsia="zh-CN"/>
        </w:rPr>
        <w:t>mg/L</w:t>
      </w:r>
      <w:r>
        <w:rPr>
          <w:rFonts w:hint="eastAsia" w:ascii="Times New Roman" w:hAnsi="Times New Roman" w:eastAsia="华文中宋" w:cs="Times New Roman"/>
          <w:b/>
          <w:szCs w:val="21"/>
          <w:lang w:eastAsia="zh-CN"/>
        </w:rPr>
        <w:t>（</w:t>
      </w:r>
      <w:r>
        <w:rPr>
          <w:rFonts w:hint="eastAsia" w:ascii="Times New Roman" w:hAnsi="Times New Roman" w:eastAsia="华文中宋" w:cs="Times New Roman"/>
          <w:b/>
          <w:szCs w:val="21"/>
          <w:lang w:val="en-US" w:eastAsia="zh-CN"/>
        </w:rPr>
        <w:t>Bq/g</w:t>
      </w:r>
      <w:r>
        <w:rPr>
          <w:rFonts w:hint="eastAsia" w:ascii="Times New Roman" w:hAnsi="Times New Roman" w:eastAsia="华文中宋" w:cs="Times New Roman"/>
          <w:b/>
          <w:szCs w:val="21"/>
          <w:lang w:eastAsia="zh-CN"/>
        </w:rPr>
        <w:t>）</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5"/>
        <w:gridCol w:w="2325"/>
        <w:gridCol w:w="2877"/>
        <w:gridCol w:w="1982"/>
      </w:tblGrid>
      <w:tr w14:paraId="46217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3" w:type="pct"/>
            <w:vAlign w:val="center"/>
          </w:tcPr>
          <w:p w14:paraId="7242FF6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因子</w:t>
            </w:r>
          </w:p>
        </w:tc>
        <w:tc>
          <w:tcPr>
            <w:tcW w:w="1364" w:type="pct"/>
            <w:vAlign w:val="center"/>
          </w:tcPr>
          <w:p w14:paraId="6E30E21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检测结果</w:t>
            </w:r>
          </w:p>
        </w:tc>
        <w:tc>
          <w:tcPr>
            <w:tcW w:w="1688" w:type="pct"/>
            <w:vAlign w:val="center"/>
          </w:tcPr>
          <w:p w14:paraId="2E9F87D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地下水质量标准Ⅲ类</w:t>
            </w:r>
          </w:p>
        </w:tc>
        <w:tc>
          <w:tcPr>
            <w:tcW w:w="1163" w:type="pct"/>
            <w:vAlign w:val="center"/>
          </w:tcPr>
          <w:p w14:paraId="178DC94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最大占标率</w:t>
            </w:r>
          </w:p>
        </w:tc>
      </w:tr>
      <w:tr w14:paraId="4A202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pct"/>
            <w:vAlign w:val="center"/>
          </w:tcPr>
          <w:p w14:paraId="73C2D3E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砷</w:t>
            </w:r>
          </w:p>
        </w:tc>
        <w:tc>
          <w:tcPr>
            <w:tcW w:w="1364" w:type="pct"/>
            <w:vAlign w:val="center"/>
          </w:tcPr>
          <w:p w14:paraId="23537788">
            <w:pPr>
              <w:spacing w:line="300" w:lineRule="exact"/>
              <w:jc w:val="center"/>
              <w:rPr>
                <w:rFonts w:hint="default" w:ascii="Times New Roman" w:hAnsi="Times New Roman" w:eastAsia="华文中宋" w:cs="Times New Roman"/>
                <w:szCs w:val="21"/>
                <w:lang w:val="en-US" w:eastAsia="zh-CN"/>
              </w:rPr>
            </w:pPr>
          </w:p>
        </w:tc>
        <w:tc>
          <w:tcPr>
            <w:tcW w:w="1688" w:type="pct"/>
            <w:vAlign w:val="center"/>
          </w:tcPr>
          <w:p w14:paraId="16AA927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0.01</w:t>
            </w:r>
          </w:p>
        </w:tc>
        <w:tc>
          <w:tcPr>
            <w:tcW w:w="1163" w:type="pct"/>
            <w:vAlign w:val="center"/>
          </w:tcPr>
          <w:p w14:paraId="54B7B9E6">
            <w:pPr>
              <w:spacing w:line="300" w:lineRule="exact"/>
              <w:jc w:val="center"/>
              <w:rPr>
                <w:rFonts w:hint="default" w:ascii="Times New Roman" w:hAnsi="Times New Roman" w:eastAsia="华文中宋" w:cs="Times New Roman"/>
                <w:szCs w:val="21"/>
                <w:lang w:val="en-US" w:eastAsia="zh-CN"/>
              </w:rPr>
            </w:pPr>
          </w:p>
        </w:tc>
      </w:tr>
      <w:tr w14:paraId="74EFD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pct"/>
            <w:vAlign w:val="center"/>
          </w:tcPr>
          <w:p w14:paraId="43DBBCA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硒</w:t>
            </w:r>
          </w:p>
        </w:tc>
        <w:tc>
          <w:tcPr>
            <w:tcW w:w="1364" w:type="pct"/>
            <w:vAlign w:val="center"/>
          </w:tcPr>
          <w:p w14:paraId="3CFF95BD">
            <w:pPr>
              <w:spacing w:line="300" w:lineRule="exact"/>
              <w:jc w:val="center"/>
              <w:rPr>
                <w:rFonts w:hint="default" w:ascii="Times New Roman" w:hAnsi="Times New Roman" w:eastAsia="华文中宋" w:cs="Times New Roman"/>
                <w:szCs w:val="21"/>
                <w:lang w:val="en-US" w:eastAsia="zh-CN"/>
              </w:rPr>
            </w:pPr>
          </w:p>
        </w:tc>
        <w:tc>
          <w:tcPr>
            <w:tcW w:w="1688" w:type="pct"/>
            <w:vAlign w:val="center"/>
          </w:tcPr>
          <w:p w14:paraId="78EA9E8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0.01</w:t>
            </w:r>
          </w:p>
        </w:tc>
        <w:tc>
          <w:tcPr>
            <w:tcW w:w="1163" w:type="pct"/>
            <w:vAlign w:val="center"/>
          </w:tcPr>
          <w:p w14:paraId="61998992">
            <w:pPr>
              <w:spacing w:line="300" w:lineRule="exact"/>
              <w:jc w:val="center"/>
              <w:rPr>
                <w:rFonts w:hint="default" w:ascii="Times New Roman" w:hAnsi="Times New Roman" w:eastAsia="华文中宋" w:cs="Times New Roman"/>
                <w:szCs w:val="21"/>
                <w:lang w:val="en-US" w:eastAsia="zh-CN"/>
              </w:rPr>
            </w:pPr>
          </w:p>
        </w:tc>
      </w:tr>
      <w:tr w14:paraId="2AD1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pct"/>
            <w:vAlign w:val="center"/>
          </w:tcPr>
          <w:p w14:paraId="20A30D1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氟化物</w:t>
            </w:r>
          </w:p>
        </w:tc>
        <w:tc>
          <w:tcPr>
            <w:tcW w:w="1364" w:type="pct"/>
            <w:vAlign w:val="center"/>
          </w:tcPr>
          <w:p w14:paraId="5E6E2299">
            <w:pPr>
              <w:spacing w:line="300" w:lineRule="exact"/>
              <w:jc w:val="center"/>
              <w:rPr>
                <w:rFonts w:hint="default" w:ascii="Times New Roman" w:hAnsi="Times New Roman" w:eastAsia="华文中宋" w:cs="Times New Roman"/>
                <w:szCs w:val="21"/>
                <w:lang w:val="en-US" w:eastAsia="zh-CN"/>
              </w:rPr>
            </w:pPr>
          </w:p>
        </w:tc>
        <w:tc>
          <w:tcPr>
            <w:tcW w:w="1688" w:type="pct"/>
            <w:vAlign w:val="center"/>
          </w:tcPr>
          <w:p w14:paraId="0C9166B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w:t>
            </w:r>
          </w:p>
        </w:tc>
        <w:tc>
          <w:tcPr>
            <w:tcW w:w="1163" w:type="pct"/>
            <w:vAlign w:val="center"/>
          </w:tcPr>
          <w:p w14:paraId="0F22D7B9">
            <w:pPr>
              <w:spacing w:line="300" w:lineRule="exact"/>
              <w:jc w:val="center"/>
              <w:rPr>
                <w:rFonts w:hint="default" w:ascii="Times New Roman" w:hAnsi="Times New Roman" w:eastAsia="华文中宋" w:cs="Times New Roman"/>
                <w:szCs w:val="21"/>
                <w:lang w:val="en-US" w:eastAsia="zh-CN"/>
              </w:rPr>
            </w:pPr>
          </w:p>
        </w:tc>
      </w:tr>
      <w:tr w14:paraId="7ACD3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pct"/>
            <w:vAlign w:val="center"/>
          </w:tcPr>
          <w:p w14:paraId="13CBCD5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氰根离子</w:t>
            </w:r>
          </w:p>
        </w:tc>
        <w:tc>
          <w:tcPr>
            <w:tcW w:w="1364" w:type="pct"/>
            <w:vAlign w:val="center"/>
          </w:tcPr>
          <w:p w14:paraId="5DE49C48">
            <w:pPr>
              <w:spacing w:line="300" w:lineRule="exact"/>
              <w:jc w:val="center"/>
              <w:rPr>
                <w:rFonts w:hint="default" w:ascii="Times New Roman" w:hAnsi="Times New Roman" w:eastAsia="华文中宋" w:cs="Times New Roman"/>
                <w:szCs w:val="21"/>
                <w:lang w:val="en-US" w:eastAsia="zh-CN"/>
              </w:rPr>
            </w:pPr>
          </w:p>
        </w:tc>
        <w:tc>
          <w:tcPr>
            <w:tcW w:w="1688" w:type="pct"/>
            <w:vAlign w:val="center"/>
          </w:tcPr>
          <w:p w14:paraId="4DB7451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0.05</w:t>
            </w:r>
          </w:p>
        </w:tc>
        <w:tc>
          <w:tcPr>
            <w:tcW w:w="1163" w:type="pct"/>
            <w:vAlign w:val="center"/>
          </w:tcPr>
          <w:p w14:paraId="4C099602">
            <w:pPr>
              <w:spacing w:line="300" w:lineRule="exact"/>
              <w:jc w:val="center"/>
              <w:rPr>
                <w:rFonts w:hint="default" w:ascii="Times New Roman" w:hAnsi="Times New Roman" w:eastAsia="华文中宋" w:cs="Times New Roman"/>
                <w:szCs w:val="21"/>
                <w:lang w:val="en-US" w:eastAsia="zh-CN"/>
              </w:rPr>
            </w:pPr>
          </w:p>
        </w:tc>
      </w:tr>
      <w:tr w14:paraId="12583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pct"/>
            <w:vAlign w:val="center"/>
          </w:tcPr>
          <w:p w14:paraId="48374CA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烷基汞</w:t>
            </w:r>
          </w:p>
        </w:tc>
        <w:tc>
          <w:tcPr>
            <w:tcW w:w="1364" w:type="pct"/>
            <w:vAlign w:val="center"/>
          </w:tcPr>
          <w:p w14:paraId="1025B484">
            <w:pPr>
              <w:spacing w:line="300" w:lineRule="exact"/>
              <w:jc w:val="center"/>
              <w:rPr>
                <w:rFonts w:hint="default" w:ascii="Times New Roman" w:hAnsi="Times New Roman" w:eastAsia="华文中宋" w:cs="Times New Roman"/>
                <w:szCs w:val="21"/>
                <w:lang w:val="en-US" w:eastAsia="zh-CN"/>
              </w:rPr>
            </w:pPr>
          </w:p>
        </w:tc>
        <w:tc>
          <w:tcPr>
            <w:tcW w:w="1688" w:type="pct"/>
            <w:vAlign w:val="center"/>
          </w:tcPr>
          <w:p w14:paraId="0216D15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w:t>
            </w:r>
          </w:p>
        </w:tc>
        <w:tc>
          <w:tcPr>
            <w:tcW w:w="1163" w:type="pct"/>
            <w:vAlign w:val="center"/>
          </w:tcPr>
          <w:p w14:paraId="269F45F8">
            <w:pPr>
              <w:spacing w:line="300" w:lineRule="exact"/>
              <w:jc w:val="center"/>
              <w:rPr>
                <w:rFonts w:hint="default" w:ascii="Times New Roman" w:hAnsi="Times New Roman" w:eastAsia="华文中宋" w:cs="Times New Roman"/>
                <w:szCs w:val="21"/>
                <w:lang w:val="en-US" w:eastAsia="zh-CN"/>
              </w:rPr>
            </w:pPr>
          </w:p>
        </w:tc>
      </w:tr>
      <w:tr w14:paraId="1B939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pct"/>
            <w:vAlign w:val="center"/>
          </w:tcPr>
          <w:p w14:paraId="63B278B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铜</w:t>
            </w:r>
          </w:p>
        </w:tc>
        <w:tc>
          <w:tcPr>
            <w:tcW w:w="1364" w:type="pct"/>
            <w:vAlign w:val="center"/>
          </w:tcPr>
          <w:p w14:paraId="1155B734">
            <w:pPr>
              <w:spacing w:line="300" w:lineRule="exact"/>
              <w:jc w:val="center"/>
              <w:rPr>
                <w:rFonts w:hint="default" w:ascii="Times New Roman" w:hAnsi="Times New Roman" w:eastAsia="华文中宋" w:cs="Times New Roman"/>
                <w:szCs w:val="21"/>
                <w:lang w:val="en-US" w:eastAsia="zh-CN"/>
              </w:rPr>
            </w:pPr>
          </w:p>
        </w:tc>
        <w:tc>
          <w:tcPr>
            <w:tcW w:w="1688" w:type="pct"/>
            <w:vAlign w:val="center"/>
          </w:tcPr>
          <w:p w14:paraId="73C5561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w:t>
            </w:r>
          </w:p>
        </w:tc>
        <w:tc>
          <w:tcPr>
            <w:tcW w:w="1163" w:type="pct"/>
            <w:vAlign w:val="center"/>
          </w:tcPr>
          <w:p w14:paraId="360918EF">
            <w:pPr>
              <w:spacing w:line="300" w:lineRule="exact"/>
              <w:jc w:val="center"/>
              <w:rPr>
                <w:rFonts w:hint="default" w:ascii="Times New Roman" w:hAnsi="Times New Roman" w:eastAsia="华文中宋" w:cs="Times New Roman"/>
                <w:szCs w:val="21"/>
                <w:lang w:val="en-US" w:eastAsia="zh-CN"/>
              </w:rPr>
            </w:pPr>
          </w:p>
        </w:tc>
      </w:tr>
      <w:tr w14:paraId="62466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pct"/>
            <w:vAlign w:val="center"/>
          </w:tcPr>
          <w:p w14:paraId="50D65F5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锌</w:t>
            </w:r>
          </w:p>
        </w:tc>
        <w:tc>
          <w:tcPr>
            <w:tcW w:w="1364" w:type="pct"/>
            <w:vAlign w:val="center"/>
          </w:tcPr>
          <w:p w14:paraId="31F9A1F0">
            <w:pPr>
              <w:spacing w:line="300" w:lineRule="exact"/>
              <w:jc w:val="center"/>
              <w:rPr>
                <w:rFonts w:hint="default" w:ascii="Times New Roman" w:hAnsi="Times New Roman" w:eastAsia="华文中宋" w:cs="Times New Roman"/>
                <w:szCs w:val="21"/>
                <w:lang w:val="en-US" w:eastAsia="zh-CN"/>
              </w:rPr>
            </w:pPr>
          </w:p>
        </w:tc>
        <w:tc>
          <w:tcPr>
            <w:tcW w:w="1688" w:type="pct"/>
            <w:vAlign w:val="center"/>
          </w:tcPr>
          <w:p w14:paraId="7EC1064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w:t>
            </w:r>
          </w:p>
        </w:tc>
        <w:tc>
          <w:tcPr>
            <w:tcW w:w="1163" w:type="pct"/>
            <w:vAlign w:val="center"/>
          </w:tcPr>
          <w:p w14:paraId="0F297FDF">
            <w:pPr>
              <w:spacing w:line="300" w:lineRule="exact"/>
              <w:jc w:val="center"/>
              <w:rPr>
                <w:rFonts w:hint="default" w:ascii="Times New Roman" w:hAnsi="Times New Roman" w:eastAsia="华文中宋" w:cs="Times New Roman"/>
                <w:szCs w:val="21"/>
                <w:lang w:val="en-US" w:eastAsia="zh-CN"/>
              </w:rPr>
            </w:pPr>
          </w:p>
        </w:tc>
      </w:tr>
      <w:tr w14:paraId="3DD24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pct"/>
            <w:vAlign w:val="center"/>
          </w:tcPr>
          <w:p w14:paraId="5981647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镉</w:t>
            </w:r>
          </w:p>
        </w:tc>
        <w:tc>
          <w:tcPr>
            <w:tcW w:w="1364" w:type="pct"/>
            <w:vAlign w:val="center"/>
          </w:tcPr>
          <w:p w14:paraId="7226FDD0">
            <w:pPr>
              <w:spacing w:line="300" w:lineRule="exact"/>
              <w:jc w:val="center"/>
              <w:rPr>
                <w:rFonts w:hint="default" w:ascii="Times New Roman" w:hAnsi="Times New Roman" w:eastAsia="华文中宋" w:cs="Times New Roman"/>
                <w:szCs w:val="21"/>
                <w:lang w:val="en-US" w:eastAsia="zh-CN"/>
              </w:rPr>
            </w:pPr>
          </w:p>
        </w:tc>
        <w:tc>
          <w:tcPr>
            <w:tcW w:w="1688" w:type="pct"/>
            <w:vAlign w:val="center"/>
          </w:tcPr>
          <w:p w14:paraId="6832040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0.005</w:t>
            </w:r>
          </w:p>
        </w:tc>
        <w:tc>
          <w:tcPr>
            <w:tcW w:w="1163" w:type="pct"/>
            <w:vAlign w:val="center"/>
          </w:tcPr>
          <w:p w14:paraId="0809F76C">
            <w:pPr>
              <w:spacing w:line="300" w:lineRule="exact"/>
              <w:jc w:val="center"/>
              <w:rPr>
                <w:rFonts w:hint="default" w:ascii="Times New Roman" w:hAnsi="Times New Roman" w:eastAsia="华文中宋" w:cs="Times New Roman"/>
                <w:szCs w:val="21"/>
                <w:lang w:val="en-US" w:eastAsia="zh-CN"/>
              </w:rPr>
            </w:pPr>
          </w:p>
        </w:tc>
      </w:tr>
      <w:tr w14:paraId="0A6B7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pct"/>
            <w:vAlign w:val="center"/>
          </w:tcPr>
          <w:p w14:paraId="3A9BB31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铅</w:t>
            </w:r>
          </w:p>
        </w:tc>
        <w:tc>
          <w:tcPr>
            <w:tcW w:w="1364" w:type="pct"/>
            <w:vAlign w:val="center"/>
          </w:tcPr>
          <w:p w14:paraId="1D90EEF4">
            <w:pPr>
              <w:spacing w:line="300" w:lineRule="exact"/>
              <w:jc w:val="center"/>
              <w:rPr>
                <w:rFonts w:hint="default" w:ascii="Times New Roman" w:hAnsi="Times New Roman" w:eastAsia="华文中宋" w:cs="Times New Roman"/>
                <w:szCs w:val="21"/>
                <w:lang w:val="en-US" w:eastAsia="zh-CN"/>
              </w:rPr>
            </w:pPr>
          </w:p>
        </w:tc>
        <w:tc>
          <w:tcPr>
            <w:tcW w:w="1688" w:type="pct"/>
            <w:vAlign w:val="center"/>
          </w:tcPr>
          <w:p w14:paraId="3A578A3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0.01</w:t>
            </w:r>
          </w:p>
        </w:tc>
        <w:tc>
          <w:tcPr>
            <w:tcW w:w="1163" w:type="pct"/>
            <w:vAlign w:val="center"/>
          </w:tcPr>
          <w:p w14:paraId="63CA8F1E">
            <w:pPr>
              <w:spacing w:line="300" w:lineRule="exact"/>
              <w:jc w:val="center"/>
              <w:rPr>
                <w:rFonts w:hint="default" w:ascii="Times New Roman" w:hAnsi="Times New Roman" w:eastAsia="华文中宋" w:cs="Times New Roman"/>
                <w:szCs w:val="21"/>
                <w:lang w:val="en-US" w:eastAsia="zh-CN"/>
              </w:rPr>
            </w:pPr>
          </w:p>
        </w:tc>
      </w:tr>
      <w:tr w14:paraId="15D60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pct"/>
            <w:vAlign w:val="center"/>
          </w:tcPr>
          <w:p w14:paraId="0FE0CF2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铬</w:t>
            </w:r>
          </w:p>
        </w:tc>
        <w:tc>
          <w:tcPr>
            <w:tcW w:w="1364" w:type="pct"/>
            <w:vAlign w:val="center"/>
          </w:tcPr>
          <w:p w14:paraId="0CE3ADB8">
            <w:pPr>
              <w:spacing w:line="300" w:lineRule="exact"/>
              <w:jc w:val="center"/>
              <w:rPr>
                <w:rFonts w:hint="default" w:ascii="Times New Roman" w:hAnsi="Times New Roman" w:eastAsia="华文中宋" w:cs="Times New Roman"/>
                <w:szCs w:val="21"/>
                <w:lang w:val="en-US" w:eastAsia="zh-CN"/>
              </w:rPr>
            </w:pPr>
          </w:p>
        </w:tc>
        <w:tc>
          <w:tcPr>
            <w:tcW w:w="1688" w:type="pct"/>
            <w:vAlign w:val="center"/>
          </w:tcPr>
          <w:p w14:paraId="2EE2459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0.05</w:t>
            </w:r>
          </w:p>
        </w:tc>
        <w:tc>
          <w:tcPr>
            <w:tcW w:w="1163" w:type="pct"/>
            <w:vAlign w:val="center"/>
          </w:tcPr>
          <w:p w14:paraId="7775CE3A">
            <w:pPr>
              <w:spacing w:line="300" w:lineRule="exact"/>
              <w:jc w:val="center"/>
              <w:rPr>
                <w:rFonts w:hint="default" w:ascii="Times New Roman" w:hAnsi="Times New Roman" w:eastAsia="华文中宋" w:cs="Times New Roman"/>
                <w:szCs w:val="21"/>
                <w:lang w:val="en-US" w:eastAsia="zh-CN"/>
              </w:rPr>
            </w:pPr>
          </w:p>
        </w:tc>
      </w:tr>
      <w:tr w14:paraId="1F423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pct"/>
            <w:vAlign w:val="center"/>
          </w:tcPr>
          <w:p w14:paraId="113837A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六价铬</w:t>
            </w:r>
          </w:p>
        </w:tc>
        <w:tc>
          <w:tcPr>
            <w:tcW w:w="1364" w:type="pct"/>
            <w:vAlign w:val="center"/>
          </w:tcPr>
          <w:p w14:paraId="6010F7D9">
            <w:pPr>
              <w:spacing w:line="300" w:lineRule="exact"/>
              <w:jc w:val="center"/>
              <w:rPr>
                <w:rFonts w:hint="default" w:ascii="Times New Roman" w:hAnsi="Times New Roman" w:eastAsia="华文中宋" w:cs="Times New Roman"/>
                <w:szCs w:val="21"/>
                <w:lang w:val="en-US" w:eastAsia="zh-CN"/>
              </w:rPr>
            </w:pPr>
          </w:p>
        </w:tc>
        <w:tc>
          <w:tcPr>
            <w:tcW w:w="1688" w:type="pct"/>
            <w:vAlign w:val="center"/>
          </w:tcPr>
          <w:p w14:paraId="5D5BE71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0.05</w:t>
            </w:r>
          </w:p>
        </w:tc>
        <w:tc>
          <w:tcPr>
            <w:tcW w:w="1163" w:type="pct"/>
            <w:vAlign w:val="center"/>
          </w:tcPr>
          <w:p w14:paraId="259EF876">
            <w:pPr>
              <w:spacing w:line="300" w:lineRule="exact"/>
              <w:jc w:val="center"/>
              <w:rPr>
                <w:rFonts w:hint="default" w:ascii="Times New Roman" w:hAnsi="Times New Roman" w:eastAsia="华文中宋" w:cs="Times New Roman"/>
                <w:szCs w:val="21"/>
                <w:lang w:val="en-US" w:eastAsia="zh-CN"/>
              </w:rPr>
            </w:pPr>
          </w:p>
        </w:tc>
      </w:tr>
      <w:tr w14:paraId="15578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pct"/>
            <w:vAlign w:val="center"/>
          </w:tcPr>
          <w:p w14:paraId="234BC67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汞</w:t>
            </w:r>
          </w:p>
        </w:tc>
        <w:tc>
          <w:tcPr>
            <w:tcW w:w="1364" w:type="pct"/>
            <w:vAlign w:val="center"/>
          </w:tcPr>
          <w:p w14:paraId="06CBD70C">
            <w:pPr>
              <w:spacing w:line="300" w:lineRule="exact"/>
              <w:jc w:val="center"/>
              <w:rPr>
                <w:rFonts w:hint="default" w:ascii="Times New Roman" w:hAnsi="Times New Roman" w:eastAsia="华文中宋" w:cs="Times New Roman"/>
                <w:szCs w:val="21"/>
                <w:lang w:val="en-US" w:eastAsia="zh-CN"/>
              </w:rPr>
            </w:pPr>
          </w:p>
        </w:tc>
        <w:tc>
          <w:tcPr>
            <w:tcW w:w="1688" w:type="pct"/>
            <w:vAlign w:val="center"/>
          </w:tcPr>
          <w:p w14:paraId="41EBA19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0.001</w:t>
            </w:r>
          </w:p>
        </w:tc>
        <w:tc>
          <w:tcPr>
            <w:tcW w:w="1163" w:type="pct"/>
            <w:vAlign w:val="center"/>
          </w:tcPr>
          <w:p w14:paraId="1631A9DF">
            <w:pPr>
              <w:spacing w:line="300" w:lineRule="exact"/>
              <w:jc w:val="center"/>
              <w:rPr>
                <w:rFonts w:hint="default" w:ascii="Times New Roman" w:hAnsi="Times New Roman" w:eastAsia="华文中宋" w:cs="Times New Roman"/>
                <w:szCs w:val="21"/>
                <w:lang w:val="en-US" w:eastAsia="zh-CN"/>
              </w:rPr>
            </w:pPr>
          </w:p>
        </w:tc>
      </w:tr>
      <w:tr w14:paraId="5E84F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pct"/>
            <w:vAlign w:val="center"/>
          </w:tcPr>
          <w:p w14:paraId="7815E53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铍</w:t>
            </w:r>
          </w:p>
        </w:tc>
        <w:tc>
          <w:tcPr>
            <w:tcW w:w="1364" w:type="pct"/>
            <w:vAlign w:val="center"/>
          </w:tcPr>
          <w:p w14:paraId="6C0CD83D">
            <w:pPr>
              <w:spacing w:line="300" w:lineRule="exact"/>
              <w:jc w:val="center"/>
              <w:rPr>
                <w:rFonts w:hint="default" w:ascii="Times New Roman" w:hAnsi="Times New Roman" w:eastAsia="华文中宋" w:cs="Times New Roman"/>
                <w:szCs w:val="21"/>
                <w:lang w:val="en-US" w:eastAsia="zh-CN"/>
              </w:rPr>
            </w:pPr>
          </w:p>
        </w:tc>
        <w:tc>
          <w:tcPr>
            <w:tcW w:w="1688" w:type="pct"/>
            <w:vAlign w:val="center"/>
          </w:tcPr>
          <w:p w14:paraId="7533B43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0.002</w:t>
            </w:r>
          </w:p>
        </w:tc>
        <w:tc>
          <w:tcPr>
            <w:tcW w:w="1163" w:type="pct"/>
            <w:vAlign w:val="center"/>
          </w:tcPr>
          <w:p w14:paraId="76CD4184">
            <w:pPr>
              <w:spacing w:line="300" w:lineRule="exact"/>
              <w:jc w:val="center"/>
              <w:rPr>
                <w:rFonts w:hint="default" w:ascii="Times New Roman" w:hAnsi="Times New Roman" w:eastAsia="华文中宋" w:cs="Times New Roman"/>
                <w:szCs w:val="21"/>
                <w:lang w:val="en-US" w:eastAsia="zh-CN"/>
              </w:rPr>
            </w:pPr>
          </w:p>
        </w:tc>
      </w:tr>
      <w:tr w14:paraId="3597D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pct"/>
            <w:vAlign w:val="center"/>
          </w:tcPr>
          <w:p w14:paraId="7478FC5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钡</w:t>
            </w:r>
          </w:p>
        </w:tc>
        <w:tc>
          <w:tcPr>
            <w:tcW w:w="1364" w:type="pct"/>
            <w:vAlign w:val="center"/>
          </w:tcPr>
          <w:p w14:paraId="50DF1E0B">
            <w:pPr>
              <w:spacing w:line="300" w:lineRule="exact"/>
              <w:jc w:val="center"/>
              <w:rPr>
                <w:rFonts w:hint="default" w:ascii="Times New Roman" w:hAnsi="Times New Roman" w:eastAsia="华文中宋" w:cs="Times New Roman"/>
                <w:szCs w:val="21"/>
                <w:lang w:val="en-US" w:eastAsia="zh-CN"/>
              </w:rPr>
            </w:pPr>
          </w:p>
        </w:tc>
        <w:tc>
          <w:tcPr>
            <w:tcW w:w="1688" w:type="pct"/>
            <w:vAlign w:val="center"/>
          </w:tcPr>
          <w:p w14:paraId="32A8E1C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0.7</w:t>
            </w:r>
          </w:p>
        </w:tc>
        <w:tc>
          <w:tcPr>
            <w:tcW w:w="1163" w:type="pct"/>
            <w:vAlign w:val="center"/>
          </w:tcPr>
          <w:p w14:paraId="75606D2B">
            <w:pPr>
              <w:spacing w:line="300" w:lineRule="exact"/>
              <w:jc w:val="center"/>
              <w:rPr>
                <w:rFonts w:hint="default" w:ascii="Times New Roman" w:hAnsi="Times New Roman" w:eastAsia="华文中宋" w:cs="Times New Roman"/>
                <w:szCs w:val="21"/>
                <w:lang w:val="en-US" w:eastAsia="zh-CN"/>
              </w:rPr>
            </w:pPr>
          </w:p>
        </w:tc>
      </w:tr>
      <w:tr w14:paraId="444CC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pct"/>
            <w:vAlign w:val="center"/>
          </w:tcPr>
          <w:p w14:paraId="5FFC5CF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镍</w:t>
            </w:r>
          </w:p>
        </w:tc>
        <w:tc>
          <w:tcPr>
            <w:tcW w:w="1364" w:type="pct"/>
            <w:vAlign w:val="center"/>
          </w:tcPr>
          <w:p w14:paraId="770A27E6">
            <w:pPr>
              <w:spacing w:line="300" w:lineRule="exact"/>
              <w:jc w:val="center"/>
              <w:rPr>
                <w:rFonts w:hint="default" w:ascii="Times New Roman" w:hAnsi="Times New Roman" w:eastAsia="华文中宋" w:cs="Times New Roman"/>
                <w:szCs w:val="21"/>
                <w:lang w:val="en-US" w:eastAsia="zh-CN"/>
              </w:rPr>
            </w:pPr>
          </w:p>
        </w:tc>
        <w:tc>
          <w:tcPr>
            <w:tcW w:w="1688" w:type="pct"/>
            <w:vAlign w:val="center"/>
          </w:tcPr>
          <w:p w14:paraId="7E47E0E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0.02</w:t>
            </w:r>
          </w:p>
        </w:tc>
        <w:tc>
          <w:tcPr>
            <w:tcW w:w="1163" w:type="pct"/>
            <w:vAlign w:val="center"/>
          </w:tcPr>
          <w:p w14:paraId="12DA4EFB">
            <w:pPr>
              <w:spacing w:line="300" w:lineRule="exact"/>
              <w:jc w:val="center"/>
              <w:rPr>
                <w:rFonts w:hint="default" w:ascii="Times New Roman" w:hAnsi="Times New Roman" w:eastAsia="华文中宋" w:cs="Times New Roman"/>
                <w:szCs w:val="21"/>
                <w:lang w:val="en-US" w:eastAsia="zh-CN"/>
              </w:rPr>
            </w:pPr>
          </w:p>
        </w:tc>
      </w:tr>
      <w:tr w14:paraId="14133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pct"/>
            <w:vAlign w:val="center"/>
          </w:tcPr>
          <w:p w14:paraId="7C9E6E9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银</w:t>
            </w:r>
          </w:p>
        </w:tc>
        <w:tc>
          <w:tcPr>
            <w:tcW w:w="1364" w:type="pct"/>
            <w:vAlign w:val="center"/>
          </w:tcPr>
          <w:p w14:paraId="6DFB7FF5">
            <w:pPr>
              <w:spacing w:line="300" w:lineRule="exact"/>
              <w:jc w:val="center"/>
              <w:rPr>
                <w:rFonts w:hint="default" w:ascii="Times New Roman" w:hAnsi="Times New Roman" w:eastAsia="华文中宋" w:cs="Times New Roman"/>
                <w:szCs w:val="21"/>
                <w:lang w:val="en-US" w:eastAsia="zh-CN"/>
              </w:rPr>
            </w:pPr>
          </w:p>
        </w:tc>
        <w:tc>
          <w:tcPr>
            <w:tcW w:w="1688" w:type="pct"/>
            <w:vAlign w:val="center"/>
          </w:tcPr>
          <w:p w14:paraId="0C7D4C6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0.05</w:t>
            </w:r>
          </w:p>
        </w:tc>
        <w:tc>
          <w:tcPr>
            <w:tcW w:w="1163" w:type="pct"/>
            <w:vAlign w:val="center"/>
          </w:tcPr>
          <w:p w14:paraId="3AFC5BAD">
            <w:pPr>
              <w:spacing w:line="300" w:lineRule="exact"/>
              <w:jc w:val="center"/>
              <w:rPr>
                <w:rFonts w:hint="default" w:ascii="Times New Roman" w:hAnsi="Times New Roman" w:eastAsia="华文中宋" w:cs="Times New Roman"/>
                <w:szCs w:val="21"/>
                <w:lang w:val="en-US" w:eastAsia="zh-CN"/>
              </w:rPr>
            </w:pPr>
          </w:p>
        </w:tc>
      </w:tr>
      <w:tr w14:paraId="6A227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pct"/>
            <w:vAlign w:val="center"/>
          </w:tcPr>
          <w:p w14:paraId="0E852DF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总α</w:t>
            </w:r>
          </w:p>
        </w:tc>
        <w:tc>
          <w:tcPr>
            <w:tcW w:w="1364" w:type="pct"/>
            <w:vAlign w:val="center"/>
          </w:tcPr>
          <w:p w14:paraId="248E42F8">
            <w:pPr>
              <w:spacing w:line="300" w:lineRule="exact"/>
              <w:jc w:val="center"/>
              <w:rPr>
                <w:rFonts w:hint="default" w:ascii="Times New Roman" w:hAnsi="Times New Roman" w:eastAsia="华文中宋" w:cs="Times New Roman"/>
                <w:szCs w:val="21"/>
                <w:lang w:val="en-US" w:eastAsia="zh-CN"/>
              </w:rPr>
            </w:pPr>
          </w:p>
        </w:tc>
        <w:tc>
          <w:tcPr>
            <w:tcW w:w="1688" w:type="pct"/>
            <w:vAlign w:val="center"/>
          </w:tcPr>
          <w:p w14:paraId="5E4272D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w:t>
            </w:r>
          </w:p>
        </w:tc>
        <w:tc>
          <w:tcPr>
            <w:tcW w:w="1163" w:type="pct"/>
            <w:vAlign w:val="center"/>
          </w:tcPr>
          <w:p w14:paraId="08E79A6B">
            <w:pPr>
              <w:spacing w:line="300" w:lineRule="exact"/>
              <w:jc w:val="center"/>
              <w:rPr>
                <w:rFonts w:hint="default" w:ascii="Times New Roman" w:hAnsi="Times New Roman" w:eastAsia="华文中宋" w:cs="Times New Roman"/>
                <w:szCs w:val="21"/>
                <w:lang w:val="en-US" w:eastAsia="zh-CN"/>
              </w:rPr>
            </w:pPr>
          </w:p>
        </w:tc>
      </w:tr>
      <w:tr w14:paraId="727F7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pct"/>
            <w:vAlign w:val="center"/>
          </w:tcPr>
          <w:p w14:paraId="1CC420A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总β</w:t>
            </w:r>
          </w:p>
        </w:tc>
        <w:tc>
          <w:tcPr>
            <w:tcW w:w="1364" w:type="pct"/>
            <w:vAlign w:val="center"/>
          </w:tcPr>
          <w:p w14:paraId="66153F9A">
            <w:pPr>
              <w:spacing w:line="300" w:lineRule="exact"/>
              <w:jc w:val="center"/>
              <w:rPr>
                <w:rFonts w:hint="default" w:ascii="Times New Roman" w:hAnsi="Times New Roman" w:eastAsia="华文中宋" w:cs="Times New Roman"/>
                <w:szCs w:val="21"/>
                <w:lang w:val="en-US" w:eastAsia="zh-CN"/>
              </w:rPr>
            </w:pPr>
          </w:p>
        </w:tc>
        <w:tc>
          <w:tcPr>
            <w:tcW w:w="1688" w:type="pct"/>
            <w:vAlign w:val="center"/>
          </w:tcPr>
          <w:p w14:paraId="6A40487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c>
          <w:tcPr>
            <w:tcW w:w="1163" w:type="pct"/>
            <w:vAlign w:val="center"/>
          </w:tcPr>
          <w:p w14:paraId="7B7912DD">
            <w:pPr>
              <w:spacing w:line="300" w:lineRule="exact"/>
              <w:jc w:val="center"/>
              <w:rPr>
                <w:rFonts w:hint="default" w:ascii="Times New Roman" w:hAnsi="Times New Roman" w:eastAsia="华文中宋" w:cs="Times New Roman"/>
                <w:szCs w:val="21"/>
                <w:lang w:val="en-US" w:eastAsia="zh-CN"/>
              </w:rPr>
            </w:pPr>
          </w:p>
        </w:tc>
      </w:tr>
    </w:tbl>
    <w:p w14:paraId="5672F83B">
      <w:pPr>
        <w:pStyle w:val="24"/>
        <w:snapToGrid w:val="0"/>
        <w:jc w:val="left"/>
        <w:rPr>
          <w:rFonts w:hint="default" w:ascii="Times New Roman" w:hAnsi="Times New Roman" w:eastAsia="华文中宋" w:cs="Times New Roman"/>
          <w:color w:val="auto"/>
          <w:lang w:val="en-US" w:eastAsia="zh-CN"/>
        </w:rPr>
      </w:pPr>
      <w:r>
        <w:rPr>
          <w:rFonts w:hint="eastAsia" w:ascii="Calibri" w:hAnsi="Calibri" w:cs="Calibri"/>
          <w:color w:val="auto"/>
          <w:lang w:val="en-US" w:eastAsia="zh-CN"/>
        </w:rPr>
        <w:t>（2）</w:t>
      </w:r>
      <w:r>
        <w:rPr>
          <w:rFonts w:hint="default" w:ascii="Times New Roman" w:hAnsi="Times New Roman" w:eastAsia="华文中宋" w:cs="Times New Roman"/>
          <w:color w:val="auto"/>
          <w:lang w:val="en-US" w:eastAsia="zh-CN"/>
        </w:rPr>
        <w:t>预测模型</w:t>
      </w:r>
    </w:p>
    <w:p w14:paraId="06401A4F">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采用解析模型预测污染物在含水层中的扩散时，一般应满足以下条件：</w:t>
      </w:r>
    </w:p>
    <w:p w14:paraId="43A7278D">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①污染物的排放对地下水流场没有明显的影响；</w:t>
      </w:r>
    </w:p>
    <w:p w14:paraId="2187E300">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②预测区内含水层的基本参数（如渗透系数、有效孔隙度等）不变或变化很小。通过对本期工程污染物排放特征及水文地质概况分析可知，本次污染预测可满足以上条件。</w:t>
      </w:r>
    </w:p>
    <w:p w14:paraId="6446972E">
      <w:pPr>
        <w:pStyle w:val="24"/>
        <w:snapToGrid w:val="0"/>
        <w:jc w:val="left"/>
        <w:rPr>
          <w:rFonts w:hint="default" w:ascii="Times New Roman" w:hAnsi="Times New Roman" w:eastAsia="华文中宋" w:cs="Times New Roman"/>
          <w:snapToGrid/>
          <w:color w:val="auto"/>
          <w:kern w:val="2"/>
          <w:sz w:val="24"/>
          <w:szCs w:val="24"/>
          <w:lang w:val="en-US" w:eastAsia="zh-CN" w:bidi="ar-SA"/>
        </w:rPr>
      </w:pPr>
      <w:r>
        <w:rPr>
          <w:rFonts w:hint="default" w:ascii="Times New Roman" w:hAnsi="Times New Roman" w:eastAsia="华文中宋" w:cs="Times New Roman"/>
          <w:snapToGrid/>
          <w:color w:val="auto"/>
          <w:kern w:val="2"/>
          <w:sz w:val="24"/>
          <w:szCs w:val="24"/>
          <w:lang w:val="en-US" w:eastAsia="zh-CN" w:bidi="ar-SA"/>
        </w:rPr>
        <w:t>为了揭示污染物进入地下水体后，地下水质的时空变化规律，将污染场地地下水污染物的溶质迁移问题概化为污染物连续注入的一端定浓度的一维水动力弥散问题。预测按最不利的情况设计情景，污染物泄漏直接进入地下水，并在含水层中沿水力梯度方向径流，</w:t>
      </w:r>
      <w:r>
        <w:rPr>
          <w:rFonts w:hint="eastAsia" w:ascii="Times New Roman" w:hAnsi="Times New Roman" w:eastAsia="华文中宋" w:cs="Times New Roman"/>
          <w:snapToGrid/>
          <w:color w:val="auto"/>
          <w:kern w:val="2"/>
          <w:sz w:val="24"/>
          <w:szCs w:val="24"/>
          <w:lang w:val="en-US" w:eastAsia="zh-CN" w:bidi="ar-SA"/>
        </w:rPr>
        <w:t>污染物</w:t>
      </w:r>
      <w:r>
        <w:rPr>
          <w:rFonts w:hint="default" w:ascii="Times New Roman" w:hAnsi="Times New Roman" w:eastAsia="华文中宋" w:cs="Times New Roman"/>
          <w:snapToGrid/>
          <w:color w:val="auto"/>
          <w:kern w:val="2"/>
          <w:sz w:val="24"/>
          <w:szCs w:val="24"/>
          <w:lang w:val="en-US" w:eastAsia="zh-CN" w:bidi="ar-SA"/>
        </w:rPr>
        <w:t>浓度在未渗入地下水前不发生变化，不考虑污水在包气带中下渗过程的降解与吸附作用，不考虑含水层中对污染物的吸附、挥发、生物化学反应。设计情景为极端情况，用于表征污水排放对地下水环境的最大影响程度和影响范围。</w:t>
      </w:r>
    </w:p>
    <w:p w14:paraId="74E7A02E">
      <w:pPr>
        <w:pStyle w:val="24"/>
        <w:snapToGrid w:val="0"/>
        <w:jc w:val="left"/>
        <w:rPr>
          <w:rFonts w:hint="default" w:ascii="Times New Roman" w:hAnsi="Times New Roman" w:eastAsia="华文中宋" w:cs="Times New Roman"/>
          <w:snapToGrid/>
          <w:color w:val="auto"/>
          <w:kern w:val="2"/>
          <w:sz w:val="24"/>
          <w:szCs w:val="24"/>
          <w:lang w:val="en-US" w:eastAsia="zh-CN" w:bidi="ar-SA"/>
        </w:rPr>
      </w:pPr>
      <w:r>
        <w:rPr>
          <w:rFonts w:hint="default" w:ascii="Times New Roman" w:hAnsi="Times New Roman" w:eastAsia="华文中宋" w:cs="Times New Roman"/>
          <w:snapToGrid/>
          <w:color w:val="auto"/>
          <w:kern w:val="2"/>
          <w:sz w:val="24"/>
          <w:szCs w:val="24"/>
          <w:lang w:val="en-US" w:eastAsia="zh-CN" w:bidi="ar-SA"/>
        </w:rPr>
        <w:t>根据本工程污染特征分析，废砂石堆场地下潜水流向基本与地形一致，呈西北向东南方向径流的线状特征；污水渗漏是一个长期的过程，在区域上可假定为浓度的渗漏点。</w:t>
      </w:r>
    </w:p>
    <w:p w14:paraId="741C59A9">
      <w:pPr>
        <w:pStyle w:val="24"/>
        <w:snapToGrid w:val="0"/>
        <w:jc w:val="left"/>
        <w:rPr>
          <w:rFonts w:hint="default" w:ascii="Times New Roman" w:hAnsi="Times New Roman" w:eastAsia="华文中宋" w:cs="Times New Roman"/>
          <w:snapToGrid/>
          <w:color w:val="auto"/>
          <w:kern w:val="2"/>
          <w:sz w:val="24"/>
          <w:szCs w:val="24"/>
          <w:lang w:val="en-US" w:eastAsia="zh-CN" w:bidi="ar-SA"/>
        </w:rPr>
      </w:pPr>
      <w:r>
        <w:rPr>
          <w:rFonts w:hint="default" w:ascii="Times New Roman" w:hAnsi="Times New Roman" w:eastAsia="华文中宋" w:cs="Times New Roman"/>
          <w:snapToGrid/>
          <w:color w:val="auto"/>
          <w:kern w:val="2"/>
          <w:sz w:val="24"/>
          <w:szCs w:val="24"/>
          <w:lang w:val="en-US" w:eastAsia="zh-CN" w:bidi="ar-SA"/>
        </w:rPr>
        <w:t xml:space="preserve">本次地下水环境影响预测评价采用一维地下水污染物运移数学模型的解析解进行预测，解析解选取《环境影响评价技术导则 地下水环境》（HJ 610-2016）中地下水溶质运移解析法推荐模型。 </w:t>
      </w:r>
    </w:p>
    <w:p w14:paraId="3F3A3246">
      <w:pPr>
        <w:pStyle w:val="24"/>
        <w:snapToGrid w:val="0"/>
        <w:jc w:val="left"/>
        <w:rPr>
          <w:rFonts w:hint="default" w:ascii="Times New Roman" w:hAnsi="Times New Roman" w:eastAsia="华文中宋" w:cs="Times New Roman"/>
          <w:color w:val="auto"/>
        </w:rPr>
      </w:pPr>
      <w:r>
        <w:rPr>
          <w:rFonts w:hint="eastAsia" w:ascii="Calibri" w:hAnsi="Calibri" w:cs="Calibri"/>
          <w:color w:val="auto"/>
          <w:lang w:val="en-US" w:eastAsia="zh-CN"/>
        </w:rPr>
        <w:t>（3）</w:t>
      </w:r>
      <w:r>
        <w:rPr>
          <w:rFonts w:hint="default" w:ascii="Times New Roman" w:hAnsi="Times New Roman" w:eastAsia="华文中宋" w:cs="Times New Roman"/>
          <w:color w:val="auto"/>
          <w:lang w:val="en-US" w:eastAsia="zh-CN"/>
        </w:rPr>
        <w:t>预测范围及时间</w:t>
      </w:r>
    </w:p>
    <w:p w14:paraId="724925B3">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预测范围与评价范围一致，废砂石堆场在暴雨条件下淋溶水可能对地下水影响分析。预测时间为100d、1000d。</w:t>
      </w:r>
    </w:p>
    <w:p w14:paraId="4885749C">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（4）</w:t>
      </w:r>
      <w:r>
        <w:rPr>
          <w:rFonts w:hint="default" w:ascii="Times New Roman" w:hAnsi="Times New Roman" w:eastAsia="华文中宋" w:cs="Times New Roman"/>
          <w:color w:val="auto"/>
          <w:lang w:val="en-US" w:eastAsia="zh-CN"/>
        </w:rPr>
        <w:t>预测参数的设定</w:t>
      </w:r>
    </w:p>
    <w:p w14:paraId="5210FFE5">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val="en-US" w:eastAsia="zh-CN"/>
        </w:rPr>
        <w:t>本项目采用地下水溶质运移解析法中</w:t>
      </w:r>
      <w:r>
        <w:rPr>
          <w:rFonts w:hint="default" w:ascii="Times New Roman" w:hAnsi="Times New Roman" w:eastAsia="宋体" w:cs="Times New Roman"/>
          <w:color w:val="000000"/>
          <w:kern w:val="0"/>
          <w:sz w:val="24"/>
          <w:szCs w:val="24"/>
          <w:lang w:val="en-US" w:eastAsia="zh-CN" w:bidi="ar"/>
        </w:rPr>
        <w:t>的一维稳定流动</w:t>
      </w:r>
      <w:r>
        <w:rPr>
          <w:rFonts w:hint="eastAsia" w:ascii="Times New Roman" w:hAnsi="Times New Roman" w:eastAsia="宋体" w:cs="Times New Roman"/>
          <w:color w:val="000000"/>
          <w:kern w:val="0"/>
          <w:sz w:val="24"/>
          <w:szCs w:val="24"/>
          <w:lang w:val="en-US" w:eastAsia="zh-CN" w:bidi="ar"/>
        </w:rPr>
        <w:t>二</w:t>
      </w:r>
      <w:r>
        <w:rPr>
          <w:rFonts w:hint="default" w:ascii="Times New Roman" w:hAnsi="Times New Roman" w:eastAsia="宋体" w:cs="Times New Roman"/>
          <w:color w:val="000000"/>
          <w:kern w:val="0"/>
          <w:sz w:val="24"/>
          <w:szCs w:val="24"/>
          <w:lang w:val="en-US" w:eastAsia="zh-CN" w:bidi="ar"/>
        </w:rPr>
        <w:t>维水动力弥散模式进行预测，预</w:t>
      </w:r>
      <w:r>
        <w:rPr>
          <w:rFonts w:hint="default" w:ascii="Times New Roman" w:hAnsi="Times New Roman" w:eastAsia="华文中宋" w:cs="Times New Roman"/>
          <w:color w:val="auto"/>
          <w:lang w:val="en-US" w:eastAsia="zh-CN"/>
        </w:rPr>
        <w:t>测模型如下：</w:t>
      </w:r>
    </w:p>
    <w:p w14:paraId="3D2EF1FA">
      <w:pPr>
        <w:adjustRightInd w:val="0"/>
        <w:snapToGrid w:val="0"/>
        <w:spacing w:line="500" w:lineRule="exact"/>
        <w:ind w:firstLine="420" w:firstLineChars="200"/>
        <w:jc w:val="left"/>
        <w:rPr>
          <w:rFonts w:hint="default" w:ascii="Times New Roman" w:hAnsi="Times New Roman" w:eastAsia="华文中宋" w:cs="Times New Roman"/>
          <w:sz w:val="24"/>
          <w:lang w:val="en-US" w:eastAsia="zh-CN"/>
        </w:rPr>
      </w:pPr>
      <w:r>
        <w:rPr>
          <w:rFonts w:hint="default" w:ascii="Times New Roman" w:hAnsi="Times New Roman" w:cs="Times New Roman"/>
        </w:rPr>
        <w:drawing>
          <wp:anchor distT="0" distB="0" distL="114300" distR="114300" simplePos="0" relativeHeight="251666432" behindDoc="0" locked="0" layoutInCell="1" allowOverlap="1">
            <wp:simplePos x="0" y="0"/>
            <wp:positionH relativeFrom="column">
              <wp:posOffset>1481455</wp:posOffset>
            </wp:positionH>
            <wp:positionV relativeFrom="paragraph">
              <wp:posOffset>220980</wp:posOffset>
            </wp:positionV>
            <wp:extent cx="2832100" cy="521970"/>
            <wp:effectExtent l="0" t="0" r="6350" b="11430"/>
            <wp:wrapTopAndBottom/>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22"/>
                    <a:stretch>
                      <a:fillRect/>
                    </a:stretch>
                  </pic:blipFill>
                  <pic:spPr>
                    <a:xfrm>
                      <a:off x="0" y="0"/>
                      <a:ext cx="2832100" cy="521970"/>
                    </a:xfrm>
                    <a:prstGeom prst="rect">
                      <a:avLst/>
                    </a:prstGeom>
                    <a:noFill/>
                    <a:ln w="9525">
                      <a:noFill/>
                    </a:ln>
                  </pic:spPr>
                </pic:pic>
              </a:graphicData>
            </a:graphic>
          </wp:anchor>
        </w:drawing>
      </w:r>
    </w:p>
    <w:p w14:paraId="3FB03DDC">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x，y—计算点处的位置坐标；</w:t>
      </w:r>
    </w:p>
    <w:p w14:paraId="34CFA33F">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t—时间，d；</w:t>
      </w:r>
    </w:p>
    <w:p w14:paraId="2073171C">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C（x，y，z）-t时刻点x，y处的污染物浓度，mg/L；</w:t>
      </w:r>
    </w:p>
    <w:p w14:paraId="03A50DCB">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M—含水层厚度，m；</w:t>
      </w:r>
    </w:p>
    <w:p w14:paraId="32AD2A42">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m</w:t>
      </w:r>
      <w:r>
        <w:rPr>
          <w:rFonts w:hint="default" w:ascii="Times New Roman" w:hAnsi="Times New Roman" w:eastAsia="华文中宋" w:cs="Times New Roman"/>
          <w:sz w:val="24"/>
          <w:vertAlign w:val="subscript"/>
          <w:lang w:val="en-US" w:eastAsia="zh-CN"/>
        </w:rPr>
        <w:t>M</w:t>
      </w:r>
      <w:r>
        <w:rPr>
          <w:rFonts w:hint="default" w:ascii="Times New Roman" w:hAnsi="Times New Roman" w:eastAsia="华文中宋" w:cs="Times New Roman"/>
          <w:sz w:val="24"/>
          <w:lang w:val="en-US" w:eastAsia="zh-CN"/>
        </w:rPr>
        <w:t>—长度为M的线源瞬时注入示踪剂的质量，mg；</w:t>
      </w:r>
    </w:p>
    <w:p w14:paraId="74FF95F2">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u—地下水流速，m/d；</w:t>
      </w:r>
    </w:p>
    <w:p w14:paraId="45E451ED">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n—有效孔隙度，无量纲；</w:t>
      </w:r>
    </w:p>
    <w:p w14:paraId="560CD94B">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DL—纵向x方向的弥散系数，m</w:t>
      </w:r>
      <w:r>
        <w:rPr>
          <w:rFonts w:hint="default" w:ascii="Times New Roman" w:hAnsi="Times New Roman" w:eastAsia="华文中宋" w:cs="Times New Roman"/>
          <w:sz w:val="24"/>
          <w:vertAlign w:val="superscript"/>
          <w:lang w:val="en-US" w:eastAsia="zh-CN"/>
        </w:rPr>
        <w:t>2</w:t>
      </w:r>
      <w:r>
        <w:rPr>
          <w:rFonts w:hint="default" w:ascii="Times New Roman" w:hAnsi="Times New Roman" w:eastAsia="华文中宋" w:cs="Times New Roman"/>
          <w:sz w:val="24"/>
          <w:lang w:val="en-US" w:eastAsia="zh-CN"/>
        </w:rPr>
        <w:t>/d；</w:t>
      </w:r>
    </w:p>
    <w:p w14:paraId="04DA34A9">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DT—横向y方向的弥散系数，m</w:t>
      </w:r>
      <w:r>
        <w:rPr>
          <w:rFonts w:hint="default" w:ascii="Times New Roman" w:hAnsi="Times New Roman" w:eastAsia="华文中宋" w:cs="Times New Roman"/>
          <w:sz w:val="24"/>
          <w:vertAlign w:val="superscript"/>
          <w:lang w:val="en-US" w:eastAsia="zh-CN"/>
        </w:rPr>
        <w:t>2</w:t>
      </w:r>
      <w:r>
        <w:rPr>
          <w:rFonts w:hint="default" w:ascii="Times New Roman" w:hAnsi="Times New Roman" w:eastAsia="华文中宋" w:cs="Times New Roman"/>
          <w:sz w:val="24"/>
          <w:lang w:val="en-US" w:eastAsia="zh-CN"/>
        </w:rPr>
        <w:t>/d；</w:t>
      </w:r>
    </w:p>
    <w:p w14:paraId="6147282F">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π—圆周率。</w:t>
      </w:r>
    </w:p>
    <w:p w14:paraId="45DA3870">
      <w:pPr>
        <w:pStyle w:val="24"/>
        <w:snapToGrid w:val="0"/>
        <w:jc w:val="left"/>
        <w:rPr>
          <w:rFonts w:hint="default" w:ascii="Times New Roman" w:hAnsi="Times New Roman" w:eastAsia="华文中宋" w:cs="Times New Roman"/>
          <w:snapToGrid/>
          <w:color w:val="auto"/>
          <w:kern w:val="2"/>
          <w:sz w:val="24"/>
          <w:szCs w:val="24"/>
          <w:lang w:val="en-US" w:eastAsia="zh-CN" w:bidi="ar-SA"/>
        </w:rPr>
      </w:pPr>
      <w:r>
        <w:rPr>
          <w:rFonts w:hint="default" w:ascii="Times New Roman" w:hAnsi="Times New Roman" w:eastAsia="华文中宋" w:cs="Times New Roman"/>
          <w:snapToGrid/>
          <w:color w:val="auto"/>
          <w:kern w:val="2"/>
          <w:sz w:val="24"/>
          <w:szCs w:val="24"/>
          <w:lang w:val="en-US" w:eastAsia="zh-CN" w:bidi="ar-SA"/>
        </w:rPr>
        <w:t>利用所选取的污染物迁移模型，能否达到对污染物迁移过程的合理预测，关键就在于模型参数的选取和确定是否正确合理。</w:t>
      </w:r>
    </w:p>
    <w:p w14:paraId="7AF5D776">
      <w:pPr>
        <w:pStyle w:val="24"/>
        <w:snapToGrid w:val="0"/>
        <w:jc w:val="left"/>
        <w:rPr>
          <w:rFonts w:hint="eastAsia" w:ascii="Times New Roman" w:hAnsi="Times New Roman" w:eastAsia="华文中宋" w:cs="Times New Roman"/>
          <w:snapToGrid/>
          <w:color w:val="auto"/>
          <w:kern w:val="2"/>
          <w:sz w:val="24"/>
          <w:szCs w:val="24"/>
          <w:lang w:val="en-US" w:eastAsia="zh-CN" w:bidi="ar-SA"/>
        </w:rPr>
      </w:pPr>
      <w:r>
        <w:rPr>
          <w:rFonts w:hint="default" w:ascii="Times New Roman" w:hAnsi="Times New Roman" w:eastAsia="华文中宋" w:cs="Times New Roman"/>
          <w:snapToGrid/>
          <w:color w:val="auto"/>
          <w:kern w:val="2"/>
          <w:sz w:val="24"/>
          <w:szCs w:val="24"/>
          <w:lang w:val="en-US" w:eastAsia="zh-CN" w:bidi="ar-SA"/>
        </w:rPr>
        <w:t>由上述模型可知，模型需要的参数有</w:t>
      </w:r>
      <w:r>
        <w:rPr>
          <w:rFonts w:hint="eastAsia" w:ascii="Times New Roman" w:hAnsi="Times New Roman" w:eastAsia="华文中宋" w:cs="Times New Roman"/>
          <w:snapToGrid/>
          <w:color w:val="auto"/>
          <w:kern w:val="2"/>
          <w:sz w:val="24"/>
          <w:szCs w:val="24"/>
          <w:lang w:val="en-US" w:eastAsia="zh-CN" w:bidi="ar-SA"/>
        </w:rPr>
        <w:t>：</w:t>
      </w:r>
      <w:r>
        <w:rPr>
          <w:rFonts w:hint="default" w:ascii="Times New Roman" w:hAnsi="Times New Roman" w:eastAsia="华文中宋" w:cs="Times New Roman"/>
          <w:snapToGrid/>
          <w:color w:val="auto"/>
          <w:kern w:val="2"/>
          <w:sz w:val="24"/>
          <w:szCs w:val="24"/>
          <w:lang w:val="en-US" w:eastAsia="zh-CN" w:bidi="ar-SA"/>
        </w:rPr>
        <w:t>外泄污染物质量m</w:t>
      </w:r>
      <w:r>
        <w:rPr>
          <w:rFonts w:hint="eastAsia" w:ascii="Times New Roman" w:hAnsi="Times New Roman" w:eastAsia="华文中宋" w:cs="Times New Roman"/>
          <w:snapToGrid/>
          <w:color w:val="auto"/>
          <w:kern w:val="2"/>
          <w:sz w:val="24"/>
          <w:szCs w:val="24"/>
          <w:lang w:val="en-US" w:eastAsia="zh-CN" w:bidi="ar-SA"/>
        </w:rPr>
        <w:t>；</w:t>
      </w:r>
      <w:r>
        <w:rPr>
          <w:rFonts w:hint="default" w:ascii="Times New Roman" w:hAnsi="Times New Roman" w:eastAsia="华文中宋" w:cs="Times New Roman"/>
          <w:snapToGrid/>
          <w:color w:val="auto"/>
          <w:kern w:val="2"/>
          <w:sz w:val="24"/>
          <w:szCs w:val="24"/>
          <w:lang w:val="en-US" w:eastAsia="zh-CN" w:bidi="ar-SA"/>
        </w:rPr>
        <w:t>有效孔隙度n</w:t>
      </w:r>
      <w:r>
        <w:rPr>
          <w:rFonts w:hint="eastAsia" w:ascii="Times New Roman" w:hAnsi="Times New Roman" w:eastAsia="华文中宋" w:cs="Times New Roman"/>
          <w:snapToGrid/>
          <w:color w:val="auto"/>
          <w:kern w:val="2"/>
          <w:sz w:val="24"/>
          <w:szCs w:val="24"/>
          <w:lang w:val="en-US" w:eastAsia="zh-CN" w:bidi="ar-SA"/>
        </w:rPr>
        <w:t>；</w:t>
      </w:r>
      <w:r>
        <w:rPr>
          <w:rFonts w:hint="default" w:ascii="Times New Roman" w:hAnsi="Times New Roman" w:eastAsia="华文中宋" w:cs="Times New Roman"/>
          <w:snapToGrid/>
          <w:color w:val="auto"/>
          <w:kern w:val="2"/>
          <w:sz w:val="24"/>
          <w:szCs w:val="24"/>
          <w:lang w:val="en-US" w:eastAsia="zh-CN" w:bidi="ar-SA"/>
        </w:rPr>
        <w:t>水流的实际平均速度u</w:t>
      </w:r>
      <w:r>
        <w:rPr>
          <w:rFonts w:hint="eastAsia" w:ascii="Times New Roman" w:hAnsi="Times New Roman" w:eastAsia="华文中宋" w:cs="Times New Roman"/>
          <w:snapToGrid/>
          <w:color w:val="auto"/>
          <w:kern w:val="2"/>
          <w:sz w:val="24"/>
          <w:szCs w:val="24"/>
          <w:lang w:val="en-US" w:eastAsia="zh-CN" w:bidi="ar-SA"/>
        </w:rPr>
        <w:t>；</w:t>
      </w:r>
      <w:r>
        <w:rPr>
          <w:rFonts w:hint="default" w:ascii="Times New Roman" w:hAnsi="Times New Roman" w:eastAsia="华文中宋" w:cs="Times New Roman"/>
          <w:snapToGrid/>
          <w:color w:val="auto"/>
          <w:kern w:val="2"/>
          <w:sz w:val="24"/>
          <w:szCs w:val="24"/>
          <w:lang w:val="en-US" w:eastAsia="zh-CN" w:bidi="ar-SA"/>
        </w:rPr>
        <w:t>污染物在含水层中的纵向弥散系数 DL</w:t>
      </w:r>
      <w:r>
        <w:rPr>
          <w:rFonts w:hint="eastAsia" w:ascii="Times New Roman" w:hAnsi="Times New Roman" w:eastAsia="华文中宋" w:cs="Times New Roman"/>
          <w:snapToGrid/>
          <w:color w:val="auto"/>
          <w:kern w:val="2"/>
          <w:sz w:val="24"/>
          <w:szCs w:val="24"/>
          <w:lang w:val="en-US" w:eastAsia="zh-CN" w:bidi="ar-SA"/>
        </w:rPr>
        <w:t>；</w:t>
      </w:r>
      <w:r>
        <w:rPr>
          <w:rFonts w:hint="default" w:ascii="Times New Roman" w:hAnsi="Times New Roman" w:eastAsia="华文中宋" w:cs="Times New Roman"/>
          <w:snapToGrid/>
          <w:color w:val="auto"/>
          <w:kern w:val="2"/>
          <w:sz w:val="24"/>
          <w:szCs w:val="24"/>
          <w:lang w:val="en-US" w:eastAsia="zh-CN" w:bidi="ar-SA"/>
        </w:rPr>
        <w:t>这些参数主要由勘察成果资料来确定</w:t>
      </w:r>
      <w:r>
        <w:rPr>
          <w:rFonts w:hint="eastAsia" w:ascii="Times New Roman" w:hAnsi="Times New Roman" w:eastAsia="华文中宋" w:cs="Times New Roman"/>
          <w:snapToGrid/>
          <w:color w:val="auto"/>
          <w:kern w:val="2"/>
          <w:sz w:val="24"/>
          <w:szCs w:val="24"/>
          <w:lang w:val="en-US" w:eastAsia="zh-CN" w:bidi="ar-SA"/>
        </w:rPr>
        <w:t>：</w:t>
      </w:r>
    </w:p>
    <w:p w14:paraId="6BDAA4FA">
      <w:pPr>
        <w:pStyle w:val="24"/>
        <w:snapToGrid w:val="0"/>
        <w:jc w:val="left"/>
        <w:rPr>
          <w:rFonts w:hint="eastAsia" w:ascii="Times New Roman" w:hAnsi="Times New Roman" w:eastAsia="华文中宋" w:cs="Times New Roman"/>
          <w:snapToGrid/>
          <w:color w:val="auto"/>
          <w:kern w:val="2"/>
          <w:sz w:val="24"/>
          <w:szCs w:val="24"/>
          <w:lang w:val="en-US" w:eastAsia="zh-CN" w:bidi="ar-SA"/>
        </w:rPr>
      </w:pPr>
      <w:r>
        <w:rPr>
          <w:rFonts w:hint="eastAsia" w:ascii="Times New Roman" w:hAnsi="Times New Roman" w:eastAsia="华文中宋" w:cs="Times New Roman"/>
          <w:snapToGrid/>
          <w:color w:val="auto"/>
          <w:kern w:val="2"/>
          <w:sz w:val="24"/>
          <w:szCs w:val="24"/>
          <w:lang w:val="en-US" w:eastAsia="zh-CN" w:bidi="ar-SA"/>
        </w:rPr>
        <w:t>含水层厚度M，根据本次搜索的水文地质资料，可知项目区地下水类型主要为冻结层水和基岩裂隙水，含水层厚度以</w:t>
      </w:r>
      <w:r>
        <w:rPr>
          <w:rFonts w:hint="eastAsia" w:ascii="Times New Roman" w:hAnsi="Times New Roman" w:cs="Times New Roman"/>
          <w:snapToGrid/>
          <w:color w:val="auto"/>
          <w:kern w:val="2"/>
          <w:sz w:val="24"/>
          <w:szCs w:val="24"/>
          <w:lang w:val="en-US" w:eastAsia="zh-CN" w:bidi="ar-SA"/>
        </w:rPr>
        <w:t>30</w:t>
      </w:r>
      <w:r>
        <w:rPr>
          <w:rFonts w:hint="eastAsia" w:ascii="Times New Roman" w:hAnsi="Times New Roman" w:eastAsia="华文中宋" w:cs="Times New Roman"/>
          <w:snapToGrid/>
          <w:color w:val="auto"/>
          <w:kern w:val="2"/>
          <w:sz w:val="24"/>
          <w:szCs w:val="24"/>
          <w:lang w:val="en-US" w:eastAsia="zh-CN" w:bidi="ar-SA"/>
        </w:rPr>
        <w:t>m计，长度以M的线源瞬时注入的示踪剂治疗mM，废石浸出实验中</w:t>
      </w:r>
      <w:r>
        <w:rPr>
          <w:rFonts w:hint="eastAsia" w:ascii="Times New Roman" w:hAnsi="Times New Roman" w:cs="Times New Roman"/>
          <w:snapToGrid/>
          <w:color w:val="auto"/>
          <w:kern w:val="2"/>
          <w:sz w:val="24"/>
          <w:szCs w:val="24"/>
          <w:lang w:val="en-US" w:eastAsia="zh-CN" w:bidi="ar-SA"/>
        </w:rPr>
        <w:t>锌</w:t>
      </w:r>
      <w:r>
        <w:rPr>
          <w:rFonts w:hint="eastAsia" w:ascii="Times New Roman" w:hAnsi="Times New Roman" w:eastAsia="华文中宋" w:cs="Times New Roman"/>
          <w:snapToGrid/>
          <w:color w:val="auto"/>
          <w:kern w:val="2"/>
          <w:sz w:val="24"/>
          <w:szCs w:val="24"/>
          <w:lang w:val="en-US" w:eastAsia="zh-CN" w:bidi="ar-SA"/>
        </w:rPr>
        <w:t>含量为0.04mg/L，根据当地气象资料，进入废石场的降雨量为9800m</w:t>
      </w:r>
      <w:r>
        <w:rPr>
          <w:rFonts w:hint="eastAsia" w:ascii="Times New Roman" w:hAnsi="Times New Roman" w:eastAsia="华文中宋" w:cs="Times New Roman"/>
          <w:snapToGrid/>
          <w:color w:val="auto"/>
          <w:kern w:val="2"/>
          <w:sz w:val="24"/>
          <w:szCs w:val="24"/>
          <w:vertAlign w:val="superscript"/>
          <w:lang w:val="en-US" w:eastAsia="zh-CN" w:bidi="ar-SA"/>
        </w:rPr>
        <w:t>3</w:t>
      </w:r>
      <w:r>
        <w:rPr>
          <w:rFonts w:hint="eastAsia" w:ascii="Times New Roman" w:hAnsi="Times New Roman" w:eastAsia="华文中宋" w:cs="Times New Roman"/>
          <w:snapToGrid/>
          <w:color w:val="auto"/>
          <w:kern w:val="2"/>
          <w:sz w:val="24"/>
          <w:szCs w:val="24"/>
          <w:lang w:val="en-US" w:eastAsia="zh-CN" w:bidi="ar-SA"/>
        </w:rPr>
        <w:t>，进入质量为392g。</w:t>
      </w:r>
    </w:p>
    <w:p w14:paraId="473517E9">
      <w:pPr>
        <w:pStyle w:val="24"/>
        <w:snapToGrid w:val="0"/>
        <w:jc w:val="left"/>
        <w:rPr>
          <w:rFonts w:hint="eastAsia" w:ascii="Times New Roman" w:hAnsi="Times New Roman" w:eastAsia="华文中宋" w:cs="Times New Roman"/>
          <w:snapToGrid/>
          <w:color w:val="auto"/>
          <w:kern w:val="2"/>
          <w:sz w:val="24"/>
          <w:szCs w:val="24"/>
          <w:lang w:val="en-US" w:eastAsia="zh-CN" w:bidi="ar-SA"/>
        </w:rPr>
      </w:pPr>
      <w:r>
        <w:rPr>
          <w:rFonts w:hint="eastAsia" w:ascii="Times New Roman" w:hAnsi="Times New Roman" w:eastAsia="华文中宋" w:cs="Times New Roman"/>
          <w:snapToGrid/>
          <w:color w:val="auto"/>
          <w:kern w:val="2"/>
          <w:sz w:val="24"/>
          <w:szCs w:val="24"/>
          <w:lang w:val="en-US" w:eastAsia="zh-CN" w:bidi="ar-SA"/>
        </w:rPr>
        <w:t>含水层的平均有效孔隙度n：根据本项目土壤理化特性调查表，孔隙度为0.462，根据以往生产经验，有效孔隙度一般比孔隙度小10%～20%，因此本次取有效孔隙度为0.37。</w:t>
      </w:r>
    </w:p>
    <w:p w14:paraId="24EA2F6F">
      <w:pPr>
        <w:pStyle w:val="24"/>
        <w:snapToGrid w:val="0"/>
        <w:jc w:val="left"/>
        <w:rPr>
          <w:rFonts w:hint="eastAsia" w:ascii="Times New Roman" w:hAnsi="Times New Roman" w:eastAsia="华文中宋" w:cs="Times New Roman"/>
          <w:snapToGrid/>
          <w:color w:val="auto"/>
          <w:kern w:val="2"/>
          <w:sz w:val="24"/>
          <w:szCs w:val="24"/>
          <w:lang w:val="en-US" w:eastAsia="zh-CN" w:bidi="ar-SA"/>
        </w:rPr>
      </w:pPr>
      <w:r>
        <w:rPr>
          <w:rFonts w:hint="eastAsia" w:ascii="Times New Roman" w:hAnsi="Times New Roman" w:eastAsia="华文中宋" w:cs="Times New Roman"/>
          <w:snapToGrid/>
          <w:color w:val="auto"/>
          <w:kern w:val="2"/>
          <w:sz w:val="24"/>
          <w:szCs w:val="24"/>
          <w:lang w:val="en-US" w:eastAsia="zh-CN" w:bidi="ar-SA"/>
        </w:rPr>
        <w:t>水</w:t>
      </w:r>
      <w:r>
        <w:rPr>
          <w:rFonts w:hint="eastAsia" w:ascii="Times New Roman" w:hAnsi="Times New Roman" w:eastAsia="华文中宋" w:cs="Times New Roman"/>
          <w:snapToGrid/>
          <w:color w:val="000000" w:themeColor="text1"/>
          <w:kern w:val="2"/>
          <w:sz w:val="24"/>
          <w:szCs w:val="24"/>
          <w:lang w:val="en-US" w:eastAsia="zh-CN" w:bidi="ar-SA"/>
          <w14:textFill>
            <w14:solidFill>
              <w14:schemeClr w14:val="tx1"/>
            </w14:solidFill>
          </w14:textFill>
        </w:rPr>
        <w:t>流实际平均流速u：</w:t>
      </w:r>
      <w:r>
        <w:rPr>
          <w:rFonts w:hint="eastAsia" w:ascii="Times New Roman" w:hAnsi="Times New Roman" w:eastAsia="华文中宋" w:cs="Times New Roman"/>
          <w:color w:val="000000" w:themeColor="text1"/>
          <w:szCs w:val="21"/>
          <w:lang w:val="en-US" w:eastAsia="zh-CN"/>
          <w14:textFill>
            <w14:solidFill>
              <w14:schemeClr w14:val="tx1"/>
            </w14:solidFill>
          </w14:textFill>
        </w:rPr>
        <w:t>项目水文地质岩性主要为粉砂，根据《环境影响评价技术导则 地下水环境》附录B，取其最大值</w:t>
      </w:r>
      <w:r>
        <w:rPr>
          <w:rFonts w:hint="eastAsia" w:ascii="Times New Roman" w:hAnsi="Times New Roman" w:eastAsia="华文中宋" w:cs="Times New Roman"/>
          <w:snapToGrid/>
          <w:color w:val="000000" w:themeColor="text1"/>
          <w:kern w:val="2"/>
          <w:sz w:val="24"/>
          <w:szCs w:val="24"/>
          <w:lang w:val="en-US" w:eastAsia="zh-CN" w:bidi="ar-SA"/>
          <w14:textFill>
            <w14:solidFill>
              <w14:schemeClr w14:val="tx1"/>
            </w14:solidFill>
          </w14:textFill>
        </w:rPr>
        <w:t>，项</w:t>
      </w:r>
      <w:r>
        <w:rPr>
          <w:rFonts w:hint="eastAsia" w:ascii="Times New Roman" w:hAnsi="Times New Roman" w:eastAsia="华文中宋" w:cs="Times New Roman"/>
          <w:snapToGrid/>
          <w:color w:val="auto"/>
          <w:kern w:val="2"/>
          <w:sz w:val="24"/>
          <w:szCs w:val="24"/>
          <w:lang w:val="en-US" w:eastAsia="zh-CN" w:bidi="ar-SA"/>
        </w:rPr>
        <w:t>目渗透系数为</w:t>
      </w:r>
      <w:r>
        <w:rPr>
          <w:rFonts w:hint="eastAsia" w:ascii="Times New Roman" w:hAnsi="Times New Roman" w:cs="Times New Roman"/>
          <w:snapToGrid/>
          <w:color w:val="auto"/>
          <w:kern w:val="2"/>
          <w:sz w:val="24"/>
          <w:szCs w:val="24"/>
          <w:lang w:val="en-US" w:eastAsia="zh-CN" w:bidi="ar-SA"/>
        </w:rPr>
        <w:t>1.5</w:t>
      </w:r>
      <w:r>
        <w:rPr>
          <w:rFonts w:hint="eastAsia" w:ascii="Times New Roman" w:hAnsi="Times New Roman" w:eastAsia="华文中宋" w:cs="Times New Roman"/>
          <w:snapToGrid/>
          <w:color w:val="auto"/>
          <w:kern w:val="2"/>
          <w:sz w:val="24"/>
          <w:szCs w:val="24"/>
          <w:lang w:val="en-US" w:eastAsia="zh-CN" w:bidi="ar-SA"/>
        </w:rPr>
        <w:t>m/d。水力坡度I=3.38%，因此地下水的渗透流速：</w:t>
      </w:r>
    </w:p>
    <w:p w14:paraId="45708BD8">
      <w:pPr>
        <w:pStyle w:val="24"/>
        <w:snapToGrid w:val="0"/>
        <w:jc w:val="left"/>
        <w:rPr>
          <w:rFonts w:hint="eastAsia" w:ascii="Times New Roman" w:hAnsi="Times New Roman" w:eastAsia="华文中宋" w:cs="Times New Roman"/>
          <w:snapToGrid/>
          <w:color w:val="auto"/>
          <w:kern w:val="2"/>
          <w:sz w:val="24"/>
          <w:szCs w:val="24"/>
          <w:lang w:val="en-US" w:eastAsia="zh-CN" w:bidi="ar-SA"/>
        </w:rPr>
      </w:pPr>
      <w:r>
        <w:rPr>
          <w:rFonts w:hint="eastAsia" w:ascii="Times New Roman" w:hAnsi="Times New Roman" w:eastAsia="华文中宋" w:cs="Times New Roman"/>
          <w:snapToGrid/>
          <w:color w:val="auto"/>
          <w:kern w:val="2"/>
          <w:sz w:val="24"/>
          <w:szCs w:val="24"/>
          <w:lang w:val="en-US" w:eastAsia="zh-CN" w:bidi="ar-SA"/>
        </w:rPr>
        <w:t>V=KI=</w:t>
      </w:r>
      <w:r>
        <w:rPr>
          <w:rFonts w:hint="eastAsia" w:ascii="Times New Roman" w:hAnsi="Times New Roman" w:cs="Times New Roman"/>
          <w:snapToGrid/>
          <w:color w:val="auto"/>
          <w:kern w:val="2"/>
          <w:sz w:val="24"/>
          <w:szCs w:val="24"/>
          <w:lang w:val="en-US" w:eastAsia="zh-CN" w:bidi="ar-SA"/>
        </w:rPr>
        <w:t>1.5</w:t>
      </w:r>
      <w:r>
        <w:rPr>
          <w:rFonts w:hint="eastAsia" w:ascii="Times New Roman" w:hAnsi="Times New Roman" w:eastAsia="华文中宋" w:cs="Times New Roman"/>
          <w:snapToGrid/>
          <w:color w:val="auto"/>
          <w:kern w:val="2"/>
          <w:sz w:val="24"/>
          <w:szCs w:val="24"/>
          <w:lang w:val="en-US" w:eastAsia="zh-CN" w:bidi="ar-SA"/>
        </w:rPr>
        <w:t>×0.0338=</w:t>
      </w:r>
      <w:r>
        <w:rPr>
          <w:rFonts w:hint="eastAsia" w:ascii="Times New Roman" w:hAnsi="Times New Roman" w:cs="Times New Roman"/>
          <w:snapToGrid/>
          <w:color w:val="auto"/>
          <w:kern w:val="2"/>
          <w:sz w:val="24"/>
          <w:szCs w:val="24"/>
          <w:lang w:val="en-US" w:eastAsia="zh-CN" w:bidi="ar-SA"/>
        </w:rPr>
        <w:t>0.0507</w:t>
      </w:r>
      <w:r>
        <w:rPr>
          <w:rFonts w:hint="eastAsia" w:ascii="Times New Roman" w:hAnsi="Times New Roman" w:eastAsia="华文中宋" w:cs="Times New Roman"/>
          <w:snapToGrid/>
          <w:color w:val="auto"/>
          <w:kern w:val="2"/>
          <w:sz w:val="24"/>
          <w:szCs w:val="24"/>
          <w:lang w:val="en-US" w:eastAsia="zh-CN" w:bidi="ar-SA"/>
        </w:rPr>
        <w:t>m/d</w:t>
      </w:r>
    </w:p>
    <w:p w14:paraId="2C745007">
      <w:pPr>
        <w:pStyle w:val="24"/>
        <w:snapToGrid w:val="0"/>
        <w:jc w:val="left"/>
        <w:rPr>
          <w:rFonts w:hint="default" w:ascii="Times New Roman" w:hAnsi="Times New Roman" w:eastAsia="华文中宋" w:cs="Times New Roman"/>
          <w:snapToGrid/>
          <w:color w:val="auto"/>
          <w:kern w:val="2"/>
          <w:sz w:val="24"/>
          <w:szCs w:val="24"/>
          <w:lang w:val="en-US" w:eastAsia="zh-CN" w:bidi="ar-SA"/>
        </w:rPr>
      </w:pPr>
      <w:r>
        <w:rPr>
          <w:rFonts w:hint="eastAsia" w:ascii="Times New Roman" w:hAnsi="Times New Roman" w:eastAsia="华文中宋" w:cs="Times New Roman"/>
          <w:snapToGrid/>
          <w:color w:val="auto"/>
          <w:kern w:val="2"/>
          <w:sz w:val="24"/>
          <w:szCs w:val="24"/>
          <w:lang w:val="en-US" w:eastAsia="zh-CN" w:bidi="ar-SA"/>
        </w:rPr>
        <w:t>平均实际流速u=V/n=</w:t>
      </w:r>
      <w:r>
        <w:rPr>
          <w:rFonts w:hint="eastAsia" w:ascii="Times New Roman" w:hAnsi="Times New Roman" w:cs="Times New Roman"/>
          <w:snapToGrid/>
          <w:color w:val="auto"/>
          <w:kern w:val="2"/>
          <w:sz w:val="24"/>
          <w:szCs w:val="24"/>
          <w:lang w:val="en-US" w:eastAsia="zh-CN" w:bidi="ar-SA"/>
        </w:rPr>
        <w:t>0.137</w:t>
      </w:r>
      <w:r>
        <w:rPr>
          <w:rFonts w:hint="eastAsia" w:ascii="Times New Roman" w:hAnsi="Times New Roman" w:eastAsia="华文中宋" w:cs="Times New Roman"/>
          <w:snapToGrid/>
          <w:color w:val="auto"/>
          <w:kern w:val="2"/>
          <w:sz w:val="24"/>
          <w:szCs w:val="24"/>
          <w:lang w:val="en-US" w:eastAsia="zh-CN" w:bidi="ar-SA"/>
        </w:rPr>
        <w:t>m/d</w:t>
      </w:r>
    </w:p>
    <w:p w14:paraId="4E54316C">
      <w:pPr>
        <w:pStyle w:val="24"/>
        <w:snapToGrid w:val="0"/>
        <w:jc w:val="left"/>
        <w:rPr>
          <w:rFonts w:hint="eastAsia" w:ascii="Times New Roman" w:hAnsi="Times New Roman" w:eastAsia="华文中宋" w:cs="Times New Roman"/>
          <w:snapToGrid/>
          <w:color w:val="auto"/>
          <w:kern w:val="2"/>
          <w:sz w:val="24"/>
          <w:szCs w:val="24"/>
          <w:lang w:val="en-US" w:eastAsia="zh-CN" w:bidi="ar-SA"/>
        </w:rPr>
      </w:pPr>
      <w:r>
        <w:rPr>
          <w:rFonts w:hint="eastAsia" w:ascii="Times New Roman" w:hAnsi="Times New Roman" w:eastAsia="华文中宋" w:cs="Times New Roman"/>
          <w:snapToGrid/>
          <w:color w:val="auto"/>
          <w:kern w:val="2"/>
          <w:sz w:val="24"/>
          <w:szCs w:val="24"/>
          <w:lang w:val="en-US" w:eastAsia="zh-CN" w:bidi="ar-SA"/>
        </w:rPr>
        <w:t>纵向x方向的弥散系数DL：</w:t>
      </w:r>
    </w:p>
    <w:p w14:paraId="6E293E37">
      <w:pPr>
        <w:pStyle w:val="24"/>
        <w:snapToGrid w:val="0"/>
        <w:jc w:val="left"/>
        <w:rPr>
          <w:rFonts w:hint="eastAsia" w:ascii="Times New Roman" w:hAnsi="Times New Roman" w:eastAsia="华文中宋" w:cs="Times New Roman"/>
          <w:snapToGrid/>
          <w:color w:val="auto"/>
          <w:kern w:val="2"/>
          <w:sz w:val="24"/>
          <w:szCs w:val="24"/>
          <w:lang w:val="en-US" w:eastAsia="zh-CN" w:bidi="ar-SA"/>
        </w:rPr>
      </w:pPr>
      <w:r>
        <w:rPr>
          <w:rFonts w:hint="eastAsia" w:ascii="Times New Roman" w:hAnsi="Times New Roman" w:eastAsia="华文中宋" w:cs="Times New Roman"/>
          <w:snapToGrid/>
          <w:color w:val="auto"/>
          <w:kern w:val="2"/>
          <w:sz w:val="24"/>
          <w:szCs w:val="24"/>
          <w:lang w:val="en-US" w:eastAsia="zh-CN" w:bidi="ar-SA"/>
        </w:rPr>
        <w:t>参考Gelhar等人关于纵向弥散度与观测尺度关系的理论，通常弥散度随着溶质运移距离的增加而加大，这种现象称之为水动力弥散尺度效应。其具体表现为：野外弥散试验所求出的弥散度远远大于在实验室所测出的值；即使是同一含水层，溶质运移距离越大，所计算出的弥散度也越大。将世界范围内所收集到的百余个水质模型中所使用的纵向弥散度αL绘在双对数坐标纸上，从图上可以看出纵向弥散度αL从整体上随着尺度的增加而增大（图5.2-3）。基准尺度Ls是指研究区大小的度量，一般用溶质运移到观测孔的最大距离表示，或用计算区的近似最大内径长度代替。故本次参考以往研究成果，考虑距污染源下游约500m的研究区范围，因此，本次模拟取弥散度参数值取5m。</w:t>
      </w:r>
    </w:p>
    <w:p w14:paraId="29FA6B21">
      <w:pPr>
        <w:keepNext w:val="0"/>
        <w:keepLines w:val="0"/>
        <w:widowControl/>
        <w:suppressLineNumbers w:val="0"/>
        <w:spacing w:line="360" w:lineRule="auto"/>
        <w:ind w:firstLine="420" w:firstLineChars="200"/>
        <w:jc w:val="center"/>
        <w:rPr>
          <w:rFonts w:hint="eastAsia" w:ascii="Times New Roman" w:hAnsi="Times New Roman" w:cs="Times New Roman" w:eastAsiaTheme="minorEastAsia"/>
          <w:color w:val="000000"/>
          <w:kern w:val="0"/>
          <w:sz w:val="24"/>
          <w:szCs w:val="24"/>
          <w:lang w:val="en-US" w:eastAsia="zh-CN" w:bidi="ar"/>
        </w:rPr>
      </w:pPr>
      <w:r>
        <w:drawing>
          <wp:inline distT="0" distB="0" distL="114300" distR="114300">
            <wp:extent cx="3845560" cy="2826385"/>
            <wp:effectExtent l="0" t="0" r="2540" b="1206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3"/>
                    <a:stretch>
                      <a:fillRect/>
                    </a:stretch>
                  </pic:blipFill>
                  <pic:spPr>
                    <a:xfrm>
                      <a:off x="0" y="0"/>
                      <a:ext cx="3845560" cy="2826385"/>
                    </a:xfrm>
                    <a:prstGeom prst="rect">
                      <a:avLst/>
                    </a:prstGeom>
                    <a:noFill/>
                    <a:ln>
                      <a:noFill/>
                    </a:ln>
                  </pic:spPr>
                </pic:pic>
              </a:graphicData>
            </a:graphic>
          </wp:inline>
        </w:drawing>
      </w:r>
    </w:p>
    <w:p w14:paraId="0C9DE617">
      <w:pPr>
        <w:keepNext w:val="0"/>
        <w:keepLines w:val="0"/>
        <w:widowControl/>
        <w:suppressLineNumbers w:val="0"/>
        <w:spacing w:line="360" w:lineRule="auto"/>
        <w:ind w:firstLine="482" w:firstLineChars="200"/>
        <w:jc w:val="center"/>
        <w:rPr>
          <w:rFonts w:hint="eastAsia" w:ascii="Arial" w:hAnsi="Arial" w:cs="Arial"/>
          <w:b/>
          <w:bCs/>
          <w:color w:val="000000"/>
          <w:kern w:val="0"/>
          <w:sz w:val="24"/>
          <w:szCs w:val="24"/>
          <w:vertAlign w:val="baseline"/>
          <w:lang w:val="en-US" w:eastAsia="zh-CN" w:bidi="ar"/>
        </w:rPr>
      </w:pPr>
      <w:r>
        <w:rPr>
          <w:rFonts w:hint="eastAsia" w:ascii="Times New Roman" w:hAnsi="Times New Roman" w:cs="Times New Roman"/>
          <w:b/>
          <w:bCs/>
          <w:color w:val="000000"/>
          <w:kern w:val="0"/>
          <w:sz w:val="24"/>
          <w:szCs w:val="24"/>
          <w:lang w:val="en-US" w:eastAsia="zh-CN" w:bidi="ar"/>
        </w:rPr>
        <w:t>图5.2-3  lg</w:t>
      </w:r>
      <w:r>
        <w:rPr>
          <w:rFonts w:hint="default" w:ascii="Arial" w:hAnsi="Arial" w:cs="Arial"/>
          <w:b/>
          <w:bCs/>
          <w:color w:val="000000"/>
          <w:kern w:val="0"/>
          <w:sz w:val="24"/>
          <w:szCs w:val="24"/>
          <w:lang w:val="en-US" w:eastAsia="zh-CN" w:bidi="ar"/>
        </w:rPr>
        <w:t>ɑ</w:t>
      </w:r>
      <w:r>
        <w:rPr>
          <w:rFonts w:hint="eastAsia" w:ascii="Times New Roman" w:hAnsi="Times New Roman" w:cs="Times New Roman"/>
          <w:b/>
          <w:bCs/>
          <w:color w:val="000000"/>
          <w:kern w:val="0"/>
          <w:sz w:val="24"/>
          <w:szCs w:val="24"/>
          <w:vertAlign w:val="subscript"/>
          <w:lang w:val="en-US" w:eastAsia="zh-CN" w:bidi="ar"/>
        </w:rPr>
        <w:t>L</w:t>
      </w:r>
      <w:r>
        <w:rPr>
          <w:rFonts w:hint="default" w:ascii="Times New Roman" w:hAnsi="Times New Roman" w:cs="Times New Roman" w:eastAsiaTheme="minorEastAsia"/>
          <w:b/>
          <w:bCs/>
          <w:color w:val="000000"/>
          <w:kern w:val="0"/>
          <w:sz w:val="24"/>
          <w:szCs w:val="24"/>
          <w:lang w:val="en-US" w:eastAsia="zh-CN" w:bidi="ar"/>
        </w:rPr>
        <w:t>—</w:t>
      </w:r>
      <w:r>
        <w:rPr>
          <w:rFonts w:hint="eastAsia" w:ascii="Times New Roman" w:hAnsi="Times New Roman" w:cs="Times New Roman"/>
          <w:b/>
          <w:bCs/>
          <w:color w:val="000000"/>
          <w:kern w:val="0"/>
          <w:sz w:val="24"/>
          <w:szCs w:val="24"/>
          <w:lang w:val="en-US" w:eastAsia="zh-CN" w:bidi="ar"/>
        </w:rPr>
        <w:t>lg</w:t>
      </w:r>
      <w:r>
        <w:rPr>
          <w:rFonts w:hint="default" w:ascii="Arial" w:hAnsi="Arial" w:cs="Arial"/>
          <w:b/>
          <w:bCs/>
          <w:color w:val="000000"/>
          <w:kern w:val="0"/>
          <w:sz w:val="24"/>
          <w:szCs w:val="24"/>
          <w:lang w:val="en-US" w:eastAsia="zh-CN" w:bidi="ar"/>
        </w:rPr>
        <w:t>ɑ</w:t>
      </w:r>
      <w:r>
        <w:rPr>
          <w:rFonts w:hint="eastAsia" w:ascii="Arial" w:hAnsi="Arial" w:cs="Arial"/>
          <w:b/>
          <w:bCs/>
          <w:color w:val="000000"/>
          <w:kern w:val="0"/>
          <w:sz w:val="24"/>
          <w:szCs w:val="24"/>
          <w:vertAlign w:val="subscript"/>
          <w:lang w:val="en-US" w:eastAsia="zh-CN" w:bidi="ar"/>
        </w:rPr>
        <w:t>s</w:t>
      </w:r>
      <w:r>
        <w:rPr>
          <w:rFonts w:hint="eastAsia" w:ascii="Arial" w:hAnsi="Arial" w:cs="Arial"/>
          <w:b/>
          <w:bCs/>
          <w:color w:val="000000"/>
          <w:kern w:val="0"/>
          <w:sz w:val="24"/>
          <w:szCs w:val="24"/>
          <w:vertAlign w:val="baseline"/>
          <w:lang w:val="en-US" w:eastAsia="zh-CN" w:bidi="ar"/>
        </w:rPr>
        <w:t>关系图</w:t>
      </w:r>
    </w:p>
    <w:p w14:paraId="3ED379E8">
      <w:pPr>
        <w:keepNext w:val="0"/>
        <w:keepLines w:val="0"/>
        <w:widowControl/>
        <w:suppressLineNumbers w:val="0"/>
        <w:spacing w:line="360" w:lineRule="auto"/>
        <w:ind w:firstLine="480" w:firstLineChars="200"/>
        <w:jc w:val="both"/>
        <w:rPr>
          <w:rFonts w:hint="default" w:ascii="Times New Roman" w:hAnsi="Times New Roman" w:cs="Times New Roman"/>
          <w:b w:val="0"/>
          <w:bCs w:val="0"/>
          <w:color w:val="000000"/>
          <w:kern w:val="0"/>
          <w:sz w:val="24"/>
          <w:szCs w:val="24"/>
          <w:vertAlign w:val="baseline"/>
          <w:lang w:val="en-US" w:eastAsia="zh-CN" w:bidi="ar"/>
        </w:rPr>
      </w:pPr>
      <w:r>
        <w:rPr>
          <w:rFonts w:hint="eastAsia" w:ascii="Arial" w:hAnsi="Arial" w:cs="Arial"/>
          <w:b w:val="0"/>
          <w:bCs w:val="0"/>
          <w:color w:val="000000"/>
          <w:kern w:val="0"/>
          <w:sz w:val="24"/>
          <w:szCs w:val="24"/>
          <w:vertAlign w:val="baseline"/>
          <w:lang w:val="en-US" w:eastAsia="zh-CN" w:bidi="ar"/>
        </w:rPr>
        <w:t>模型计算中纵向弥散度选用5m，由此计算项目区含水层中的纵向弥散系数DL=</w:t>
      </w:r>
      <w:r>
        <w:rPr>
          <w:rFonts w:hint="default" w:ascii="Arial" w:hAnsi="Arial" w:cs="Arial"/>
          <w:b w:val="0"/>
          <w:bCs w:val="0"/>
          <w:color w:val="000000"/>
          <w:kern w:val="0"/>
          <w:sz w:val="24"/>
          <w:szCs w:val="24"/>
          <w:lang w:val="en-US" w:eastAsia="zh-CN" w:bidi="ar"/>
        </w:rPr>
        <w:t>ɑ</w:t>
      </w:r>
      <w:r>
        <w:rPr>
          <w:rFonts w:hint="eastAsia" w:ascii="Times New Roman" w:hAnsi="Times New Roman" w:cs="Times New Roman"/>
          <w:b w:val="0"/>
          <w:bCs w:val="0"/>
          <w:color w:val="000000"/>
          <w:kern w:val="0"/>
          <w:sz w:val="24"/>
          <w:szCs w:val="24"/>
          <w:vertAlign w:val="subscript"/>
          <w:lang w:val="en-US" w:eastAsia="zh-CN" w:bidi="ar"/>
        </w:rPr>
        <w:t>L</w:t>
      </w:r>
      <w:r>
        <w:rPr>
          <w:rFonts w:hint="eastAsia" w:ascii="Times New Roman" w:hAnsi="Times New Roman" w:cs="Times New Roman"/>
          <w:b w:val="0"/>
          <w:bCs w:val="0"/>
          <w:color w:val="000000"/>
          <w:kern w:val="0"/>
          <w:sz w:val="24"/>
          <w:szCs w:val="24"/>
          <w:vertAlign w:val="baseline"/>
          <w:lang w:val="en-US" w:eastAsia="zh-CN" w:bidi="ar"/>
        </w:rPr>
        <w:t>×u=5×0.137（m/d）=0.685（m</w:t>
      </w:r>
      <w:r>
        <w:rPr>
          <w:rFonts w:hint="eastAsia" w:ascii="Times New Roman" w:hAnsi="Times New Roman" w:cs="Times New Roman"/>
          <w:b w:val="0"/>
          <w:bCs w:val="0"/>
          <w:color w:val="000000"/>
          <w:kern w:val="0"/>
          <w:sz w:val="24"/>
          <w:szCs w:val="24"/>
          <w:vertAlign w:val="superscript"/>
          <w:lang w:val="en-US" w:eastAsia="zh-CN" w:bidi="ar"/>
        </w:rPr>
        <w:t>2</w:t>
      </w:r>
      <w:r>
        <w:rPr>
          <w:rFonts w:hint="eastAsia" w:ascii="Times New Roman" w:hAnsi="Times New Roman" w:cs="Times New Roman"/>
          <w:b w:val="0"/>
          <w:bCs w:val="0"/>
          <w:color w:val="000000"/>
          <w:kern w:val="0"/>
          <w:sz w:val="24"/>
          <w:szCs w:val="24"/>
          <w:vertAlign w:val="baseline"/>
          <w:lang w:val="en-US" w:eastAsia="zh-CN" w:bidi="ar"/>
        </w:rPr>
        <w:t>/d）</w:t>
      </w:r>
    </w:p>
    <w:p w14:paraId="34C05839">
      <w:pPr>
        <w:keepNext w:val="0"/>
        <w:keepLines w:val="0"/>
        <w:widowControl/>
        <w:suppressLineNumbers w:val="0"/>
        <w:spacing w:line="360" w:lineRule="auto"/>
        <w:ind w:firstLine="480" w:firstLineChars="200"/>
        <w:jc w:val="both"/>
        <w:rPr>
          <w:rFonts w:hint="eastAsia" w:ascii="Times New Roman" w:hAnsi="Times New Roman" w:cs="Times New Roman"/>
          <w:b w:val="0"/>
          <w:bCs w:val="0"/>
          <w:color w:val="000000"/>
          <w:kern w:val="0"/>
          <w:sz w:val="24"/>
          <w:szCs w:val="24"/>
          <w:vertAlign w:val="baseline"/>
          <w:lang w:val="en-US" w:eastAsia="zh-CN" w:bidi="ar"/>
        </w:rPr>
      </w:pPr>
      <w:r>
        <w:rPr>
          <w:rFonts w:hint="eastAsia" w:ascii="Times New Roman" w:hAnsi="Times New Roman" w:cs="Times New Roman"/>
          <w:b w:val="0"/>
          <w:bCs w:val="0"/>
          <w:color w:val="000000"/>
          <w:kern w:val="0"/>
          <w:sz w:val="24"/>
          <w:szCs w:val="24"/>
          <w:vertAlign w:val="baseline"/>
          <w:lang w:val="en-US" w:eastAsia="zh-CN" w:bidi="ar"/>
        </w:rPr>
        <w:t>横向y方向的弥散系数D</w:t>
      </w:r>
      <w:r>
        <w:rPr>
          <w:rFonts w:hint="eastAsia" w:ascii="Times New Roman" w:hAnsi="Times New Roman" w:cs="Times New Roman"/>
          <w:b w:val="0"/>
          <w:bCs w:val="0"/>
          <w:color w:val="000000"/>
          <w:kern w:val="0"/>
          <w:sz w:val="24"/>
          <w:szCs w:val="24"/>
          <w:vertAlign w:val="subscript"/>
          <w:lang w:val="en-US" w:eastAsia="zh-CN" w:bidi="ar"/>
        </w:rPr>
        <w:t>T：</w:t>
      </w:r>
      <w:r>
        <w:rPr>
          <w:rFonts w:hint="eastAsia" w:ascii="Times New Roman" w:hAnsi="Times New Roman" w:cs="Times New Roman"/>
          <w:b w:val="0"/>
          <w:bCs w:val="0"/>
          <w:color w:val="000000"/>
          <w:kern w:val="0"/>
          <w:sz w:val="24"/>
          <w:szCs w:val="24"/>
          <w:vertAlign w:val="baseline"/>
          <w:lang w:val="en-US" w:eastAsia="zh-CN" w:bidi="ar"/>
        </w:rPr>
        <w:t>根据经验一般，</w:t>
      </w:r>
    </w:p>
    <w:p w14:paraId="7B4A0322">
      <w:pPr>
        <w:keepNext w:val="0"/>
        <w:keepLines w:val="0"/>
        <w:widowControl/>
        <w:suppressLineNumbers w:val="0"/>
        <w:spacing w:line="360" w:lineRule="auto"/>
        <w:ind w:firstLine="480" w:firstLineChars="200"/>
        <w:jc w:val="center"/>
        <w:rPr>
          <w:rFonts w:hint="eastAsia" w:hAnsi="Cambria Math" w:cs="Times New Roman"/>
          <w:bCs/>
          <w:i w:val="0"/>
          <w:color w:val="000000"/>
          <w:kern w:val="0"/>
          <w:sz w:val="24"/>
          <w:szCs w:val="24"/>
          <w:vertAlign w:val="baseline"/>
          <w:lang w:val="en-US" w:eastAsia="zh-CN" w:bidi="ar"/>
        </w:rPr>
      </w:pPr>
      <m:oMath>
        <m:f>
          <m:fPr>
            <m:ctrlPr>
              <w:rPr>
                <w:rFonts w:ascii="Cambria Math" w:hAnsi="Cambria Math" w:cs="Times New Roman"/>
                <w:bCs/>
                <w:i/>
                <w:color w:val="000000"/>
                <w:kern w:val="0"/>
                <w:sz w:val="24"/>
                <w:szCs w:val="24"/>
                <w:vertAlign w:val="baseline"/>
                <w:lang w:val="en-US" w:bidi="ar"/>
              </w:rPr>
            </m:ctrlPr>
          </m:fPr>
          <m:num>
            <m:sSub>
              <m:sSubPr>
                <m:ctrlPr>
                  <w:rPr>
                    <w:rFonts w:ascii="Cambria Math" w:hAnsi="Cambria Math" w:cs="Times New Roman"/>
                    <w:bCs/>
                    <w:i/>
                    <w:color w:val="000000"/>
                    <w:kern w:val="0"/>
                    <w:sz w:val="24"/>
                    <w:szCs w:val="24"/>
                    <w:vertAlign w:val="baseline"/>
                    <w:lang w:val="en-US" w:bidi="ar"/>
                  </w:rPr>
                </m:ctrlPr>
              </m:sSubPr>
              <m:e>
                <m:r>
                  <m:rPr/>
                  <w:rPr>
                    <w:rFonts w:hint="default" w:ascii="Cambria Math" w:hAnsi="Cambria Math" w:cs="Times New Roman"/>
                    <w:color w:val="000000"/>
                    <w:kern w:val="0"/>
                    <w:sz w:val="24"/>
                    <w:szCs w:val="24"/>
                    <w:vertAlign w:val="baseline"/>
                    <w:lang w:val="en-US" w:eastAsia="zh-CN" w:bidi="ar"/>
                  </w:rPr>
                  <m:t>D</m:t>
                </m:r>
                <m:ctrlPr>
                  <w:rPr>
                    <w:rFonts w:ascii="Cambria Math" w:hAnsi="Cambria Math" w:cs="Times New Roman"/>
                    <w:bCs/>
                    <w:i/>
                    <w:color w:val="000000"/>
                    <w:kern w:val="0"/>
                    <w:sz w:val="24"/>
                    <w:szCs w:val="24"/>
                    <w:vertAlign w:val="baseline"/>
                    <w:lang w:val="en-US" w:bidi="ar"/>
                  </w:rPr>
                </m:ctrlPr>
              </m:e>
              <m:sub>
                <m:r>
                  <m:rPr/>
                  <w:rPr>
                    <w:rFonts w:hint="default" w:ascii="Cambria Math" w:hAnsi="Cambria Math" w:cs="Times New Roman"/>
                    <w:color w:val="000000"/>
                    <w:kern w:val="0"/>
                    <w:sz w:val="24"/>
                    <w:szCs w:val="24"/>
                    <w:vertAlign w:val="baseline"/>
                    <w:lang w:val="en-US" w:eastAsia="zh-CN" w:bidi="ar"/>
                  </w:rPr>
                  <m:t>T</m:t>
                </m:r>
                <m:ctrlPr>
                  <w:rPr>
                    <w:rFonts w:ascii="Cambria Math" w:hAnsi="Cambria Math" w:cs="Times New Roman"/>
                    <w:bCs/>
                    <w:i/>
                    <w:color w:val="000000"/>
                    <w:kern w:val="0"/>
                    <w:sz w:val="24"/>
                    <w:szCs w:val="24"/>
                    <w:vertAlign w:val="baseline"/>
                    <w:lang w:val="en-US" w:bidi="ar"/>
                  </w:rPr>
                </m:ctrlPr>
              </m:sub>
            </m:sSub>
            <m:ctrlPr>
              <w:rPr>
                <w:rFonts w:ascii="Cambria Math" w:hAnsi="Cambria Math" w:cs="Times New Roman"/>
                <w:bCs/>
                <w:i/>
                <w:color w:val="000000"/>
                <w:kern w:val="0"/>
                <w:sz w:val="24"/>
                <w:szCs w:val="24"/>
                <w:vertAlign w:val="baseline"/>
                <w:lang w:val="en-US" w:bidi="ar"/>
              </w:rPr>
            </m:ctrlPr>
          </m:num>
          <m:den>
            <m:sSub>
              <m:sSubPr>
                <m:ctrlPr>
                  <w:rPr>
                    <w:rFonts w:ascii="Cambria Math" w:hAnsi="Cambria Math" w:cs="Times New Roman"/>
                    <w:bCs/>
                    <w:i/>
                    <w:color w:val="000000"/>
                    <w:kern w:val="0"/>
                    <w:sz w:val="24"/>
                    <w:szCs w:val="24"/>
                    <w:vertAlign w:val="baseline"/>
                    <w:lang w:val="en-US" w:bidi="ar"/>
                  </w:rPr>
                </m:ctrlPr>
              </m:sSubPr>
              <m:e>
                <m:r>
                  <m:rPr/>
                  <w:rPr>
                    <w:rFonts w:hint="default" w:ascii="Cambria Math" w:hAnsi="Cambria Math" w:cs="Times New Roman"/>
                    <w:color w:val="000000"/>
                    <w:kern w:val="0"/>
                    <w:sz w:val="24"/>
                    <w:szCs w:val="24"/>
                    <w:vertAlign w:val="baseline"/>
                    <w:lang w:val="en-US" w:eastAsia="zh-CN" w:bidi="ar"/>
                  </w:rPr>
                  <m:t>D</m:t>
                </m:r>
                <m:ctrlPr>
                  <w:rPr>
                    <w:rFonts w:ascii="Cambria Math" w:hAnsi="Cambria Math" w:cs="Times New Roman"/>
                    <w:bCs/>
                    <w:i/>
                    <w:color w:val="000000"/>
                    <w:kern w:val="0"/>
                    <w:sz w:val="24"/>
                    <w:szCs w:val="24"/>
                    <w:vertAlign w:val="baseline"/>
                    <w:lang w:val="en-US" w:bidi="ar"/>
                  </w:rPr>
                </m:ctrlPr>
              </m:e>
              <m:sub>
                <m:r>
                  <m:rPr/>
                  <w:rPr>
                    <w:rFonts w:hint="default" w:ascii="Cambria Math" w:hAnsi="Cambria Math" w:cs="Times New Roman"/>
                    <w:color w:val="000000"/>
                    <w:kern w:val="0"/>
                    <w:sz w:val="24"/>
                    <w:szCs w:val="24"/>
                    <w:vertAlign w:val="baseline"/>
                    <w:lang w:val="en-US" w:eastAsia="zh-CN" w:bidi="ar"/>
                  </w:rPr>
                  <m:t>L</m:t>
                </m:r>
                <m:ctrlPr>
                  <w:rPr>
                    <w:rFonts w:ascii="Cambria Math" w:hAnsi="Cambria Math" w:cs="Times New Roman"/>
                    <w:bCs/>
                    <w:i/>
                    <w:color w:val="000000"/>
                    <w:kern w:val="0"/>
                    <w:sz w:val="24"/>
                    <w:szCs w:val="24"/>
                    <w:vertAlign w:val="baseline"/>
                    <w:lang w:val="en-US" w:bidi="ar"/>
                  </w:rPr>
                </m:ctrlPr>
              </m:sub>
            </m:sSub>
            <m:ctrlPr>
              <w:rPr>
                <w:rFonts w:ascii="Cambria Math" w:hAnsi="Cambria Math" w:cs="Times New Roman"/>
                <w:bCs/>
                <w:i/>
                <w:color w:val="000000"/>
                <w:kern w:val="0"/>
                <w:sz w:val="24"/>
                <w:szCs w:val="24"/>
                <w:vertAlign w:val="baseline"/>
                <w:lang w:val="en-US" w:bidi="ar"/>
              </w:rPr>
            </m:ctrlPr>
          </m:den>
        </m:f>
      </m:oMath>
      <w:r>
        <w:rPr>
          <w:rFonts w:hint="eastAsia" w:hAnsi="Cambria Math" w:cs="Times New Roman"/>
          <w:bCs/>
          <w:i w:val="0"/>
          <w:color w:val="000000"/>
          <w:kern w:val="0"/>
          <w:sz w:val="24"/>
          <w:szCs w:val="24"/>
          <w:vertAlign w:val="baseline"/>
          <w:lang w:val="en-US" w:eastAsia="zh-CN" w:bidi="ar"/>
        </w:rPr>
        <w:t>=0.1</w:t>
      </w:r>
    </w:p>
    <w:p w14:paraId="5432AEBE">
      <w:pPr>
        <w:keepNext w:val="0"/>
        <w:keepLines w:val="0"/>
        <w:widowControl/>
        <w:suppressLineNumbers w:val="0"/>
        <w:spacing w:line="360" w:lineRule="auto"/>
        <w:ind w:firstLine="480" w:firstLineChars="200"/>
        <w:jc w:val="both"/>
        <w:rPr>
          <w:rFonts w:hint="default" w:ascii="Times New Roman" w:hAnsi="Times New Roman" w:eastAsia="华文中宋" w:cs="Times New Roman"/>
          <w:sz w:val="24"/>
          <w:highlight w:val="none"/>
          <w:lang w:val="en-US" w:eastAsia="zh-CN"/>
        </w:rPr>
      </w:pPr>
      <w:r>
        <w:rPr>
          <w:rFonts w:hint="eastAsia" w:hAnsi="Cambria Math" w:cs="Times New Roman"/>
          <w:bCs/>
          <w:i w:val="0"/>
          <w:color w:val="000000"/>
          <w:kern w:val="0"/>
          <w:sz w:val="24"/>
          <w:szCs w:val="24"/>
          <w:vertAlign w:val="baseline"/>
          <w:lang w:val="en-US" w:eastAsia="zh-CN" w:bidi="ar"/>
        </w:rPr>
        <w:t>因此D</w:t>
      </w:r>
      <w:r>
        <w:rPr>
          <w:rFonts w:hint="eastAsia" w:hAnsi="Cambria Math" w:cs="Times New Roman"/>
          <w:bCs/>
          <w:i w:val="0"/>
          <w:color w:val="000000"/>
          <w:kern w:val="0"/>
          <w:sz w:val="24"/>
          <w:szCs w:val="24"/>
          <w:vertAlign w:val="subscript"/>
          <w:lang w:val="en-US" w:eastAsia="zh-CN" w:bidi="ar"/>
        </w:rPr>
        <w:t>T</w:t>
      </w:r>
      <w:r>
        <w:rPr>
          <w:rFonts w:hint="eastAsia" w:hAnsi="Cambria Math" w:cs="Times New Roman"/>
          <w:bCs/>
          <w:i w:val="0"/>
          <w:color w:val="000000"/>
          <w:kern w:val="0"/>
          <w:sz w:val="24"/>
          <w:szCs w:val="24"/>
          <w:vertAlign w:val="baseline"/>
          <w:lang w:val="en-US" w:eastAsia="zh-CN" w:bidi="ar"/>
        </w:rPr>
        <w:t>=0.1*DL=</w:t>
      </w:r>
      <w:r>
        <w:rPr>
          <w:rFonts w:hint="eastAsia" w:ascii="Times New Roman" w:hAnsi="Times New Roman" w:cs="Times New Roman"/>
          <w:b w:val="0"/>
          <w:bCs w:val="0"/>
          <w:color w:val="000000"/>
          <w:kern w:val="0"/>
          <w:sz w:val="24"/>
          <w:szCs w:val="24"/>
          <w:vertAlign w:val="baseline"/>
          <w:lang w:val="en-US" w:eastAsia="zh-CN" w:bidi="ar"/>
        </w:rPr>
        <w:t>0.0685</w:t>
      </w:r>
      <w:r>
        <w:rPr>
          <w:rFonts w:hint="eastAsia" w:hAnsi="Cambria Math" w:cs="Times New Roman"/>
          <w:bCs/>
          <w:i w:val="0"/>
          <w:color w:val="000000"/>
          <w:kern w:val="0"/>
          <w:sz w:val="24"/>
          <w:szCs w:val="24"/>
          <w:vertAlign w:val="baseline"/>
          <w:lang w:val="en-US" w:eastAsia="zh-CN" w:bidi="ar"/>
        </w:rPr>
        <w:t>（m</w:t>
      </w:r>
      <w:r>
        <w:rPr>
          <w:rFonts w:hint="eastAsia" w:hAnsi="Cambria Math" w:cs="Times New Roman"/>
          <w:bCs/>
          <w:i w:val="0"/>
          <w:color w:val="000000"/>
          <w:kern w:val="0"/>
          <w:sz w:val="24"/>
          <w:szCs w:val="24"/>
          <w:vertAlign w:val="superscript"/>
          <w:lang w:val="en-US" w:eastAsia="zh-CN" w:bidi="ar"/>
        </w:rPr>
        <w:t>2</w:t>
      </w:r>
      <w:r>
        <w:rPr>
          <w:rFonts w:hint="eastAsia" w:hAnsi="Cambria Math" w:cs="Times New Roman"/>
          <w:bCs/>
          <w:i w:val="0"/>
          <w:color w:val="000000"/>
          <w:kern w:val="0"/>
          <w:sz w:val="24"/>
          <w:szCs w:val="24"/>
          <w:vertAlign w:val="baseline"/>
          <w:lang w:val="en-US" w:eastAsia="zh-CN" w:bidi="ar"/>
        </w:rPr>
        <w:t>/d）。</w:t>
      </w:r>
    </w:p>
    <w:p w14:paraId="79121CE9">
      <w:pPr>
        <w:adjustRightInd w:val="0"/>
        <w:snapToGrid w:val="0"/>
        <w:spacing w:line="500" w:lineRule="exact"/>
        <w:ind w:firstLine="480" w:firstLineChars="200"/>
        <w:jc w:val="left"/>
        <w:rPr>
          <w:rFonts w:hint="default" w:ascii="Times New Roman" w:hAnsi="Times New Roman" w:eastAsia="华文中宋" w:cs="Times New Roman"/>
          <w:sz w:val="24"/>
          <w:lang w:val="en-US"/>
        </w:rPr>
      </w:pPr>
      <w:r>
        <w:rPr>
          <w:rFonts w:hint="eastAsia" w:ascii="Times New Roman" w:hAnsi="Times New Roman" w:eastAsia="华文中宋" w:cs="Times New Roman"/>
          <w:sz w:val="24"/>
          <w:lang w:val="en-US" w:eastAsia="zh-CN"/>
        </w:rPr>
        <w:t>项目预测模型参数选取见下表。</w:t>
      </w:r>
    </w:p>
    <w:p w14:paraId="292F9046">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表5.2-</w:t>
      </w:r>
      <w:r>
        <w:rPr>
          <w:rFonts w:hint="eastAsia" w:ascii="Times New Roman" w:hAnsi="Times New Roman" w:eastAsia="华文中宋" w:cs="Times New Roman"/>
          <w:b/>
          <w:szCs w:val="21"/>
          <w:lang w:val="en-US" w:eastAsia="zh-CN"/>
        </w:rPr>
        <w:t>19</w:t>
      </w:r>
      <w:r>
        <w:rPr>
          <w:rFonts w:hint="default" w:ascii="Times New Roman" w:hAnsi="Times New Roman" w:eastAsia="华文中宋" w:cs="Times New Roman"/>
          <w:b/>
          <w:szCs w:val="21"/>
          <w:lang w:val="en-US" w:eastAsia="zh-CN"/>
        </w:rPr>
        <w:t xml:space="preserve">  地下水影响评价参数</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1740"/>
        <w:gridCol w:w="976"/>
        <w:gridCol w:w="1222"/>
        <w:gridCol w:w="3846"/>
      </w:tblGrid>
      <w:tr w14:paraId="2FAF6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14:paraId="0037C00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参数</w:t>
            </w:r>
          </w:p>
        </w:tc>
        <w:tc>
          <w:tcPr>
            <w:tcW w:w="1740" w:type="dxa"/>
            <w:vAlign w:val="center"/>
          </w:tcPr>
          <w:p w14:paraId="704DC16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含义</w:t>
            </w:r>
          </w:p>
        </w:tc>
        <w:tc>
          <w:tcPr>
            <w:tcW w:w="976" w:type="dxa"/>
            <w:vAlign w:val="center"/>
          </w:tcPr>
          <w:p w14:paraId="0791860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单位</w:t>
            </w:r>
          </w:p>
        </w:tc>
        <w:tc>
          <w:tcPr>
            <w:tcW w:w="1222" w:type="dxa"/>
            <w:vAlign w:val="center"/>
          </w:tcPr>
          <w:p w14:paraId="774DE8E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取值</w:t>
            </w:r>
          </w:p>
        </w:tc>
        <w:tc>
          <w:tcPr>
            <w:tcW w:w="3846" w:type="dxa"/>
            <w:vAlign w:val="center"/>
          </w:tcPr>
          <w:p w14:paraId="5C6C6FE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说明</w:t>
            </w:r>
          </w:p>
        </w:tc>
      </w:tr>
      <w:tr w14:paraId="1AA04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14:paraId="142B496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M</w:t>
            </w:r>
          </w:p>
        </w:tc>
        <w:tc>
          <w:tcPr>
            <w:tcW w:w="1740" w:type="dxa"/>
            <w:vAlign w:val="center"/>
          </w:tcPr>
          <w:p w14:paraId="3B169A0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含水层厚度</w:t>
            </w:r>
          </w:p>
        </w:tc>
        <w:tc>
          <w:tcPr>
            <w:tcW w:w="976" w:type="dxa"/>
            <w:vAlign w:val="center"/>
          </w:tcPr>
          <w:p w14:paraId="0416831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m</w:t>
            </w:r>
          </w:p>
        </w:tc>
        <w:tc>
          <w:tcPr>
            <w:tcW w:w="1222" w:type="dxa"/>
            <w:vAlign w:val="center"/>
          </w:tcPr>
          <w:p w14:paraId="69E7F86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30</w:t>
            </w:r>
          </w:p>
        </w:tc>
        <w:tc>
          <w:tcPr>
            <w:tcW w:w="3846" w:type="dxa"/>
            <w:vAlign w:val="center"/>
          </w:tcPr>
          <w:p w14:paraId="2B44EA4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项目区地下水类型</w:t>
            </w:r>
            <w:r>
              <w:rPr>
                <w:rFonts w:hint="eastAsia" w:ascii="Times New Roman" w:hAnsi="Times New Roman" w:eastAsia="华文中宋" w:cs="Times New Roman"/>
                <w:szCs w:val="21"/>
                <w:lang w:val="en-US" w:eastAsia="zh-CN"/>
              </w:rPr>
              <w:t>主要为冻结层水和</w:t>
            </w:r>
            <w:r>
              <w:rPr>
                <w:rFonts w:hint="default" w:ascii="Times New Roman" w:hAnsi="Times New Roman" w:eastAsia="华文中宋" w:cs="Times New Roman"/>
                <w:szCs w:val="21"/>
                <w:lang w:val="en-US" w:eastAsia="zh-CN"/>
              </w:rPr>
              <w:t>基岩裂隙水，含水层厚度取</w:t>
            </w:r>
            <w:r>
              <w:rPr>
                <w:rFonts w:hint="eastAsia" w:ascii="Times New Roman" w:hAnsi="Times New Roman" w:eastAsia="华文中宋" w:cs="Times New Roman"/>
                <w:szCs w:val="21"/>
                <w:lang w:val="en-US" w:eastAsia="zh-CN"/>
              </w:rPr>
              <w:t>30</w:t>
            </w:r>
            <w:r>
              <w:rPr>
                <w:rFonts w:hint="default" w:ascii="Times New Roman" w:hAnsi="Times New Roman" w:eastAsia="华文中宋" w:cs="Times New Roman"/>
                <w:szCs w:val="21"/>
                <w:lang w:val="en-US" w:eastAsia="zh-CN"/>
              </w:rPr>
              <w:t>m</w:t>
            </w:r>
          </w:p>
        </w:tc>
      </w:tr>
      <w:tr w14:paraId="42089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14:paraId="123AB53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u</w:t>
            </w:r>
          </w:p>
        </w:tc>
        <w:tc>
          <w:tcPr>
            <w:tcW w:w="1740" w:type="dxa"/>
            <w:vAlign w:val="center"/>
          </w:tcPr>
          <w:p w14:paraId="45662C6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地下水平均流速</w:t>
            </w:r>
          </w:p>
        </w:tc>
        <w:tc>
          <w:tcPr>
            <w:tcW w:w="976" w:type="dxa"/>
            <w:vAlign w:val="center"/>
          </w:tcPr>
          <w:p w14:paraId="72A58B3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m/d</w:t>
            </w:r>
          </w:p>
        </w:tc>
        <w:tc>
          <w:tcPr>
            <w:tcW w:w="1222" w:type="dxa"/>
            <w:vAlign w:val="center"/>
          </w:tcPr>
          <w:p w14:paraId="2ED4622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0.137</w:t>
            </w:r>
          </w:p>
        </w:tc>
        <w:tc>
          <w:tcPr>
            <w:tcW w:w="3846" w:type="dxa"/>
            <w:vAlign w:val="center"/>
          </w:tcPr>
          <w:p w14:paraId="1F149EA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根据项目区水文地质资料</w:t>
            </w:r>
          </w:p>
        </w:tc>
      </w:tr>
      <w:tr w14:paraId="4531C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14:paraId="2AAE04A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K</w:t>
            </w:r>
          </w:p>
        </w:tc>
        <w:tc>
          <w:tcPr>
            <w:tcW w:w="1740" w:type="dxa"/>
            <w:vAlign w:val="center"/>
          </w:tcPr>
          <w:p w14:paraId="796AE5B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渗透系数</w:t>
            </w:r>
          </w:p>
        </w:tc>
        <w:tc>
          <w:tcPr>
            <w:tcW w:w="976" w:type="dxa"/>
            <w:vAlign w:val="center"/>
          </w:tcPr>
          <w:p w14:paraId="1730DC4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m/d</w:t>
            </w:r>
          </w:p>
        </w:tc>
        <w:tc>
          <w:tcPr>
            <w:tcW w:w="1222" w:type="dxa"/>
            <w:vAlign w:val="center"/>
          </w:tcPr>
          <w:p w14:paraId="41EAC09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1.5</w:t>
            </w:r>
          </w:p>
        </w:tc>
        <w:tc>
          <w:tcPr>
            <w:tcW w:w="3846" w:type="dxa"/>
            <w:vAlign w:val="center"/>
          </w:tcPr>
          <w:p w14:paraId="01B7019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项目水文地质岩性主要为粉砂，根据《环境影响评价技术导则 地下水环境》附录B，取其最大值</w:t>
            </w:r>
          </w:p>
        </w:tc>
      </w:tr>
      <w:tr w14:paraId="7AB37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14:paraId="2E11787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T</w:t>
            </w:r>
          </w:p>
        </w:tc>
        <w:tc>
          <w:tcPr>
            <w:tcW w:w="1740" w:type="dxa"/>
            <w:vAlign w:val="center"/>
          </w:tcPr>
          <w:p w14:paraId="61371B4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质点迁移天数</w:t>
            </w:r>
          </w:p>
        </w:tc>
        <w:tc>
          <w:tcPr>
            <w:tcW w:w="976" w:type="dxa"/>
            <w:vAlign w:val="center"/>
          </w:tcPr>
          <w:p w14:paraId="5BD86A1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d</w:t>
            </w:r>
          </w:p>
        </w:tc>
        <w:tc>
          <w:tcPr>
            <w:tcW w:w="1222" w:type="dxa"/>
            <w:vAlign w:val="center"/>
          </w:tcPr>
          <w:p w14:paraId="16DFB70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w:t>
            </w:r>
          </w:p>
        </w:tc>
        <w:tc>
          <w:tcPr>
            <w:tcW w:w="3846" w:type="dxa"/>
            <w:vAlign w:val="center"/>
          </w:tcPr>
          <w:p w14:paraId="7F38A03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取100d、1000d。</w:t>
            </w:r>
          </w:p>
        </w:tc>
      </w:tr>
      <w:tr w14:paraId="3EAE8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14:paraId="7170C84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ne</w:t>
            </w:r>
          </w:p>
        </w:tc>
        <w:tc>
          <w:tcPr>
            <w:tcW w:w="1740" w:type="dxa"/>
            <w:vAlign w:val="center"/>
          </w:tcPr>
          <w:p w14:paraId="5C9AE1C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有效孔隙度</w:t>
            </w:r>
          </w:p>
        </w:tc>
        <w:tc>
          <w:tcPr>
            <w:tcW w:w="976" w:type="dxa"/>
            <w:vAlign w:val="center"/>
          </w:tcPr>
          <w:p w14:paraId="5B3C9FB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无量纲</w:t>
            </w:r>
          </w:p>
        </w:tc>
        <w:tc>
          <w:tcPr>
            <w:tcW w:w="1222" w:type="dxa"/>
            <w:vAlign w:val="center"/>
          </w:tcPr>
          <w:p w14:paraId="31EACD9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w:t>
            </w:r>
            <w:r>
              <w:rPr>
                <w:rFonts w:hint="eastAsia" w:ascii="Times New Roman" w:hAnsi="Times New Roman" w:eastAsia="华文中宋" w:cs="Times New Roman"/>
                <w:szCs w:val="21"/>
                <w:lang w:val="en-US" w:eastAsia="zh-CN"/>
              </w:rPr>
              <w:t>37</w:t>
            </w:r>
          </w:p>
        </w:tc>
        <w:tc>
          <w:tcPr>
            <w:tcW w:w="3846" w:type="dxa"/>
            <w:vAlign w:val="center"/>
          </w:tcPr>
          <w:p w14:paraId="6C720AE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根据项目区水文地质资料</w:t>
            </w:r>
          </w:p>
        </w:tc>
      </w:tr>
      <w:tr w14:paraId="28BB2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14:paraId="22C99FB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DL</w:t>
            </w:r>
          </w:p>
        </w:tc>
        <w:tc>
          <w:tcPr>
            <w:tcW w:w="1740" w:type="dxa"/>
            <w:vAlign w:val="center"/>
          </w:tcPr>
          <w:p w14:paraId="5B671F0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纵向弥散系数</w:t>
            </w:r>
          </w:p>
        </w:tc>
        <w:tc>
          <w:tcPr>
            <w:tcW w:w="976" w:type="dxa"/>
            <w:vAlign w:val="center"/>
          </w:tcPr>
          <w:p w14:paraId="3826C01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m</w:t>
            </w:r>
            <w:r>
              <w:rPr>
                <w:rFonts w:hint="default" w:ascii="Times New Roman" w:hAnsi="Times New Roman" w:eastAsia="华文中宋" w:cs="Times New Roman"/>
                <w:szCs w:val="21"/>
                <w:vertAlign w:val="superscript"/>
                <w:lang w:val="en-US" w:eastAsia="zh-CN"/>
              </w:rPr>
              <w:t>2</w:t>
            </w:r>
            <w:r>
              <w:rPr>
                <w:rFonts w:hint="default" w:ascii="Times New Roman" w:hAnsi="Times New Roman" w:eastAsia="华文中宋" w:cs="Times New Roman"/>
                <w:szCs w:val="21"/>
                <w:lang w:val="en-US" w:eastAsia="zh-CN"/>
              </w:rPr>
              <w:t>/d</w:t>
            </w:r>
          </w:p>
        </w:tc>
        <w:tc>
          <w:tcPr>
            <w:tcW w:w="1222" w:type="dxa"/>
            <w:vAlign w:val="center"/>
          </w:tcPr>
          <w:p w14:paraId="06B24AE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0.685</w:t>
            </w:r>
          </w:p>
        </w:tc>
        <w:tc>
          <w:tcPr>
            <w:tcW w:w="3846" w:type="dxa"/>
            <w:vAlign w:val="center"/>
          </w:tcPr>
          <w:p w14:paraId="00D8B73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计算得出</w:t>
            </w:r>
          </w:p>
        </w:tc>
      </w:tr>
      <w:tr w14:paraId="5A5C2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14:paraId="1594A0C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DT</w:t>
            </w:r>
          </w:p>
        </w:tc>
        <w:tc>
          <w:tcPr>
            <w:tcW w:w="1740" w:type="dxa"/>
            <w:vAlign w:val="center"/>
          </w:tcPr>
          <w:p w14:paraId="33706DA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横向弥散系数</w:t>
            </w:r>
          </w:p>
        </w:tc>
        <w:tc>
          <w:tcPr>
            <w:tcW w:w="976" w:type="dxa"/>
            <w:vAlign w:val="center"/>
          </w:tcPr>
          <w:p w14:paraId="3D4E054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m</w:t>
            </w:r>
            <w:r>
              <w:rPr>
                <w:rFonts w:hint="default" w:ascii="Times New Roman" w:hAnsi="Times New Roman" w:eastAsia="华文中宋" w:cs="Times New Roman"/>
                <w:szCs w:val="21"/>
                <w:vertAlign w:val="superscript"/>
                <w:lang w:val="en-US" w:eastAsia="zh-CN"/>
              </w:rPr>
              <w:t>2</w:t>
            </w:r>
            <w:r>
              <w:rPr>
                <w:rFonts w:hint="default" w:ascii="Times New Roman" w:hAnsi="Times New Roman" w:eastAsia="华文中宋" w:cs="Times New Roman"/>
                <w:szCs w:val="21"/>
                <w:lang w:val="en-US" w:eastAsia="zh-CN"/>
              </w:rPr>
              <w:t>/d</w:t>
            </w:r>
          </w:p>
        </w:tc>
        <w:tc>
          <w:tcPr>
            <w:tcW w:w="1222" w:type="dxa"/>
            <w:vAlign w:val="center"/>
          </w:tcPr>
          <w:p w14:paraId="13C7F2B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0.0685</w:t>
            </w:r>
          </w:p>
        </w:tc>
        <w:tc>
          <w:tcPr>
            <w:tcW w:w="3846" w:type="dxa"/>
            <w:vAlign w:val="center"/>
          </w:tcPr>
          <w:p w14:paraId="6D3901C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一般为DL的10%</w:t>
            </w:r>
          </w:p>
        </w:tc>
      </w:tr>
      <w:tr w14:paraId="57497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14:paraId="4236409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mM</w:t>
            </w:r>
          </w:p>
        </w:tc>
        <w:tc>
          <w:tcPr>
            <w:tcW w:w="1740" w:type="dxa"/>
            <w:vAlign w:val="center"/>
          </w:tcPr>
          <w:p w14:paraId="6D858E3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示踪剂质量</w:t>
            </w:r>
          </w:p>
        </w:tc>
        <w:tc>
          <w:tcPr>
            <w:tcW w:w="976" w:type="dxa"/>
            <w:vAlign w:val="center"/>
          </w:tcPr>
          <w:p w14:paraId="7553BFE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g</w:t>
            </w:r>
          </w:p>
        </w:tc>
        <w:tc>
          <w:tcPr>
            <w:tcW w:w="1222" w:type="dxa"/>
            <w:vAlign w:val="center"/>
          </w:tcPr>
          <w:p w14:paraId="2A4A0F3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392</w:t>
            </w:r>
          </w:p>
        </w:tc>
        <w:tc>
          <w:tcPr>
            <w:tcW w:w="3846" w:type="dxa"/>
            <w:vAlign w:val="center"/>
          </w:tcPr>
          <w:p w14:paraId="7863B20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锌</w:t>
            </w:r>
          </w:p>
        </w:tc>
      </w:tr>
    </w:tbl>
    <w:p w14:paraId="64A0CF53">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（5）</w:t>
      </w:r>
      <w:r>
        <w:rPr>
          <w:rFonts w:hint="default" w:ascii="Times New Roman" w:hAnsi="Times New Roman" w:eastAsia="华文中宋" w:cs="Times New Roman"/>
          <w:sz w:val="24"/>
          <w:lang w:val="en-US" w:eastAsia="zh-CN"/>
        </w:rPr>
        <w:t>预测结果</w:t>
      </w:r>
    </w:p>
    <w:p w14:paraId="3D0B000C">
      <w:pPr>
        <w:adjustRightInd w:val="0"/>
        <w:snapToGrid w:val="0"/>
        <w:spacing w:line="500" w:lineRule="exact"/>
        <w:ind w:firstLine="480" w:firstLineChars="200"/>
        <w:jc w:val="left"/>
        <w:rPr>
          <w:rFonts w:hint="default" w:ascii="Times New Roman" w:hAnsi="Times New Roman" w:eastAsia="华文中宋" w:cs="Times New Roman"/>
          <w:kern w:val="0"/>
          <w:sz w:val="24"/>
          <w:lang w:val="en-US" w:eastAsia="zh-CN"/>
        </w:rPr>
      </w:pPr>
      <w:r>
        <w:rPr>
          <w:rFonts w:hint="default" w:ascii="Times New Roman" w:hAnsi="Times New Roman" w:eastAsia="华文中宋" w:cs="Times New Roman"/>
          <w:kern w:val="0"/>
          <w:sz w:val="24"/>
          <w:lang w:val="en-US" w:eastAsia="zh-CN"/>
        </w:rPr>
        <w:t>锌</w:t>
      </w:r>
      <w:r>
        <w:rPr>
          <w:rFonts w:hint="eastAsia" w:ascii="Times New Roman" w:hAnsi="Times New Roman" w:eastAsia="华文中宋" w:cs="Times New Roman"/>
          <w:kern w:val="0"/>
          <w:sz w:val="24"/>
          <w:lang w:val="en-US" w:eastAsia="zh-CN"/>
        </w:rPr>
        <w:t>对</w:t>
      </w:r>
      <w:r>
        <w:rPr>
          <w:rFonts w:hint="default" w:ascii="Times New Roman" w:hAnsi="Times New Roman" w:eastAsia="华文中宋" w:cs="Times New Roman"/>
          <w:kern w:val="0"/>
          <w:sz w:val="24"/>
          <w:lang w:val="en-US" w:eastAsia="zh-CN"/>
        </w:rPr>
        <w:t>地下水污染预测结果见下表</w:t>
      </w:r>
    </w:p>
    <w:p w14:paraId="7A2A94B9">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表5.2-2</w:t>
      </w:r>
      <w:r>
        <w:rPr>
          <w:rFonts w:hint="eastAsia" w:ascii="Times New Roman" w:hAnsi="Times New Roman" w:eastAsia="华文中宋" w:cs="Times New Roman"/>
          <w:b/>
          <w:szCs w:val="21"/>
          <w:lang w:val="en-US" w:eastAsia="zh-CN"/>
        </w:rPr>
        <w:t>0</w:t>
      </w:r>
      <w:r>
        <w:rPr>
          <w:rFonts w:hint="default" w:ascii="Times New Roman" w:hAnsi="Times New Roman" w:eastAsia="华文中宋" w:cs="Times New Roman"/>
          <w:b/>
          <w:szCs w:val="21"/>
          <w:lang w:val="en-US" w:eastAsia="zh-CN"/>
        </w:rPr>
        <w:t xml:space="preserve">  废石堆场淋溶水渗入地下锌浓度预测结果</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14:paraId="04773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restart"/>
            <w:vAlign w:val="center"/>
          </w:tcPr>
          <w:p w14:paraId="1DAB0840">
            <w:pPr>
              <w:jc w:val="center"/>
              <w:rPr>
                <w:rFonts w:hint="default" w:ascii="Times New Roman" w:hAnsi="Times New Roman" w:cs="Times New Roman" w:eastAsiaTheme="minorEastAsia"/>
                <w:vertAlign w:val="baseline"/>
                <w:lang w:val="en-US" w:eastAsia="zh-CN"/>
              </w:rPr>
            </w:pPr>
            <w:r>
              <w:rPr>
                <w:rFonts w:hint="default" w:ascii="Times New Roman" w:hAnsi="Times New Roman" w:cs="Times New Roman"/>
                <w:vertAlign w:val="baseline"/>
                <w:lang w:val="en-US" w:eastAsia="zh-CN"/>
              </w:rPr>
              <w:t>序号</w:t>
            </w:r>
          </w:p>
        </w:tc>
        <w:tc>
          <w:tcPr>
            <w:tcW w:w="3408" w:type="dxa"/>
            <w:gridSpan w:val="2"/>
            <w:vAlign w:val="center"/>
          </w:tcPr>
          <w:p w14:paraId="40E35E4B">
            <w:pPr>
              <w:jc w:val="center"/>
              <w:rPr>
                <w:rFonts w:hint="default" w:ascii="Times New Roman" w:hAnsi="Times New Roman" w:cs="Times New Roman" w:eastAsiaTheme="minorEastAsia"/>
                <w:vertAlign w:val="baseline"/>
                <w:lang w:val="en-US" w:eastAsia="zh-CN"/>
              </w:rPr>
            </w:pPr>
            <w:r>
              <w:rPr>
                <w:rFonts w:hint="default" w:ascii="Times New Roman" w:hAnsi="Times New Roman" w:cs="Times New Roman"/>
                <w:vertAlign w:val="baseline"/>
                <w:lang w:val="en-US" w:eastAsia="zh-CN"/>
              </w:rPr>
              <w:t>100d</w:t>
            </w:r>
          </w:p>
        </w:tc>
        <w:tc>
          <w:tcPr>
            <w:tcW w:w="3410" w:type="dxa"/>
            <w:gridSpan w:val="2"/>
            <w:vAlign w:val="center"/>
          </w:tcPr>
          <w:p w14:paraId="76766A91">
            <w:pPr>
              <w:jc w:val="center"/>
              <w:rPr>
                <w:rFonts w:hint="default" w:ascii="Times New Roman" w:hAnsi="Times New Roman" w:cs="Times New Roman" w:eastAsiaTheme="minorEastAsia"/>
                <w:vertAlign w:val="baseline"/>
                <w:lang w:val="en-US" w:eastAsia="zh-CN"/>
              </w:rPr>
            </w:pPr>
            <w:r>
              <w:rPr>
                <w:rFonts w:hint="default" w:ascii="Times New Roman" w:hAnsi="Times New Roman" w:cs="Times New Roman"/>
                <w:vertAlign w:val="baseline"/>
                <w:lang w:val="en-US" w:eastAsia="zh-CN"/>
              </w:rPr>
              <w:t>1000d</w:t>
            </w:r>
          </w:p>
        </w:tc>
      </w:tr>
      <w:tr w14:paraId="42F1E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14:paraId="0144922B">
            <w:pPr>
              <w:jc w:val="center"/>
              <w:rPr>
                <w:rFonts w:hint="default" w:ascii="Times New Roman" w:hAnsi="Times New Roman" w:cs="Times New Roman"/>
                <w:vertAlign w:val="baseline"/>
              </w:rPr>
            </w:pPr>
          </w:p>
        </w:tc>
        <w:tc>
          <w:tcPr>
            <w:tcW w:w="1704" w:type="dxa"/>
            <w:vAlign w:val="center"/>
          </w:tcPr>
          <w:p w14:paraId="3D3C5E21">
            <w:pPr>
              <w:jc w:val="center"/>
              <w:rPr>
                <w:rFonts w:hint="default" w:ascii="Times New Roman" w:hAnsi="Times New Roman" w:cs="Times New Roman" w:eastAsiaTheme="minorEastAsia"/>
                <w:vertAlign w:val="baseline"/>
                <w:lang w:val="en-US" w:eastAsia="zh-CN"/>
              </w:rPr>
            </w:pPr>
            <w:r>
              <w:rPr>
                <w:rFonts w:hint="default" w:ascii="Times New Roman" w:hAnsi="Times New Roman" w:cs="Times New Roman"/>
                <w:vertAlign w:val="baseline"/>
                <w:lang w:val="en-US" w:eastAsia="zh-CN"/>
              </w:rPr>
              <w:t>距离（m）</w:t>
            </w:r>
          </w:p>
        </w:tc>
        <w:tc>
          <w:tcPr>
            <w:tcW w:w="1704" w:type="dxa"/>
            <w:vAlign w:val="center"/>
          </w:tcPr>
          <w:p w14:paraId="48B4A3E9">
            <w:pPr>
              <w:jc w:val="center"/>
              <w:rPr>
                <w:rFonts w:hint="default" w:ascii="Times New Roman" w:hAnsi="Times New Roman" w:cs="Times New Roman" w:eastAsiaTheme="minorEastAsia"/>
                <w:vertAlign w:val="baseline"/>
                <w:lang w:val="en-US" w:eastAsia="zh-CN"/>
              </w:rPr>
            </w:pPr>
            <w:r>
              <w:rPr>
                <w:rFonts w:hint="default" w:ascii="Times New Roman" w:hAnsi="Times New Roman" w:cs="Times New Roman"/>
                <w:vertAlign w:val="baseline"/>
                <w:lang w:val="en-US" w:eastAsia="zh-CN"/>
              </w:rPr>
              <w:t>浓度（mg/L）</w:t>
            </w:r>
          </w:p>
        </w:tc>
        <w:tc>
          <w:tcPr>
            <w:tcW w:w="1705" w:type="dxa"/>
            <w:shd w:val="clear" w:color="auto" w:fill="auto"/>
            <w:vAlign w:val="center"/>
          </w:tcPr>
          <w:p w14:paraId="574310C9">
            <w:pPr>
              <w:jc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vertAlign w:val="baseline"/>
                <w:lang w:val="en-US" w:eastAsia="zh-CN"/>
              </w:rPr>
              <w:t>距离（m）</w:t>
            </w:r>
          </w:p>
        </w:tc>
        <w:tc>
          <w:tcPr>
            <w:tcW w:w="1705" w:type="dxa"/>
            <w:shd w:val="clear" w:color="auto" w:fill="auto"/>
            <w:vAlign w:val="center"/>
          </w:tcPr>
          <w:p w14:paraId="0BB6C295">
            <w:pPr>
              <w:jc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vertAlign w:val="baseline"/>
                <w:lang w:val="en-US" w:eastAsia="zh-CN"/>
              </w:rPr>
              <w:t>浓度（mg/L）</w:t>
            </w:r>
          </w:p>
        </w:tc>
      </w:tr>
      <w:tr w14:paraId="60A04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2A605172">
            <w:pPr>
              <w:jc w:val="center"/>
              <w:rPr>
                <w:rFonts w:hint="default" w:ascii="Times New Roman" w:hAnsi="Times New Roman" w:cs="Times New Roman" w:eastAsiaTheme="minorEastAsia"/>
                <w:vertAlign w:val="baseline"/>
                <w:lang w:val="en-US" w:eastAsia="zh-CN"/>
              </w:rPr>
            </w:pPr>
            <w:r>
              <w:rPr>
                <w:rFonts w:hint="default" w:ascii="Times New Roman" w:hAnsi="Times New Roman" w:cs="Times New Roman"/>
                <w:vertAlign w:val="baseline"/>
                <w:lang w:val="en-US" w:eastAsia="zh-CN"/>
              </w:rPr>
              <w:t>1</w:t>
            </w:r>
          </w:p>
        </w:tc>
        <w:tc>
          <w:tcPr>
            <w:tcW w:w="1704" w:type="dxa"/>
            <w:vAlign w:val="center"/>
          </w:tcPr>
          <w:p w14:paraId="5BC27DE0">
            <w:pPr>
              <w:keepNext w:val="0"/>
              <w:keepLines w:val="0"/>
              <w:widowControl/>
              <w:suppressLineNumbers w:val="0"/>
              <w:jc w:val="center"/>
              <w:textAlignment w:val="center"/>
              <w:rPr>
                <w:rFonts w:hint="default" w:ascii="Times New Roman" w:hAnsi="Times New Roman" w:cs="Times New Roman"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0</w:t>
            </w:r>
          </w:p>
        </w:tc>
        <w:tc>
          <w:tcPr>
            <w:tcW w:w="1704" w:type="dxa"/>
            <w:vAlign w:val="center"/>
          </w:tcPr>
          <w:p w14:paraId="66DEF5FB">
            <w:pPr>
              <w:keepNext w:val="0"/>
              <w:keepLines w:val="0"/>
              <w:widowControl/>
              <w:suppressLineNumbers w:val="0"/>
              <w:jc w:val="center"/>
              <w:textAlignment w:val="center"/>
              <w:rPr>
                <w:rFonts w:hint="default" w:ascii="Times New Roman" w:hAnsi="Times New Roman" w:cs="Times New Roman"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0.06541</w:t>
            </w:r>
          </w:p>
        </w:tc>
        <w:tc>
          <w:tcPr>
            <w:tcW w:w="1705" w:type="dxa"/>
            <w:vAlign w:val="center"/>
          </w:tcPr>
          <w:p w14:paraId="30E26522">
            <w:pPr>
              <w:keepNext w:val="0"/>
              <w:keepLines w:val="0"/>
              <w:widowControl/>
              <w:suppressLineNumbers w:val="0"/>
              <w:jc w:val="center"/>
              <w:textAlignment w:val="center"/>
              <w:rPr>
                <w:rFonts w:hint="default" w:ascii="Times New Roman" w:hAnsi="Times New Roman" w:cs="Times New Roman"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0</w:t>
            </w:r>
          </w:p>
        </w:tc>
        <w:tc>
          <w:tcPr>
            <w:tcW w:w="1705" w:type="dxa"/>
            <w:vAlign w:val="center"/>
          </w:tcPr>
          <w:p w14:paraId="4240CBE8">
            <w:pPr>
              <w:jc w:val="center"/>
              <w:rPr>
                <w:rFonts w:hint="default" w:ascii="Times New Roman" w:hAnsi="Times New Roman" w:cs="Times New Roman" w:eastAsiaTheme="minorEastAsia"/>
                <w:vertAlign w:val="baseline"/>
                <w:lang w:val="en-US" w:eastAsia="zh-CN"/>
              </w:rPr>
            </w:pPr>
            <w:r>
              <w:rPr>
                <w:rFonts w:hint="eastAsia" w:ascii="Times New Roman" w:hAnsi="Times New Roman" w:cs="Times New Roman"/>
                <w:vertAlign w:val="baseline"/>
                <w:lang w:val="en-US" w:eastAsia="zh-CN"/>
              </w:rPr>
              <w:t>1.373×10</w:t>
            </w:r>
            <w:r>
              <w:rPr>
                <w:rFonts w:hint="eastAsia" w:ascii="Times New Roman" w:hAnsi="Times New Roman" w:cs="Times New Roman"/>
                <w:vertAlign w:val="superscript"/>
                <w:lang w:val="en-US" w:eastAsia="zh-CN"/>
              </w:rPr>
              <w:t>-5</w:t>
            </w:r>
          </w:p>
        </w:tc>
      </w:tr>
      <w:tr w14:paraId="2197D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66AE7687">
            <w:pPr>
              <w:jc w:val="center"/>
              <w:rPr>
                <w:rFonts w:hint="default" w:ascii="Times New Roman" w:hAnsi="Times New Roman" w:cs="Times New Roman" w:eastAsiaTheme="minorEastAsia"/>
                <w:vertAlign w:val="baseline"/>
                <w:lang w:val="en-US" w:eastAsia="zh-CN"/>
              </w:rPr>
            </w:pPr>
            <w:r>
              <w:rPr>
                <w:rFonts w:hint="default" w:ascii="Times New Roman" w:hAnsi="Times New Roman" w:cs="Times New Roman"/>
                <w:vertAlign w:val="baseline"/>
                <w:lang w:val="en-US" w:eastAsia="zh-CN"/>
              </w:rPr>
              <w:t>2</w:t>
            </w:r>
          </w:p>
        </w:tc>
        <w:tc>
          <w:tcPr>
            <w:tcW w:w="1704" w:type="dxa"/>
            <w:vAlign w:val="center"/>
          </w:tcPr>
          <w:p w14:paraId="2CE4E33C">
            <w:pPr>
              <w:keepNext w:val="0"/>
              <w:keepLines w:val="0"/>
              <w:widowControl/>
              <w:suppressLineNumbers w:val="0"/>
              <w:jc w:val="center"/>
              <w:textAlignment w:val="center"/>
              <w:rPr>
                <w:rFonts w:hint="default" w:ascii="Times New Roman" w:hAnsi="Times New Roman" w:cs="Times New Roman"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5</w:t>
            </w:r>
          </w:p>
        </w:tc>
        <w:tc>
          <w:tcPr>
            <w:tcW w:w="1704" w:type="dxa"/>
            <w:vAlign w:val="center"/>
          </w:tcPr>
          <w:p w14:paraId="1C18ADA9">
            <w:pPr>
              <w:keepNext w:val="0"/>
              <w:keepLines w:val="0"/>
              <w:widowControl/>
              <w:suppressLineNumbers w:val="0"/>
              <w:jc w:val="center"/>
              <w:textAlignment w:val="center"/>
              <w:rPr>
                <w:rFonts w:hint="default" w:ascii="Times New Roman" w:hAnsi="Times New Roman" w:cs="Times New Roman"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0.09844</w:t>
            </w:r>
          </w:p>
        </w:tc>
        <w:tc>
          <w:tcPr>
            <w:tcW w:w="1705" w:type="dxa"/>
            <w:vAlign w:val="center"/>
          </w:tcPr>
          <w:p w14:paraId="05EDCAAC">
            <w:pPr>
              <w:keepNext w:val="0"/>
              <w:keepLines w:val="0"/>
              <w:widowControl/>
              <w:suppressLineNumbers w:val="0"/>
              <w:jc w:val="center"/>
              <w:textAlignment w:val="center"/>
              <w:rPr>
                <w:rFonts w:hint="default" w:ascii="Times New Roman" w:hAnsi="Times New Roman" w:cs="Times New Roman"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20</w:t>
            </w:r>
          </w:p>
        </w:tc>
        <w:tc>
          <w:tcPr>
            <w:tcW w:w="1705" w:type="dxa"/>
            <w:vAlign w:val="center"/>
          </w:tcPr>
          <w:p w14:paraId="55C3B8AF">
            <w:pPr>
              <w:jc w:val="center"/>
              <w:rPr>
                <w:rFonts w:hint="default" w:ascii="Times New Roman" w:hAnsi="Times New Roman" w:cs="Times New Roman" w:eastAsiaTheme="minorEastAsia"/>
                <w:vertAlign w:val="baseline"/>
                <w:lang w:val="en-US" w:eastAsia="zh-CN"/>
              </w:rPr>
            </w:pPr>
            <w:r>
              <w:rPr>
                <w:rFonts w:hint="eastAsia" w:ascii="Times New Roman" w:hAnsi="Times New Roman" w:cs="Times New Roman"/>
                <w:vertAlign w:val="baseline"/>
                <w:lang w:val="en-US" w:eastAsia="zh-CN"/>
              </w:rPr>
              <w:t>8.768×10</w:t>
            </w:r>
            <w:r>
              <w:rPr>
                <w:rFonts w:hint="eastAsia" w:ascii="Times New Roman" w:hAnsi="Times New Roman" w:cs="Times New Roman"/>
                <w:vertAlign w:val="superscript"/>
                <w:lang w:val="en-US" w:eastAsia="zh-CN"/>
              </w:rPr>
              <w:t>-5</w:t>
            </w:r>
          </w:p>
        </w:tc>
      </w:tr>
      <w:tr w14:paraId="29CB1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57CEC8ED">
            <w:pPr>
              <w:jc w:val="center"/>
              <w:rPr>
                <w:rFonts w:hint="default" w:ascii="Times New Roman" w:hAnsi="Times New Roman" w:cs="Times New Roman" w:eastAsiaTheme="minorEastAsia"/>
                <w:vertAlign w:val="baseline"/>
                <w:lang w:val="en-US" w:eastAsia="zh-CN"/>
              </w:rPr>
            </w:pPr>
            <w:r>
              <w:rPr>
                <w:rFonts w:hint="default" w:ascii="Times New Roman" w:hAnsi="Times New Roman" w:cs="Times New Roman"/>
                <w:vertAlign w:val="baseline"/>
                <w:lang w:val="en-US" w:eastAsia="zh-CN"/>
              </w:rPr>
              <w:t>3</w:t>
            </w:r>
          </w:p>
        </w:tc>
        <w:tc>
          <w:tcPr>
            <w:tcW w:w="1704" w:type="dxa"/>
            <w:vAlign w:val="center"/>
          </w:tcPr>
          <w:p w14:paraId="5DD8D0ED">
            <w:pPr>
              <w:keepNext w:val="0"/>
              <w:keepLines w:val="0"/>
              <w:widowControl/>
              <w:suppressLineNumbers w:val="0"/>
              <w:jc w:val="center"/>
              <w:textAlignment w:val="center"/>
              <w:rPr>
                <w:rFonts w:hint="default" w:ascii="Times New Roman" w:hAnsi="Times New Roman" w:cs="Times New Roman"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10</w:t>
            </w:r>
          </w:p>
        </w:tc>
        <w:tc>
          <w:tcPr>
            <w:tcW w:w="1704" w:type="dxa"/>
            <w:vAlign w:val="center"/>
          </w:tcPr>
          <w:p w14:paraId="265DD516">
            <w:pPr>
              <w:keepNext w:val="0"/>
              <w:keepLines w:val="0"/>
              <w:widowControl/>
              <w:suppressLineNumbers w:val="0"/>
              <w:jc w:val="center"/>
              <w:textAlignment w:val="center"/>
              <w:rPr>
                <w:rFonts w:hint="default" w:ascii="Times New Roman" w:hAnsi="Times New Roman" w:cs="Times New Roman"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0.12344</w:t>
            </w:r>
          </w:p>
        </w:tc>
        <w:tc>
          <w:tcPr>
            <w:tcW w:w="1705" w:type="dxa"/>
            <w:vAlign w:val="center"/>
          </w:tcPr>
          <w:p w14:paraId="657F45F1">
            <w:pPr>
              <w:keepNext w:val="0"/>
              <w:keepLines w:val="0"/>
              <w:widowControl/>
              <w:suppressLineNumbers w:val="0"/>
              <w:jc w:val="center"/>
              <w:textAlignment w:val="center"/>
              <w:rPr>
                <w:rFonts w:hint="default" w:ascii="Times New Roman" w:hAnsi="Times New Roman" w:cs="Times New Roman"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40</w:t>
            </w:r>
          </w:p>
        </w:tc>
        <w:tc>
          <w:tcPr>
            <w:tcW w:w="1705" w:type="dxa"/>
            <w:vAlign w:val="center"/>
          </w:tcPr>
          <w:p w14:paraId="08AFA006">
            <w:pPr>
              <w:jc w:val="center"/>
              <w:rPr>
                <w:rFonts w:hint="default" w:ascii="Times New Roman" w:hAnsi="Times New Roman" w:cs="Times New Roman" w:eastAsiaTheme="minorEastAsia"/>
                <w:vertAlign w:val="baseline"/>
                <w:lang w:val="en-US" w:eastAsia="zh-CN"/>
              </w:rPr>
            </w:pPr>
            <w:r>
              <w:rPr>
                <w:rFonts w:hint="eastAsia" w:ascii="Times New Roman" w:hAnsi="Times New Roman" w:cs="Times New Roman"/>
                <w:vertAlign w:val="baseline"/>
                <w:lang w:val="en-US" w:eastAsia="zh-CN"/>
              </w:rPr>
              <w:t>4.18×10</w:t>
            </w:r>
            <w:r>
              <w:rPr>
                <w:rFonts w:hint="eastAsia" w:ascii="Times New Roman" w:hAnsi="Times New Roman" w:cs="Times New Roman"/>
                <w:vertAlign w:val="superscript"/>
                <w:lang w:val="en-US" w:eastAsia="zh-CN"/>
              </w:rPr>
              <w:t>-4</w:t>
            </w:r>
          </w:p>
        </w:tc>
      </w:tr>
      <w:tr w14:paraId="5FC17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61858D1C">
            <w:pPr>
              <w:jc w:val="center"/>
              <w:rPr>
                <w:rFonts w:hint="default" w:ascii="Times New Roman" w:hAnsi="Times New Roman" w:cs="Times New Roman" w:eastAsiaTheme="minorEastAsia"/>
                <w:vertAlign w:val="baseline"/>
                <w:lang w:val="en-US" w:eastAsia="zh-CN"/>
              </w:rPr>
            </w:pPr>
            <w:r>
              <w:rPr>
                <w:rFonts w:hint="default" w:ascii="Times New Roman" w:hAnsi="Times New Roman" w:cs="Times New Roman"/>
                <w:vertAlign w:val="baseline"/>
                <w:lang w:val="en-US" w:eastAsia="zh-CN"/>
              </w:rPr>
              <w:t>4</w:t>
            </w:r>
          </w:p>
        </w:tc>
        <w:tc>
          <w:tcPr>
            <w:tcW w:w="1704" w:type="dxa"/>
            <w:vAlign w:val="center"/>
          </w:tcPr>
          <w:p w14:paraId="786BD640">
            <w:pPr>
              <w:keepNext w:val="0"/>
              <w:keepLines w:val="0"/>
              <w:widowControl/>
              <w:suppressLineNumbers w:val="0"/>
              <w:jc w:val="center"/>
              <w:textAlignment w:val="center"/>
              <w:rPr>
                <w:rFonts w:hint="default" w:ascii="Times New Roman" w:hAnsi="Times New Roman" w:cs="Times New Roman"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15</w:t>
            </w:r>
          </w:p>
        </w:tc>
        <w:tc>
          <w:tcPr>
            <w:tcW w:w="1704" w:type="dxa"/>
            <w:vAlign w:val="center"/>
          </w:tcPr>
          <w:p w14:paraId="65C026F2">
            <w:pPr>
              <w:keepNext w:val="0"/>
              <w:keepLines w:val="0"/>
              <w:widowControl/>
              <w:suppressLineNumbers w:val="0"/>
              <w:jc w:val="center"/>
              <w:textAlignment w:val="center"/>
              <w:rPr>
                <w:rFonts w:hint="default" w:ascii="Times New Roman" w:hAnsi="Times New Roman" w:cs="Times New Roman"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0.12898</w:t>
            </w:r>
          </w:p>
        </w:tc>
        <w:tc>
          <w:tcPr>
            <w:tcW w:w="1705" w:type="dxa"/>
            <w:vAlign w:val="center"/>
          </w:tcPr>
          <w:p w14:paraId="3F2AF0EC">
            <w:pPr>
              <w:keepNext w:val="0"/>
              <w:keepLines w:val="0"/>
              <w:widowControl/>
              <w:suppressLineNumbers w:val="0"/>
              <w:jc w:val="center"/>
              <w:textAlignment w:val="center"/>
              <w:rPr>
                <w:rFonts w:hint="default" w:ascii="Times New Roman" w:hAnsi="Times New Roman" w:cs="Times New Roman"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60</w:t>
            </w:r>
          </w:p>
        </w:tc>
        <w:tc>
          <w:tcPr>
            <w:tcW w:w="1705" w:type="dxa"/>
            <w:vAlign w:val="center"/>
          </w:tcPr>
          <w:p w14:paraId="71F69D25">
            <w:pPr>
              <w:jc w:val="center"/>
              <w:rPr>
                <w:rFonts w:hint="default" w:ascii="Times New Roman" w:hAnsi="Times New Roman" w:cs="Times New Roman" w:eastAsiaTheme="minorEastAsia"/>
                <w:vertAlign w:val="baseline"/>
                <w:lang w:val="en-US" w:eastAsia="zh-CN"/>
              </w:rPr>
            </w:pPr>
            <w:r>
              <w:rPr>
                <w:rFonts w:hint="eastAsia" w:ascii="Times New Roman" w:hAnsi="Times New Roman" w:cs="Times New Roman"/>
                <w:vertAlign w:val="baseline"/>
                <w:lang w:val="en-US" w:eastAsia="zh-CN"/>
              </w:rPr>
              <w:t>1.489×10</w:t>
            </w:r>
            <w:r>
              <w:rPr>
                <w:rFonts w:hint="eastAsia" w:ascii="Times New Roman" w:hAnsi="Times New Roman" w:cs="Times New Roman"/>
                <w:vertAlign w:val="superscript"/>
                <w:lang w:val="en-US" w:eastAsia="zh-CN"/>
              </w:rPr>
              <w:t>-3</w:t>
            </w:r>
          </w:p>
        </w:tc>
      </w:tr>
      <w:tr w14:paraId="60B1E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3EC28AF6">
            <w:pPr>
              <w:jc w:val="center"/>
              <w:rPr>
                <w:rFonts w:hint="default" w:ascii="Times New Roman" w:hAnsi="Times New Roman" w:cs="Times New Roman" w:eastAsiaTheme="minorEastAsia"/>
                <w:vertAlign w:val="baseline"/>
                <w:lang w:val="en-US" w:eastAsia="zh-CN"/>
              </w:rPr>
            </w:pPr>
            <w:r>
              <w:rPr>
                <w:rFonts w:hint="default" w:ascii="Times New Roman" w:hAnsi="Times New Roman" w:cs="Times New Roman"/>
                <w:vertAlign w:val="baseline"/>
                <w:lang w:val="en-US" w:eastAsia="zh-CN"/>
              </w:rPr>
              <w:t>5</w:t>
            </w:r>
          </w:p>
        </w:tc>
        <w:tc>
          <w:tcPr>
            <w:tcW w:w="1704" w:type="dxa"/>
            <w:vAlign w:val="center"/>
          </w:tcPr>
          <w:p w14:paraId="3D67B6BE">
            <w:pPr>
              <w:keepNext w:val="0"/>
              <w:keepLines w:val="0"/>
              <w:widowControl/>
              <w:suppressLineNumbers w:val="0"/>
              <w:jc w:val="center"/>
              <w:textAlignment w:val="center"/>
              <w:rPr>
                <w:rFonts w:hint="default" w:ascii="Times New Roman" w:hAnsi="Times New Roman" w:cs="Times New Roman"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20</w:t>
            </w:r>
          </w:p>
        </w:tc>
        <w:tc>
          <w:tcPr>
            <w:tcW w:w="1704" w:type="dxa"/>
            <w:vAlign w:val="center"/>
          </w:tcPr>
          <w:p w14:paraId="1EBD4BAA">
            <w:pPr>
              <w:keepNext w:val="0"/>
              <w:keepLines w:val="0"/>
              <w:widowControl/>
              <w:suppressLineNumbers w:val="0"/>
              <w:jc w:val="center"/>
              <w:textAlignment w:val="center"/>
              <w:rPr>
                <w:rFonts w:hint="default" w:ascii="Times New Roman" w:hAnsi="Times New Roman" w:cs="Times New Roman"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0.11229</w:t>
            </w:r>
          </w:p>
        </w:tc>
        <w:tc>
          <w:tcPr>
            <w:tcW w:w="1705" w:type="dxa"/>
            <w:vAlign w:val="center"/>
          </w:tcPr>
          <w:p w14:paraId="2204B9CA">
            <w:pPr>
              <w:keepNext w:val="0"/>
              <w:keepLines w:val="0"/>
              <w:widowControl/>
              <w:suppressLineNumbers w:val="0"/>
              <w:jc w:val="center"/>
              <w:textAlignment w:val="center"/>
              <w:rPr>
                <w:rFonts w:hint="default" w:ascii="Times New Roman" w:hAnsi="Times New Roman" w:cs="Times New Roman"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80</w:t>
            </w:r>
          </w:p>
        </w:tc>
        <w:tc>
          <w:tcPr>
            <w:tcW w:w="1705" w:type="dxa"/>
            <w:vAlign w:val="center"/>
          </w:tcPr>
          <w:p w14:paraId="1C3F3FFE">
            <w:pPr>
              <w:jc w:val="center"/>
              <w:rPr>
                <w:rFonts w:hint="default" w:ascii="Times New Roman" w:hAnsi="Times New Roman" w:cs="Times New Roman" w:eastAsiaTheme="minorEastAsia"/>
                <w:vertAlign w:val="baseline"/>
                <w:lang w:val="en-US" w:eastAsia="zh-CN"/>
              </w:rPr>
            </w:pPr>
            <w:r>
              <w:rPr>
                <w:rFonts w:hint="eastAsia" w:ascii="Times New Roman" w:hAnsi="Times New Roman" w:cs="Times New Roman"/>
                <w:vertAlign w:val="baseline"/>
                <w:lang w:val="en-US" w:eastAsia="zh-CN"/>
              </w:rPr>
              <w:t>3.96×10</w:t>
            </w:r>
            <w:r>
              <w:rPr>
                <w:rFonts w:hint="eastAsia" w:ascii="Times New Roman" w:hAnsi="Times New Roman" w:cs="Times New Roman"/>
                <w:vertAlign w:val="superscript"/>
                <w:lang w:val="en-US" w:eastAsia="zh-CN"/>
              </w:rPr>
              <w:t>-3</w:t>
            </w:r>
          </w:p>
        </w:tc>
      </w:tr>
      <w:tr w14:paraId="091D3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607192BB">
            <w:pPr>
              <w:jc w:val="center"/>
              <w:rPr>
                <w:rFonts w:hint="default" w:ascii="Times New Roman" w:hAnsi="Times New Roman" w:cs="Times New Roman" w:eastAsiaTheme="minorEastAsia"/>
                <w:vertAlign w:val="baseline"/>
                <w:lang w:val="en-US" w:eastAsia="zh-CN"/>
              </w:rPr>
            </w:pPr>
            <w:r>
              <w:rPr>
                <w:rFonts w:hint="default" w:ascii="Times New Roman" w:hAnsi="Times New Roman" w:cs="Times New Roman"/>
                <w:vertAlign w:val="baseline"/>
                <w:lang w:val="en-US" w:eastAsia="zh-CN"/>
              </w:rPr>
              <w:t>6</w:t>
            </w:r>
          </w:p>
        </w:tc>
        <w:tc>
          <w:tcPr>
            <w:tcW w:w="1704" w:type="dxa"/>
            <w:vAlign w:val="center"/>
          </w:tcPr>
          <w:p w14:paraId="4D886781">
            <w:pPr>
              <w:keepNext w:val="0"/>
              <w:keepLines w:val="0"/>
              <w:widowControl/>
              <w:suppressLineNumbers w:val="0"/>
              <w:jc w:val="center"/>
              <w:textAlignment w:val="center"/>
              <w:rPr>
                <w:rFonts w:hint="default" w:ascii="Times New Roman" w:hAnsi="Times New Roman" w:cs="Times New Roman"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25</w:t>
            </w:r>
          </w:p>
        </w:tc>
        <w:tc>
          <w:tcPr>
            <w:tcW w:w="1704" w:type="dxa"/>
            <w:vAlign w:val="center"/>
          </w:tcPr>
          <w:p w14:paraId="728B41E3">
            <w:pPr>
              <w:keepNext w:val="0"/>
              <w:keepLines w:val="0"/>
              <w:widowControl/>
              <w:suppressLineNumbers w:val="0"/>
              <w:jc w:val="center"/>
              <w:textAlignment w:val="center"/>
              <w:rPr>
                <w:rFonts w:hint="default" w:ascii="Times New Roman" w:hAnsi="Times New Roman" w:cs="Times New Roman"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0.08146</w:t>
            </w:r>
          </w:p>
        </w:tc>
        <w:tc>
          <w:tcPr>
            <w:tcW w:w="1705" w:type="dxa"/>
            <w:vAlign w:val="center"/>
          </w:tcPr>
          <w:p w14:paraId="62742E70">
            <w:pPr>
              <w:keepNext w:val="0"/>
              <w:keepLines w:val="0"/>
              <w:widowControl/>
              <w:suppressLineNumbers w:val="0"/>
              <w:jc w:val="center"/>
              <w:textAlignment w:val="center"/>
              <w:rPr>
                <w:rFonts w:hint="default" w:ascii="Times New Roman" w:hAnsi="Times New Roman" w:cs="Times New Roman"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100</w:t>
            </w:r>
          </w:p>
        </w:tc>
        <w:tc>
          <w:tcPr>
            <w:tcW w:w="1705" w:type="dxa"/>
            <w:vAlign w:val="center"/>
          </w:tcPr>
          <w:p w14:paraId="1C362150">
            <w:pPr>
              <w:jc w:val="center"/>
              <w:rPr>
                <w:rFonts w:hint="default" w:ascii="Times New Roman" w:hAnsi="Times New Roman" w:cs="Times New Roman" w:eastAsiaTheme="minorEastAsia"/>
                <w:vertAlign w:val="baseline"/>
                <w:lang w:val="en-US" w:eastAsia="zh-CN"/>
              </w:rPr>
            </w:pPr>
            <w:r>
              <w:rPr>
                <w:rFonts w:hint="eastAsia" w:ascii="Times New Roman" w:hAnsi="Times New Roman" w:cs="Times New Roman"/>
                <w:vertAlign w:val="baseline"/>
                <w:lang w:val="en-US" w:eastAsia="zh-CN"/>
              </w:rPr>
              <w:t>7.869×10</w:t>
            </w:r>
            <w:r>
              <w:rPr>
                <w:rFonts w:hint="eastAsia" w:ascii="Times New Roman" w:hAnsi="Times New Roman" w:cs="Times New Roman"/>
                <w:vertAlign w:val="superscript"/>
                <w:lang w:val="en-US" w:eastAsia="zh-CN"/>
              </w:rPr>
              <w:t>-3</w:t>
            </w:r>
          </w:p>
        </w:tc>
      </w:tr>
      <w:tr w14:paraId="0C31D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1DC2B760">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7</w:t>
            </w:r>
          </w:p>
        </w:tc>
        <w:tc>
          <w:tcPr>
            <w:tcW w:w="1704" w:type="dxa"/>
            <w:vAlign w:val="center"/>
          </w:tcPr>
          <w:p w14:paraId="6F007F77">
            <w:pPr>
              <w:keepNext w:val="0"/>
              <w:keepLines w:val="0"/>
              <w:widowControl/>
              <w:suppressLineNumbers w:val="0"/>
              <w:jc w:val="center"/>
              <w:textAlignment w:val="center"/>
              <w:rPr>
                <w:rFonts w:hint="default" w:ascii="Times New Roman" w:hAnsi="Times New Roman" w:cs="Times New Roman"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30</w:t>
            </w:r>
          </w:p>
        </w:tc>
        <w:tc>
          <w:tcPr>
            <w:tcW w:w="1704" w:type="dxa"/>
            <w:vAlign w:val="center"/>
          </w:tcPr>
          <w:p w14:paraId="3FCDD43B">
            <w:pPr>
              <w:keepNext w:val="0"/>
              <w:keepLines w:val="0"/>
              <w:widowControl/>
              <w:suppressLineNumbers w:val="0"/>
              <w:jc w:val="center"/>
              <w:textAlignment w:val="center"/>
              <w:rPr>
                <w:rFonts w:hint="default" w:ascii="Times New Roman" w:hAnsi="Times New Roman" w:cs="Times New Roman"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0.04924</w:t>
            </w:r>
          </w:p>
        </w:tc>
        <w:tc>
          <w:tcPr>
            <w:tcW w:w="1705" w:type="dxa"/>
            <w:vAlign w:val="center"/>
          </w:tcPr>
          <w:p w14:paraId="3C2AB485">
            <w:pPr>
              <w:keepNext w:val="0"/>
              <w:keepLines w:val="0"/>
              <w:widowControl/>
              <w:suppressLineNumbers w:val="0"/>
              <w:jc w:val="center"/>
              <w:textAlignment w:val="center"/>
              <w:rPr>
                <w:rFonts w:hint="default" w:ascii="Times New Roman" w:hAnsi="Times New Roman" w:cs="Times New Roman"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120</w:t>
            </w:r>
          </w:p>
        </w:tc>
        <w:tc>
          <w:tcPr>
            <w:tcW w:w="1705" w:type="dxa"/>
            <w:vAlign w:val="center"/>
          </w:tcPr>
          <w:p w14:paraId="744F0B15">
            <w:pPr>
              <w:jc w:val="center"/>
              <w:rPr>
                <w:rFonts w:hint="default" w:ascii="Times New Roman" w:hAnsi="Times New Roman" w:cs="Times New Roman"/>
                <w:vertAlign w:val="baseline"/>
                <w:lang w:val="en-US"/>
              </w:rPr>
            </w:pPr>
            <w:r>
              <w:rPr>
                <w:rFonts w:hint="eastAsia" w:ascii="Times New Roman" w:hAnsi="Times New Roman" w:cs="Times New Roman"/>
                <w:vertAlign w:val="baseline"/>
                <w:lang w:val="en-US" w:eastAsia="zh-CN"/>
              </w:rPr>
              <w:t>0.0117</w:t>
            </w:r>
          </w:p>
        </w:tc>
      </w:tr>
      <w:tr w14:paraId="088A7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65D62341">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8</w:t>
            </w:r>
          </w:p>
        </w:tc>
        <w:tc>
          <w:tcPr>
            <w:tcW w:w="1704" w:type="dxa"/>
            <w:vAlign w:val="center"/>
          </w:tcPr>
          <w:p w14:paraId="0781655B">
            <w:pPr>
              <w:keepNext w:val="0"/>
              <w:keepLines w:val="0"/>
              <w:widowControl/>
              <w:suppressLineNumbers w:val="0"/>
              <w:jc w:val="center"/>
              <w:textAlignment w:val="center"/>
              <w:rPr>
                <w:rFonts w:hint="default" w:ascii="Times New Roman" w:hAnsi="Times New Roman" w:cs="Times New Roman"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35</w:t>
            </w:r>
          </w:p>
        </w:tc>
        <w:tc>
          <w:tcPr>
            <w:tcW w:w="1704" w:type="dxa"/>
            <w:vAlign w:val="center"/>
          </w:tcPr>
          <w:p w14:paraId="617C2D68">
            <w:pPr>
              <w:keepNext w:val="0"/>
              <w:keepLines w:val="0"/>
              <w:widowControl/>
              <w:suppressLineNumbers w:val="0"/>
              <w:jc w:val="center"/>
              <w:textAlignment w:val="center"/>
              <w:rPr>
                <w:rFonts w:hint="default" w:ascii="Times New Roman" w:hAnsi="Times New Roman" w:cs="Times New Roman"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0.02480</w:t>
            </w:r>
          </w:p>
        </w:tc>
        <w:tc>
          <w:tcPr>
            <w:tcW w:w="1705" w:type="dxa"/>
            <w:vAlign w:val="center"/>
          </w:tcPr>
          <w:p w14:paraId="2AF91593">
            <w:pPr>
              <w:keepNext w:val="0"/>
              <w:keepLines w:val="0"/>
              <w:widowControl/>
              <w:suppressLineNumbers w:val="0"/>
              <w:jc w:val="center"/>
              <w:textAlignment w:val="center"/>
              <w:rPr>
                <w:rFonts w:hint="default" w:ascii="Times New Roman" w:hAnsi="Times New Roman" w:cs="Times New Roman"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140</w:t>
            </w:r>
          </w:p>
        </w:tc>
        <w:tc>
          <w:tcPr>
            <w:tcW w:w="1705" w:type="dxa"/>
            <w:vAlign w:val="center"/>
          </w:tcPr>
          <w:p w14:paraId="646B14C7">
            <w:pPr>
              <w:jc w:val="center"/>
              <w:rPr>
                <w:rFonts w:hint="default" w:ascii="Times New Roman" w:hAnsi="Times New Roman" w:cs="Times New Roman" w:eastAsiaTheme="minorEastAsia"/>
                <w:vertAlign w:val="baseline"/>
                <w:lang w:val="en-US" w:eastAsia="zh-CN"/>
              </w:rPr>
            </w:pPr>
            <w:r>
              <w:rPr>
                <w:rFonts w:hint="eastAsia" w:ascii="Times New Roman" w:hAnsi="Times New Roman" w:cs="Times New Roman"/>
                <w:vertAlign w:val="baseline"/>
                <w:lang w:val="en-US" w:eastAsia="zh-CN"/>
              </w:rPr>
              <w:t>0.0129</w:t>
            </w:r>
          </w:p>
        </w:tc>
      </w:tr>
      <w:tr w14:paraId="1B629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288A51E5">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9</w:t>
            </w:r>
          </w:p>
        </w:tc>
        <w:tc>
          <w:tcPr>
            <w:tcW w:w="1704" w:type="dxa"/>
            <w:vAlign w:val="center"/>
          </w:tcPr>
          <w:p w14:paraId="668C269B">
            <w:pPr>
              <w:keepNext w:val="0"/>
              <w:keepLines w:val="0"/>
              <w:widowControl/>
              <w:suppressLineNumbers w:val="0"/>
              <w:jc w:val="center"/>
              <w:textAlignment w:val="center"/>
              <w:rPr>
                <w:rFonts w:hint="default" w:ascii="Times New Roman" w:hAnsi="Times New Roman" w:cs="Times New Roman"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40</w:t>
            </w:r>
          </w:p>
        </w:tc>
        <w:tc>
          <w:tcPr>
            <w:tcW w:w="1704" w:type="dxa"/>
            <w:vAlign w:val="center"/>
          </w:tcPr>
          <w:p w14:paraId="61F850A7">
            <w:pPr>
              <w:keepNext w:val="0"/>
              <w:keepLines w:val="0"/>
              <w:widowControl/>
              <w:suppressLineNumbers w:val="0"/>
              <w:jc w:val="center"/>
              <w:textAlignment w:val="center"/>
              <w:rPr>
                <w:rFonts w:hint="default" w:ascii="Times New Roman" w:hAnsi="Times New Roman" w:cs="Times New Roman"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0.01041</w:t>
            </w:r>
          </w:p>
        </w:tc>
        <w:tc>
          <w:tcPr>
            <w:tcW w:w="1705" w:type="dxa"/>
            <w:vAlign w:val="center"/>
          </w:tcPr>
          <w:p w14:paraId="33ACCEE1">
            <w:pPr>
              <w:keepNext w:val="0"/>
              <w:keepLines w:val="0"/>
              <w:widowControl/>
              <w:suppressLineNumbers w:val="0"/>
              <w:jc w:val="center"/>
              <w:textAlignment w:val="center"/>
              <w:rPr>
                <w:rFonts w:hint="default" w:ascii="Times New Roman" w:hAnsi="Times New Roman" w:cs="Times New Roman"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160</w:t>
            </w:r>
          </w:p>
        </w:tc>
        <w:tc>
          <w:tcPr>
            <w:tcW w:w="1705" w:type="dxa"/>
            <w:vAlign w:val="center"/>
          </w:tcPr>
          <w:p w14:paraId="2C996CCD">
            <w:pPr>
              <w:jc w:val="center"/>
              <w:rPr>
                <w:rFonts w:hint="default" w:ascii="Times New Roman" w:hAnsi="Times New Roman" w:cs="Times New Roman" w:eastAsiaTheme="minorEastAsia"/>
                <w:vertAlign w:val="baseline"/>
                <w:lang w:val="en-US" w:eastAsia="zh-CN"/>
              </w:rPr>
            </w:pPr>
            <w:r>
              <w:rPr>
                <w:rFonts w:hint="eastAsia" w:ascii="Times New Roman" w:hAnsi="Times New Roman" w:cs="Times New Roman"/>
                <w:vertAlign w:val="baseline"/>
                <w:lang w:val="en-US" w:eastAsia="zh-CN"/>
              </w:rPr>
              <w:t>0.0107</w:t>
            </w:r>
          </w:p>
        </w:tc>
      </w:tr>
      <w:tr w14:paraId="5B617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21C1DB1A">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10</w:t>
            </w:r>
          </w:p>
        </w:tc>
        <w:tc>
          <w:tcPr>
            <w:tcW w:w="1704" w:type="dxa"/>
            <w:vAlign w:val="center"/>
          </w:tcPr>
          <w:p w14:paraId="76C2D5B4">
            <w:pPr>
              <w:keepNext w:val="0"/>
              <w:keepLines w:val="0"/>
              <w:widowControl/>
              <w:suppressLineNumbers w:val="0"/>
              <w:jc w:val="center"/>
              <w:textAlignment w:val="center"/>
              <w:rPr>
                <w:rFonts w:hint="default" w:ascii="Times New Roman" w:hAnsi="Times New Roman" w:cs="Times New Roman"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45</w:t>
            </w:r>
          </w:p>
        </w:tc>
        <w:tc>
          <w:tcPr>
            <w:tcW w:w="1704" w:type="dxa"/>
            <w:vAlign w:val="center"/>
          </w:tcPr>
          <w:p w14:paraId="2B9131F0">
            <w:pPr>
              <w:keepNext w:val="0"/>
              <w:keepLines w:val="0"/>
              <w:widowControl/>
              <w:suppressLineNumbers w:val="0"/>
              <w:jc w:val="center"/>
              <w:textAlignment w:val="center"/>
              <w:rPr>
                <w:rFonts w:hint="default" w:ascii="Times New Roman" w:hAnsi="Times New Roman" w:cs="Times New Roman"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0.00364</w:t>
            </w:r>
          </w:p>
        </w:tc>
        <w:tc>
          <w:tcPr>
            <w:tcW w:w="1705" w:type="dxa"/>
            <w:vAlign w:val="center"/>
          </w:tcPr>
          <w:p w14:paraId="42DA10AD">
            <w:pPr>
              <w:keepNext w:val="0"/>
              <w:keepLines w:val="0"/>
              <w:widowControl/>
              <w:suppressLineNumbers w:val="0"/>
              <w:jc w:val="center"/>
              <w:textAlignment w:val="center"/>
              <w:rPr>
                <w:rFonts w:hint="default" w:ascii="Times New Roman" w:hAnsi="Times New Roman" w:cs="Times New Roman" w:eastAsiaTheme="minorEastAsia"/>
                <w:vertAlign w:val="baseline"/>
                <w:lang w:val="en-US" w:eastAsia="zh-CN"/>
              </w:rPr>
            </w:pPr>
            <w:r>
              <w:rPr>
                <w:rFonts w:hint="eastAsia" w:ascii="宋体" w:hAnsi="宋体" w:eastAsia="宋体" w:cs="宋体"/>
                <w:i w:val="0"/>
                <w:iCs w:val="0"/>
                <w:color w:val="000000"/>
                <w:kern w:val="0"/>
                <w:sz w:val="22"/>
                <w:szCs w:val="22"/>
                <w:u w:val="none"/>
                <w:lang w:val="en-US" w:eastAsia="zh-CN" w:bidi="ar"/>
              </w:rPr>
              <w:t>180</w:t>
            </w:r>
          </w:p>
        </w:tc>
        <w:tc>
          <w:tcPr>
            <w:tcW w:w="1705" w:type="dxa"/>
            <w:vAlign w:val="center"/>
          </w:tcPr>
          <w:p w14:paraId="400EFD9F">
            <w:pPr>
              <w:jc w:val="center"/>
              <w:rPr>
                <w:rFonts w:hint="default" w:ascii="Times New Roman" w:hAnsi="Times New Roman" w:cs="Times New Roman" w:eastAsiaTheme="minorEastAsia"/>
                <w:vertAlign w:val="baseline"/>
                <w:lang w:val="en-US" w:eastAsia="zh-CN"/>
              </w:rPr>
            </w:pPr>
            <w:r>
              <w:rPr>
                <w:rFonts w:hint="eastAsia" w:ascii="Times New Roman" w:hAnsi="Times New Roman" w:cs="Times New Roman"/>
                <w:vertAlign w:val="baseline"/>
                <w:lang w:val="en-US" w:eastAsia="zh-CN"/>
              </w:rPr>
              <w:t>0.0066</w:t>
            </w:r>
          </w:p>
        </w:tc>
      </w:tr>
      <w:tr w14:paraId="54D66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6EAF0F86">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11</w:t>
            </w:r>
          </w:p>
        </w:tc>
        <w:tc>
          <w:tcPr>
            <w:tcW w:w="1704" w:type="dxa"/>
            <w:vAlign w:val="center"/>
          </w:tcPr>
          <w:p w14:paraId="589444FF">
            <w:pPr>
              <w:keepNext w:val="0"/>
              <w:keepLines w:val="0"/>
              <w:widowControl/>
              <w:suppressLineNumbers w:val="0"/>
              <w:jc w:val="center"/>
              <w:textAlignment w:val="center"/>
              <w:rPr>
                <w:rFonts w:hint="default" w:ascii="Times New Roman" w:hAnsi="Times New Roman" w:cs="Times New Roman"/>
                <w:vertAlign w:val="baseline"/>
                <w:lang w:val="en-US" w:eastAsia="zh-CN"/>
              </w:rPr>
            </w:pPr>
            <w:r>
              <w:rPr>
                <w:rFonts w:hint="eastAsia" w:ascii="宋体" w:hAnsi="宋体" w:eastAsia="宋体" w:cs="宋体"/>
                <w:i w:val="0"/>
                <w:iCs w:val="0"/>
                <w:color w:val="000000"/>
                <w:kern w:val="0"/>
                <w:sz w:val="22"/>
                <w:szCs w:val="22"/>
                <w:u w:val="none"/>
                <w:lang w:val="en-US" w:eastAsia="zh-CN" w:bidi="ar"/>
              </w:rPr>
              <w:t>50</w:t>
            </w:r>
          </w:p>
        </w:tc>
        <w:tc>
          <w:tcPr>
            <w:tcW w:w="1704" w:type="dxa"/>
            <w:vAlign w:val="center"/>
          </w:tcPr>
          <w:p w14:paraId="1B519F6D">
            <w:pPr>
              <w:keepNext w:val="0"/>
              <w:keepLines w:val="0"/>
              <w:widowControl/>
              <w:suppressLineNumbers w:val="0"/>
              <w:jc w:val="center"/>
              <w:textAlignment w:val="center"/>
              <w:rPr>
                <w:rFonts w:hint="default" w:ascii="Times New Roman" w:hAnsi="Times New Roman" w:cs="Times New Roman"/>
                <w:vertAlign w:val="baseline"/>
                <w:lang w:val="en-US" w:eastAsia="zh-CN"/>
              </w:rPr>
            </w:pPr>
            <w:r>
              <w:rPr>
                <w:rFonts w:hint="eastAsia" w:ascii="宋体" w:hAnsi="宋体" w:eastAsia="宋体" w:cs="宋体"/>
                <w:i w:val="0"/>
                <w:iCs w:val="0"/>
                <w:color w:val="000000"/>
                <w:kern w:val="0"/>
                <w:sz w:val="22"/>
                <w:szCs w:val="22"/>
                <w:u w:val="none"/>
                <w:lang w:val="en-US" w:eastAsia="zh-CN" w:bidi="ar"/>
              </w:rPr>
              <w:t>0.00106</w:t>
            </w:r>
          </w:p>
        </w:tc>
        <w:tc>
          <w:tcPr>
            <w:tcW w:w="1705" w:type="dxa"/>
            <w:vAlign w:val="center"/>
          </w:tcPr>
          <w:p w14:paraId="7C83E2A9">
            <w:pPr>
              <w:keepNext w:val="0"/>
              <w:keepLines w:val="0"/>
              <w:widowControl/>
              <w:suppressLineNumbers w:val="0"/>
              <w:jc w:val="center"/>
              <w:textAlignment w:val="center"/>
              <w:rPr>
                <w:rFonts w:hint="default" w:ascii="Times New Roman" w:hAnsi="Times New Roman" w:cs="Times New Roman"/>
                <w:vertAlign w:val="baseline"/>
                <w:lang w:val="en-US" w:eastAsia="zh-CN"/>
              </w:rPr>
            </w:pPr>
            <w:r>
              <w:rPr>
                <w:rFonts w:hint="eastAsia" w:ascii="宋体" w:hAnsi="宋体" w:eastAsia="宋体" w:cs="宋体"/>
                <w:i w:val="0"/>
                <w:iCs w:val="0"/>
                <w:color w:val="000000"/>
                <w:kern w:val="0"/>
                <w:sz w:val="22"/>
                <w:szCs w:val="22"/>
                <w:u w:val="none"/>
                <w:lang w:val="en-US" w:eastAsia="zh-CN" w:bidi="ar"/>
              </w:rPr>
              <w:t>200</w:t>
            </w:r>
          </w:p>
        </w:tc>
        <w:tc>
          <w:tcPr>
            <w:tcW w:w="1705" w:type="dxa"/>
            <w:vAlign w:val="center"/>
          </w:tcPr>
          <w:p w14:paraId="2987233E">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0.0031</w:t>
            </w:r>
          </w:p>
        </w:tc>
      </w:tr>
      <w:tr w14:paraId="4A8EC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39550B8F">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12</w:t>
            </w:r>
          </w:p>
        </w:tc>
        <w:tc>
          <w:tcPr>
            <w:tcW w:w="1704" w:type="dxa"/>
            <w:vAlign w:val="center"/>
          </w:tcPr>
          <w:p w14:paraId="4FD7AB02">
            <w:pPr>
              <w:keepNext w:val="0"/>
              <w:keepLines w:val="0"/>
              <w:widowControl/>
              <w:suppressLineNumbers w:val="0"/>
              <w:jc w:val="center"/>
              <w:textAlignment w:val="center"/>
              <w:rPr>
                <w:rFonts w:hint="default" w:ascii="Times New Roman" w:hAnsi="Times New Roman" w:cs="Times New Roman"/>
                <w:vertAlign w:val="baseline"/>
                <w:lang w:val="en-US" w:eastAsia="zh-CN"/>
              </w:rPr>
            </w:pPr>
            <w:r>
              <w:rPr>
                <w:rFonts w:hint="eastAsia" w:ascii="宋体" w:hAnsi="宋体" w:eastAsia="宋体" w:cs="宋体"/>
                <w:i w:val="0"/>
                <w:iCs w:val="0"/>
                <w:color w:val="000000"/>
                <w:kern w:val="0"/>
                <w:sz w:val="22"/>
                <w:szCs w:val="22"/>
                <w:u w:val="none"/>
                <w:lang w:val="en-US" w:eastAsia="zh-CN" w:bidi="ar"/>
              </w:rPr>
              <w:t>55</w:t>
            </w:r>
          </w:p>
        </w:tc>
        <w:tc>
          <w:tcPr>
            <w:tcW w:w="1704" w:type="dxa"/>
            <w:vAlign w:val="center"/>
          </w:tcPr>
          <w:p w14:paraId="6DB7551D">
            <w:pPr>
              <w:keepNext w:val="0"/>
              <w:keepLines w:val="0"/>
              <w:widowControl/>
              <w:suppressLineNumbers w:val="0"/>
              <w:jc w:val="center"/>
              <w:textAlignment w:val="center"/>
              <w:rPr>
                <w:rFonts w:hint="default" w:ascii="Times New Roman" w:hAnsi="Times New Roman" w:cs="Times New Roman"/>
                <w:vertAlign w:val="baseline"/>
                <w:lang w:val="en-US" w:eastAsia="zh-CN"/>
              </w:rPr>
            </w:pPr>
            <w:r>
              <w:rPr>
                <w:rFonts w:hint="eastAsia" w:ascii="宋体" w:hAnsi="宋体" w:eastAsia="宋体" w:cs="宋体"/>
                <w:i w:val="0"/>
                <w:iCs w:val="0"/>
                <w:color w:val="000000"/>
                <w:kern w:val="0"/>
                <w:sz w:val="22"/>
                <w:szCs w:val="22"/>
                <w:u w:val="none"/>
                <w:lang w:val="en-US" w:eastAsia="zh-CN" w:bidi="ar"/>
              </w:rPr>
              <w:t>0.00026</w:t>
            </w:r>
          </w:p>
        </w:tc>
        <w:tc>
          <w:tcPr>
            <w:tcW w:w="1705" w:type="dxa"/>
            <w:vAlign w:val="center"/>
          </w:tcPr>
          <w:p w14:paraId="2106CD5B">
            <w:pPr>
              <w:keepNext w:val="0"/>
              <w:keepLines w:val="0"/>
              <w:widowControl/>
              <w:suppressLineNumbers w:val="0"/>
              <w:jc w:val="center"/>
              <w:textAlignment w:val="center"/>
              <w:rPr>
                <w:rFonts w:hint="default" w:ascii="Times New Roman" w:hAnsi="Times New Roman" w:cs="Times New Roman"/>
                <w:vertAlign w:val="baseline"/>
                <w:lang w:val="en-US" w:eastAsia="zh-CN"/>
              </w:rPr>
            </w:pPr>
            <w:r>
              <w:rPr>
                <w:rFonts w:hint="eastAsia" w:ascii="宋体" w:hAnsi="宋体" w:eastAsia="宋体" w:cs="宋体"/>
                <w:i w:val="0"/>
                <w:iCs w:val="0"/>
                <w:color w:val="000000"/>
                <w:kern w:val="0"/>
                <w:sz w:val="22"/>
                <w:szCs w:val="22"/>
                <w:u w:val="none"/>
                <w:lang w:val="en-US" w:eastAsia="zh-CN" w:bidi="ar"/>
              </w:rPr>
              <w:t>220</w:t>
            </w:r>
          </w:p>
        </w:tc>
        <w:tc>
          <w:tcPr>
            <w:tcW w:w="1705" w:type="dxa"/>
            <w:vAlign w:val="center"/>
          </w:tcPr>
          <w:p w14:paraId="43A06244">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0.0011</w:t>
            </w:r>
          </w:p>
        </w:tc>
      </w:tr>
      <w:tr w14:paraId="62588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24EA3F33">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13</w:t>
            </w:r>
          </w:p>
        </w:tc>
        <w:tc>
          <w:tcPr>
            <w:tcW w:w="1704" w:type="dxa"/>
            <w:vAlign w:val="center"/>
          </w:tcPr>
          <w:p w14:paraId="37CC64EF">
            <w:pPr>
              <w:keepNext w:val="0"/>
              <w:keepLines w:val="0"/>
              <w:widowControl/>
              <w:suppressLineNumbers w:val="0"/>
              <w:jc w:val="center"/>
              <w:textAlignment w:val="center"/>
              <w:rPr>
                <w:rFonts w:hint="default" w:ascii="Times New Roman" w:hAnsi="Times New Roman" w:cs="Times New Roman"/>
                <w:vertAlign w:val="baseline"/>
                <w:lang w:val="en-US" w:eastAsia="zh-CN"/>
              </w:rPr>
            </w:pPr>
            <w:r>
              <w:rPr>
                <w:rFonts w:hint="eastAsia" w:ascii="宋体" w:hAnsi="宋体" w:eastAsia="宋体" w:cs="宋体"/>
                <w:i w:val="0"/>
                <w:iCs w:val="0"/>
                <w:color w:val="000000"/>
                <w:kern w:val="0"/>
                <w:sz w:val="22"/>
                <w:szCs w:val="22"/>
                <w:u w:val="none"/>
                <w:lang w:val="en-US" w:eastAsia="zh-CN" w:bidi="ar"/>
              </w:rPr>
              <w:t>60</w:t>
            </w:r>
          </w:p>
        </w:tc>
        <w:tc>
          <w:tcPr>
            <w:tcW w:w="1704" w:type="dxa"/>
            <w:vAlign w:val="center"/>
          </w:tcPr>
          <w:p w14:paraId="5AF185C8">
            <w:pPr>
              <w:keepNext w:val="0"/>
              <w:keepLines w:val="0"/>
              <w:widowControl/>
              <w:suppressLineNumbers w:val="0"/>
              <w:jc w:val="center"/>
              <w:textAlignment w:val="center"/>
              <w:rPr>
                <w:rFonts w:hint="default" w:ascii="Times New Roman" w:hAnsi="Times New Roman" w:cs="Times New Roman"/>
                <w:vertAlign w:val="baseline"/>
                <w:lang w:val="en-US" w:eastAsia="zh-CN"/>
              </w:rPr>
            </w:pPr>
            <w:r>
              <w:rPr>
                <w:rFonts w:hint="eastAsia" w:ascii="宋体" w:hAnsi="宋体" w:eastAsia="宋体" w:cs="宋体"/>
                <w:i w:val="0"/>
                <w:iCs w:val="0"/>
                <w:color w:val="000000"/>
                <w:kern w:val="0"/>
                <w:sz w:val="22"/>
                <w:szCs w:val="22"/>
                <w:u w:val="none"/>
                <w:lang w:val="en-US" w:eastAsia="zh-CN" w:bidi="ar"/>
              </w:rPr>
              <w:t>0.00005</w:t>
            </w:r>
          </w:p>
        </w:tc>
        <w:tc>
          <w:tcPr>
            <w:tcW w:w="1705" w:type="dxa"/>
            <w:vAlign w:val="center"/>
          </w:tcPr>
          <w:p w14:paraId="4C2DB4EB">
            <w:pPr>
              <w:keepNext w:val="0"/>
              <w:keepLines w:val="0"/>
              <w:widowControl/>
              <w:suppressLineNumbers w:val="0"/>
              <w:jc w:val="center"/>
              <w:textAlignment w:val="center"/>
              <w:rPr>
                <w:rFonts w:hint="default" w:ascii="Times New Roman" w:hAnsi="Times New Roman" w:cs="Times New Roman"/>
                <w:vertAlign w:val="baseline"/>
                <w:lang w:val="en-US" w:eastAsia="zh-CN"/>
              </w:rPr>
            </w:pPr>
            <w:r>
              <w:rPr>
                <w:rFonts w:hint="eastAsia" w:ascii="宋体" w:hAnsi="宋体" w:eastAsia="宋体" w:cs="宋体"/>
                <w:i w:val="0"/>
                <w:iCs w:val="0"/>
                <w:color w:val="000000"/>
                <w:kern w:val="0"/>
                <w:sz w:val="22"/>
                <w:szCs w:val="22"/>
                <w:u w:val="none"/>
                <w:lang w:val="en-US" w:eastAsia="zh-CN" w:bidi="ar"/>
              </w:rPr>
              <w:t>240</w:t>
            </w:r>
          </w:p>
        </w:tc>
        <w:tc>
          <w:tcPr>
            <w:tcW w:w="1705" w:type="dxa"/>
            <w:vAlign w:val="center"/>
          </w:tcPr>
          <w:p w14:paraId="5EA224F3">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2.71×10</w:t>
            </w:r>
            <w:r>
              <w:rPr>
                <w:rFonts w:hint="eastAsia" w:ascii="Times New Roman" w:hAnsi="Times New Roman" w:cs="Times New Roman"/>
                <w:vertAlign w:val="superscript"/>
                <w:lang w:val="en-US" w:eastAsia="zh-CN"/>
              </w:rPr>
              <w:t>-4</w:t>
            </w:r>
          </w:p>
        </w:tc>
      </w:tr>
      <w:tr w14:paraId="0AFDA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3DCA80A1">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14</w:t>
            </w:r>
          </w:p>
        </w:tc>
        <w:tc>
          <w:tcPr>
            <w:tcW w:w="1704" w:type="dxa"/>
            <w:vAlign w:val="center"/>
          </w:tcPr>
          <w:p w14:paraId="432DB2B1">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65</w:t>
            </w:r>
          </w:p>
        </w:tc>
        <w:tc>
          <w:tcPr>
            <w:tcW w:w="1704" w:type="dxa"/>
            <w:vAlign w:val="center"/>
          </w:tcPr>
          <w:p w14:paraId="0AA838D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0.00001</w:t>
            </w:r>
          </w:p>
        </w:tc>
        <w:tc>
          <w:tcPr>
            <w:tcW w:w="1705" w:type="dxa"/>
            <w:vAlign w:val="center"/>
          </w:tcPr>
          <w:p w14:paraId="26DD8899">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260</w:t>
            </w:r>
          </w:p>
        </w:tc>
        <w:tc>
          <w:tcPr>
            <w:tcW w:w="1705" w:type="dxa"/>
            <w:vAlign w:val="center"/>
          </w:tcPr>
          <w:p w14:paraId="4A352757">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0</w:t>
            </w:r>
          </w:p>
        </w:tc>
      </w:tr>
      <w:tr w14:paraId="2A7B4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1A5AF902">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15</w:t>
            </w:r>
          </w:p>
        </w:tc>
        <w:tc>
          <w:tcPr>
            <w:tcW w:w="1704" w:type="dxa"/>
            <w:vAlign w:val="center"/>
          </w:tcPr>
          <w:p w14:paraId="238865DE">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70</w:t>
            </w:r>
          </w:p>
        </w:tc>
        <w:tc>
          <w:tcPr>
            <w:tcW w:w="1704" w:type="dxa"/>
            <w:vAlign w:val="center"/>
          </w:tcPr>
          <w:p w14:paraId="2F7A089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0.00000</w:t>
            </w:r>
          </w:p>
        </w:tc>
        <w:tc>
          <w:tcPr>
            <w:tcW w:w="1705" w:type="dxa"/>
            <w:vAlign w:val="center"/>
          </w:tcPr>
          <w:p w14:paraId="1DA8A85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280</w:t>
            </w:r>
          </w:p>
        </w:tc>
        <w:tc>
          <w:tcPr>
            <w:tcW w:w="1705" w:type="dxa"/>
            <w:vAlign w:val="center"/>
          </w:tcPr>
          <w:p w14:paraId="7CF0C8A4">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0</w:t>
            </w:r>
          </w:p>
        </w:tc>
      </w:tr>
    </w:tbl>
    <w:p w14:paraId="466BC156">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从预测结果可以看出，随着时间增长，锌的最大运移距离在逐渐扩大，模拟期内，锌的浓度</w:t>
      </w:r>
      <w:r>
        <w:rPr>
          <w:rFonts w:hint="eastAsia" w:ascii="Times New Roman" w:hAnsi="Times New Roman" w:cs="Times New Roman"/>
          <w:color w:val="auto"/>
          <w:lang w:val="en-US" w:eastAsia="zh-CN"/>
        </w:rPr>
        <w:t>满足</w:t>
      </w:r>
      <w:r>
        <w:rPr>
          <w:rFonts w:hint="default" w:ascii="Times New Roman" w:hAnsi="Times New Roman" w:eastAsia="华文中宋" w:cs="Times New Roman"/>
          <w:color w:val="auto"/>
          <w:lang w:val="en-US" w:eastAsia="zh-CN"/>
        </w:rPr>
        <w:t>《地下水环境质量标准》的Ⅲ类标准值</w:t>
      </w:r>
      <w:r>
        <w:rPr>
          <w:rFonts w:hint="eastAsia" w:ascii="Times New Roman" w:hAnsi="Times New Roman" w:cs="Times New Roman"/>
          <w:color w:val="auto"/>
          <w:lang w:val="en-US" w:eastAsia="zh-CN"/>
        </w:rPr>
        <w:t>要求</w:t>
      </w:r>
      <w:r>
        <w:rPr>
          <w:rFonts w:hint="default" w:ascii="Times New Roman" w:hAnsi="Times New Roman" w:eastAsia="华文中宋" w:cs="Times New Roman"/>
          <w:color w:val="auto"/>
          <w:lang w:val="en-US" w:eastAsia="zh-CN"/>
        </w:rPr>
        <w:t>，不会造成周边地下水环境污染，仅造成周边地下水环境中锌的浓度升高，对项目周边地下水环境影响较小。</w:t>
      </w:r>
    </w:p>
    <w:p w14:paraId="113B115D">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（6）</w:t>
      </w:r>
      <w:r>
        <w:rPr>
          <w:rFonts w:hint="default" w:ascii="Times New Roman" w:hAnsi="Times New Roman" w:eastAsia="华文中宋" w:cs="Times New Roman"/>
          <w:color w:val="auto"/>
          <w:lang w:val="en-US" w:eastAsia="zh-CN"/>
        </w:rPr>
        <w:t>废石淋溶水对地下水的环境影响评价</w:t>
      </w:r>
    </w:p>
    <w:p w14:paraId="7D662F7B">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本矿区所在区域平均降水量为140mm，年平均蒸发量为2400mm，降水量小于蒸发量，废石处置过程中淋溶水量极少，且废石为一般固废，对环境影响较小。</w:t>
      </w:r>
    </w:p>
    <w:p w14:paraId="553F0BE9">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val="en-US" w:eastAsia="zh-CN"/>
        </w:rPr>
        <w:t>环评要求在生产过程中废石按规划合理堆放，且在废石堆场四周修建截排水工程，</w:t>
      </w:r>
      <w:r>
        <w:rPr>
          <w:rFonts w:hint="eastAsia" w:ascii="Times New Roman" w:hAnsi="Times New Roman" w:cs="Times New Roman"/>
          <w:color w:val="auto"/>
          <w:lang w:val="en-US" w:eastAsia="zh-CN"/>
        </w:rPr>
        <w:t>废石堆放场</w:t>
      </w:r>
      <w:r>
        <w:rPr>
          <w:rFonts w:hint="default" w:ascii="Times New Roman" w:hAnsi="Times New Roman" w:eastAsia="华文中宋" w:cs="Times New Roman"/>
          <w:color w:val="auto"/>
          <w:lang w:val="en-US" w:eastAsia="zh-CN"/>
        </w:rPr>
        <w:t>下游设置防渗集水池，以确保暴雨、洪水发生时，排土场洪水全部排至废砂石堆场下游防渗集水池中用于洒水降尘。蓄水池敷设土工膜防渗。</w:t>
      </w:r>
    </w:p>
    <w:p w14:paraId="0BF16CE9">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综上所述，只要对固体废物做到合理处置，其对区域环境的影响不大，但从资源利用角度看，应对废石加以综合利用，如可用于场地拓展、场内道路路基修筑、维护的填料等，可减少废石堆存，减轻对环境造成的影响。</w:t>
      </w:r>
    </w:p>
    <w:p w14:paraId="2ABA8574">
      <w:pPr>
        <w:pStyle w:val="4"/>
        <w:spacing w:before="120" w:after="120" w:line="500" w:lineRule="exact"/>
        <w:rPr>
          <w:rFonts w:hint="default" w:ascii="Times New Roman" w:hAnsi="Times New Roman" w:eastAsia="华文中宋" w:cs="Times New Roman"/>
          <w:kern w:val="0"/>
          <w:sz w:val="24"/>
          <w:szCs w:val="24"/>
          <w:lang w:val="en-US" w:eastAsia="zh-CN"/>
        </w:rPr>
      </w:pPr>
      <w:bookmarkStart w:id="179" w:name="_Toc12924"/>
      <w:r>
        <w:rPr>
          <w:rFonts w:hint="default" w:ascii="Times New Roman" w:hAnsi="Times New Roman" w:eastAsia="华文中宋" w:cs="Times New Roman"/>
          <w:kern w:val="0"/>
          <w:sz w:val="24"/>
          <w:szCs w:val="24"/>
          <w:lang w:val="en-US" w:eastAsia="zh-CN"/>
        </w:rPr>
        <w:t>5.2.4声环境影响分析</w:t>
      </w:r>
      <w:bookmarkEnd w:id="179"/>
    </w:p>
    <w:p w14:paraId="1368ACE1">
      <w:pPr>
        <w:pStyle w:val="24"/>
        <w:snapToGrid w:val="0"/>
        <w:ind w:left="0" w:leftChars="0" w:firstLine="0" w:firstLineChars="0"/>
        <w:jc w:val="left"/>
        <w:rPr>
          <w:rFonts w:hint="default" w:ascii="Times New Roman" w:hAnsi="Times New Roman" w:eastAsia="华文中宋" w:cs="Times New Roman"/>
          <w:b/>
          <w:bCs/>
          <w:color w:val="auto"/>
          <w:lang w:val="en-US" w:eastAsia="zh-CN"/>
        </w:rPr>
      </w:pPr>
      <w:r>
        <w:rPr>
          <w:rFonts w:hint="eastAsia" w:ascii="Times New Roman" w:hAnsi="Times New Roman" w:cs="Times New Roman"/>
          <w:b/>
          <w:bCs/>
          <w:color w:val="auto"/>
          <w:lang w:val="en-US" w:eastAsia="zh-CN"/>
        </w:rPr>
        <w:t>5.2.4.1</w:t>
      </w:r>
      <w:r>
        <w:rPr>
          <w:rFonts w:hint="default" w:ascii="Times New Roman" w:hAnsi="Times New Roman" w:eastAsia="华文中宋" w:cs="Times New Roman"/>
          <w:b/>
          <w:bCs/>
          <w:color w:val="auto"/>
          <w:lang w:val="en-US" w:eastAsia="zh-CN"/>
        </w:rPr>
        <w:t>正常工况下声环境影响预测</w:t>
      </w:r>
    </w:p>
    <w:p w14:paraId="5FBAC586">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（1）</w:t>
      </w:r>
      <w:r>
        <w:rPr>
          <w:rFonts w:hint="default" w:ascii="Times New Roman" w:hAnsi="Times New Roman" w:eastAsia="华文中宋" w:cs="Times New Roman"/>
          <w:color w:val="auto"/>
          <w:lang w:val="en-US" w:eastAsia="zh-CN"/>
        </w:rPr>
        <w:t>预测方法</w:t>
      </w:r>
    </w:p>
    <w:p w14:paraId="128ADB38">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预测模式采用《环境影响评价技术</w:t>
      </w:r>
      <w:r>
        <w:rPr>
          <w:rFonts w:hint="eastAsia" w:ascii="Times New Roman" w:hAnsi="Times New Roman" w:cs="Times New Roman"/>
          <w:color w:val="auto"/>
          <w:lang w:val="en-US" w:eastAsia="zh-CN"/>
        </w:rPr>
        <w:t xml:space="preserve"> </w:t>
      </w:r>
      <w:r>
        <w:rPr>
          <w:rFonts w:hint="default" w:ascii="Times New Roman" w:hAnsi="Times New Roman" w:eastAsia="华文中宋" w:cs="Times New Roman"/>
          <w:color w:val="auto"/>
          <w:lang w:val="en-US" w:eastAsia="zh-CN"/>
        </w:rPr>
        <w:t>导则声环境》（HJ2.4-2021）中推荐的工业噪声预测和声压级叠加模式，预测噪声源对厂界噪声的贡献值。</w:t>
      </w:r>
    </w:p>
    <w:p w14:paraId="6D547B32">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（2）</w:t>
      </w:r>
      <w:r>
        <w:rPr>
          <w:rFonts w:hint="default" w:ascii="Times New Roman" w:hAnsi="Times New Roman" w:eastAsia="华文中宋" w:cs="Times New Roman"/>
          <w:color w:val="auto"/>
          <w:lang w:val="en-US" w:eastAsia="zh-CN"/>
        </w:rPr>
        <w:t>评价标准</w:t>
      </w:r>
    </w:p>
    <w:p w14:paraId="53087256">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厂界噪声采用《工业企业厂界环境噪声排放标准》（GB12348-2008）的2类标准。</w:t>
      </w:r>
    </w:p>
    <w:p w14:paraId="1D210E33">
      <w:pPr>
        <w:pStyle w:val="24"/>
        <w:snapToGrid w:val="0"/>
        <w:ind w:left="0" w:leftChars="0" w:firstLine="0" w:firstLineChars="0"/>
        <w:jc w:val="left"/>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5.2.4.2预测模式</w:t>
      </w:r>
    </w:p>
    <w:p w14:paraId="295528AE">
      <w:pPr>
        <w:pStyle w:val="31"/>
        <w:ind w:firstLine="480" w:firstLineChars="200"/>
        <w:rPr>
          <w:rFonts w:eastAsia="华文中宋"/>
        </w:rPr>
      </w:pPr>
      <w:r>
        <w:rPr>
          <w:rFonts w:hint="eastAsia" w:ascii="宋体" w:hAnsi="宋体" w:eastAsia="华文中宋" w:cs="宋体"/>
          <w:lang w:eastAsia="zh-CN"/>
        </w:rPr>
        <w:t>（</w:t>
      </w:r>
      <w:r>
        <w:rPr>
          <w:rFonts w:hint="eastAsia" w:ascii="宋体" w:hAnsi="宋体" w:eastAsia="华文中宋" w:cs="宋体"/>
          <w:lang w:val="en-US" w:eastAsia="zh-CN"/>
        </w:rPr>
        <w:t>1</w:t>
      </w:r>
      <w:r>
        <w:rPr>
          <w:rFonts w:hint="eastAsia" w:ascii="宋体" w:hAnsi="宋体" w:eastAsia="华文中宋" w:cs="宋体"/>
          <w:lang w:eastAsia="zh-CN"/>
        </w:rPr>
        <w:t>）</w:t>
      </w:r>
      <w:r>
        <w:rPr>
          <w:rFonts w:eastAsia="华文中宋"/>
        </w:rPr>
        <w:t>基准预测点噪声级叠加公式：</w:t>
      </w:r>
    </w:p>
    <w:p w14:paraId="0CFFA856">
      <w:pPr>
        <w:spacing w:line="480" w:lineRule="auto"/>
        <w:ind w:firstLine="480"/>
        <w:jc w:val="center"/>
        <w:rPr>
          <w:rFonts w:eastAsia="华文中宋"/>
        </w:rPr>
      </w:pPr>
      <w:r>
        <w:rPr>
          <w:rFonts w:eastAsia="华文中宋"/>
        </w:rPr>
        <w:t>Lpe =10</w:t>
      </w:r>
      <w:r>
        <w:rPr>
          <w:rFonts w:eastAsia="华文中宋"/>
          <w:lang w:val="en-GB"/>
        </w:rPr>
        <w:t>×</w:t>
      </w:r>
      <w:r>
        <w:rPr>
          <w:rFonts w:eastAsia="华文中宋"/>
        </w:rPr>
        <w:t>lg[</w:t>
      </w:r>
      <w:r>
        <w:rPr>
          <w:rFonts w:eastAsia="华文中宋"/>
        </w:rPr>
        <w:drawing>
          <wp:inline distT="0" distB="0" distL="114300" distR="114300">
            <wp:extent cx="276225" cy="466725"/>
            <wp:effectExtent l="0" t="0" r="0" b="8890"/>
            <wp:docPr id="2" name="图片 2" descr="174460698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44606983603"/>
                    <pic:cNvPicPr>
                      <a:picLocks noChangeAspect="1"/>
                    </pic:cNvPicPr>
                  </pic:nvPicPr>
                  <pic:blipFill>
                    <a:blip r:embed="rId24"/>
                    <a:stretch>
                      <a:fillRect/>
                    </a:stretch>
                  </pic:blipFill>
                  <pic:spPr>
                    <a:xfrm>
                      <a:off x="0" y="0"/>
                      <a:ext cx="276225" cy="466725"/>
                    </a:xfrm>
                    <a:prstGeom prst="rect">
                      <a:avLst/>
                    </a:prstGeom>
                  </pic:spPr>
                </pic:pic>
              </a:graphicData>
            </a:graphic>
          </wp:inline>
        </w:drawing>
      </w:r>
      <w:r>
        <w:rPr>
          <w:rFonts w:eastAsia="华文中宋"/>
        </w:rPr>
        <w:drawing>
          <wp:inline distT="0" distB="0" distL="114300" distR="114300">
            <wp:extent cx="371475" cy="276225"/>
            <wp:effectExtent l="0" t="0" r="0" b="8890"/>
            <wp:docPr id="9" name="图片 9" descr="174460703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44607034655"/>
                    <pic:cNvPicPr>
                      <a:picLocks noChangeAspect="1"/>
                    </pic:cNvPicPr>
                  </pic:nvPicPr>
                  <pic:blipFill>
                    <a:blip r:embed="rId25"/>
                    <a:stretch>
                      <a:fillRect/>
                    </a:stretch>
                  </pic:blipFill>
                  <pic:spPr>
                    <a:xfrm>
                      <a:off x="0" y="0"/>
                      <a:ext cx="371475" cy="276225"/>
                    </a:xfrm>
                    <a:prstGeom prst="rect">
                      <a:avLst/>
                    </a:prstGeom>
                  </pic:spPr>
                </pic:pic>
              </a:graphicData>
            </a:graphic>
          </wp:inline>
        </w:drawing>
      </w:r>
      <w:r>
        <w:rPr>
          <w:rFonts w:eastAsia="华文中宋"/>
        </w:rPr>
        <w:t>]</w:t>
      </w:r>
    </w:p>
    <w:p w14:paraId="2EE6519B">
      <w:pPr>
        <w:pStyle w:val="24"/>
        <w:snapToGrid w:val="0"/>
        <w:jc w:val="left"/>
        <w:rPr>
          <w:rFonts w:hint="eastAsia"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式中：Lpe—叠加后总声级，dB（A）；</w:t>
      </w:r>
    </w:p>
    <w:p w14:paraId="38FF66CE">
      <w:pPr>
        <w:pStyle w:val="24"/>
        <w:snapToGrid w:val="0"/>
        <w:jc w:val="left"/>
        <w:rPr>
          <w:rFonts w:hint="eastAsia"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Lpi—i声源至基准预测点的声级，dB（A）；</w:t>
      </w:r>
    </w:p>
    <w:p w14:paraId="68D76D54">
      <w:pPr>
        <w:pStyle w:val="24"/>
        <w:snapToGrid w:val="0"/>
        <w:jc w:val="left"/>
        <w:rPr>
          <w:rFonts w:hint="eastAsia"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 xml:space="preserve">            n—噪声源数目。</w:t>
      </w:r>
    </w:p>
    <w:p w14:paraId="077E300F">
      <w:pPr>
        <w:pStyle w:val="24"/>
        <w:snapToGrid w:val="0"/>
        <w:jc w:val="left"/>
        <w:rPr>
          <w:rFonts w:hint="eastAsia"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 xml:space="preserve">用上述公式计算出各噪声源点至基准预测点的总声压级，然后以基准预测点的噪声强度为工程噪声源强。 </w:t>
      </w:r>
    </w:p>
    <w:p w14:paraId="09B79854">
      <w:pPr>
        <w:pStyle w:val="24"/>
        <w:snapToGrid w:val="0"/>
        <w:jc w:val="left"/>
        <w:rPr>
          <w:rFonts w:hint="eastAsia"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（2）噪声源至某一预测点的计算公式</w:t>
      </w:r>
    </w:p>
    <w:p w14:paraId="0D8D47B6">
      <w:pPr>
        <w:pStyle w:val="5"/>
        <w:spacing w:line="480" w:lineRule="auto"/>
        <w:jc w:val="center"/>
        <w:rPr>
          <w:rFonts w:hint="eastAsia" w:ascii="Times New Roman" w:hAnsi="Times New Roman" w:eastAsia="华文中宋"/>
          <w:b/>
          <w:bCs/>
          <w:color w:val="auto"/>
          <w:kern w:val="44"/>
          <w:szCs w:val="24"/>
          <w:lang w:eastAsia="zh-CN"/>
        </w:rPr>
      </w:pPr>
      <w:r>
        <w:rPr>
          <w:rFonts w:hint="eastAsia" w:ascii="Times New Roman" w:hAnsi="Times New Roman" w:eastAsia="华文中宋"/>
          <w:b/>
          <w:bCs/>
          <w:color w:val="auto"/>
          <w:kern w:val="44"/>
          <w:szCs w:val="24"/>
          <w:lang w:eastAsia="zh-CN"/>
        </w:rPr>
        <w:drawing>
          <wp:inline distT="0" distB="0" distL="114300" distR="114300">
            <wp:extent cx="1552575" cy="466725"/>
            <wp:effectExtent l="0" t="0" r="9525" b="8255"/>
            <wp:docPr id="10" name="图片 10" descr="1744607077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44607077754"/>
                    <pic:cNvPicPr>
                      <a:picLocks noChangeAspect="1"/>
                    </pic:cNvPicPr>
                  </pic:nvPicPr>
                  <pic:blipFill>
                    <a:blip r:embed="rId26"/>
                    <a:stretch>
                      <a:fillRect/>
                    </a:stretch>
                  </pic:blipFill>
                  <pic:spPr>
                    <a:xfrm>
                      <a:off x="0" y="0"/>
                      <a:ext cx="1552575" cy="466725"/>
                    </a:xfrm>
                    <a:prstGeom prst="rect">
                      <a:avLst/>
                    </a:prstGeom>
                  </pic:spPr>
                </pic:pic>
              </a:graphicData>
            </a:graphic>
          </wp:inline>
        </w:drawing>
      </w:r>
    </w:p>
    <w:p w14:paraId="79FD3675">
      <w:pPr>
        <w:pStyle w:val="31"/>
        <w:ind w:firstLine="480" w:firstLineChars="200"/>
        <w:rPr>
          <w:rFonts w:eastAsia="华文中宋"/>
        </w:rPr>
      </w:pPr>
      <w:r>
        <w:rPr>
          <w:rFonts w:eastAsia="华文中宋"/>
        </w:rPr>
        <w:t>式中：Lpr</w:t>
      </w:r>
      <w:r>
        <w:rPr>
          <w:rFonts w:eastAsia="华文中宋"/>
          <w:vertAlign w:val="subscript"/>
        </w:rPr>
        <w:t>2</w:t>
      </w:r>
      <w:r>
        <w:rPr>
          <w:rFonts w:eastAsia="华文中宋"/>
        </w:rPr>
        <w:t>—受声点r</w:t>
      </w:r>
      <w:r>
        <w:rPr>
          <w:rFonts w:eastAsia="华文中宋"/>
          <w:vertAlign w:val="subscript"/>
        </w:rPr>
        <w:t xml:space="preserve">2 </w:t>
      </w:r>
      <w:r>
        <w:rPr>
          <w:rFonts w:eastAsia="华文中宋"/>
        </w:rPr>
        <w:t>m处的声压级，dB（A）；</w:t>
      </w:r>
    </w:p>
    <w:p w14:paraId="2A936FAC">
      <w:pPr>
        <w:pStyle w:val="31"/>
        <w:ind w:firstLine="1200" w:firstLineChars="500"/>
        <w:rPr>
          <w:rFonts w:eastAsia="华文中宋"/>
        </w:rPr>
      </w:pPr>
      <w:r>
        <w:rPr>
          <w:rFonts w:eastAsia="华文中宋"/>
        </w:rPr>
        <w:t>Lpr</w:t>
      </w:r>
      <w:r>
        <w:rPr>
          <w:rFonts w:eastAsia="华文中宋"/>
          <w:vertAlign w:val="subscript"/>
        </w:rPr>
        <w:t>1</w:t>
      </w:r>
      <w:r>
        <w:rPr>
          <w:rFonts w:eastAsia="华文中宋"/>
        </w:rPr>
        <w:t>—声源的声压级，dB（A）。</w:t>
      </w:r>
    </w:p>
    <w:p w14:paraId="01D8B257">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（3）</w:t>
      </w:r>
      <w:r>
        <w:rPr>
          <w:rFonts w:hint="default" w:ascii="Times New Roman" w:hAnsi="Times New Roman" w:eastAsia="华文中宋" w:cs="Times New Roman"/>
          <w:color w:val="auto"/>
          <w:lang w:val="en-US" w:eastAsia="zh-CN"/>
        </w:rPr>
        <w:t>噪声源强分析</w:t>
      </w:r>
    </w:p>
    <w:p w14:paraId="41C211AB">
      <w:pPr>
        <w:pStyle w:val="24"/>
        <w:snapToGrid w:val="0"/>
        <w:jc w:val="left"/>
        <w:rPr>
          <w:rFonts w:hint="default" w:ascii="Times New Roman" w:hAnsi="Times New Roman" w:cs="Times New Roman" w:eastAsiaTheme="minorEastAsia"/>
          <w:color w:val="auto"/>
          <w:sz w:val="24"/>
          <w:szCs w:val="24"/>
          <w:highlight w:val="none"/>
          <w:lang w:val="en-US" w:eastAsia="zh-CN"/>
        </w:rPr>
      </w:pPr>
      <w:bookmarkStart w:id="180" w:name="_Toc2534"/>
      <w:bookmarkStart w:id="181" w:name="_Toc14287"/>
      <w:bookmarkStart w:id="182" w:name="_Toc28538"/>
      <w:r>
        <w:rPr>
          <w:rFonts w:hint="default" w:ascii="Times New Roman" w:hAnsi="Times New Roman" w:eastAsia="华文中宋" w:cs="Times New Roman"/>
          <w:color w:val="auto"/>
          <w:lang w:val="en-US" w:eastAsia="zh-CN"/>
        </w:rPr>
        <w:t>本项目采场为露天采场，因此本项目主要噪声污染源为露天凿岩、铲装等作业产生的机械设备噪声。本项目开采主要噪声源强见下表5.2-2</w:t>
      </w:r>
      <w:r>
        <w:rPr>
          <w:rFonts w:hint="eastAsia" w:ascii="Times New Roman" w:hAnsi="Times New Roman" w:cs="Times New Roman"/>
          <w:color w:val="auto"/>
          <w:lang w:val="en-US" w:eastAsia="zh-CN"/>
        </w:rPr>
        <w:t>1</w:t>
      </w:r>
      <w:r>
        <w:rPr>
          <w:rFonts w:hint="default" w:ascii="Times New Roman" w:hAnsi="Times New Roman" w:eastAsia="华文中宋" w:cs="Times New Roman"/>
          <w:color w:val="auto"/>
          <w:lang w:val="en-US" w:eastAsia="zh-CN"/>
        </w:rPr>
        <w:t>。</w:t>
      </w:r>
      <w:bookmarkEnd w:id="180"/>
      <w:bookmarkEnd w:id="181"/>
      <w:bookmarkEnd w:id="182"/>
    </w:p>
    <w:p w14:paraId="2E2AB360">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bookmarkStart w:id="183" w:name="_Toc26048"/>
      <w:bookmarkStart w:id="184" w:name="_Toc12492"/>
      <w:bookmarkStart w:id="185" w:name="_Toc9158"/>
      <w:r>
        <w:rPr>
          <w:rFonts w:hint="default" w:ascii="Times New Roman" w:hAnsi="Times New Roman" w:eastAsia="华文中宋" w:cs="Times New Roman"/>
          <w:b/>
          <w:szCs w:val="21"/>
          <w:lang w:val="en-US" w:eastAsia="zh-CN"/>
        </w:rPr>
        <w:t>表5.2-2</w:t>
      </w:r>
      <w:r>
        <w:rPr>
          <w:rFonts w:hint="eastAsia" w:ascii="Times New Roman" w:hAnsi="Times New Roman" w:eastAsia="华文中宋" w:cs="Times New Roman"/>
          <w:b/>
          <w:szCs w:val="21"/>
          <w:lang w:val="en-US" w:eastAsia="zh-CN"/>
        </w:rPr>
        <w:t>1</w:t>
      </w:r>
      <w:r>
        <w:rPr>
          <w:rFonts w:hint="default" w:ascii="Times New Roman" w:hAnsi="Times New Roman" w:eastAsia="华文中宋" w:cs="Times New Roman"/>
          <w:b/>
          <w:szCs w:val="21"/>
          <w:lang w:val="en-US" w:eastAsia="zh-CN"/>
        </w:rPr>
        <w:t xml:space="preserve">  主要设备源强一览表</w:t>
      </w:r>
      <w:bookmarkEnd w:id="183"/>
      <w:bookmarkEnd w:id="184"/>
      <w:bookmarkEnd w:id="185"/>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2009"/>
        <w:gridCol w:w="1000"/>
        <w:gridCol w:w="850"/>
        <w:gridCol w:w="695"/>
        <w:gridCol w:w="1660"/>
        <w:gridCol w:w="989"/>
        <w:gridCol w:w="779"/>
      </w:tblGrid>
      <w:tr w14:paraId="4DE01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exact"/>
        </w:trPr>
        <w:tc>
          <w:tcPr>
            <w:tcW w:w="0" w:type="auto"/>
            <w:vMerge w:val="restart"/>
            <w:vAlign w:val="center"/>
          </w:tcPr>
          <w:p w14:paraId="5978D7B3">
            <w:pPr>
              <w:jc w:val="center"/>
              <w:rPr>
                <w:rFonts w:ascii="Times New Roman" w:hAnsi="Times New Roman" w:cs="Times New Roman" w:eastAsiaTheme="minorEastAsia"/>
                <w:sz w:val="21"/>
                <w:szCs w:val="21"/>
              </w:rPr>
            </w:pPr>
            <w:r>
              <w:rPr>
                <w:rFonts w:ascii="Times New Roman" w:hAnsi="Times New Roman" w:cs="Times New Roman" w:eastAsiaTheme="minorEastAsia"/>
                <w:b/>
                <w:sz w:val="21"/>
                <w:szCs w:val="21"/>
              </w:rPr>
              <w:t>序号</w:t>
            </w:r>
          </w:p>
        </w:tc>
        <w:tc>
          <w:tcPr>
            <w:tcW w:w="2009" w:type="dxa"/>
            <w:vMerge w:val="restart"/>
            <w:vAlign w:val="center"/>
          </w:tcPr>
          <w:p w14:paraId="05B0612A">
            <w:pPr>
              <w:jc w:val="center"/>
              <w:rPr>
                <w:rFonts w:ascii="Times New Roman" w:hAnsi="Times New Roman" w:cs="Times New Roman" w:eastAsiaTheme="minorEastAsia"/>
                <w:sz w:val="21"/>
                <w:szCs w:val="21"/>
              </w:rPr>
            </w:pPr>
            <w:r>
              <w:rPr>
                <w:rFonts w:ascii="Times New Roman" w:hAnsi="Times New Roman" w:cs="Times New Roman" w:eastAsiaTheme="minorEastAsia"/>
                <w:b/>
                <w:sz w:val="21"/>
                <w:szCs w:val="21"/>
              </w:rPr>
              <w:t>声源名称</w:t>
            </w:r>
          </w:p>
        </w:tc>
        <w:tc>
          <w:tcPr>
            <w:tcW w:w="2545" w:type="dxa"/>
            <w:gridSpan w:val="3"/>
            <w:vAlign w:val="center"/>
          </w:tcPr>
          <w:p w14:paraId="5A22F722">
            <w:pPr>
              <w:jc w:val="center"/>
              <w:rPr>
                <w:rFonts w:ascii="Times New Roman" w:hAnsi="Times New Roman" w:cs="Times New Roman" w:eastAsiaTheme="minorEastAsia"/>
                <w:sz w:val="21"/>
                <w:szCs w:val="21"/>
              </w:rPr>
            </w:pPr>
            <w:r>
              <w:rPr>
                <w:rFonts w:ascii="Times New Roman" w:hAnsi="Times New Roman" w:cs="Times New Roman" w:eastAsiaTheme="minorEastAsia"/>
                <w:b/>
                <w:sz w:val="21"/>
                <w:szCs w:val="21"/>
              </w:rPr>
              <w:t>空间相对位置/m</w:t>
            </w:r>
          </w:p>
        </w:tc>
        <w:tc>
          <w:tcPr>
            <w:tcW w:w="0" w:type="auto"/>
            <w:vAlign w:val="center"/>
          </w:tcPr>
          <w:p w14:paraId="404EE9EB">
            <w:pPr>
              <w:jc w:val="center"/>
              <w:rPr>
                <w:rFonts w:ascii="Times New Roman" w:hAnsi="Times New Roman" w:cs="Times New Roman" w:eastAsiaTheme="minorEastAsia"/>
                <w:sz w:val="21"/>
                <w:szCs w:val="21"/>
                <w:lang w:eastAsia="zh-CN"/>
              </w:rPr>
            </w:pPr>
            <w:r>
              <w:rPr>
                <w:rFonts w:ascii="Times New Roman" w:hAnsi="Times New Roman" w:cs="Times New Roman" w:eastAsiaTheme="minorEastAsia"/>
                <w:b/>
                <w:sz w:val="21"/>
                <w:szCs w:val="21"/>
                <w:lang w:eastAsia="zh-CN"/>
              </w:rPr>
              <w:t>声源源强（任选一种）</w:t>
            </w:r>
          </w:p>
        </w:tc>
        <w:tc>
          <w:tcPr>
            <w:tcW w:w="0" w:type="auto"/>
            <w:vMerge w:val="restart"/>
            <w:vAlign w:val="center"/>
          </w:tcPr>
          <w:p w14:paraId="398FE537">
            <w:pPr>
              <w:jc w:val="center"/>
              <w:rPr>
                <w:rFonts w:ascii="Times New Roman" w:hAnsi="Times New Roman" w:cs="Times New Roman" w:eastAsiaTheme="minorEastAsia"/>
                <w:sz w:val="21"/>
                <w:szCs w:val="21"/>
              </w:rPr>
            </w:pPr>
            <w:r>
              <w:rPr>
                <w:rFonts w:ascii="Times New Roman" w:hAnsi="Times New Roman" w:cs="Times New Roman" w:eastAsiaTheme="minorEastAsia"/>
                <w:b/>
                <w:sz w:val="21"/>
                <w:szCs w:val="21"/>
              </w:rPr>
              <w:t>声源控制措施</w:t>
            </w:r>
          </w:p>
        </w:tc>
        <w:tc>
          <w:tcPr>
            <w:tcW w:w="0" w:type="auto"/>
            <w:vMerge w:val="restart"/>
            <w:vAlign w:val="center"/>
          </w:tcPr>
          <w:p w14:paraId="5A116355">
            <w:pPr>
              <w:jc w:val="center"/>
              <w:rPr>
                <w:rFonts w:ascii="Times New Roman" w:hAnsi="Times New Roman" w:cs="Times New Roman" w:eastAsiaTheme="minorEastAsia"/>
                <w:sz w:val="21"/>
                <w:szCs w:val="21"/>
              </w:rPr>
            </w:pPr>
            <w:r>
              <w:rPr>
                <w:rFonts w:ascii="Times New Roman" w:hAnsi="Times New Roman" w:cs="Times New Roman" w:eastAsiaTheme="minorEastAsia"/>
                <w:b/>
                <w:sz w:val="21"/>
                <w:szCs w:val="21"/>
              </w:rPr>
              <w:t>运行时段</w:t>
            </w:r>
          </w:p>
        </w:tc>
      </w:tr>
      <w:tr w14:paraId="26653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0" w:type="auto"/>
            <w:vMerge w:val="continue"/>
            <w:shd w:val="clear" w:color="auto" w:fill="FFFFFF"/>
            <w:vAlign w:val="center"/>
          </w:tcPr>
          <w:p w14:paraId="31CE41AD">
            <w:pPr>
              <w:jc w:val="center"/>
              <w:rPr>
                <w:rFonts w:ascii="Times New Roman" w:hAnsi="Times New Roman" w:cs="Times New Roman" w:eastAsiaTheme="minorEastAsia"/>
                <w:sz w:val="21"/>
                <w:szCs w:val="21"/>
              </w:rPr>
            </w:pPr>
          </w:p>
        </w:tc>
        <w:tc>
          <w:tcPr>
            <w:tcW w:w="2009" w:type="dxa"/>
            <w:vMerge w:val="continue"/>
            <w:shd w:val="clear" w:color="auto" w:fill="FFFFFF"/>
            <w:vAlign w:val="center"/>
          </w:tcPr>
          <w:p w14:paraId="4D101869">
            <w:pPr>
              <w:jc w:val="center"/>
              <w:rPr>
                <w:rFonts w:ascii="Times New Roman" w:hAnsi="Times New Roman" w:cs="Times New Roman" w:eastAsiaTheme="minorEastAsia"/>
                <w:sz w:val="21"/>
                <w:szCs w:val="21"/>
              </w:rPr>
            </w:pPr>
          </w:p>
        </w:tc>
        <w:tc>
          <w:tcPr>
            <w:tcW w:w="1000" w:type="dxa"/>
            <w:shd w:val="clear" w:color="auto" w:fill="FFFFFF"/>
            <w:vAlign w:val="center"/>
          </w:tcPr>
          <w:p w14:paraId="7D78A98F">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X</w:t>
            </w:r>
          </w:p>
        </w:tc>
        <w:tc>
          <w:tcPr>
            <w:tcW w:w="850" w:type="dxa"/>
            <w:shd w:val="clear" w:color="auto" w:fill="FFFFFF"/>
            <w:vAlign w:val="center"/>
          </w:tcPr>
          <w:p w14:paraId="1E7603E9">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Y</w:t>
            </w:r>
          </w:p>
        </w:tc>
        <w:tc>
          <w:tcPr>
            <w:tcW w:w="695" w:type="dxa"/>
            <w:shd w:val="clear" w:color="auto" w:fill="FFFFFF"/>
            <w:vAlign w:val="center"/>
          </w:tcPr>
          <w:p w14:paraId="54E68F8B">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Z</w:t>
            </w:r>
          </w:p>
        </w:tc>
        <w:tc>
          <w:tcPr>
            <w:tcW w:w="0" w:type="auto"/>
            <w:shd w:val="clear" w:color="auto" w:fill="FFFFFF"/>
            <w:vAlign w:val="center"/>
          </w:tcPr>
          <w:p w14:paraId="6B231933">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声功率级/dB(A)</w:t>
            </w:r>
          </w:p>
        </w:tc>
        <w:tc>
          <w:tcPr>
            <w:tcW w:w="0" w:type="auto"/>
            <w:vMerge w:val="continue"/>
            <w:shd w:val="clear" w:color="auto" w:fill="FFFFFF"/>
            <w:vAlign w:val="center"/>
          </w:tcPr>
          <w:p w14:paraId="2701D1A9">
            <w:pPr>
              <w:jc w:val="center"/>
              <w:rPr>
                <w:rFonts w:ascii="Times New Roman" w:hAnsi="Times New Roman" w:cs="Times New Roman" w:eastAsiaTheme="minorEastAsia"/>
                <w:sz w:val="21"/>
                <w:szCs w:val="21"/>
              </w:rPr>
            </w:pPr>
          </w:p>
        </w:tc>
        <w:tc>
          <w:tcPr>
            <w:tcW w:w="0" w:type="auto"/>
            <w:vMerge w:val="continue"/>
            <w:shd w:val="clear" w:color="auto" w:fill="FFFFFF"/>
            <w:vAlign w:val="center"/>
          </w:tcPr>
          <w:p w14:paraId="098DDABA">
            <w:pPr>
              <w:jc w:val="center"/>
              <w:rPr>
                <w:rFonts w:ascii="Times New Roman" w:hAnsi="Times New Roman" w:cs="Times New Roman" w:eastAsiaTheme="minorEastAsia"/>
                <w:sz w:val="21"/>
                <w:szCs w:val="21"/>
              </w:rPr>
            </w:pPr>
          </w:p>
        </w:tc>
      </w:tr>
      <w:tr w14:paraId="2B02B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2" w:hRule="exact"/>
        </w:trPr>
        <w:tc>
          <w:tcPr>
            <w:tcW w:w="0" w:type="auto"/>
            <w:shd w:val="clear" w:color="auto" w:fill="FFFFFF"/>
            <w:vAlign w:val="center"/>
          </w:tcPr>
          <w:p w14:paraId="70826A3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w:t>
            </w:r>
          </w:p>
        </w:tc>
        <w:tc>
          <w:tcPr>
            <w:tcW w:w="2009" w:type="dxa"/>
            <w:shd w:val="clear" w:color="auto" w:fill="FFFFFF"/>
            <w:vAlign w:val="center"/>
          </w:tcPr>
          <w:p w14:paraId="3103F94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碎石机</w:t>
            </w:r>
          </w:p>
        </w:tc>
        <w:tc>
          <w:tcPr>
            <w:tcW w:w="1000" w:type="dxa"/>
            <w:shd w:val="clear" w:color="auto" w:fill="FFFFFF"/>
            <w:vAlign w:val="center"/>
          </w:tcPr>
          <w:p w14:paraId="6DEE74E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56.1</w:t>
            </w:r>
          </w:p>
        </w:tc>
        <w:tc>
          <w:tcPr>
            <w:tcW w:w="850" w:type="dxa"/>
            <w:shd w:val="clear" w:color="auto" w:fill="FFFFFF"/>
            <w:vAlign w:val="center"/>
          </w:tcPr>
          <w:p w14:paraId="1D6FF64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-616.2</w:t>
            </w:r>
          </w:p>
        </w:tc>
        <w:tc>
          <w:tcPr>
            <w:tcW w:w="695" w:type="dxa"/>
            <w:shd w:val="clear" w:color="auto" w:fill="FFFFFF"/>
            <w:vAlign w:val="center"/>
          </w:tcPr>
          <w:p w14:paraId="5AD033A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1.2</w:t>
            </w:r>
          </w:p>
        </w:tc>
        <w:tc>
          <w:tcPr>
            <w:tcW w:w="0" w:type="auto"/>
            <w:shd w:val="clear" w:color="auto" w:fill="FFFFFF"/>
            <w:vAlign w:val="center"/>
          </w:tcPr>
          <w:p w14:paraId="704F1A0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120</w:t>
            </w:r>
          </w:p>
        </w:tc>
        <w:tc>
          <w:tcPr>
            <w:tcW w:w="0" w:type="auto"/>
            <w:vMerge w:val="restart"/>
            <w:shd w:val="clear" w:color="auto" w:fill="FFFFFF"/>
            <w:vAlign w:val="center"/>
          </w:tcPr>
          <w:p w14:paraId="3ED280B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设备自身降噪</w:t>
            </w:r>
          </w:p>
        </w:tc>
        <w:tc>
          <w:tcPr>
            <w:tcW w:w="779" w:type="dxa"/>
            <w:vMerge w:val="restart"/>
            <w:shd w:val="clear" w:color="auto" w:fill="FFFFFF"/>
            <w:vAlign w:val="center"/>
          </w:tcPr>
          <w:p w14:paraId="57BFDAA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8h/d</w:t>
            </w:r>
          </w:p>
        </w:tc>
      </w:tr>
      <w:tr w14:paraId="70675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2" w:hRule="exact"/>
        </w:trPr>
        <w:tc>
          <w:tcPr>
            <w:tcW w:w="0" w:type="auto"/>
            <w:shd w:val="clear" w:color="auto" w:fill="FFFFFF"/>
            <w:vAlign w:val="center"/>
          </w:tcPr>
          <w:p w14:paraId="0785820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w:t>
            </w:r>
          </w:p>
        </w:tc>
        <w:tc>
          <w:tcPr>
            <w:tcW w:w="2009" w:type="dxa"/>
            <w:shd w:val="clear" w:color="auto" w:fill="FFFFFF"/>
            <w:vAlign w:val="center"/>
          </w:tcPr>
          <w:p w14:paraId="127D2F2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洒水车</w:t>
            </w:r>
          </w:p>
        </w:tc>
        <w:tc>
          <w:tcPr>
            <w:tcW w:w="1000" w:type="dxa"/>
            <w:shd w:val="clear" w:color="auto" w:fill="FFFFFF"/>
            <w:vAlign w:val="center"/>
          </w:tcPr>
          <w:p w14:paraId="55CD8BA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-1314.3</w:t>
            </w:r>
          </w:p>
        </w:tc>
        <w:tc>
          <w:tcPr>
            <w:tcW w:w="850" w:type="dxa"/>
            <w:shd w:val="clear" w:color="auto" w:fill="FFFFFF"/>
            <w:vAlign w:val="center"/>
          </w:tcPr>
          <w:p w14:paraId="2568B03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-444.2</w:t>
            </w:r>
          </w:p>
        </w:tc>
        <w:tc>
          <w:tcPr>
            <w:tcW w:w="695" w:type="dxa"/>
            <w:shd w:val="clear" w:color="auto" w:fill="FFFFFF"/>
            <w:vAlign w:val="center"/>
          </w:tcPr>
          <w:p w14:paraId="7C0FD0D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1.2</w:t>
            </w:r>
          </w:p>
        </w:tc>
        <w:tc>
          <w:tcPr>
            <w:tcW w:w="0" w:type="auto"/>
            <w:shd w:val="clear" w:color="auto" w:fill="FFFFFF"/>
            <w:vAlign w:val="center"/>
          </w:tcPr>
          <w:p w14:paraId="0CD94BB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80</w:t>
            </w:r>
          </w:p>
        </w:tc>
        <w:tc>
          <w:tcPr>
            <w:tcW w:w="0" w:type="auto"/>
            <w:vMerge w:val="continue"/>
            <w:shd w:val="clear" w:color="auto" w:fill="FFFFFF"/>
            <w:vAlign w:val="center"/>
          </w:tcPr>
          <w:p w14:paraId="04D81DFE">
            <w:pPr>
              <w:spacing w:line="300" w:lineRule="exact"/>
              <w:jc w:val="center"/>
              <w:rPr>
                <w:rFonts w:hint="default" w:ascii="Times New Roman" w:hAnsi="Times New Roman" w:eastAsia="华文中宋" w:cs="Times New Roman"/>
                <w:szCs w:val="21"/>
                <w:lang w:val="en-US" w:eastAsia="zh-CN"/>
              </w:rPr>
            </w:pPr>
          </w:p>
        </w:tc>
        <w:tc>
          <w:tcPr>
            <w:tcW w:w="779" w:type="dxa"/>
            <w:vMerge w:val="continue"/>
            <w:shd w:val="clear" w:color="auto" w:fill="FFFFFF"/>
            <w:vAlign w:val="center"/>
          </w:tcPr>
          <w:p w14:paraId="76EBF06B">
            <w:pPr>
              <w:spacing w:line="300" w:lineRule="exact"/>
              <w:jc w:val="center"/>
              <w:rPr>
                <w:rFonts w:hint="default" w:ascii="Times New Roman" w:hAnsi="Times New Roman" w:eastAsia="华文中宋" w:cs="Times New Roman"/>
                <w:szCs w:val="21"/>
                <w:lang w:val="en-US" w:eastAsia="zh-CN"/>
              </w:rPr>
            </w:pPr>
          </w:p>
        </w:tc>
      </w:tr>
      <w:tr w14:paraId="00F72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2" w:hRule="exact"/>
        </w:trPr>
        <w:tc>
          <w:tcPr>
            <w:tcW w:w="0" w:type="auto"/>
            <w:shd w:val="clear" w:color="auto" w:fill="FFFFFF"/>
            <w:vAlign w:val="center"/>
          </w:tcPr>
          <w:p w14:paraId="268942E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w:t>
            </w:r>
          </w:p>
        </w:tc>
        <w:tc>
          <w:tcPr>
            <w:tcW w:w="2009" w:type="dxa"/>
            <w:shd w:val="clear" w:color="auto" w:fill="FFFFFF"/>
            <w:vAlign w:val="center"/>
          </w:tcPr>
          <w:p w14:paraId="2E2425A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光选机</w:t>
            </w:r>
          </w:p>
        </w:tc>
        <w:tc>
          <w:tcPr>
            <w:tcW w:w="1000" w:type="dxa"/>
            <w:shd w:val="clear" w:color="auto" w:fill="FFFFFF"/>
            <w:vAlign w:val="center"/>
          </w:tcPr>
          <w:p w14:paraId="56128A4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-882</w:t>
            </w:r>
          </w:p>
        </w:tc>
        <w:tc>
          <w:tcPr>
            <w:tcW w:w="850" w:type="dxa"/>
            <w:shd w:val="clear" w:color="auto" w:fill="FFFFFF"/>
            <w:vAlign w:val="center"/>
          </w:tcPr>
          <w:p w14:paraId="61A3C9A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-91.5</w:t>
            </w:r>
          </w:p>
        </w:tc>
        <w:tc>
          <w:tcPr>
            <w:tcW w:w="695" w:type="dxa"/>
            <w:shd w:val="clear" w:color="auto" w:fill="FFFFFF"/>
            <w:vAlign w:val="center"/>
          </w:tcPr>
          <w:p w14:paraId="1EB1808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1.2</w:t>
            </w:r>
          </w:p>
        </w:tc>
        <w:tc>
          <w:tcPr>
            <w:tcW w:w="0" w:type="auto"/>
            <w:shd w:val="clear" w:color="auto" w:fill="FFFFFF"/>
            <w:vAlign w:val="center"/>
          </w:tcPr>
          <w:p w14:paraId="2F2E3B1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95</w:t>
            </w:r>
          </w:p>
        </w:tc>
        <w:tc>
          <w:tcPr>
            <w:tcW w:w="0" w:type="auto"/>
            <w:vMerge w:val="continue"/>
            <w:shd w:val="clear" w:color="auto" w:fill="FFFFFF"/>
            <w:vAlign w:val="center"/>
          </w:tcPr>
          <w:p w14:paraId="41D2BFB1">
            <w:pPr>
              <w:spacing w:line="300" w:lineRule="exact"/>
              <w:jc w:val="center"/>
              <w:rPr>
                <w:rFonts w:hint="default" w:ascii="Times New Roman" w:hAnsi="Times New Roman" w:eastAsia="华文中宋" w:cs="Times New Roman"/>
                <w:szCs w:val="21"/>
                <w:lang w:val="en-US" w:eastAsia="zh-CN"/>
              </w:rPr>
            </w:pPr>
          </w:p>
        </w:tc>
        <w:tc>
          <w:tcPr>
            <w:tcW w:w="779" w:type="dxa"/>
            <w:vMerge w:val="continue"/>
            <w:shd w:val="clear" w:color="auto" w:fill="FFFFFF"/>
            <w:vAlign w:val="center"/>
          </w:tcPr>
          <w:p w14:paraId="1A383E0E">
            <w:pPr>
              <w:spacing w:line="300" w:lineRule="exact"/>
              <w:jc w:val="center"/>
              <w:rPr>
                <w:rFonts w:hint="default" w:ascii="Times New Roman" w:hAnsi="Times New Roman" w:eastAsia="华文中宋" w:cs="Times New Roman"/>
                <w:szCs w:val="21"/>
                <w:lang w:val="en-US" w:eastAsia="zh-CN"/>
              </w:rPr>
            </w:pPr>
          </w:p>
        </w:tc>
      </w:tr>
      <w:tr w14:paraId="39802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2" w:hRule="exact"/>
        </w:trPr>
        <w:tc>
          <w:tcPr>
            <w:tcW w:w="0" w:type="auto"/>
            <w:shd w:val="clear" w:color="auto" w:fill="FFFFFF"/>
            <w:vAlign w:val="center"/>
          </w:tcPr>
          <w:p w14:paraId="7727C2E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w:t>
            </w:r>
          </w:p>
        </w:tc>
        <w:tc>
          <w:tcPr>
            <w:tcW w:w="2009" w:type="dxa"/>
            <w:shd w:val="clear" w:color="auto" w:fill="FFFFFF"/>
            <w:vAlign w:val="center"/>
          </w:tcPr>
          <w:p w14:paraId="0AE1F57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柴油发电机</w:t>
            </w:r>
          </w:p>
        </w:tc>
        <w:tc>
          <w:tcPr>
            <w:tcW w:w="1000" w:type="dxa"/>
            <w:shd w:val="clear" w:color="auto" w:fill="FFFFFF"/>
            <w:vAlign w:val="center"/>
          </w:tcPr>
          <w:p w14:paraId="7D123A2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-885.2</w:t>
            </w:r>
          </w:p>
        </w:tc>
        <w:tc>
          <w:tcPr>
            <w:tcW w:w="850" w:type="dxa"/>
            <w:shd w:val="clear" w:color="auto" w:fill="FFFFFF"/>
            <w:vAlign w:val="center"/>
          </w:tcPr>
          <w:p w14:paraId="0EFCA0B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-395.8</w:t>
            </w:r>
          </w:p>
        </w:tc>
        <w:tc>
          <w:tcPr>
            <w:tcW w:w="695" w:type="dxa"/>
            <w:shd w:val="clear" w:color="auto" w:fill="FFFFFF"/>
            <w:vAlign w:val="center"/>
          </w:tcPr>
          <w:p w14:paraId="2CDC208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1.2</w:t>
            </w:r>
          </w:p>
        </w:tc>
        <w:tc>
          <w:tcPr>
            <w:tcW w:w="0" w:type="auto"/>
            <w:shd w:val="clear" w:color="auto" w:fill="FFFFFF"/>
            <w:vAlign w:val="center"/>
          </w:tcPr>
          <w:p w14:paraId="7AC86CF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100</w:t>
            </w:r>
          </w:p>
        </w:tc>
        <w:tc>
          <w:tcPr>
            <w:tcW w:w="0" w:type="auto"/>
            <w:vMerge w:val="continue"/>
            <w:shd w:val="clear" w:color="auto" w:fill="FFFFFF"/>
            <w:vAlign w:val="center"/>
          </w:tcPr>
          <w:p w14:paraId="271F6E38">
            <w:pPr>
              <w:spacing w:line="300" w:lineRule="exact"/>
              <w:jc w:val="center"/>
              <w:rPr>
                <w:rFonts w:hint="default" w:ascii="Times New Roman" w:hAnsi="Times New Roman" w:eastAsia="华文中宋" w:cs="Times New Roman"/>
                <w:szCs w:val="21"/>
                <w:lang w:val="en-US" w:eastAsia="zh-CN"/>
              </w:rPr>
            </w:pPr>
          </w:p>
        </w:tc>
        <w:tc>
          <w:tcPr>
            <w:tcW w:w="779" w:type="dxa"/>
            <w:vMerge w:val="continue"/>
            <w:shd w:val="clear" w:color="auto" w:fill="FFFFFF"/>
            <w:vAlign w:val="center"/>
          </w:tcPr>
          <w:p w14:paraId="209A1AD1">
            <w:pPr>
              <w:spacing w:line="300" w:lineRule="exact"/>
              <w:jc w:val="center"/>
              <w:rPr>
                <w:rFonts w:hint="default" w:ascii="Times New Roman" w:hAnsi="Times New Roman" w:eastAsia="华文中宋" w:cs="Times New Roman"/>
                <w:szCs w:val="21"/>
                <w:lang w:val="en-US" w:eastAsia="zh-CN"/>
              </w:rPr>
            </w:pPr>
          </w:p>
        </w:tc>
      </w:tr>
      <w:tr w14:paraId="07F75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2" w:hRule="exact"/>
        </w:trPr>
        <w:tc>
          <w:tcPr>
            <w:tcW w:w="0" w:type="auto"/>
            <w:shd w:val="clear" w:color="auto" w:fill="FFFFFF"/>
            <w:vAlign w:val="center"/>
          </w:tcPr>
          <w:p w14:paraId="5033428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w:t>
            </w:r>
          </w:p>
        </w:tc>
        <w:tc>
          <w:tcPr>
            <w:tcW w:w="2009" w:type="dxa"/>
            <w:shd w:val="clear" w:color="auto" w:fill="FFFFFF"/>
            <w:vAlign w:val="center"/>
          </w:tcPr>
          <w:p w14:paraId="3D14FB9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柴油发电机</w:t>
            </w:r>
          </w:p>
        </w:tc>
        <w:tc>
          <w:tcPr>
            <w:tcW w:w="1000" w:type="dxa"/>
            <w:shd w:val="clear" w:color="auto" w:fill="FFFFFF"/>
            <w:vAlign w:val="center"/>
          </w:tcPr>
          <w:p w14:paraId="1E5FF41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-1291.1</w:t>
            </w:r>
          </w:p>
        </w:tc>
        <w:tc>
          <w:tcPr>
            <w:tcW w:w="850" w:type="dxa"/>
            <w:shd w:val="clear" w:color="auto" w:fill="FFFFFF"/>
            <w:vAlign w:val="center"/>
          </w:tcPr>
          <w:p w14:paraId="64FD60B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65.1</w:t>
            </w:r>
          </w:p>
        </w:tc>
        <w:tc>
          <w:tcPr>
            <w:tcW w:w="695" w:type="dxa"/>
            <w:shd w:val="clear" w:color="auto" w:fill="FFFFFF"/>
            <w:vAlign w:val="center"/>
          </w:tcPr>
          <w:p w14:paraId="7242B22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1.2</w:t>
            </w:r>
          </w:p>
        </w:tc>
        <w:tc>
          <w:tcPr>
            <w:tcW w:w="0" w:type="auto"/>
            <w:shd w:val="clear" w:color="auto" w:fill="FFFFFF"/>
            <w:vAlign w:val="center"/>
          </w:tcPr>
          <w:p w14:paraId="17C613C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100</w:t>
            </w:r>
          </w:p>
        </w:tc>
        <w:tc>
          <w:tcPr>
            <w:tcW w:w="0" w:type="auto"/>
            <w:vMerge w:val="continue"/>
            <w:shd w:val="clear" w:color="auto" w:fill="FFFFFF"/>
            <w:vAlign w:val="center"/>
          </w:tcPr>
          <w:p w14:paraId="7C8D4F68">
            <w:pPr>
              <w:spacing w:line="300" w:lineRule="exact"/>
              <w:jc w:val="center"/>
              <w:rPr>
                <w:rFonts w:hint="default" w:ascii="Times New Roman" w:hAnsi="Times New Roman" w:eastAsia="华文中宋" w:cs="Times New Roman"/>
                <w:szCs w:val="21"/>
                <w:lang w:val="en-US" w:eastAsia="zh-CN"/>
              </w:rPr>
            </w:pPr>
          </w:p>
        </w:tc>
        <w:tc>
          <w:tcPr>
            <w:tcW w:w="779" w:type="dxa"/>
            <w:vMerge w:val="continue"/>
            <w:shd w:val="clear" w:color="auto" w:fill="FFFFFF"/>
            <w:vAlign w:val="center"/>
          </w:tcPr>
          <w:p w14:paraId="24B31CD9">
            <w:pPr>
              <w:spacing w:line="300" w:lineRule="exact"/>
              <w:jc w:val="center"/>
              <w:rPr>
                <w:rFonts w:hint="default" w:ascii="Times New Roman" w:hAnsi="Times New Roman" w:eastAsia="华文中宋" w:cs="Times New Roman"/>
                <w:szCs w:val="21"/>
                <w:lang w:val="en-US" w:eastAsia="zh-CN"/>
              </w:rPr>
            </w:pPr>
          </w:p>
        </w:tc>
      </w:tr>
      <w:tr w14:paraId="3F903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12" w:hRule="exact"/>
        </w:trPr>
        <w:tc>
          <w:tcPr>
            <w:tcW w:w="0" w:type="auto"/>
            <w:shd w:val="clear" w:color="auto" w:fill="FFFFFF"/>
            <w:vAlign w:val="center"/>
          </w:tcPr>
          <w:p w14:paraId="0720219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w:t>
            </w:r>
          </w:p>
        </w:tc>
        <w:tc>
          <w:tcPr>
            <w:tcW w:w="2009" w:type="dxa"/>
            <w:shd w:val="clear" w:color="auto" w:fill="FFFFFF"/>
            <w:vAlign w:val="center"/>
          </w:tcPr>
          <w:p w14:paraId="0712836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露天潜钻机组</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3台（按点声源组预测）</w:t>
            </w:r>
          </w:p>
        </w:tc>
        <w:tc>
          <w:tcPr>
            <w:tcW w:w="1000" w:type="dxa"/>
            <w:shd w:val="clear" w:color="auto" w:fill="FFFFFF"/>
            <w:vAlign w:val="center"/>
          </w:tcPr>
          <w:p w14:paraId="46749B0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158.5</w:t>
            </w:r>
          </w:p>
        </w:tc>
        <w:tc>
          <w:tcPr>
            <w:tcW w:w="850" w:type="dxa"/>
            <w:shd w:val="clear" w:color="auto" w:fill="FFFFFF"/>
            <w:vAlign w:val="center"/>
          </w:tcPr>
          <w:p w14:paraId="36C0D29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-356.8</w:t>
            </w:r>
          </w:p>
        </w:tc>
        <w:tc>
          <w:tcPr>
            <w:tcW w:w="695" w:type="dxa"/>
            <w:shd w:val="clear" w:color="auto" w:fill="FFFFFF"/>
            <w:vAlign w:val="center"/>
          </w:tcPr>
          <w:p w14:paraId="1F27653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1.2</w:t>
            </w:r>
          </w:p>
        </w:tc>
        <w:tc>
          <w:tcPr>
            <w:tcW w:w="0" w:type="auto"/>
            <w:shd w:val="clear" w:color="auto" w:fill="FFFFFF"/>
            <w:vAlign w:val="center"/>
          </w:tcPr>
          <w:p w14:paraId="486EA86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105（等效后：109.8</w:t>
            </w:r>
            <w:r>
              <w:rPr>
                <w:rFonts w:hint="eastAsia" w:ascii="Times New Roman" w:hAnsi="Times New Roman" w:eastAsia="华文中宋" w:cs="Times New Roman"/>
                <w:szCs w:val="21"/>
                <w:lang w:val="en-US" w:eastAsia="zh-CN"/>
              </w:rPr>
              <w:t>）</w:t>
            </w:r>
          </w:p>
        </w:tc>
        <w:tc>
          <w:tcPr>
            <w:tcW w:w="0" w:type="auto"/>
            <w:vMerge w:val="continue"/>
            <w:shd w:val="clear" w:color="auto" w:fill="FFFFFF"/>
            <w:vAlign w:val="center"/>
          </w:tcPr>
          <w:p w14:paraId="4856E7DE">
            <w:pPr>
              <w:spacing w:line="300" w:lineRule="exact"/>
              <w:jc w:val="center"/>
              <w:rPr>
                <w:rFonts w:hint="default" w:ascii="Times New Roman" w:hAnsi="Times New Roman" w:eastAsia="华文中宋" w:cs="Times New Roman"/>
                <w:szCs w:val="21"/>
                <w:lang w:val="en-US" w:eastAsia="zh-CN"/>
              </w:rPr>
            </w:pPr>
          </w:p>
        </w:tc>
        <w:tc>
          <w:tcPr>
            <w:tcW w:w="779" w:type="dxa"/>
            <w:vMerge w:val="continue"/>
            <w:shd w:val="clear" w:color="auto" w:fill="FFFFFF"/>
            <w:vAlign w:val="center"/>
          </w:tcPr>
          <w:p w14:paraId="567915C0">
            <w:pPr>
              <w:spacing w:line="300" w:lineRule="exact"/>
              <w:jc w:val="center"/>
              <w:rPr>
                <w:rFonts w:hint="default" w:ascii="Times New Roman" w:hAnsi="Times New Roman" w:eastAsia="华文中宋" w:cs="Times New Roman"/>
                <w:szCs w:val="21"/>
                <w:lang w:val="en-US" w:eastAsia="zh-CN"/>
              </w:rPr>
            </w:pPr>
          </w:p>
        </w:tc>
      </w:tr>
      <w:tr w14:paraId="437DD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92" w:hRule="exact"/>
        </w:trPr>
        <w:tc>
          <w:tcPr>
            <w:tcW w:w="0" w:type="auto"/>
            <w:shd w:val="clear" w:color="auto" w:fill="FFFFFF"/>
            <w:vAlign w:val="center"/>
          </w:tcPr>
          <w:p w14:paraId="7334D9F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7</w:t>
            </w:r>
          </w:p>
        </w:tc>
        <w:tc>
          <w:tcPr>
            <w:tcW w:w="2009" w:type="dxa"/>
            <w:shd w:val="clear" w:color="auto" w:fill="FFFFFF"/>
            <w:vAlign w:val="center"/>
          </w:tcPr>
          <w:p w14:paraId="7CB972E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全液压挖掘机组</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3台（按点声源组预测）</w:t>
            </w:r>
          </w:p>
        </w:tc>
        <w:tc>
          <w:tcPr>
            <w:tcW w:w="1000" w:type="dxa"/>
            <w:shd w:val="clear" w:color="auto" w:fill="FFFFFF"/>
            <w:vAlign w:val="center"/>
          </w:tcPr>
          <w:p w14:paraId="0A08B52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-49.1</w:t>
            </w:r>
          </w:p>
        </w:tc>
        <w:tc>
          <w:tcPr>
            <w:tcW w:w="850" w:type="dxa"/>
            <w:shd w:val="clear" w:color="auto" w:fill="FFFFFF"/>
            <w:vAlign w:val="center"/>
          </w:tcPr>
          <w:p w14:paraId="1E58A9F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207.4</w:t>
            </w:r>
          </w:p>
        </w:tc>
        <w:tc>
          <w:tcPr>
            <w:tcW w:w="695" w:type="dxa"/>
            <w:shd w:val="clear" w:color="auto" w:fill="FFFFFF"/>
            <w:vAlign w:val="center"/>
          </w:tcPr>
          <w:p w14:paraId="67C102D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1.2</w:t>
            </w:r>
          </w:p>
        </w:tc>
        <w:tc>
          <w:tcPr>
            <w:tcW w:w="0" w:type="auto"/>
            <w:shd w:val="clear" w:color="auto" w:fill="FFFFFF"/>
            <w:vAlign w:val="center"/>
          </w:tcPr>
          <w:p w14:paraId="43FAB51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100（等效后：104.8</w:t>
            </w:r>
            <w:r>
              <w:rPr>
                <w:rFonts w:hint="eastAsia" w:ascii="Times New Roman" w:hAnsi="Times New Roman" w:eastAsia="华文中宋" w:cs="Times New Roman"/>
                <w:szCs w:val="21"/>
                <w:lang w:val="en-US" w:eastAsia="zh-CN"/>
              </w:rPr>
              <w:t>）</w:t>
            </w:r>
          </w:p>
        </w:tc>
        <w:tc>
          <w:tcPr>
            <w:tcW w:w="0" w:type="auto"/>
            <w:vMerge w:val="continue"/>
            <w:shd w:val="clear" w:color="auto" w:fill="FFFFFF"/>
            <w:vAlign w:val="center"/>
          </w:tcPr>
          <w:p w14:paraId="5B06DCD7">
            <w:pPr>
              <w:spacing w:line="300" w:lineRule="exact"/>
              <w:jc w:val="center"/>
              <w:rPr>
                <w:rFonts w:hint="default" w:ascii="Times New Roman" w:hAnsi="Times New Roman" w:eastAsia="华文中宋" w:cs="Times New Roman"/>
                <w:szCs w:val="21"/>
                <w:lang w:val="en-US" w:eastAsia="zh-CN"/>
              </w:rPr>
            </w:pPr>
          </w:p>
        </w:tc>
        <w:tc>
          <w:tcPr>
            <w:tcW w:w="779" w:type="dxa"/>
            <w:vMerge w:val="continue"/>
            <w:shd w:val="clear" w:color="auto" w:fill="FFFFFF"/>
            <w:vAlign w:val="center"/>
          </w:tcPr>
          <w:p w14:paraId="0B11220F">
            <w:pPr>
              <w:spacing w:line="300" w:lineRule="exact"/>
              <w:jc w:val="center"/>
              <w:rPr>
                <w:rFonts w:hint="default" w:ascii="Times New Roman" w:hAnsi="Times New Roman" w:eastAsia="华文中宋" w:cs="Times New Roman"/>
                <w:szCs w:val="21"/>
                <w:lang w:val="en-US" w:eastAsia="zh-CN"/>
              </w:rPr>
            </w:pPr>
          </w:p>
        </w:tc>
      </w:tr>
      <w:tr w14:paraId="1487B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86" w:hRule="exact"/>
        </w:trPr>
        <w:tc>
          <w:tcPr>
            <w:tcW w:w="0" w:type="auto"/>
            <w:shd w:val="clear" w:color="auto" w:fill="FFFFFF"/>
            <w:vAlign w:val="center"/>
          </w:tcPr>
          <w:p w14:paraId="42721A1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w:t>
            </w:r>
          </w:p>
        </w:tc>
        <w:tc>
          <w:tcPr>
            <w:tcW w:w="2009" w:type="dxa"/>
            <w:shd w:val="clear" w:color="auto" w:fill="FFFFFF"/>
            <w:vAlign w:val="center"/>
          </w:tcPr>
          <w:p w14:paraId="49A7D90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轮胎式装载机组</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4台（按点声源组预测）</w:t>
            </w:r>
          </w:p>
        </w:tc>
        <w:tc>
          <w:tcPr>
            <w:tcW w:w="1000" w:type="dxa"/>
            <w:shd w:val="clear" w:color="auto" w:fill="FFFFFF"/>
            <w:vAlign w:val="center"/>
          </w:tcPr>
          <w:p w14:paraId="3DF00FA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-1053.9</w:t>
            </w:r>
          </w:p>
        </w:tc>
        <w:tc>
          <w:tcPr>
            <w:tcW w:w="850" w:type="dxa"/>
            <w:shd w:val="clear" w:color="auto" w:fill="FFFFFF"/>
            <w:vAlign w:val="center"/>
          </w:tcPr>
          <w:p w14:paraId="0B4627B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767.1</w:t>
            </w:r>
          </w:p>
        </w:tc>
        <w:tc>
          <w:tcPr>
            <w:tcW w:w="695" w:type="dxa"/>
            <w:shd w:val="clear" w:color="auto" w:fill="FFFFFF"/>
            <w:vAlign w:val="center"/>
          </w:tcPr>
          <w:p w14:paraId="34B49F8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1.2</w:t>
            </w:r>
          </w:p>
        </w:tc>
        <w:tc>
          <w:tcPr>
            <w:tcW w:w="0" w:type="auto"/>
            <w:shd w:val="clear" w:color="auto" w:fill="FFFFFF"/>
            <w:vAlign w:val="center"/>
          </w:tcPr>
          <w:p w14:paraId="2089C8B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95（等效后：101.0</w:t>
            </w:r>
            <w:r>
              <w:rPr>
                <w:rFonts w:hint="eastAsia" w:ascii="Times New Roman" w:hAnsi="Times New Roman" w:eastAsia="华文中宋" w:cs="Times New Roman"/>
                <w:szCs w:val="21"/>
                <w:lang w:val="en-US" w:eastAsia="zh-CN"/>
              </w:rPr>
              <w:t>）</w:t>
            </w:r>
          </w:p>
        </w:tc>
        <w:tc>
          <w:tcPr>
            <w:tcW w:w="0" w:type="auto"/>
            <w:vMerge w:val="continue"/>
            <w:shd w:val="clear" w:color="auto" w:fill="FFFFFF"/>
            <w:vAlign w:val="center"/>
          </w:tcPr>
          <w:p w14:paraId="2B0DD01D">
            <w:pPr>
              <w:spacing w:line="300" w:lineRule="exact"/>
              <w:jc w:val="center"/>
              <w:rPr>
                <w:rFonts w:hint="default" w:ascii="Times New Roman" w:hAnsi="Times New Roman" w:eastAsia="华文中宋" w:cs="Times New Roman"/>
                <w:szCs w:val="21"/>
                <w:lang w:val="en-US" w:eastAsia="zh-CN"/>
              </w:rPr>
            </w:pPr>
          </w:p>
        </w:tc>
        <w:tc>
          <w:tcPr>
            <w:tcW w:w="779" w:type="dxa"/>
            <w:vMerge w:val="continue"/>
            <w:shd w:val="clear" w:color="auto" w:fill="FFFFFF"/>
            <w:vAlign w:val="center"/>
          </w:tcPr>
          <w:p w14:paraId="2C3AA3BC">
            <w:pPr>
              <w:spacing w:line="300" w:lineRule="exact"/>
              <w:jc w:val="center"/>
              <w:rPr>
                <w:rFonts w:hint="default" w:ascii="Times New Roman" w:hAnsi="Times New Roman" w:eastAsia="华文中宋" w:cs="Times New Roman"/>
                <w:szCs w:val="21"/>
                <w:lang w:val="en-US" w:eastAsia="zh-CN"/>
              </w:rPr>
            </w:pPr>
          </w:p>
        </w:tc>
      </w:tr>
      <w:tr w14:paraId="73938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40" w:hRule="exact"/>
        </w:trPr>
        <w:tc>
          <w:tcPr>
            <w:tcW w:w="0" w:type="auto"/>
            <w:shd w:val="clear" w:color="auto" w:fill="FFFFFF"/>
            <w:vAlign w:val="center"/>
          </w:tcPr>
          <w:p w14:paraId="38AB3E6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9</w:t>
            </w:r>
          </w:p>
        </w:tc>
        <w:tc>
          <w:tcPr>
            <w:tcW w:w="2009" w:type="dxa"/>
            <w:shd w:val="clear" w:color="auto" w:fill="FFFFFF"/>
            <w:vAlign w:val="center"/>
          </w:tcPr>
          <w:p w14:paraId="639D52B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移动式空压机组</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4台（按点声源组预测）</w:t>
            </w:r>
          </w:p>
        </w:tc>
        <w:tc>
          <w:tcPr>
            <w:tcW w:w="1000" w:type="dxa"/>
            <w:shd w:val="clear" w:color="auto" w:fill="FFFFFF"/>
            <w:vAlign w:val="center"/>
          </w:tcPr>
          <w:p w14:paraId="2513849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1258.7</w:t>
            </w:r>
          </w:p>
        </w:tc>
        <w:tc>
          <w:tcPr>
            <w:tcW w:w="850" w:type="dxa"/>
            <w:shd w:val="clear" w:color="auto" w:fill="FFFFFF"/>
            <w:vAlign w:val="center"/>
          </w:tcPr>
          <w:p w14:paraId="3C0AED2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139.9</w:t>
            </w:r>
          </w:p>
        </w:tc>
        <w:tc>
          <w:tcPr>
            <w:tcW w:w="695" w:type="dxa"/>
            <w:shd w:val="clear" w:color="auto" w:fill="FFFFFF"/>
            <w:vAlign w:val="center"/>
          </w:tcPr>
          <w:p w14:paraId="3454CBD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1.2</w:t>
            </w:r>
          </w:p>
        </w:tc>
        <w:tc>
          <w:tcPr>
            <w:tcW w:w="0" w:type="auto"/>
            <w:shd w:val="clear" w:color="auto" w:fill="FFFFFF"/>
            <w:vAlign w:val="center"/>
          </w:tcPr>
          <w:p w14:paraId="0D6D09B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100（等效后：106.0</w:t>
            </w:r>
            <w:r>
              <w:rPr>
                <w:rFonts w:hint="eastAsia" w:ascii="Times New Roman" w:hAnsi="Times New Roman" w:eastAsia="华文中宋" w:cs="Times New Roman"/>
                <w:szCs w:val="21"/>
                <w:lang w:val="en-US" w:eastAsia="zh-CN"/>
              </w:rPr>
              <w:t>）</w:t>
            </w:r>
          </w:p>
        </w:tc>
        <w:tc>
          <w:tcPr>
            <w:tcW w:w="0" w:type="auto"/>
            <w:vMerge w:val="continue"/>
            <w:shd w:val="clear" w:color="auto" w:fill="FFFFFF"/>
            <w:vAlign w:val="center"/>
          </w:tcPr>
          <w:p w14:paraId="6154AA4E">
            <w:pPr>
              <w:spacing w:line="300" w:lineRule="exact"/>
              <w:jc w:val="center"/>
              <w:rPr>
                <w:rFonts w:hint="default" w:ascii="Times New Roman" w:hAnsi="Times New Roman" w:eastAsia="华文中宋" w:cs="Times New Roman"/>
                <w:szCs w:val="21"/>
                <w:lang w:val="en-US" w:eastAsia="zh-CN"/>
              </w:rPr>
            </w:pPr>
          </w:p>
        </w:tc>
        <w:tc>
          <w:tcPr>
            <w:tcW w:w="779" w:type="dxa"/>
            <w:vMerge w:val="continue"/>
            <w:shd w:val="clear" w:color="auto" w:fill="FFFFFF"/>
            <w:vAlign w:val="center"/>
          </w:tcPr>
          <w:p w14:paraId="59FCAC75">
            <w:pPr>
              <w:spacing w:line="300" w:lineRule="exact"/>
              <w:jc w:val="center"/>
              <w:rPr>
                <w:rFonts w:hint="default" w:ascii="Times New Roman" w:hAnsi="Times New Roman" w:eastAsia="华文中宋" w:cs="Times New Roman"/>
                <w:szCs w:val="21"/>
                <w:lang w:val="en-US" w:eastAsia="zh-CN"/>
              </w:rPr>
            </w:pPr>
          </w:p>
        </w:tc>
      </w:tr>
    </w:tbl>
    <w:p w14:paraId="3AA8F51B">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（4）</w:t>
      </w:r>
      <w:r>
        <w:rPr>
          <w:rFonts w:hint="default" w:ascii="Times New Roman" w:hAnsi="Times New Roman" w:eastAsia="华文中宋" w:cs="Times New Roman"/>
          <w:color w:val="auto"/>
          <w:lang w:val="en-US" w:eastAsia="zh-CN"/>
        </w:rPr>
        <w:t>噪声预测结果</w:t>
      </w:r>
    </w:p>
    <w:p w14:paraId="5C046A8B">
      <w:pPr>
        <w:adjustRightInd w:val="0"/>
        <w:snapToGrid w:val="0"/>
        <w:spacing w:before="250" w:beforeLines="50"/>
        <w:ind w:firstLine="422" w:firstLineChars="200"/>
        <w:jc w:val="center"/>
        <w:rPr>
          <w:rFonts w:hint="default" w:ascii="Times New Roman" w:hAnsi="Times New Roman" w:eastAsia="华文中宋" w:cs="Times New Roman"/>
          <w:b/>
          <w:szCs w:val="21"/>
          <w:lang w:eastAsia="zh-CN"/>
        </w:rPr>
      </w:pPr>
      <w:r>
        <w:rPr>
          <w:rFonts w:hint="default" w:ascii="Times New Roman" w:hAnsi="Times New Roman" w:eastAsia="华文中宋" w:cs="Times New Roman"/>
          <w:b/>
          <w:szCs w:val="21"/>
          <w:lang w:val="en-US" w:eastAsia="zh-CN"/>
        </w:rPr>
        <w:t>表5.2-2</w:t>
      </w:r>
      <w:r>
        <w:rPr>
          <w:rFonts w:hint="eastAsia" w:ascii="Times New Roman" w:hAnsi="Times New Roman" w:eastAsia="华文中宋" w:cs="Times New Roman"/>
          <w:b/>
          <w:szCs w:val="21"/>
          <w:lang w:val="en-US" w:eastAsia="zh-CN"/>
        </w:rPr>
        <w:t>2</w:t>
      </w:r>
      <w:r>
        <w:rPr>
          <w:rFonts w:hint="default" w:ascii="Times New Roman" w:hAnsi="Times New Roman" w:eastAsia="华文中宋" w:cs="Times New Roman"/>
          <w:b/>
          <w:szCs w:val="21"/>
          <w:lang w:eastAsia="zh-CN"/>
        </w:rPr>
        <w:t xml:space="preserve">  厂界噪声预测结果与达标分析表</w:t>
      </w:r>
      <w:bookmarkStart w:id="186" w:name="PT_7"/>
    </w:p>
    <w:bookmarkEnd w:id="186"/>
    <w:tbl>
      <w:tblPr>
        <w:tblStyle w:val="19"/>
        <w:tblW w:w="8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803"/>
        <w:gridCol w:w="803"/>
        <w:gridCol w:w="803"/>
        <w:gridCol w:w="993"/>
        <w:gridCol w:w="1417"/>
        <w:gridCol w:w="1418"/>
        <w:gridCol w:w="1188"/>
      </w:tblGrid>
      <w:tr w14:paraId="6D92A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101" w:type="dxa"/>
            <w:vMerge w:val="restart"/>
            <w:vAlign w:val="center"/>
          </w:tcPr>
          <w:p w14:paraId="17E7AFC6">
            <w:pPr>
              <w:jc w:val="center"/>
              <w:rPr>
                <w:rFonts w:ascii="Times New Roman" w:hAnsi="Times New Roman" w:cs="Times New Roman" w:eastAsiaTheme="minorEastAsia"/>
                <w:sz w:val="21"/>
                <w:szCs w:val="21"/>
              </w:rPr>
            </w:pPr>
            <w:r>
              <w:rPr>
                <w:rFonts w:ascii="Times New Roman" w:hAnsi="Times New Roman" w:cs="Times New Roman" w:eastAsiaTheme="minorEastAsia"/>
                <w:b/>
                <w:sz w:val="21"/>
                <w:szCs w:val="21"/>
              </w:rPr>
              <w:t>预测方位</w:t>
            </w:r>
          </w:p>
        </w:tc>
        <w:tc>
          <w:tcPr>
            <w:tcW w:w="2409" w:type="dxa"/>
            <w:gridSpan w:val="3"/>
            <w:vAlign w:val="center"/>
          </w:tcPr>
          <w:p w14:paraId="3E150201">
            <w:pPr>
              <w:jc w:val="center"/>
              <w:rPr>
                <w:rFonts w:ascii="Times New Roman" w:hAnsi="Times New Roman" w:cs="Times New Roman" w:eastAsiaTheme="minorEastAsia"/>
                <w:sz w:val="21"/>
                <w:szCs w:val="21"/>
              </w:rPr>
            </w:pPr>
            <w:r>
              <w:rPr>
                <w:rFonts w:hint="eastAsia" w:ascii="Times New Roman" w:hAnsi="Times New Roman" w:cs="Times New Roman" w:eastAsiaTheme="minorEastAsia"/>
                <w:b/>
                <w:sz w:val="21"/>
                <w:szCs w:val="21"/>
                <w:lang w:val="en-US" w:eastAsia="zh-CN"/>
              </w:rPr>
              <w:t>最大值点</w:t>
            </w:r>
            <w:r>
              <w:rPr>
                <w:rFonts w:ascii="Times New Roman" w:hAnsi="Times New Roman" w:cs="Times New Roman" w:eastAsiaTheme="minorEastAsia"/>
                <w:b/>
                <w:sz w:val="21"/>
                <w:szCs w:val="21"/>
              </w:rPr>
              <w:t>空间相对位置/m</w:t>
            </w:r>
          </w:p>
        </w:tc>
        <w:tc>
          <w:tcPr>
            <w:tcW w:w="993" w:type="dxa"/>
            <w:vMerge w:val="restart"/>
            <w:vAlign w:val="center"/>
          </w:tcPr>
          <w:p w14:paraId="3022E4A7">
            <w:pPr>
              <w:jc w:val="center"/>
              <w:rPr>
                <w:rFonts w:ascii="Times New Roman" w:hAnsi="Times New Roman" w:cs="Times New Roman" w:eastAsiaTheme="minorEastAsia"/>
                <w:sz w:val="21"/>
                <w:szCs w:val="21"/>
              </w:rPr>
            </w:pPr>
            <w:r>
              <w:rPr>
                <w:rFonts w:ascii="Times New Roman" w:hAnsi="Times New Roman" w:cs="Times New Roman" w:eastAsiaTheme="minorEastAsia"/>
                <w:b/>
                <w:sz w:val="21"/>
                <w:szCs w:val="21"/>
              </w:rPr>
              <w:t>时段</w:t>
            </w:r>
          </w:p>
        </w:tc>
        <w:tc>
          <w:tcPr>
            <w:tcW w:w="1417" w:type="dxa"/>
            <w:vMerge w:val="restart"/>
            <w:vAlign w:val="center"/>
          </w:tcPr>
          <w:p w14:paraId="159BACD0">
            <w:pPr>
              <w:jc w:val="center"/>
              <w:rPr>
                <w:rFonts w:ascii="Times New Roman" w:hAnsi="Times New Roman" w:cs="Times New Roman" w:eastAsiaTheme="minorEastAsia"/>
                <w:sz w:val="21"/>
                <w:szCs w:val="21"/>
              </w:rPr>
            </w:pPr>
            <w:r>
              <w:rPr>
                <w:rFonts w:hint="eastAsia" w:ascii="Times New Roman" w:hAnsi="Times New Roman" w:cs="Times New Roman" w:eastAsiaTheme="minorEastAsia"/>
                <w:b/>
                <w:sz w:val="21"/>
                <w:szCs w:val="21"/>
              </w:rPr>
              <w:t>贡献值</w:t>
            </w:r>
            <w:r>
              <w:rPr>
                <w:rFonts w:ascii="Times New Roman" w:hAnsi="Times New Roman" w:cs="Times New Roman" w:eastAsiaTheme="minorEastAsia"/>
                <w:b/>
                <w:sz w:val="21"/>
                <w:szCs w:val="21"/>
              </w:rPr>
              <w:t>（dBA）</w:t>
            </w:r>
          </w:p>
        </w:tc>
        <w:tc>
          <w:tcPr>
            <w:tcW w:w="1418" w:type="dxa"/>
            <w:vMerge w:val="restart"/>
            <w:vAlign w:val="center"/>
          </w:tcPr>
          <w:p w14:paraId="4126C14D">
            <w:pPr>
              <w:jc w:val="center"/>
              <w:rPr>
                <w:rFonts w:ascii="Times New Roman" w:hAnsi="Times New Roman" w:cs="Times New Roman" w:eastAsiaTheme="minorEastAsia"/>
                <w:sz w:val="21"/>
                <w:szCs w:val="21"/>
              </w:rPr>
            </w:pPr>
            <w:r>
              <w:rPr>
                <w:rFonts w:ascii="Times New Roman" w:hAnsi="Times New Roman" w:cs="Times New Roman" w:eastAsiaTheme="minorEastAsia"/>
                <w:b/>
                <w:sz w:val="21"/>
                <w:szCs w:val="21"/>
              </w:rPr>
              <w:t>标准限值（dBA）</w:t>
            </w:r>
          </w:p>
        </w:tc>
        <w:tc>
          <w:tcPr>
            <w:tcW w:w="1188" w:type="dxa"/>
            <w:vMerge w:val="restart"/>
            <w:vAlign w:val="center"/>
          </w:tcPr>
          <w:p w14:paraId="5C52A2DE">
            <w:pPr>
              <w:jc w:val="center"/>
              <w:rPr>
                <w:rFonts w:ascii="Times New Roman" w:hAnsi="Times New Roman" w:cs="Times New Roman" w:eastAsiaTheme="minorEastAsia"/>
                <w:sz w:val="21"/>
                <w:szCs w:val="21"/>
              </w:rPr>
            </w:pPr>
            <w:r>
              <w:rPr>
                <w:rFonts w:ascii="Times New Roman" w:hAnsi="Times New Roman" w:cs="Times New Roman" w:eastAsiaTheme="minorEastAsia"/>
                <w:b/>
                <w:sz w:val="21"/>
                <w:szCs w:val="21"/>
              </w:rPr>
              <w:t>达标情况</w:t>
            </w:r>
          </w:p>
        </w:tc>
      </w:tr>
      <w:tr w14:paraId="61E6B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101" w:type="dxa"/>
            <w:vMerge w:val="continue"/>
            <w:shd w:val="clear" w:color="auto" w:fill="FFFFFF"/>
            <w:vAlign w:val="center"/>
          </w:tcPr>
          <w:p w14:paraId="16C7A857">
            <w:pPr>
              <w:jc w:val="center"/>
              <w:rPr>
                <w:rFonts w:ascii="Times New Roman" w:hAnsi="Times New Roman" w:cs="Times New Roman" w:eastAsiaTheme="minorEastAsia"/>
                <w:sz w:val="21"/>
                <w:szCs w:val="21"/>
              </w:rPr>
            </w:pPr>
          </w:p>
        </w:tc>
        <w:tc>
          <w:tcPr>
            <w:tcW w:w="803" w:type="dxa"/>
            <w:shd w:val="clear" w:color="auto" w:fill="FFFFFF"/>
            <w:vAlign w:val="center"/>
          </w:tcPr>
          <w:p w14:paraId="4E645743">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X</w:t>
            </w:r>
          </w:p>
        </w:tc>
        <w:tc>
          <w:tcPr>
            <w:tcW w:w="803" w:type="dxa"/>
            <w:shd w:val="clear" w:color="auto" w:fill="FFFFFF"/>
            <w:vAlign w:val="center"/>
          </w:tcPr>
          <w:p w14:paraId="1BD152E6">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Y</w:t>
            </w:r>
          </w:p>
        </w:tc>
        <w:tc>
          <w:tcPr>
            <w:tcW w:w="803" w:type="dxa"/>
            <w:shd w:val="clear" w:color="auto" w:fill="FFFFFF"/>
            <w:vAlign w:val="center"/>
          </w:tcPr>
          <w:p w14:paraId="3823DA59">
            <w:pPr>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Z</w:t>
            </w:r>
          </w:p>
        </w:tc>
        <w:tc>
          <w:tcPr>
            <w:tcW w:w="993" w:type="dxa"/>
            <w:vMerge w:val="continue"/>
            <w:shd w:val="clear" w:color="auto" w:fill="FFFFFF"/>
            <w:vAlign w:val="center"/>
          </w:tcPr>
          <w:p w14:paraId="70B76877">
            <w:pPr>
              <w:jc w:val="center"/>
              <w:rPr>
                <w:rFonts w:ascii="Times New Roman" w:hAnsi="Times New Roman" w:cs="Times New Roman" w:eastAsiaTheme="minorEastAsia"/>
                <w:sz w:val="21"/>
                <w:szCs w:val="21"/>
              </w:rPr>
            </w:pPr>
          </w:p>
        </w:tc>
        <w:tc>
          <w:tcPr>
            <w:tcW w:w="1417" w:type="dxa"/>
            <w:vMerge w:val="continue"/>
            <w:shd w:val="clear" w:color="auto" w:fill="FFFFFF"/>
            <w:vAlign w:val="center"/>
          </w:tcPr>
          <w:p w14:paraId="76E04296">
            <w:pPr>
              <w:jc w:val="center"/>
              <w:rPr>
                <w:rFonts w:ascii="Times New Roman" w:hAnsi="Times New Roman" w:cs="Times New Roman" w:eastAsiaTheme="minorEastAsia"/>
                <w:sz w:val="21"/>
                <w:szCs w:val="21"/>
              </w:rPr>
            </w:pPr>
          </w:p>
        </w:tc>
        <w:tc>
          <w:tcPr>
            <w:tcW w:w="1418" w:type="dxa"/>
            <w:vMerge w:val="continue"/>
            <w:shd w:val="clear" w:color="auto" w:fill="FFFFFF"/>
            <w:vAlign w:val="center"/>
          </w:tcPr>
          <w:p w14:paraId="5ADC080E">
            <w:pPr>
              <w:jc w:val="center"/>
              <w:rPr>
                <w:rFonts w:ascii="Times New Roman" w:hAnsi="Times New Roman" w:cs="Times New Roman" w:eastAsiaTheme="minorEastAsia"/>
                <w:sz w:val="21"/>
                <w:szCs w:val="21"/>
              </w:rPr>
            </w:pPr>
          </w:p>
        </w:tc>
        <w:tc>
          <w:tcPr>
            <w:tcW w:w="1188" w:type="dxa"/>
            <w:vMerge w:val="continue"/>
            <w:shd w:val="clear" w:color="auto" w:fill="FFFFFF"/>
            <w:vAlign w:val="center"/>
          </w:tcPr>
          <w:p w14:paraId="1F8ECAA0">
            <w:pPr>
              <w:jc w:val="center"/>
              <w:rPr>
                <w:rFonts w:ascii="Times New Roman" w:hAnsi="Times New Roman" w:cs="Times New Roman" w:eastAsiaTheme="minorEastAsia"/>
                <w:sz w:val="21"/>
                <w:szCs w:val="21"/>
              </w:rPr>
            </w:pPr>
          </w:p>
        </w:tc>
      </w:tr>
      <w:tr w14:paraId="1ACEF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shd w:val="clear" w:color="auto" w:fill="FFFFFF"/>
            <w:vAlign w:val="center"/>
          </w:tcPr>
          <w:p w14:paraId="4497C49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东侧</w:t>
            </w:r>
          </w:p>
        </w:tc>
        <w:tc>
          <w:tcPr>
            <w:tcW w:w="803" w:type="dxa"/>
            <w:shd w:val="clear" w:color="auto" w:fill="FFFFFF"/>
            <w:vAlign w:val="center"/>
          </w:tcPr>
          <w:p w14:paraId="39895C5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1252</w:t>
            </w:r>
          </w:p>
        </w:tc>
        <w:tc>
          <w:tcPr>
            <w:tcW w:w="803" w:type="dxa"/>
            <w:shd w:val="clear" w:color="auto" w:fill="FFFFFF"/>
            <w:vAlign w:val="center"/>
          </w:tcPr>
          <w:p w14:paraId="44477CA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352.6</w:t>
            </w:r>
          </w:p>
        </w:tc>
        <w:tc>
          <w:tcPr>
            <w:tcW w:w="803" w:type="dxa"/>
            <w:shd w:val="clear" w:color="auto" w:fill="FFFFFF"/>
            <w:vAlign w:val="center"/>
          </w:tcPr>
          <w:p w14:paraId="1DEBD94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1.2</w:t>
            </w:r>
          </w:p>
        </w:tc>
        <w:tc>
          <w:tcPr>
            <w:tcW w:w="993" w:type="dxa"/>
            <w:shd w:val="clear" w:color="auto" w:fill="FFFFFF"/>
            <w:vAlign w:val="center"/>
          </w:tcPr>
          <w:p w14:paraId="04B17A2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昼间</w:t>
            </w:r>
          </w:p>
        </w:tc>
        <w:tc>
          <w:tcPr>
            <w:tcW w:w="1417" w:type="dxa"/>
            <w:shd w:val="clear" w:color="auto" w:fill="FFFFFF"/>
            <w:vAlign w:val="center"/>
          </w:tcPr>
          <w:p w14:paraId="28AFC42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25.5</w:t>
            </w:r>
          </w:p>
        </w:tc>
        <w:tc>
          <w:tcPr>
            <w:tcW w:w="1418" w:type="dxa"/>
            <w:shd w:val="clear" w:color="auto" w:fill="FFFFFF"/>
            <w:vAlign w:val="center"/>
          </w:tcPr>
          <w:p w14:paraId="2550E81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60</w:t>
            </w:r>
          </w:p>
        </w:tc>
        <w:tc>
          <w:tcPr>
            <w:tcW w:w="1188" w:type="dxa"/>
            <w:shd w:val="clear" w:color="auto" w:fill="FFFFFF"/>
            <w:vAlign w:val="center"/>
          </w:tcPr>
          <w:p w14:paraId="1D083D6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达标</w:t>
            </w:r>
          </w:p>
        </w:tc>
      </w:tr>
      <w:tr w14:paraId="19DAD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shd w:val="clear" w:color="auto" w:fill="FFFFFF"/>
            <w:vAlign w:val="center"/>
          </w:tcPr>
          <w:p w14:paraId="14B4175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南侧</w:t>
            </w:r>
          </w:p>
        </w:tc>
        <w:tc>
          <w:tcPr>
            <w:tcW w:w="803" w:type="dxa"/>
            <w:shd w:val="clear" w:color="auto" w:fill="FFFFFF"/>
            <w:vAlign w:val="center"/>
          </w:tcPr>
          <w:p w14:paraId="353332B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47.1</w:t>
            </w:r>
          </w:p>
        </w:tc>
        <w:tc>
          <w:tcPr>
            <w:tcW w:w="803" w:type="dxa"/>
            <w:shd w:val="clear" w:color="auto" w:fill="FFFFFF"/>
            <w:vAlign w:val="center"/>
          </w:tcPr>
          <w:p w14:paraId="4937DDF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-905.7</w:t>
            </w:r>
          </w:p>
        </w:tc>
        <w:tc>
          <w:tcPr>
            <w:tcW w:w="803" w:type="dxa"/>
            <w:shd w:val="clear" w:color="auto" w:fill="FFFFFF"/>
            <w:vAlign w:val="center"/>
          </w:tcPr>
          <w:p w14:paraId="1C39A9A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1.2</w:t>
            </w:r>
          </w:p>
        </w:tc>
        <w:tc>
          <w:tcPr>
            <w:tcW w:w="993" w:type="dxa"/>
            <w:shd w:val="clear" w:color="auto" w:fill="FFFFFF"/>
            <w:vAlign w:val="center"/>
          </w:tcPr>
          <w:p w14:paraId="4F74BB3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昼间</w:t>
            </w:r>
          </w:p>
        </w:tc>
        <w:tc>
          <w:tcPr>
            <w:tcW w:w="1417" w:type="dxa"/>
            <w:shd w:val="clear" w:color="auto" w:fill="FFFFFF"/>
            <w:vAlign w:val="center"/>
          </w:tcPr>
          <w:p w14:paraId="104EB2A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29</w:t>
            </w:r>
          </w:p>
        </w:tc>
        <w:tc>
          <w:tcPr>
            <w:tcW w:w="1418" w:type="dxa"/>
            <w:shd w:val="clear" w:color="auto" w:fill="FFFFFF"/>
            <w:vAlign w:val="center"/>
          </w:tcPr>
          <w:p w14:paraId="216CFAF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60</w:t>
            </w:r>
          </w:p>
        </w:tc>
        <w:tc>
          <w:tcPr>
            <w:tcW w:w="1188" w:type="dxa"/>
            <w:shd w:val="clear" w:color="auto" w:fill="FFFFFF"/>
            <w:vAlign w:val="center"/>
          </w:tcPr>
          <w:p w14:paraId="23C7514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达标</w:t>
            </w:r>
          </w:p>
        </w:tc>
      </w:tr>
      <w:tr w14:paraId="52832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shd w:val="clear" w:color="auto" w:fill="FFFFFF"/>
            <w:vAlign w:val="center"/>
          </w:tcPr>
          <w:p w14:paraId="0E8B6BA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西侧</w:t>
            </w:r>
          </w:p>
        </w:tc>
        <w:tc>
          <w:tcPr>
            <w:tcW w:w="803" w:type="dxa"/>
            <w:shd w:val="clear" w:color="auto" w:fill="FFFFFF"/>
            <w:vAlign w:val="center"/>
          </w:tcPr>
          <w:p w14:paraId="306EB85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-1500.9</w:t>
            </w:r>
          </w:p>
        </w:tc>
        <w:tc>
          <w:tcPr>
            <w:tcW w:w="803" w:type="dxa"/>
            <w:shd w:val="clear" w:color="auto" w:fill="FFFFFF"/>
            <w:vAlign w:val="center"/>
          </w:tcPr>
          <w:p w14:paraId="417119C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56.6</w:t>
            </w:r>
          </w:p>
        </w:tc>
        <w:tc>
          <w:tcPr>
            <w:tcW w:w="803" w:type="dxa"/>
            <w:shd w:val="clear" w:color="auto" w:fill="FFFFFF"/>
            <w:vAlign w:val="center"/>
          </w:tcPr>
          <w:p w14:paraId="54CD0EA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1.2</w:t>
            </w:r>
          </w:p>
        </w:tc>
        <w:tc>
          <w:tcPr>
            <w:tcW w:w="993" w:type="dxa"/>
            <w:shd w:val="clear" w:color="auto" w:fill="FFFFFF"/>
            <w:vAlign w:val="center"/>
          </w:tcPr>
          <w:p w14:paraId="7E068A8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昼间</w:t>
            </w:r>
          </w:p>
        </w:tc>
        <w:tc>
          <w:tcPr>
            <w:tcW w:w="1417" w:type="dxa"/>
            <w:shd w:val="clear" w:color="auto" w:fill="FFFFFF"/>
            <w:vAlign w:val="center"/>
          </w:tcPr>
          <w:p w14:paraId="60D177C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19.9</w:t>
            </w:r>
          </w:p>
        </w:tc>
        <w:tc>
          <w:tcPr>
            <w:tcW w:w="1418" w:type="dxa"/>
            <w:shd w:val="clear" w:color="auto" w:fill="FFFFFF"/>
            <w:vAlign w:val="center"/>
          </w:tcPr>
          <w:p w14:paraId="6AEF7E2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60</w:t>
            </w:r>
          </w:p>
        </w:tc>
        <w:tc>
          <w:tcPr>
            <w:tcW w:w="1188" w:type="dxa"/>
            <w:shd w:val="clear" w:color="auto" w:fill="FFFFFF"/>
            <w:vAlign w:val="center"/>
          </w:tcPr>
          <w:p w14:paraId="154F52D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达标</w:t>
            </w:r>
          </w:p>
        </w:tc>
      </w:tr>
      <w:tr w14:paraId="55A81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shd w:val="clear" w:color="auto" w:fill="FFFFFF"/>
            <w:vAlign w:val="center"/>
          </w:tcPr>
          <w:p w14:paraId="3081DB4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北侧</w:t>
            </w:r>
          </w:p>
        </w:tc>
        <w:tc>
          <w:tcPr>
            <w:tcW w:w="803" w:type="dxa"/>
            <w:shd w:val="clear" w:color="auto" w:fill="FFFFFF"/>
            <w:vAlign w:val="center"/>
          </w:tcPr>
          <w:p w14:paraId="35C87EE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-1070</w:t>
            </w:r>
          </w:p>
        </w:tc>
        <w:tc>
          <w:tcPr>
            <w:tcW w:w="803" w:type="dxa"/>
            <w:shd w:val="clear" w:color="auto" w:fill="FFFFFF"/>
            <w:vAlign w:val="center"/>
          </w:tcPr>
          <w:p w14:paraId="746728A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996.2</w:t>
            </w:r>
          </w:p>
        </w:tc>
        <w:tc>
          <w:tcPr>
            <w:tcW w:w="803" w:type="dxa"/>
            <w:shd w:val="clear" w:color="auto" w:fill="FFFFFF"/>
            <w:vAlign w:val="center"/>
          </w:tcPr>
          <w:p w14:paraId="3A7A979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1.2</w:t>
            </w:r>
          </w:p>
        </w:tc>
        <w:tc>
          <w:tcPr>
            <w:tcW w:w="993" w:type="dxa"/>
            <w:shd w:val="clear" w:color="auto" w:fill="FFFFFF"/>
            <w:vAlign w:val="center"/>
          </w:tcPr>
          <w:p w14:paraId="2766FD8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昼间</w:t>
            </w:r>
          </w:p>
        </w:tc>
        <w:tc>
          <w:tcPr>
            <w:tcW w:w="1417" w:type="dxa"/>
            <w:shd w:val="clear" w:color="auto" w:fill="FFFFFF"/>
            <w:vAlign w:val="center"/>
          </w:tcPr>
          <w:p w14:paraId="5E28217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18.1</w:t>
            </w:r>
          </w:p>
        </w:tc>
        <w:tc>
          <w:tcPr>
            <w:tcW w:w="1418" w:type="dxa"/>
            <w:shd w:val="clear" w:color="auto" w:fill="FFFFFF"/>
            <w:vAlign w:val="center"/>
          </w:tcPr>
          <w:p w14:paraId="6C7A705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60</w:t>
            </w:r>
          </w:p>
        </w:tc>
        <w:tc>
          <w:tcPr>
            <w:tcW w:w="1188" w:type="dxa"/>
            <w:shd w:val="clear" w:color="auto" w:fill="FFFFFF"/>
            <w:vAlign w:val="center"/>
          </w:tcPr>
          <w:p w14:paraId="680ED6A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达标</w:t>
            </w:r>
          </w:p>
        </w:tc>
      </w:tr>
    </w:tbl>
    <w:p w14:paraId="12448C1C">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由表5.2-2</w:t>
      </w:r>
      <w:r>
        <w:rPr>
          <w:rFonts w:hint="eastAsia" w:ascii="Times New Roman" w:hAnsi="Times New Roman" w:cs="Times New Roman"/>
          <w:color w:val="auto"/>
          <w:lang w:val="en-US" w:eastAsia="zh-CN"/>
        </w:rPr>
        <w:t>2</w:t>
      </w:r>
      <w:r>
        <w:rPr>
          <w:rFonts w:hint="default" w:ascii="Times New Roman" w:hAnsi="Times New Roman" w:eastAsia="华文中宋" w:cs="Times New Roman"/>
          <w:color w:val="auto"/>
          <w:lang w:val="en-US" w:eastAsia="zh-CN"/>
        </w:rPr>
        <w:t>预测结果可知，该项目在生产运行过程中，昼、夜间厂界贡献值符合《工业企业厂界环境噪声排放标准》（GB12348－2008）2类标准要求，项目的建设对区域声环境影响不大。</w:t>
      </w:r>
    </w:p>
    <w:p w14:paraId="2C3B5BAF">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另外本项目采矿场周边和废石堆放场10km范围内没有村庄，因此本项目矿区噪声对周围声环境影响很小，不会造成不良影响。</w:t>
      </w:r>
    </w:p>
    <w:p w14:paraId="55F0BA79">
      <w:pPr>
        <w:pStyle w:val="24"/>
        <w:snapToGrid w:val="0"/>
        <w:ind w:left="0" w:leftChars="0" w:firstLine="0" w:firstLineChars="0"/>
        <w:jc w:val="left"/>
        <w:rPr>
          <w:rFonts w:hint="default" w:ascii="Times New Roman" w:hAnsi="Times New Roman" w:eastAsia="华文中宋" w:cs="Times New Roman"/>
          <w:color w:val="auto"/>
          <w:lang w:val="en-US" w:eastAsia="zh-CN"/>
        </w:rPr>
      </w:pPr>
      <w:r>
        <w:rPr>
          <w:rFonts w:hint="eastAsia" w:ascii="Times New Roman" w:hAnsi="Times New Roman" w:cs="Times New Roman"/>
          <w:b/>
          <w:bCs/>
          <w:color w:val="auto"/>
          <w:lang w:val="en-US" w:eastAsia="zh-CN"/>
        </w:rPr>
        <w:t>5.2.4.2</w:t>
      </w:r>
      <w:r>
        <w:rPr>
          <w:rFonts w:hint="default" w:ascii="Times New Roman" w:hAnsi="Times New Roman" w:eastAsia="华文中宋" w:cs="Times New Roman"/>
          <w:b/>
          <w:bCs/>
          <w:color w:val="auto"/>
          <w:lang w:val="en-US" w:eastAsia="zh-CN"/>
        </w:rPr>
        <w:t>突发噪声环境影响评价</w:t>
      </w:r>
    </w:p>
    <w:p w14:paraId="05468D93">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（1）</w:t>
      </w:r>
      <w:r>
        <w:rPr>
          <w:rFonts w:hint="default" w:ascii="Times New Roman" w:hAnsi="Times New Roman" w:eastAsia="华文中宋" w:cs="Times New Roman"/>
          <w:sz w:val="24"/>
          <w:lang w:val="en-US" w:eastAsia="zh-CN"/>
        </w:rPr>
        <w:t>爆破噪声影响</w:t>
      </w:r>
    </w:p>
    <w:p w14:paraId="76C02091">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采矿过程中需进行爆破作业，会对周围地区产生噪声间歇性污染。根据经验数据，爆破噪声源强值可达110dB（A）。</w:t>
      </w:r>
    </w:p>
    <w:p w14:paraId="44ACDB55">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根据《声环境质量标准》GB3096-2008中的要求，夜间突发噪声，最大值不准超过标准限值15dB（A），则区域突发噪声最大不得超过70dB（A）。据有关测试表明，距爆破现场500m处噪声值可达75dB（A），距爆破现场1000m处噪声值可减至50dB（A）。由于爆破时间安排在职工非休息时间，故对外环境影响不大。</w:t>
      </w:r>
    </w:p>
    <w:p w14:paraId="103AAA47">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w:t>
      </w:r>
      <w:r>
        <w:rPr>
          <w:rFonts w:hint="eastAsia" w:ascii="Times New Roman" w:hAnsi="Times New Roman" w:cs="Times New Roman"/>
          <w:color w:val="auto"/>
          <w:lang w:val="en-US" w:eastAsia="zh-CN"/>
        </w:rPr>
        <w:t>2</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爆破振动影响</w:t>
      </w:r>
    </w:p>
    <w:p w14:paraId="2AC8CD4F">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①预测模式</w:t>
      </w:r>
    </w:p>
    <w:p w14:paraId="3EFD5434">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根据《爆破安全规程》（GB6722-2014），爆破振动安全距离可按下式计算：</w:t>
      </w:r>
    </w:p>
    <w:p w14:paraId="7618F51E">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1314450" cy="504825"/>
            <wp:effectExtent l="0" t="0" r="0" b="9525"/>
            <wp:docPr id="8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6"/>
                    <pic:cNvPicPr>
                      <a:picLocks noChangeAspect="1"/>
                    </pic:cNvPicPr>
                  </pic:nvPicPr>
                  <pic:blipFill>
                    <a:blip r:embed="rId27"/>
                    <a:stretch>
                      <a:fillRect/>
                    </a:stretch>
                  </pic:blipFill>
                  <pic:spPr>
                    <a:xfrm>
                      <a:off x="0" y="0"/>
                      <a:ext cx="1314450" cy="504825"/>
                    </a:xfrm>
                    <a:prstGeom prst="rect">
                      <a:avLst/>
                    </a:prstGeom>
                    <a:noFill/>
                    <a:ln>
                      <a:noFill/>
                    </a:ln>
                  </pic:spPr>
                </pic:pic>
              </a:graphicData>
            </a:graphic>
          </wp:inline>
        </w:drawing>
      </w:r>
    </w:p>
    <w:p w14:paraId="744D6767">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式中：R—爆破振动安全允许距离（m）；</w:t>
      </w:r>
    </w:p>
    <w:p w14:paraId="17AFAACD">
      <w:pPr>
        <w:pStyle w:val="24"/>
        <w:snapToGrid w:val="0"/>
        <w:ind w:firstLine="1200" w:firstLineChars="50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Q—最大单段装药量（kg）；</w:t>
      </w:r>
    </w:p>
    <w:p w14:paraId="57AB04DD">
      <w:pPr>
        <w:pStyle w:val="24"/>
        <w:snapToGrid w:val="0"/>
        <w:ind w:firstLine="1200" w:firstLineChars="50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V—保护对象所在地质点振动安全允许速度（cm/s）；</w:t>
      </w:r>
    </w:p>
    <w:p w14:paraId="61A0A478">
      <w:pPr>
        <w:pStyle w:val="24"/>
        <w:snapToGrid w:val="0"/>
        <w:ind w:firstLine="1200" w:firstLineChars="50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K—与爆破点至计算保护对象间的地形、地质条件有关的系数和衰减指数。根据爆破安全规程（爆区不同岩性的K、α值，见表5.2-2</w:t>
      </w:r>
      <w:r>
        <w:rPr>
          <w:rFonts w:hint="eastAsia" w:ascii="Times New Roman" w:hAnsi="Times New Roman" w:cs="Times New Roman"/>
          <w:color w:val="auto"/>
          <w:lang w:val="en-US" w:eastAsia="zh-CN"/>
        </w:rPr>
        <w:t>3</w:t>
      </w:r>
      <w:r>
        <w:rPr>
          <w:rFonts w:hint="default" w:ascii="Times New Roman" w:hAnsi="Times New Roman" w:eastAsia="华文中宋" w:cs="Times New Roman"/>
          <w:color w:val="auto"/>
          <w:lang w:val="en-US" w:eastAsia="zh-CN"/>
        </w:rPr>
        <w:t>），本次设计选取场地系数K=250，振动衰减系数α=1.5。</w:t>
      </w:r>
    </w:p>
    <w:p w14:paraId="40562BF4">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表5.2-2</w:t>
      </w:r>
      <w:r>
        <w:rPr>
          <w:rFonts w:hint="eastAsia" w:ascii="Times New Roman" w:hAnsi="Times New Roman" w:eastAsia="华文中宋" w:cs="Times New Roman"/>
          <w:b/>
          <w:szCs w:val="21"/>
          <w:lang w:val="en-US" w:eastAsia="zh-CN"/>
        </w:rPr>
        <w:t>3</w:t>
      </w:r>
      <w:r>
        <w:rPr>
          <w:rFonts w:hint="default" w:ascii="Times New Roman" w:hAnsi="Times New Roman" w:eastAsia="华文中宋" w:cs="Times New Roman"/>
          <w:b/>
          <w:szCs w:val="21"/>
          <w:lang w:val="en-US" w:eastAsia="zh-CN"/>
        </w:rPr>
        <w:t xml:space="preserve">  爆区不同岩性的K、α值</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8"/>
        <w:gridCol w:w="2839"/>
        <w:gridCol w:w="2839"/>
      </w:tblGrid>
      <w:tr w14:paraId="7598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75801DC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岩性</w:t>
            </w:r>
          </w:p>
        </w:tc>
        <w:tc>
          <w:tcPr>
            <w:tcW w:w="2839" w:type="dxa"/>
          </w:tcPr>
          <w:p w14:paraId="64FD621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K</w:t>
            </w:r>
          </w:p>
        </w:tc>
        <w:tc>
          <w:tcPr>
            <w:tcW w:w="2839" w:type="dxa"/>
          </w:tcPr>
          <w:p w14:paraId="605466D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α</w:t>
            </w:r>
          </w:p>
        </w:tc>
      </w:tr>
      <w:tr w14:paraId="4EDB0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23E6875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坚硬岩石</w:t>
            </w:r>
          </w:p>
        </w:tc>
        <w:tc>
          <w:tcPr>
            <w:tcW w:w="2839" w:type="dxa"/>
          </w:tcPr>
          <w:p w14:paraId="495587E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50~150</w:t>
            </w:r>
          </w:p>
        </w:tc>
        <w:tc>
          <w:tcPr>
            <w:tcW w:w="2839" w:type="dxa"/>
          </w:tcPr>
          <w:p w14:paraId="7802341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1.3~1.5</w:t>
            </w:r>
          </w:p>
        </w:tc>
      </w:tr>
      <w:tr w14:paraId="2C6F9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0093412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中硬岩石</w:t>
            </w:r>
          </w:p>
        </w:tc>
        <w:tc>
          <w:tcPr>
            <w:tcW w:w="2839" w:type="dxa"/>
          </w:tcPr>
          <w:p w14:paraId="0C2D5F2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150~250</w:t>
            </w:r>
          </w:p>
        </w:tc>
        <w:tc>
          <w:tcPr>
            <w:tcW w:w="2839" w:type="dxa"/>
          </w:tcPr>
          <w:p w14:paraId="28DDF76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1.5~1.8</w:t>
            </w:r>
          </w:p>
        </w:tc>
      </w:tr>
      <w:tr w14:paraId="4C648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Pr>
          <w:p w14:paraId="375AD19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软岩石</w:t>
            </w:r>
          </w:p>
        </w:tc>
        <w:tc>
          <w:tcPr>
            <w:tcW w:w="2839" w:type="dxa"/>
          </w:tcPr>
          <w:p w14:paraId="5493E63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250~350</w:t>
            </w:r>
          </w:p>
        </w:tc>
        <w:tc>
          <w:tcPr>
            <w:tcW w:w="2839" w:type="dxa"/>
          </w:tcPr>
          <w:p w14:paraId="5E9327B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1.8~2.0</w:t>
            </w:r>
          </w:p>
        </w:tc>
      </w:tr>
    </w:tbl>
    <w:p w14:paraId="4D20D1E2">
      <w:pPr>
        <w:adjustRightInd w:val="0"/>
        <w:snapToGrid w:val="0"/>
        <w:spacing w:line="500" w:lineRule="exact"/>
        <w:ind w:firstLine="480" w:firstLineChars="200"/>
        <w:jc w:val="left"/>
        <w:rPr>
          <w:rFonts w:hint="default" w:ascii="Times New Roman" w:hAnsi="Times New Roman" w:cs="Times New Roman" w:eastAsiaTheme="minorEastAsia"/>
          <w:color w:val="auto"/>
          <w:sz w:val="24"/>
          <w:szCs w:val="32"/>
          <w:lang w:val="en-US" w:eastAsia="zh-CN"/>
        </w:rPr>
      </w:pPr>
      <w:r>
        <w:rPr>
          <w:rFonts w:hint="default" w:ascii="Times New Roman" w:hAnsi="Times New Roman" w:eastAsia="华文中宋" w:cs="Times New Roman"/>
          <w:sz w:val="24"/>
          <w:lang w:val="en-US" w:eastAsia="zh-CN"/>
        </w:rPr>
        <w:t>根据《爆破安全规程》（GB6722-2014）中对建（构）筑物的爆破振动安全允许标准，见表5.2-2</w:t>
      </w:r>
      <w:r>
        <w:rPr>
          <w:rFonts w:hint="eastAsia" w:ascii="Times New Roman" w:hAnsi="Times New Roman" w:eastAsia="华文中宋" w:cs="Times New Roman"/>
          <w:sz w:val="24"/>
          <w:lang w:val="en-US" w:eastAsia="zh-CN"/>
        </w:rPr>
        <w:t>4</w:t>
      </w:r>
      <w:r>
        <w:rPr>
          <w:rFonts w:hint="default" w:ascii="Times New Roman" w:hAnsi="Times New Roman" w:eastAsia="华文中宋" w:cs="Times New Roman"/>
          <w:sz w:val="24"/>
          <w:lang w:val="en-US" w:eastAsia="zh-CN"/>
        </w:rPr>
        <w:t>。本次设计按</w:t>
      </w:r>
      <w:r>
        <w:rPr>
          <w:rFonts w:hint="eastAsia" w:ascii="Times New Roman" w:hAnsi="Times New Roman" w:eastAsia="华文中宋" w:cs="Times New Roman"/>
          <w:sz w:val="24"/>
          <w:lang w:val="en-US" w:eastAsia="zh-CN"/>
        </w:rPr>
        <w:t>“</w:t>
      </w:r>
      <w:r>
        <w:rPr>
          <w:rFonts w:hint="default" w:ascii="Times New Roman" w:hAnsi="Times New Roman" w:eastAsia="华文中宋" w:cs="Times New Roman"/>
          <w:sz w:val="24"/>
          <w:lang w:val="en-US" w:eastAsia="zh-CN"/>
        </w:rPr>
        <w:t>工业和商业建筑物</w:t>
      </w:r>
      <w:r>
        <w:rPr>
          <w:rFonts w:hint="eastAsia" w:ascii="Times New Roman" w:hAnsi="Times New Roman" w:eastAsia="华文中宋" w:cs="Times New Roman"/>
          <w:sz w:val="24"/>
          <w:lang w:val="en-US" w:eastAsia="zh-CN"/>
        </w:rPr>
        <w:t>”</w:t>
      </w:r>
      <w:r>
        <w:rPr>
          <w:rFonts w:hint="default" w:ascii="Times New Roman" w:hAnsi="Times New Roman" w:eastAsia="华文中宋" w:cs="Times New Roman"/>
          <w:sz w:val="24"/>
          <w:lang w:val="en-US" w:eastAsia="zh-CN"/>
        </w:rPr>
        <w:t>考虑，取3.5cm/s。</w:t>
      </w:r>
    </w:p>
    <w:p w14:paraId="309BDA2D">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表5.2-2</w:t>
      </w:r>
      <w:r>
        <w:rPr>
          <w:rFonts w:hint="eastAsia" w:ascii="Times New Roman" w:hAnsi="Times New Roman" w:eastAsia="华文中宋" w:cs="Times New Roman"/>
          <w:b/>
          <w:szCs w:val="21"/>
          <w:lang w:val="en-US" w:eastAsia="zh-CN"/>
        </w:rPr>
        <w:t>4</w:t>
      </w:r>
      <w:r>
        <w:rPr>
          <w:rFonts w:hint="default" w:ascii="Times New Roman" w:hAnsi="Times New Roman" w:eastAsia="华文中宋" w:cs="Times New Roman"/>
          <w:b/>
          <w:szCs w:val="21"/>
          <w:lang w:val="en-US" w:eastAsia="zh-CN"/>
        </w:rPr>
        <w:t xml:space="preserve">  爆破振动安全允许标准</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1"/>
        <w:gridCol w:w="2845"/>
        <w:gridCol w:w="1703"/>
        <w:gridCol w:w="1703"/>
        <w:gridCol w:w="1704"/>
      </w:tblGrid>
      <w:tr w14:paraId="17D38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Merge w:val="restart"/>
            <w:vAlign w:val="center"/>
          </w:tcPr>
          <w:p w14:paraId="14F887B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序号</w:t>
            </w:r>
          </w:p>
        </w:tc>
        <w:tc>
          <w:tcPr>
            <w:tcW w:w="2845" w:type="dxa"/>
            <w:vMerge w:val="restart"/>
            <w:vAlign w:val="center"/>
          </w:tcPr>
          <w:p w14:paraId="43CC33F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保护对象类别</w:t>
            </w:r>
          </w:p>
        </w:tc>
        <w:tc>
          <w:tcPr>
            <w:tcW w:w="5110" w:type="dxa"/>
            <w:gridSpan w:val="3"/>
            <w:vAlign w:val="center"/>
          </w:tcPr>
          <w:p w14:paraId="7AE13EC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安全允许振速（cm/s）</w:t>
            </w:r>
          </w:p>
        </w:tc>
      </w:tr>
      <w:tr w14:paraId="4F0B5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Merge w:val="continue"/>
            <w:vAlign w:val="center"/>
          </w:tcPr>
          <w:p w14:paraId="3B70576A">
            <w:pPr>
              <w:spacing w:line="300" w:lineRule="exact"/>
              <w:jc w:val="center"/>
              <w:rPr>
                <w:rFonts w:hint="default" w:ascii="Times New Roman" w:hAnsi="Times New Roman" w:eastAsia="华文中宋" w:cs="Times New Roman"/>
                <w:szCs w:val="21"/>
                <w:lang w:val="en-US" w:eastAsia="zh-CN"/>
              </w:rPr>
            </w:pPr>
          </w:p>
        </w:tc>
        <w:tc>
          <w:tcPr>
            <w:tcW w:w="2845" w:type="dxa"/>
            <w:vMerge w:val="continue"/>
            <w:vAlign w:val="center"/>
          </w:tcPr>
          <w:p w14:paraId="5273FF20">
            <w:pPr>
              <w:spacing w:line="300" w:lineRule="exact"/>
              <w:jc w:val="center"/>
              <w:rPr>
                <w:rFonts w:hint="default" w:ascii="Times New Roman" w:hAnsi="Times New Roman" w:eastAsia="华文中宋" w:cs="Times New Roman"/>
                <w:szCs w:val="21"/>
                <w:lang w:val="en-US" w:eastAsia="zh-CN"/>
              </w:rPr>
            </w:pPr>
          </w:p>
        </w:tc>
        <w:tc>
          <w:tcPr>
            <w:tcW w:w="1703" w:type="dxa"/>
            <w:vAlign w:val="center"/>
          </w:tcPr>
          <w:p w14:paraId="0323469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F&lt;10Hz</w:t>
            </w:r>
          </w:p>
        </w:tc>
        <w:tc>
          <w:tcPr>
            <w:tcW w:w="1703" w:type="dxa"/>
            <w:vAlign w:val="center"/>
          </w:tcPr>
          <w:p w14:paraId="76F3EFA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10Hz</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50Hz</w:t>
            </w:r>
          </w:p>
        </w:tc>
        <w:tc>
          <w:tcPr>
            <w:tcW w:w="1704" w:type="dxa"/>
            <w:vAlign w:val="center"/>
          </w:tcPr>
          <w:p w14:paraId="07064E1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50Hz</w:t>
            </w:r>
          </w:p>
        </w:tc>
      </w:tr>
      <w:tr w14:paraId="57216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Align w:val="center"/>
          </w:tcPr>
          <w:p w14:paraId="2B89005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w:t>
            </w:r>
          </w:p>
        </w:tc>
        <w:tc>
          <w:tcPr>
            <w:tcW w:w="2845" w:type="dxa"/>
            <w:vAlign w:val="center"/>
          </w:tcPr>
          <w:p w14:paraId="4F8FE9A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土窑洞、土坯房、毛石房屋</w:t>
            </w:r>
          </w:p>
        </w:tc>
        <w:tc>
          <w:tcPr>
            <w:tcW w:w="1703" w:type="dxa"/>
            <w:vAlign w:val="center"/>
          </w:tcPr>
          <w:p w14:paraId="7CD1CA6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0.15~0.45</w:t>
            </w:r>
          </w:p>
        </w:tc>
        <w:tc>
          <w:tcPr>
            <w:tcW w:w="1703" w:type="dxa"/>
            <w:vAlign w:val="center"/>
          </w:tcPr>
          <w:p w14:paraId="1938049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0.45~0.9</w:t>
            </w:r>
          </w:p>
        </w:tc>
        <w:tc>
          <w:tcPr>
            <w:tcW w:w="1704" w:type="dxa"/>
            <w:vAlign w:val="center"/>
          </w:tcPr>
          <w:p w14:paraId="3D13D46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0.9~1.5</w:t>
            </w:r>
          </w:p>
        </w:tc>
      </w:tr>
      <w:tr w14:paraId="1A500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Align w:val="center"/>
          </w:tcPr>
          <w:p w14:paraId="082B0EF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w:t>
            </w:r>
          </w:p>
        </w:tc>
        <w:tc>
          <w:tcPr>
            <w:tcW w:w="2845" w:type="dxa"/>
            <w:vAlign w:val="center"/>
          </w:tcPr>
          <w:p w14:paraId="659CD72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一般民用建筑物</w:t>
            </w:r>
          </w:p>
        </w:tc>
        <w:tc>
          <w:tcPr>
            <w:tcW w:w="1703" w:type="dxa"/>
            <w:vAlign w:val="center"/>
          </w:tcPr>
          <w:p w14:paraId="1CB32B4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1.5~2.0</w:t>
            </w:r>
          </w:p>
        </w:tc>
        <w:tc>
          <w:tcPr>
            <w:tcW w:w="1703" w:type="dxa"/>
            <w:vAlign w:val="center"/>
          </w:tcPr>
          <w:p w14:paraId="6E42208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2.0~2.5</w:t>
            </w:r>
          </w:p>
        </w:tc>
        <w:tc>
          <w:tcPr>
            <w:tcW w:w="1704" w:type="dxa"/>
            <w:vAlign w:val="center"/>
          </w:tcPr>
          <w:p w14:paraId="4C49F14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2.5~3.0</w:t>
            </w:r>
          </w:p>
        </w:tc>
      </w:tr>
      <w:tr w14:paraId="0F8B6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Align w:val="center"/>
          </w:tcPr>
          <w:p w14:paraId="1225055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w:t>
            </w:r>
          </w:p>
        </w:tc>
        <w:tc>
          <w:tcPr>
            <w:tcW w:w="2845" w:type="dxa"/>
            <w:vAlign w:val="center"/>
          </w:tcPr>
          <w:p w14:paraId="5141A92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工业和商业建筑物</w:t>
            </w:r>
          </w:p>
        </w:tc>
        <w:tc>
          <w:tcPr>
            <w:tcW w:w="1703" w:type="dxa"/>
            <w:vAlign w:val="center"/>
          </w:tcPr>
          <w:p w14:paraId="2F597A6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2.5~3.5</w:t>
            </w:r>
          </w:p>
        </w:tc>
        <w:tc>
          <w:tcPr>
            <w:tcW w:w="1703" w:type="dxa"/>
            <w:vAlign w:val="center"/>
          </w:tcPr>
          <w:p w14:paraId="1BFA3F8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3.5~4.5</w:t>
            </w:r>
          </w:p>
        </w:tc>
        <w:tc>
          <w:tcPr>
            <w:tcW w:w="1704" w:type="dxa"/>
            <w:vAlign w:val="center"/>
          </w:tcPr>
          <w:p w14:paraId="07A4344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4.2~5.0</w:t>
            </w:r>
          </w:p>
        </w:tc>
      </w:tr>
      <w:tr w14:paraId="6C2DC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Align w:val="center"/>
          </w:tcPr>
          <w:p w14:paraId="36AAFB3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w:t>
            </w:r>
          </w:p>
        </w:tc>
        <w:tc>
          <w:tcPr>
            <w:tcW w:w="2845" w:type="dxa"/>
            <w:vAlign w:val="center"/>
          </w:tcPr>
          <w:p w14:paraId="556E3BF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一般古建筑与古迹</w:t>
            </w:r>
          </w:p>
        </w:tc>
        <w:tc>
          <w:tcPr>
            <w:tcW w:w="1703" w:type="dxa"/>
            <w:vAlign w:val="center"/>
          </w:tcPr>
          <w:p w14:paraId="77449C2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0.1~0.2</w:t>
            </w:r>
          </w:p>
        </w:tc>
        <w:tc>
          <w:tcPr>
            <w:tcW w:w="1703" w:type="dxa"/>
            <w:vAlign w:val="center"/>
          </w:tcPr>
          <w:p w14:paraId="092868C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0.2~0.3</w:t>
            </w:r>
          </w:p>
        </w:tc>
        <w:tc>
          <w:tcPr>
            <w:tcW w:w="1704" w:type="dxa"/>
            <w:vAlign w:val="center"/>
          </w:tcPr>
          <w:p w14:paraId="2101925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0.3~0.5</w:t>
            </w:r>
          </w:p>
        </w:tc>
      </w:tr>
      <w:tr w14:paraId="634E3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Align w:val="center"/>
          </w:tcPr>
          <w:p w14:paraId="4A18B48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w:t>
            </w:r>
          </w:p>
        </w:tc>
        <w:tc>
          <w:tcPr>
            <w:tcW w:w="2845" w:type="dxa"/>
            <w:vAlign w:val="center"/>
          </w:tcPr>
          <w:p w14:paraId="28A8A97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运行中的水电站及发电厂中心控制室设备</w:t>
            </w:r>
          </w:p>
        </w:tc>
        <w:tc>
          <w:tcPr>
            <w:tcW w:w="1703" w:type="dxa"/>
            <w:vAlign w:val="center"/>
          </w:tcPr>
          <w:p w14:paraId="5771E83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0.5~0.6</w:t>
            </w:r>
          </w:p>
        </w:tc>
        <w:tc>
          <w:tcPr>
            <w:tcW w:w="1703" w:type="dxa"/>
            <w:vAlign w:val="center"/>
          </w:tcPr>
          <w:p w14:paraId="23FB714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0.6~0.7</w:t>
            </w:r>
          </w:p>
        </w:tc>
        <w:tc>
          <w:tcPr>
            <w:tcW w:w="1704" w:type="dxa"/>
            <w:vAlign w:val="center"/>
          </w:tcPr>
          <w:p w14:paraId="001F027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0.7~0.9</w:t>
            </w:r>
          </w:p>
        </w:tc>
      </w:tr>
      <w:tr w14:paraId="55EF6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Align w:val="center"/>
          </w:tcPr>
          <w:p w14:paraId="7F3F445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w:t>
            </w:r>
          </w:p>
        </w:tc>
        <w:tc>
          <w:tcPr>
            <w:tcW w:w="2845" w:type="dxa"/>
            <w:vAlign w:val="center"/>
          </w:tcPr>
          <w:p w14:paraId="6D99669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水工隧道</w:t>
            </w:r>
          </w:p>
        </w:tc>
        <w:tc>
          <w:tcPr>
            <w:tcW w:w="1703" w:type="dxa"/>
            <w:vAlign w:val="center"/>
          </w:tcPr>
          <w:p w14:paraId="06D830C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7~8</w:t>
            </w:r>
          </w:p>
        </w:tc>
        <w:tc>
          <w:tcPr>
            <w:tcW w:w="1703" w:type="dxa"/>
            <w:vAlign w:val="center"/>
          </w:tcPr>
          <w:p w14:paraId="048A507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8~10</w:t>
            </w:r>
          </w:p>
        </w:tc>
        <w:tc>
          <w:tcPr>
            <w:tcW w:w="1704" w:type="dxa"/>
            <w:vAlign w:val="center"/>
          </w:tcPr>
          <w:p w14:paraId="0C69356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10~15</w:t>
            </w:r>
          </w:p>
        </w:tc>
      </w:tr>
      <w:tr w14:paraId="74A0D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Align w:val="center"/>
          </w:tcPr>
          <w:p w14:paraId="04F4EF9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7</w:t>
            </w:r>
          </w:p>
        </w:tc>
        <w:tc>
          <w:tcPr>
            <w:tcW w:w="2845" w:type="dxa"/>
            <w:vAlign w:val="center"/>
          </w:tcPr>
          <w:p w14:paraId="13EAF47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交通隧道</w:t>
            </w:r>
          </w:p>
        </w:tc>
        <w:tc>
          <w:tcPr>
            <w:tcW w:w="1703" w:type="dxa"/>
            <w:vAlign w:val="center"/>
          </w:tcPr>
          <w:p w14:paraId="02FD299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10~12</w:t>
            </w:r>
          </w:p>
        </w:tc>
        <w:tc>
          <w:tcPr>
            <w:tcW w:w="1703" w:type="dxa"/>
            <w:vAlign w:val="center"/>
          </w:tcPr>
          <w:p w14:paraId="40CCA36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12~15</w:t>
            </w:r>
          </w:p>
        </w:tc>
        <w:tc>
          <w:tcPr>
            <w:tcW w:w="1704" w:type="dxa"/>
            <w:vAlign w:val="center"/>
          </w:tcPr>
          <w:p w14:paraId="520E5DC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15~20</w:t>
            </w:r>
          </w:p>
        </w:tc>
      </w:tr>
      <w:tr w14:paraId="6FAD8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Align w:val="center"/>
          </w:tcPr>
          <w:p w14:paraId="34E680C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w:t>
            </w:r>
          </w:p>
        </w:tc>
        <w:tc>
          <w:tcPr>
            <w:tcW w:w="2845" w:type="dxa"/>
            <w:vAlign w:val="center"/>
          </w:tcPr>
          <w:p w14:paraId="30244C7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矿山巷道</w:t>
            </w:r>
          </w:p>
        </w:tc>
        <w:tc>
          <w:tcPr>
            <w:tcW w:w="1703" w:type="dxa"/>
            <w:vAlign w:val="center"/>
          </w:tcPr>
          <w:p w14:paraId="24E5AB2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15~18</w:t>
            </w:r>
          </w:p>
        </w:tc>
        <w:tc>
          <w:tcPr>
            <w:tcW w:w="1703" w:type="dxa"/>
            <w:vAlign w:val="center"/>
          </w:tcPr>
          <w:p w14:paraId="064FC37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18~25</w:t>
            </w:r>
          </w:p>
        </w:tc>
        <w:tc>
          <w:tcPr>
            <w:tcW w:w="1704" w:type="dxa"/>
            <w:vAlign w:val="center"/>
          </w:tcPr>
          <w:p w14:paraId="63AEC9B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20~30</w:t>
            </w:r>
          </w:p>
        </w:tc>
      </w:tr>
      <w:tr w14:paraId="58AE7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Align w:val="center"/>
          </w:tcPr>
          <w:p w14:paraId="373104B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9</w:t>
            </w:r>
          </w:p>
        </w:tc>
        <w:tc>
          <w:tcPr>
            <w:tcW w:w="2845" w:type="dxa"/>
            <w:vAlign w:val="center"/>
          </w:tcPr>
          <w:p w14:paraId="417ABD5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永久性岩石高边坡</w:t>
            </w:r>
          </w:p>
        </w:tc>
        <w:tc>
          <w:tcPr>
            <w:tcW w:w="1703" w:type="dxa"/>
            <w:vAlign w:val="center"/>
          </w:tcPr>
          <w:p w14:paraId="1F5BE12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5~9</w:t>
            </w:r>
          </w:p>
        </w:tc>
        <w:tc>
          <w:tcPr>
            <w:tcW w:w="1703" w:type="dxa"/>
            <w:vAlign w:val="center"/>
          </w:tcPr>
          <w:p w14:paraId="11622F5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8~12</w:t>
            </w:r>
          </w:p>
        </w:tc>
        <w:tc>
          <w:tcPr>
            <w:tcW w:w="1704" w:type="dxa"/>
            <w:vAlign w:val="center"/>
          </w:tcPr>
          <w:p w14:paraId="71ADDC3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10~15</w:t>
            </w:r>
          </w:p>
        </w:tc>
      </w:tr>
      <w:tr w14:paraId="2058D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Align w:val="center"/>
          </w:tcPr>
          <w:p w14:paraId="28EA00C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w:t>
            </w:r>
          </w:p>
        </w:tc>
        <w:tc>
          <w:tcPr>
            <w:tcW w:w="2845" w:type="dxa"/>
            <w:vAlign w:val="center"/>
          </w:tcPr>
          <w:p w14:paraId="20AA23A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新浇大体积混凝土（C20）：</w:t>
            </w:r>
          </w:p>
          <w:p w14:paraId="4234EA8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龄期：初凝～3d</w:t>
            </w:r>
          </w:p>
          <w:p w14:paraId="40E9616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龄期：3d～7d</w:t>
            </w:r>
          </w:p>
          <w:p w14:paraId="5F3341B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龄期：7d～28d</w:t>
            </w:r>
          </w:p>
        </w:tc>
        <w:tc>
          <w:tcPr>
            <w:tcW w:w="1703" w:type="dxa"/>
            <w:vAlign w:val="center"/>
          </w:tcPr>
          <w:p w14:paraId="28C4278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1.5~2.0</w:t>
            </w:r>
          </w:p>
          <w:p w14:paraId="4158BCA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3.0~4.0</w:t>
            </w:r>
          </w:p>
          <w:p w14:paraId="34EA5DB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7.0~8.0</w:t>
            </w:r>
          </w:p>
        </w:tc>
        <w:tc>
          <w:tcPr>
            <w:tcW w:w="1703" w:type="dxa"/>
            <w:vAlign w:val="center"/>
          </w:tcPr>
          <w:p w14:paraId="4434A14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2.0~2.5</w:t>
            </w:r>
          </w:p>
          <w:p w14:paraId="451E524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4.0~5.0</w:t>
            </w:r>
          </w:p>
          <w:p w14:paraId="73CC9CA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8.0~10.0</w:t>
            </w:r>
          </w:p>
        </w:tc>
        <w:tc>
          <w:tcPr>
            <w:tcW w:w="1704" w:type="dxa"/>
            <w:vAlign w:val="center"/>
          </w:tcPr>
          <w:p w14:paraId="3836E29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2.5~3.0</w:t>
            </w:r>
          </w:p>
          <w:p w14:paraId="6178D9B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5.0~7.0</w:t>
            </w:r>
          </w:p>
          <w:p w14:paraId="506E870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10.0~12</w:t>
            </w:r>
          </w:p>
        </w:tc>
      </w:tr>
      <w:tr w14:paraId="2550F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gridSpan w:val="5"/>
            <w:vAlign w:val="center"/>
          </w:tcPr>
          <w:p w14:paraId="13C6498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爆破振动监测应同时测定质点振动相互垂直的三个分量。</w:t>
            </w:r>
          </w:p>
          <w:p w14:paraId="5BA908A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注1：表中质点振动速度为三个分量中的最大值，振动频率为主振频率。</w:t>
            </w:r>
          </w:p>
          <w:p w14:paraId="6CBEE83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注2：频率范围根据现场实测波形确定或按如下数据选取：硐室爆破f&lt;20Hz，露天深孔爆</w:t>
            </w:r>
          </w:p>
          <w:p w14:paraId="4460D62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破f在10Hz～60Hz之间，露天浅孔爆破f在40Hz～100Hz之间；地下深孔爆破f在30Hz～100Hz之间，地下浅孔爆破f在60Hz～300Hz之间。</w:t>
            </w:r>
          </w:p>
        </w:tc>
      </w:tr>
    </w:tbl>
    <w:p w14:paraId="0E9F1EF4">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本项目最大单段装药量为130kg，经计算，爆破振动安全距离为87.21m。</w:t>
      </w:r>
    </w:p>
    <w:p w14:paraId="13DC4DF8">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②爆破冲击安全距离</w:t>
      </w:r>
    </w:p>
    <w:p w14:paraId="717311B2">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空气冲击波对地面建筑物的安全距离计算公式：</w:t>
      </w:r>
    </w:p>
    <w:p w14:paraId="26113F9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200"/>
        <w:jc w:val="center"/>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drawing>
          <wp:inline distT="0" distB="0" distL="114300" distR="114300">
            <wp:extent cx="1533525" cy="571500"/>
            <wp:effectExtent l="0" t="0" r="9525" b="0"/>
            <wp:docPr id="9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7"/>
                    <pic:cNvPicPr>
                      <a:picLocks noChangeAspect="1"/>
                    </pic:cNvPicPr>
                  </pic:nvPicPr>
                  <pic:blipFill>
                    <a:blip r:embed="rId28"/>
                    <a:stretch>
                      <a:fillRect/>
                    </a:stretch>
                  </pic:blipFill>
                  <pic:spPr>
                    <a:xfrm>
                      <a:off x="0" y="0"/>
                      <a:ext cx="1533525" cy="571500"/>
                    </a:xfrm>
                    <a:prstGeom prst="rect">
                      <a:avLst/>
                    </a:prstGeom>
                    <a:noFill/>
                    <a:ln>
                      <a:noFill/>
                    </a:ln>
                  </pic:spPr>
                </pic:pic>
              </a:graphicData>
            </a:graphic>
          </wp:inline>
        </w:drawing>
      </w:r>
    </w:p>
    <w:p w14:paraId="221EDAA6">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式中：RK—空气冲击波的安全距离，m；</w:t>
      </w:r>
    </w:p>
    <w:p w14:paraId="6791F44A">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KK—与爆破作用和破坏状态有关的系数，取2；</w:t>
      </w:r>
    </w:p>
    <w:p w14:paraId="6A27BC96">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Q—最大一段装药量，正常爆破区130kg。</w:t>
      </w:r>
    </w:p>
    <w:p w14:paraId="1B15C582">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经计算，矿区爆破空气冲击波安全距离为22.80m。因此，爆破空气冲击波最大安全距离为22.80m。</w:t>
      </w:r>
    </w:p>
    <w:p w14:paraId="77FE306E">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③</w:t>
      </w:r>
      <w:r>
        <w:rPr>
          <w:rFonts w:hint="default" w:ascii="Times New Roman" w:hAnsi="Times New Roman" w:eastAsia="华文中宋" w:cs="Times New Roman"/>
          <w:sz w:val="24"/>
          <w:lang w:val="en-US" w:eastAsia="zh-CN"/>
        </w:rPr>
        <w:t>爆破飞石安全距离计算</w:t>
      </w:r>
    </w:p>
    <w:p w14:paraId="268F1FC0">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爆破飞石安全距离计算公式：</w:t>
      </w:r>
    </w:p>
    <w:p w14:paraId="36E6237B">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对于中深孔爆破，飞石危险区半径为：</w:t>
      </w:r>
    </w:p>
    <w:p w14:paraId="304B5E73">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20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1628775" cy="809625"/>
            <wp:effectExtent l="0" t="0" r="9525" b="9525"/>
            <wp:docPr id="9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8"/>
                    <pic:cNvPicPr>
                      <a:picLocks noChangeAspect="1"/>
                    </pic:cNvPicPr>
                  </pic:nvPicPr>
                  <pic:blipFill>
                    <a:blip r:embed="rId29"/>
                    <a:stretch>
                      <a:fillRect/>
                    </a:stretch>
                  </pic:blipFill>
                  <pic:spPr>
                    <a:xfrm>
                      <a:off x="0" y="0"/>
                      <a:ext cx="1628775" cy="809625"/>
                    </a:xfrm>
                    <a:prstGeom prst="rect">
                      <a:avLst/>
                    </a:prstGeom>
                    <a:noFill/>
                    <a:ln>
                      <a:noFill/>
                    </a:ln>
                  </pic:spPr>
                </pic:pic>
              </a:graphicData>
            </a:graphic>
          </wp:inline>
        </w:drawing>
      </w:r>
    </w:p>
    <w:p w14:paraId="73496F1D">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式中：RF—飞石危险区半径，m；</w:t>
      </w:r>
    </w:p>
    <w:p w14:paraId="4569710E">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d—炮孔直径，为115mm；</w:t>
      </w:r>
    </w:p>
    <w:p w14:paraId="6A9F22A2">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W′—最小埋深，m，W′=C·sinα+L·cosα；</w:t>
      </w:r>
    </w:p>
    <w:p w14:paraId="10DACC36">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L—堵塞长度，L为5.0m；</w:t>
      </w:r>
    </w:p>
    <w:p w14:paraId="426D174C">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C—孔口至台阶肩线的水平距离，C取2.5m；</w:t>
      </w:r>
    </w:p>
    <w:p w14:paraId="32559C21">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α—台阶对地平的倾斜角，α取75°。</w:t>
      </w:r>
    </w:p>
    <w:p w14:paraId="0B2FAD36">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经计算，爆破飞石安全距离为119.57m。</w:t>
      </w:r>
    </w:p>
    <w:p w14:paraId="034DABDC">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通过设计确定的爆破参数，分别对爆破振动、爆破冲击波及爆破飞石安全距离进行了计算，根据计算结果和《爆破安全规程》（GB6722-2014）的要求：爆破安全距离不小于200m，下坡方向的安全距离应增大50%。因此，本次设计确定的爆破危险范围为300m。</w:t>
      </w:r>
    </w:p>
    <w:p w14:paraId="2D51FE5E">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（3）</w:t>
      </w:r>
      <w:r>
        <w:rPr>
          <w:rFonts w:hint="default" w:ascii="Times New Roman" w:hAnsi="Times New Roman" w:eastAsia="华文中宋" w:cs="Times New Roman"/>
          <w:sz w:val="24"/>
          <w:lang w:val="en-US" w:eastAsia="zh-CN"/>
        </w:rPr>
        <w:t>爆破振动影响分析</w:t>
      </w:r>
    </w:p>
    <w:p w14:paraId="1DA4AE79">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爆破声为瞬间突发噪声，且伴随发生振动，影响范围较大。但该矿山采用中深孔微差爆破法，膨化硝铵炸药威力有限，仅起到开裂松动作用，从源头上减小了爆破振动对周边环境的影响。此外，爆破声持续时间短，爆破结束后即消失。</w:t>
      </w:r>
    </w:p>
    <w:p w14:paraId="704DEF82">
      <w:pPr>
        <w:adjustRightInd w:val="0"/>
        <w:snapToGrid w:val="0"/>
        <w:spacing w:line="500" w:lineRule="exact"/>
        <w:jc w:val="left"/>
        <w:rPr>
          <w:rFonts w:hint="default" w:ascii="Times New Roman" w:hAnsi="Times New Roman" w:eastAsia="华文中宋" w:cs="Times New Roman"/>
          <w:b/>
          <w:bCs/>
          <w:sz w:val="24"/>
          <w:lang w:val="en-US" w:eastAsia="zh-CN"/>
        </w:rPr>
      </w:pPr>
      <w:r>
        <w:rPr>
          <w:rFonts w:hint="eastAsia" w:ascii="Times New Roman" w:hAnsi="Times New Roman" w:eastAsia="华文中宋" w:cs="Times New Roman"/>
          <w:b/>
          <w:bCs/>
          <w:sz w:val="24"/>
          <w:lang w:val="en-US" w:eastAsia="zh-CN"/>
        </w:rPr>
        <w:t>5.2.4.3</w:t>
      </w:r>
      <w:r>
        <w:rPr>
          <w:rFonts w:hint="default" w:ascii="Times New Roman" w:hAnsi="Times New Roman" w:eastAsia="华文中宋" w:cs="Times New Roman"/>
          <w:b/>
          <w:bCs/>
          <w:sz w:val="24"/>
          <w:lang w:val="en-US" w:eastAsia="zh-CN"/>
        </w:rPr>
        <w:t>交通噪声</w:t>
      </w:r>
    </w:p>
    <w:p w14:paraId="6E76AA3B">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本项目营运期进出矿区的运输车辆增加，运输车辆进出时行驶速度较慢，一般为20～30km/h左右，主要为大型车辆，大型车在距离行驶中心线处的噪声值约为77～78dB（A）。运输路线位于山区内，沿途无声环境敏感点，故本项目交通噪声对周围声环境影响较小。</w:t>
      </w:r>
    </w:p>
    <w:p w14:paraId="4DEFBB55">
      <w:pPr>
        <w:adjustRightInd w:val="0"/>
        <w:snapToGrid w:val="0"/>
        <w:spacing w:line="500" w:lineRule="exact"/>
        <w:jc w:val="left"/>
        <w:rPr>
          <w:rFonts w:hint="default" w:ascii="Times New Roman" w:hAnsi="Times New Roman" w:eastAsia="华文中宋" w:cs="Times New Roman"/>
          <w:b/>
          <w:bCs/>
          <w:snapToGrid w:val="0"/>
          <w:color w:val="auto"/>
          <w:kern w:val="0"/>
          <w:sz w:val="24"/>
          <w:szCs w:val="24"/>
          <w:lang w:val="en-US" w:eastAsia="zh-CN" w:bidi="ar-SA"/>
        </w:rPr>
      </w:pPr>
      <w:r>
        <w:rPr>
          <w:rFonts w:hint="eastAsia" w:ascii="Times New Roman" w:hAnsi="Times New Roman" w:eastAsia="华文中宋" w:cs="Times New Roman"/>
          <w:b/>
          <w:bCs/>
          <w:sz w:val="24"/>
          <w:lang w:val="en-US" w:eastAsia="zh-CN"/>
        </w:rPr>
        <w:t>5.2.4.4</w:t>
      </w:r>
      <w:r>
        <w:rPr>
          <w:rFonts w:hint="default" w:ascii="Times New Roman" w:hAnsi="Times New Roman" w:eastAsia="华文中宋" w:cs="Times New Roman"/>
          <w:b/>
          <w:bCs/>
          <w:snapToGrid w:val="0"/>
          <w:color w:val="auto"/>
          <w:kern w:val="0"/>
          <w:sz w:val="24"/>
          <w:szCs w:val="24"/>
          <w:lang w:val="en-US" w:eastAsia="zh-CN" w:bidi="ar-SA"/>
        </w:rPr>
        <w:t>小结</w:t>
      </w:r>
    </w:p>
    <w:p w14:paraId="6F81CB87">
      <w:pPr>
        <w:adjustRightInd w:val="0"/>
        <w:snapToGrid w:val="0"/>
        <w:spacing w:line="500" w:lineRule="exact"/>
        <w:ind w:firstLine="480" w:firstLineChars="200"/>
        <w:jc w:val="left"/>
        <w:rPr>
          <w:rFonts w:hint="default" w:ascii="Times New Roman" w:hAnsi="Times New Roman" w:eastAsia="华文中宋" w:cs="Times New Roman"/>
          <w:snapToGrid w:val="0"/>
          <w:color w:val="auto"/>
          <w:kern w:val="0"/>
          <w:sz w:val="24"/>
          <w:szCs w:val="24"/>
          <w:lang w:val="en-US" w:eastAsia="zh-CN" w:bidi="ar-SA"/>
        </w:rPr>
      </w:pPr>
      <w:r>
        <w:rPr>
          <w:rFonts w:hint="default" w:ascii="Times New Roman" w:hAnsi="Times New Roman" w:eastAsia="华文中宋" w:cs="Times New Roman"/>
          <w:snapToGrid w:val="0"/>
          <w:color w:val="auto"/>
          <w:kern w:val="0"/>
          <w:sz w:val="24"/>
          <w:szCs w:val="24"/>
          <w:lang w:val="en-US" w:eastAsia="zh-CN" w:bidi="ar-SA"/>
        </w:rPr>
        <w:t>由预测结果可知，项目运营后，厂界噪声满足《工业企业厂界环境噪声排放标准》（GB12348-2008）中2类排放标准要求。矿场附近10km范围内无居民区等声环境敏感点，经采取减震等措施后，运营期矿区噪声对周围声环境影响较小。</w:t>
      </w:r>
    </w:p>
    <w:p w14:paraId="4AFBE0AD">
      <w:pPr>
        <w:adjustRightInd w:val="0"/>
        <w:snapToGrid w:val="0"/>
        <w:spacing w:line="500" w:lineRule="exact"/>
        <w:ind w:firstLine="480" w:firstLineChars="200"/>
        <w:jc w:val="left"/>
        <w:rPr>
          <w:rFonts w:hint="default" w:ascii="Times New Roman" w:hAnsi="Times New Roman" w:eastAsia="华文中宋" w:cs="Times New Roman"/>
          <w:snapToGrid w:val="0"/>
          <w:color w:val="auto"/>
          <w:kern w:val="0"/>
          <w:sz w:val="24"/>
          <w:szCs w:val="24"/>
          <w:lang w:val="en-US" w:eastAsia="zh-CN" w:bidi="ar-SA"/>
        </w:rPr>
      </w:pPr>
      <w:r>
        <w:rPr>
          <w:rFonts w:hint="default" w:ascii="Times New Roman" w:hAnsi="Times New Roman" w:eastAsia="华文中宋" w:cs="Times New Roman"/>
          <w:snapToGrid w:val="0"/>
          <w:color w:val="auto"/>
          <w:kern w:val="0"/>
          <w:sz w:val="24"/>
          <w:szCs w:val="24"/>
          <w:lang w:val="en-US" w:eastAsia="zh-CN" w:bidi="ar-SA"/>
        </w:rPr>
        <w:t>本项目声环境影响自查表见表5.2-2</w:t>
      </w:r>
      <w:r>
        <w:rPr>
          <w:rFonts w:hint="eastAsia" w:ascii="Times New Roman" w:hAnsi="Times New Roman" w:eastAsia="华文中宋" w:cs="Times New Roman"/>
          <w:snapToGrid w:val="0"/>
          <w:color w:val="auto"/>
          <w:kern w:val="0"/>
          <w:sz w:val="24"/>
          <w:szCs w:val="24"/>
          <w:lang w:val="en-US" w:eastAsia="zh-CN" w:bidi="ar-SA"/>
        </w:rPr>
        <w:t>5</w:t>
      </w:r>
      <w:r>
        <w:rPr>
          <w:rFonts w:hint="default" w:ascii="Times New Roman" w:hAnsi="Times New Roman" w:eastAsia="华文中宋" w:cs="Times New Roman"/>
          <w:snapToGrid w:val="0"/>
          <w:color w:val="auto"/>
          <w:kern w:val="0"/>
          <w:sz w:val="24"/>
          <w:szCs w:val="24"/>
          <w:lang w:val="en-US" w:eastAsia="zh-CN" w:bidi="ar-SA"/>
        </w:rPr>
        <w:t>。</w:t>
      </w:r>
    </w:p>
    <w:p w14:paraId="49CF1AF7">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表5.2-2</w:t>
      </w:r>
      <w:r>
        <w:rPr>
          <w:rFonts w:hint="eastAsia" w:ascii="Times New Roman" w:hAnsi="Times New Roman" w:eastAsia="华文中宋" w:cs="Times New Roman"/>
          <w:b/>
          <w:szCs w:val="21"/>
          <w:lang w:val="en-US" w:eastAsia="zh-CN"/>
        </w:rPr>
        <w:t>5</w:t>
      </w:r>
      <w:r>
        <w:rPr>
          <w:rFonts w:hint="default" w:ascii="Times New Roman" w:hAnsi="Times New Roman" w:eastAsia="华文中宋" w:cs="Times New Roman"/>
          <w:b/>
          <w:szCs w:val="21"/>
          <w:lang w:val="en-US" w:eastAsia="zh-CN"/>
        </w:rPr>
        <w:t xml:space="preserve">  声环境影响自查表</w:t>
      </w:r>
    </w:p>
    <w:tbl>
      <w:tblPr>
        <w:tblStyle w:val="1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943"/>
        <w:gridCol w:w="1302"/>
        <w:gridCol w:w="1007"/>
        <w:gridCol w:w="506"/>
        <w:gridCol w:w="290"/>
        <w:gridCol w:w="1199"/>
        <w:gridCol w:w="1036"/>
        <w:gridCol w:w="959"/>
        <w:gridCol w:w="1082"/>
      </w:tblGrid>
      <w:tr w14:paraId="18FAC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349" w:type="pct"/>
            <w:gridSpan w:val="2"/>
            <w:tcBorders>
              <w:tl2br w:val="nil"/>
              <w:tr2bl w:val="nil"/>
            </w:tcBorders>
            <w:shd w:val="clear" w:color="auto" w:fill="FFFFFF"/>
            <w:vAlign w:val="center"/>
          </w:tcPr>
          <w:p w14:paraId="5F023B81">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工作内容</w:t>
            </w:r>
          </w:p>
        </w:tc>
        <w:tc>
          <w:tcPr>
            <w:tcW w:w="3650" w:type="pct"/>
            <w:gridSpan w:val="7"/>
            <w:tcBorders>
              <w:tl2br w:val="nil"/>
              <w:tr2bl w:val="nil"/>
            </w:tcBorders>
            <w:shd w:val="clear" w:color="auto" w:fill="FFFFFF"/>
            <w:vAlign w:val="center"/>
          </w:tcPr>
          <w:p w14:paraId="63D28D40">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自查项目</w:t>
            </w:r>
          </w:p>
        </w:tc>
      </w:tr>
      <w:tr w14:paraId="12AB0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67" w:type="pct"/>
            <w:vMerge w:val="restart"/>
            <w:tcBorders>
              <w:tl2br w:val="nil"/>
              <w:tr2bl w:val="nil"/>
            </w:tcBorders>
            <w:shd w:val="clear" w:color="auto" w:fill="FFFFFF"/>
            <w:vAlign w:val="center"/>
          </w:tcPr>
          <w:p w14:paraId="1A8456B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评价等级与范围</w:t>
            </w:r>
          </w:p>
        </w:tc>
        <w:tc>
          <w:tcPr>
            <w:tcW w:w="781" w:type="pct"/>
            <w:tcBorders>
              <w:tl2br w:val="nil"/>
              <w:tr2bl w:val="nil"/>
            </w:tcBorders>
            <w:shd w:val="clear" w:color="auto" w:fill="FFFFFF"/>
            <w:vAlign w:val="center"/>
          </w:tcPr>
          <w:p w14:paraId="0276E45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评价等级</w:t>
            </w:r>
          </w:p>
        </w:tc>
        <w:tc>
          <w:tcPr>
            <w:tcW w:w="1083" w:type="pct"/>
            <w:gridSpan w:val="3"/>
            <w:tcBorders>
              <w:tl2br w:val="nil"/>
              <w:tr2bl w:val="nil"/>
            </w:tcBorders>
            <w:shd w:val="clear" w:color="auto" w:fill="FFFFFF"/>
            <w:vAlign w:val="top"/>
          </w:tcPr>
          <w:p w14:paraId="3721438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zh-CN" w:eastAsia="zh-CN"/>
              </w:rPr>
              <w:t>一级口</w:t>
            </w:r>
          </w:p>
        </w:tc>
        <w:tc>
          <w:tcPr>
            <w:tcW w:w="1342" w:type="pct"/>
            <w:gridSpan w:val="2"/>
            <w:tcBorders>
              <w:tl2br w:val="nil"/>
              <w:tr2bl w:val="nil"/>
            </w:tcBorders>
            <w:shd w:val="clear" w:color="auto" w:fill="FFFFFF"/>
            <w:vAlign w:val="top"/>
          </w:tcPr>
          <w:p w14:paraId="43C1EC7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zh-CN" w:eastAsia="zh-CN"/>
              </w:rPr>
              <w:t>二级</w:t>
            </w:r>
            <w:r>
              <w:rPr>
                <w:rFonts w:hint="default" w:ascii="Times New Roman" w:hAnsi="Times New Roman" w:eastAsia="华文中宋" w:cs="Times New Roman"/>
                <w:szCs w:val="21"/>
                <w:lang w:eastAsia="zh-CN"/>
              </w:rPr>
              <w:t>☑</w:t>
            </w:r>
          </w:p>
        </w:tc>
        <w:tc>
          <w:tcPr>
            <w:tcW w:w="1224" w:type="pct"/>
            <w:gridSpan w:val="2"/>
            <w:tcBorders>
              <w:tl2br w:val="nil"/>
              <w:tr2bl w:val="nil"/>
            </w:tcBorders>
            <w:shd w:val="clear" w:color="auto" w:fill="FFFFFF"/>
            <w:vAlign w:val="top"/>
          </w:tcPr>
          <w:p w14:paraId="365527D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三级</w:t>
            </w:r>
            <w:r>
              <w:rPr>
                <w:rFonts w:hint="default" w:ascii="Times New Roman" w:hAnsi="Times New Roman" w:eastAsia="华文中宋" w:cs="Times New Roman"/>
                <w:szCs w:val="21"/>
                <w:lang w:eastAsia="zh-CN"/>
              </w:rPr>
              <w:t>□</w:t>
            </w:r>
          </w:p>
        </w:tc>
      </w:tr>
      <w:tr w14:paraId="34A11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67" w:type="pct"/>
            <w:vMerge w:val="continue"/>
            <w:tcBorders>
              <w:tl2br w:val="nil"/>
              <w:tr2bl w:val="nil"/>
            </w:tcBorders>
            <w:shd w:val="clear" w:color="auto" w:fill="FFFFFF"/>
            <w:vAlign w:val="center"/>
          </w:tcPr>
          <w:p w14:paraId="148BC4F5">
            <w:pPr>
              <w:spacing w:line="300" w:lineRule="exact"/>
              <w:jc w:val="center"/>
              <w:rPr>
                <w:rFonts w:hint="default" w:ascii="Times New Roman" w:hAnsi="Times New Roman" w:eastAsia="华文中宋" w:cs="Times New Roman"/>
                <w:szCs w:val="21"/>
              </w:rPr>
            </w:pPr>
          </w:p>
        </w:tc>
        <w:tc>
          <w:tcPr>
            <w:tcW w:w="781" w:type="pct"/>
            <w:tcBorders>
              <w:tl2br w:val="nil"/>
              <w:tr2bl w:val="nil"/>
            </w:tcBorders>
            <w:shd w:val="clear" w:color="auto" w:fill="FFFFFF"/>
            <w:vAlign w:val="center"/>
          </w:tcPr>
          <w:p w14:paraId="1A620A9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评价范围</w:t>
            </w:r>
          </w:p>
        </w:tc>
        <w:tc>
          <w:tcPr>
            <w:tcW w:w="605" w:type="pct"/>
            <w:tcBorders>
              <w:tl2br w:val="nil"/>
              <w:tr2bl w:val="nil"/>
            </w:tcBorders>
            <w:shd w:val="clear" w:color="auto" w:fill="FFFFFF"/>
            <w:vAlign w:val="center"/>
          </w:tcPr>
          <w:p w14:paraId="4092F94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 xml:space="preserve">200 </w:t>
            </w:r>
            <w:r>
              <w:rPr>
                <w:rFonts w:hint="default" w:ascii="Times New Roman" w:hAnsi="Times New Roman" w:eastAsia="华文中宋" w:cs="Times New Roman"/>
                <w:szCs w:val="21"/>
                <w:lang w:val="en-US" w:eastAsia="en-US"/>
              </w:rPr>
              <w:t>m</w:t>
            </w:r>
            <w:r>
              <w:rPr>
                <w:rFonts w:hint="default" w:ascii="Times New Roman" w:hAnsi="Times New Roman" w:eastAsia="华文中宋" w:cs="Times New Roman"/>
                <w:szCs w:val="21"/>
                <w:lang w:eastAsia="zh-CN"/>
              </w:rPr>
              <w:t>☑</w:t>
            </w:r>
          </w:p>
        </w:tc>
        <w:tc>
          <w:tcPr>
            <w:tcW w:w="1819" w:type="pct"/>
            <w:gridSpan w:val="4"/>
            <w:tcBorders>
              <w:tl2br w:val="nil"/>
              <w:tr2bl w:val="nil"/>
            </w:tcBorders>
            <w:shd w:val="clear" w:color="auto" w:fill="FFFFFF"/>
            <w:vAlign w:val="center"/>
          </w:tcPr>
          <w:p w14:paraId="4F00646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大于</w:t>
            </w:r>
            <w:r>
              <w:rPr>
                <w:rFonts w:hint="default" w:ascii="Times New Roman" w:hAnsi="Times New Roman" w:eastAsia="华文中宋" w:cs="Times New Roman"/>
                <w:szCs w:val="21"/>
                <w:lang w:val="en-US" w:eastAsia="en-US"/>
              </w:rPr>
              <w:t>200 m</w:t>
            </w:r>
            <w:r>
              <w:rPr>
                <w:rFonts w:hint="default" w:ascii="Times New Roman" w:hAnsi="Times New Roman" w:eastAsia="华文中宋" w:cs="Times New Roman"/>
                <w:szCs w:val="21"/>
              </w:rPr>
              <w:t>□</w:t>
            </w:r>
          </w:p>
        </w:tc>
        <w:tc>
          <w:tcPr>
            <w:tcW w:w="1224" w:type="pct"/>
            <w:gridSpan w:val="2"/>
            <w:tcBorders>
              <w:tl2br w:val="nil"/>
              <w:tr2bl w:val="nil"/>
            </w:tcBorders>
            <w:shd w:val="clear" w:color="auto" w:fill="FFFFFF"/>
            <w:vAlign w:val="center"/>
          </w:tcPr>
          <w:p w14:paraId="33B7065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小于</w:t>
            </w:r>
            <w:r>
              <w:rPr>
                <w:rFonts w:hint="default" w:ascii="Times New Roman" w:hAnsi="Times New Roman" w:eastAsia="华文中宋" w:cs="Times New Roman"/>
                <w:szCs w:val="21"/>
                <w:lang w:val="en-US" w:eastAsia="en-US"/>
              </w:rPr>
              <w:t>200m</w:t>
            </w:r>
            <w:r>
              <w:rPr>
                <w:rFonts w:hint="default" w:ascii="Times New Roman" w:hAnsi="Times New Roman" w:eastAsia="华文中宋" w:cs="Times New Roman"/>
                <w:szCs w:val="21"/>
                <w:lang w:val="zh-CN" w:eastAsia="zh-CN"/>
              </w:rPr>
              <w:t>口</w:t>
            </w:r>
          </w:p>
        </w:tc>
      </w:tr>
      <w:tr w14:paraId="7CCA7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67" w:type="pct"/>
            <w:tcBorders>
              <w:tl2br w:val="nil"/>
              <w:tr2bl w:val="nil"/>
            </w:tcBorders>
            <w:shd w:val="clear" w:color="auto" w:fill="FFFFFF"/>
            <w:vAlign w:val="center"/>
          </w:tcPr>
          <w:p w14:paraId="7E36910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评价因子</w:t>
            </w:r>
          </w:p>
        </w:tc>
        <w:tc>
          <w:tcPr>
            <w:tcW w:w="781" w:type="pct"/>
            <w:tcBorders>
              <w:tl2br w:val="nil"/>
              <w:tr2bl w:val="nil"/>
            </w:tcBorders>
            <w:shd w:val="clear" w:color="auto" w:fill="FFFFFF"/>
            <w:vAlign w:val="center"/>
          </w:tcPr>
          <w:p w14:paraId="6E73129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评价因子</w:t>
            </w:r>
          </w:p>
        </w:tc>
        <w:tc>
          <w:tcPr>
            <w:tcW w:w="3650" w:type="pct"/>
            <w:gridSpan w:val="7"/>
            <w:tcBorders>
              <w:tl2br w:val="nil"/>
              <w:tr2bl w:val="nil"/>
            </w:tcBorders>
            <w:shd w:val="clear" w:color="auto" w:fill="FFFFFF"/>
            <w:vAlign w:val="top"/>
          </w:tcPr>
          <w:p w14:paraId="63B0A2F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等效连续</w:t>
            </w:r>
            <w:r>
              <w:rPr>
                <w:rFonts w:hint="default" w:ascii="Times New Roman" w:hAnsi="Times New Roman" w:eastAsia="华文中宋" w:cs="Times New Roman"/>
                <w:szCs w:val="21"/>
                <w:lang w:val="en-US" w:eastAsia="en-US"/>
              </w:rPr>
              <w:t>A</w:t>
            </w:r>
            <w:r>
              <w:rPr>
                <w:rFonts w:hint="default" w:ascii="Times New Roman" w:hAnsi="Times New Roman" w:eastAsia="华文中宋" w:cs="Times New Roman"/>
                <w:szCs w:val="21"/>
              </w:rPr>
              <w:t>声级</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ab/>
            </w:r>
            <w:r>
              <w:rPr>
                <w:rFonts w:hint="default" w:ascii="Times New Roman" w:hAnsi="Times New Roman" w:eastAsia="华文中宋" w:cs="Times New Roman"/>
                <w:szCs w:val="21"/>
              </w:rPr>
              <w:t>最大</w:t>
            </w:r>
            <w:r>
              <w:rPr>
                <w:rFonts w:hint="default" w:ascii="Times New Roman" w:hAnsi="Times New Roman" w:eastAsia="华文中宋" w:cs="Times New Roman"/>
                <w:szCs w:val="21"/>
                <w:lang w:val="en-US" w:eastAsia="en-US"/>
              </w:rPr>
              <w:t>A</w:t>
            </w:r>
            <w:r>
              <w:rPr>
                <w:rFonts w:hint="default" w:ascii="Times New Roman" w:hAnsi="Times New Roman" w:eastAsia="华文中宋" w:cs="Times New Roman"/>
                <w:szCs w:val="21"/>
                <w:lang w:val="zh-CN" w:eastAsia="zh-CN"/>
              </w:rPr>
              <w:t>声级口</w:t>
            </w:r>
            <w:r>
              <w:rPr>
                <w:rFonts w:hint="default" w:ascii="Times New Roman" w:hAnsi="Times New Roman" w:eastAsia="华文中宋" w:cs="Times New Roman"/>
                <w:szCs w:val="21"/>
                <w:lang w:val="zh-CN" w:eastAsia="zh-CN"/>
              </w:rPr>
              <w:tab/>
            </w:r>
            <w:r>
              <w:rPr>
                <w:rFonts w:hint="default" w:ascii="Times New Roman" w:hAnsi="Times New Roman" w:eastAsia="华文中宋" w:cs="Times New Roman"/>
                <w:szCs w:val="21"/>
              </w:rPr>
              <w:t>计权等效连续感觉噪</w:t>
            </w:r>
            <w:r>
              <w:rPr>
                <w:rFonts w:hint="default" w:ascii="Times New Roman" w:hAnsi="Times New Roman" w:eastAsia="华文中宋" w:cs="Times New Roman"/>
                <w:szCs w:val="21"/>
                <w:lang w:val="zh-CN" w:eastAsia="zh-CN"/>
              </w:rPr>
              <w:t>声级口</w:t>
            </w:r>
          </w:p>
        </w:tc>
      </w:tr>
      <w:tr w14:paraId="3A1B1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67" w:type="pct"/>
            <w:tcBorders>
              <w:tl2br w:val="nil"/>
              <w:tr2bl w:val="nil"/>
            </w:tcBorders>
            <w:shd w:val="clear" w:color="auto" w:fill="FFFFFF"/>
            <w:vAlign w:val="center"/>
          </w:tcPr>
          <w:p w14:paraId="1DF73EB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评价标准</w:t>
            </w:r>
          </w:p>
        </w:tc>
        <w:tc>
          <w:tcPr>
            <w:tcW w:w="781" w:type="pct"/>
            <w:tcBorders>
              <w:tl2br w:val="nil"/>
              <w:tr2bl w:val="nil"/>
            </w:tcBorders>
            <w:shd w:val="clear" w:color="auto" w:fill="FFFFFF"/>
            <w:vAlign w:val="center"/>
          </w:tcPr>
          <w:p w14:paraId="4EEFAB5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评价标准</w:t>
            </w:r>
          </w:p>
        </w:tc>
        <w:tc>
          <w:tcPr>
            <w:tcW w:w="909" w:type="pct"/>
            <w:gridSpan w:val="2"/>
            <w:tcBorders>
              <w:tl2br w:val="nil"/>
              <w:tr2bl w:val="nil"/>
            </w:tcBorders>
            <w:shd w:val="clear" w:color="auto" w:fill="FFFFFF"/>
            <w:vAlign w:val="center"/>
          </w:tcPr>
          <w:p w14:paraId="0797331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国家标准</w:t>
            </w:r>
            <w:r>
              <w:rPr>
                <w:rFonts w:hint="default" w:ascii="Times New Roman" w:hAnsi="Times New Roman" w:eastAsia="华文中宋" w:cs="Times New Roman"/>
                <w:szCs w:val="21"/>
                <w:lang w:eastAsia="zh-CN"/>
              </w:rPr>
              <w:t>☑</w:t>
            </w:r>
          </w:p>
        </w:tc>
        <w:tc>
          <w:tcPr>
            <w:tcW w:w="1515" w:type="pct"/>
            <w:gridSpan w:val="3"/>
            <w:tcBorders>
              <w:tl2br w:val="nil"/>
              <w:tr2bl w:val="nil"/>
            </w:tcBorders>
            <w:shd w:val="clear" w:color="auto" w:fill="FFFFFF"/>
            <w:vAlign w:val="center"/>
          </w:tcPr>
          <w:p w14:paraId="7DB0286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地方</w:t>
            </w:r>
            <w:r>
              <w:rPr>
                <w:rFonts w:hint="default" w:ascii="Times New Roman" w:hAnsi="Times New Roman" w:eastAsia="华文中宋" w:cs="Times New Roman"/>
                <w:szCs w:val="21"/>
                <w:lang w:val="zh-CN" w:eastAsia="zh-CN"/>
              </w:rPr>
              <w:t>标准口</w:t>
            </w:r>
          </w:p>
        </w:tc>
        <w:tc>
          <w:tcPr>
            <w:tcW w:w="1224" w:type="pct"/>
            <w:gridSpan w:val="2"/>
            <w:tcBorders>
              <w:tl2br w:val="nil"/>
              <w:tr2bl w:val="nil"/>
            </w:tcBorders>
            <w:shd w:val="clear" w:color="auto" w:fill="FFFFFF"/>
            <w:vAlign w:val="center"/>
          </w:tcPr>
          <w:p w14:paraId="575E56D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国外</w:t>
            </w:r>
            <w:r>
              <w:rPr>
                <w:rFonts w:hint="default" w:ascii="Times New Roman" w:hAnsi="Times New Roman" w:eastAsia="华文中宋" w:cs="Times New Roman"/>
                <w:szCs w:val="21"/>
                <w:lang w:val="zh-CN" w:eastAsia="zh-CN"/>
              </w:rPr>
              <w:t>标准口</w:t>
            </w:r>
          </w:p>
        </w:tc>
      </w:tr>
      <w:tr w14:paraId="13A69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67" w:type="pct"/>
            <w:vMerge w:val="restart"/>
            <w:tcBorders>
              <w:tl2br w:val="nil"/>
              <w:tr2bl w:val="nil"/>
            </w:tcBorders>
            <w:shd w:val="clear" w:color="auto" w:fill="FFFFFF"/>
            <w:vAlign w:val="center"/>
          </w:tcPr>
          <w:p w14:paraId="5FAF1983">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现状评价</w:t>
            </w:r>
          </w:p>
        </w:tc>
        <w:tc>
          <w:tcPr>
            <w:tcW w:w="781" w:type="pct"/>
            <w:tcBorders>
              <w:tl2br w:val="nil"/>
              <w:tr2bl w:val="nil"/>
            </w:tcBorders>
            <w:shd w:val="clear" w:color="auto" w:fill="FFFFFF"/>
            <w:vAlign w:val="center"/>
          </w:tcPr>
          <w:p w14:paraId="22148B4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环境功能区</w:t>
            </w:r>
          </w:p>
        </w:tc>
        <w:tc>
          <w:tcPr>
            <w:tcW w:w="605" w:type="pct"/>
            <w:tcBorders>
              <w:tl2br w:val="nil"/>
              <w:tr2bl w:val="nil"/>
            </w:tcBorders>
            <w:shd w:val="clear" w:color="auto" w:fill="FFFFFF"/>
            <w:vAlign w:val="bottom"/>
          </w:tcPr>
          <w:p w14:paraId="77358FB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0</w:t>
            </w:r>
            <w:r>
              <w:rPr>
                <w:rFonts w:hint="default" w:ascii="Times New Roman" w:hAnsi="Times New Roman" w:eastAsia="华文中宋" w:cs="Times New Roman"/>
                <w:szCs w:val="21"/>
                <w:lang w:val="zh-CN" w:eastAsia="zh-CN"/>
              </w:rPr>
              <w:t>类区口</w:t>
            </w:r>
          </w:p>
        </w:tc>
        <w:tc>
          <w:tcPr>
            <w:tcW w:w="1197" w:type="pct"/>
            <w:gridSpan w:val="3"/>
            <w:tcBorders>
              <w:tl2br w:val="nil"/>
              <w:tr2bl w:val="nil"/>
            </w:tcBorders>
            <w:shd w:val="clear" w:color="auto" w:fill="FFFFFF"/>
            <w:vAlign w:val="bottom"/>
          </w:tcPr>
          <w:p w14:paraId="3A7BA0D7">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1</w:t>
            </w:r>
            <w:r>
              <w:rPr>
                <w:rFonts w:hint="default" w:ascii="Times New Roman" w:hAnsi="Times New Roman" w:eastAsia="华文中宋" w:cs="Times New Roman"/>
                <w:szCs w:val="21"/>
                <w:lang w:val="zh-CN" w:eastAsia="zh-CN"/>
              </w:rPr>
              <w:t>类区</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lang w:val="zh-CN" w:eastAsia="zh-CN"/>
              </w:rPr>
              <w:tab/>
            </w:r>
            <w:r>
              <w:rPr>
                <w:rFonts w:hint="default" w:ascii="Times New Roman" w:hAnsi="Times New Roman" w:eastAsia="华文中宋" w:cs="Times New Roman"/>
                <w:szCs w:val="21"/>
              </w:rPr>
              <w:t>2</w:t>
            </w:r>
            <w:r>
              <w:rPr>
                <w:rFonts w:hint="default" w:ascii="Times New Roman" w:hAnsi="Times New Roman" w:eastAsia="华文中宋" w:cs="Times New Roman"/>
                <w:szCs w:val="21"/>
                <w:lang w:val="zh-CN" w:eastAsia="zh-CN"/>
              </w:rPr>
              <w:t>类区</w:t>
            </w:r>
            <w:r>
              <w:rPr>
                <w:rFonts w:hint="eastAsia" w:ascii="Times New Roman" w:hAnsi="Times New Roman" w:eastAsia="华文中宋" w:cs="Times New Roman"/>
                <w:szCs w:val="21"/>
                <w:lang w:eastAsia="zh-CN"/>
              </w:rPr>
              <w:t>☑</w:t>
            </w:r>
          </w:p>
        </w:tc>
        <w:tc>
          <w:tcPr>
            <w:tcW w:w="621" w:type="pct"/>
            <w:tcBorders>
              <w:tl2br w:val="nil"/>
              <w:tr2bl w:val="nil"/>
            </w:tcBorders>
            <w:shd w:val="clear" w:color="auto" w:fill="FFFFFF"/>
            <w:vAlign w:val="bottom"/>
          </w:tcPr>
          <w:p w14:paraId="01E20B5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3类区</w:t>
            </w:r>
            <w:r>
              <w:rPr>
                <w:rFonts w:hint="default" w:ascii="Times New Roman" w:hAnsi="Times New Roman" w:eastAsia="华文中宋" w:cs="Times New Roman"/>
                <w:szCs w:val="21"/>
                <w:lang w:val="zh-CN" w:eastAsia="zh-CN"/>
              </w:rPr>
              <w:t>口</w:t>
            </w:r>
          </w:p>
        </w:tc>
        <w:tc>
          <w:tcPr>
            <w:tcW w:w="576" w:type="pct"/>
            <w:tcBorders>
              <w:tl2br w:val="nil"/>
              <w:tr2bl w:val="nil"/>
            </w:tcBorders>
            <w:shd w:val="clear" w:color="auto" w:fill="FFFFFF"/>
            <w:vAlign w:val="bottom"/>
          </w:tcPr>
          <w:p w14:paraId="6C86683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en-US"/>
              </w:rPr>
              <w:t>4a</w:t>
            </w:r>
            <w:r>
              <w:rPr>
                <w:rFonts w:hint="default" w:ascii="Times New Roman" w:hAnsi="Times New Roman" w:eastAsia="华文中宋" w:cs="Times New Roman"/>
                <w:szCs w:val="21"/>
                <w:lang w:val="zh-CN" w:eastAsia="zh-CN"/>
              </w:rPr>
              <w:t>类区口</w:t>
            </w:r>
          </w:p>
        </w:tc>
        <w:tc>
          <w:tcPr>
            <w:tcW w:w="648" w:type="pct"/>
            <w:tcBorders>
              <w:tl2br w:val="nil"/>
              <w:tr2bl w:val="nil"/>
            </w:tcBorders>
            <w:shd w:val="clear" w:color="auto" w:fill="FFFFFF"/>
            <w:vAlign w:val="bottom"/>
          </w:tcPr>
          <w:p w14:paraId="52484B7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en-US"/>
              </w:rPr>
              <w:t>4b</w:t>
            </w:r>
            <w:r>
              <w:rPr>
                <w:rFonts w:hint="default" w:ascii="Times New Roman" w:hAnsi="Times New Roman" w:eastAsia="华文中宋" w:cs="Times New Roman"/>
                <w:szCs w:val="21"/>
                <w:lang w:val="zh-CN" w:eastAsia="zh-CN"/>
              </w:rPr>
              <w:t>类区口</w:t>
            </w:r>
          </w:p>
        </w:tc>
      </w:tr>
      <w:tr w14:paraId="23B6B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67" w:type="pct"/>
            <w:vMerge w:val="continue"/>
            <w:tcBorders>
              <w:tl2br w:val="nil"/>
              <w:tr2bl w:val="nil"/>
            </w:tcBorders>
            <w:shd w:val="clear" w:color="auto" w:fill="FFFFFF"/>
            <w:vAlign w:val="center"/>
          </w:tcPr>
          <w:p w14:paraId="73E288D6">
            <w:pPr>
              <w:spacing w:line="300" w:lineRule="exact"/>
              <w:jc w:val="center"/>
              <w:rPr>
                <w:rFonts w:hint="default" w:ascii="Times New Roman" w:hAnsi="Times New Roman" w:eastAsia="华文中宋" w:cs="Times New Roman"/>
                <w:szCs w:val="21"/>
              </w:rPr>
            </w:pPr>
          </w:p>
        </w:tc>
        <w:tc>
          <w:tcPr>
            <w:tcW w:w="781" w:type="pct"/>
            <w:tcBorders>
              <w:tl2br w:val="nil"/>
              <w:tr2bl w:val="nil"/>
            </w:tcBorders>
            <w:shd w:val="clear" w:color="auto" w:fill="FFFFFF"/>
            <w:vAlign w:val="center"/>
          </w:tcPr>
          <w:p w14:paraId="1C26C1C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评价年度</w:t>
            </w:r>
          </w:p>
        </w:tc>
        <w:tc>
          <w:tcPr>
            <w:tcW w:w="909" w:type="pct"/>
            <w:gridSpan w:val="2"/>
            <w:tcBorders>
              <w:tl2br w:val="nil"/>
              <w:tr2bl w:val="nil"/>
            </w:tcBorders>
            <w:shd w:val="clear" w:color="auto" w:fill="FFFFFF"/>
            <w:vAlign w:val="top"/>
          </w:tcPr>
          <w:p w14:paraId="2CD7CCD3">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初期</w:t>
            </w:r>
            <w:r>
              <w:rPr>
                <w:rFonts w:hint="default" w:ascii="Times New Roman" w:hAnsi="Times New Roman" w:eastAsia="华文中宋" w:cs="Times New Roman"/>
                <w:szCs w:val="21"/>
                <w:lang w:eastAsia="zh-CN"/>
              </w:rPr>
              <w:t>□</w:t>
            </w:r>
          </w:p>
        </w:tc>
        <w:tc>
          <w:tcPr>
            <w:tcW w:w="893" w:type="pct"/>
            <w:gridSpan w:val="2"/>
            <w:tcBorders>
              <w:tl2br w:val="nil"/>
              <w:tr2bl w:val="nil"/>
            </w:tcBorders>
            <w:shd w:val="clear" w:color="auto" w:fill="FFFFFF"/>
            <w:vAlign w:val="top"/>
          </w:tcPr>
          <w:p w14:paraId="1C24343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zh-CN" w:eastAsia="zh-CN"/>
              </w:rPr>
              <w:t>近期</w:t>
            </w:r>
            <w:r>
              <w:rPr>
                <w:rFonts w:hint="default" w:ascii="Times New Roman" w:hAnsi="Times New Roman" w:eastAsia="华文中宋" w:cs="Times New Roman"/>
                <w:szCs w:val="21"/>
                <w:lang w:eastAsia="zh-CN"/>
              </w:rPr>
              <w:t>□</w:t>
            </w:r>
          </w:p>
        </w:tc>
        <w:tc>
          <w:tcPr>
            <w:tcW w:w="1846" w:type="pct"/>
            <w:gridSpan w:val="3"/>
            <w:tcBorders>
              <w:tl2br w:val="nil"/>
              <w:tr2bl w:val="nil"/>
            </w:tcBorders>
            <w:shd w:val="clear" w:color="auto" w:fill="FFFFFF"/>
            <w:vAlign w:val="top"/>
          </w:tcPr>
          <w:p w14:paraId="40A8D6F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zh-CN" w:eastAsia="zh-CN"/>
              </w:rPr>
              <w:t>中期</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lang w:val="zh-CN" w:eastAsia="zh-CN"/>
              </w:rPr>
              <w:tab/>
            </w:r>
            <w:r>
              <w:rPr>
                <w:rFonts w:hint="default" w:ascii="Times New Roman" w:hAnsi="Times New Roman" w:eastAsia="华文中宋" w:cs="Times New Roman"/>
                <w:szCs w:val="21"/>
                <w:lang w:val="zh-CN" w:eastAsia="zh-CN"/>
              </w:rPr>
              <w:t>远期</w:t>
            </w:r>
            <w:r>
              <w:rPr>
                <w:rFonts w:hint="default" w:ascii="Times New Roman" w:hAnsi="Times New Roman" w:eastAsia="华文中宋" w:cs="Times New Roman"/>
                <w:szCs w:val="21"/>
                <w:lang w:eastAsia="zh-CN"/>
              </w:rPr>
              <w:t>□</w:t>
            </w:r>
          </w:p>
        </w:tc>
      </w:tr>
      <w:tr w14:paraId="61C39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67" w:type="pct"/>
            <w:vMerge w:val="continue"/>
            <w:tcBorders>
              <w:tl2br w:val="nil"/>
              <w:tr2bl w:val="nil"/>
            </w:tcBorders>
            <w:shd w:val="clear" w:color="auto" w:fill="FFFFFF"/>
            <w:vAlign w:val="center"/>
          </w:tcPr>
          <w:p w14:paraId="33891313">
            <w:pPr>
              <w:spacing w:line="300" w:lineRule="exact"/>
              <w:jc w:val="center"/>
              <w:rPr>
                <w:rFonts w:hint="default" w:ascii="Times New Roman" w:hAnsi="Times New Roman" w:eastAsia="华文中宋" w:cs="Times New Roman"/>
                <w:szCs w:val="21"/>
              </w:rPr>
            </w:pPr>
          </w:p>
        </w:tc>
        <w:tc>
          <w:tcPr>
            <w:tcW w:w="781" w:type="pct"/>
            <w:tcBorders>
              <w:tl2br w:val="nil"/>
              <w:tr2bl w:val="nil"/>
            </w:tcBorders>
            <w:shd w:val="clear" w:color="auto" w:fill="FFFFFF"/>
            <w:vAlign w:val="center"/>
          </w:tcPr>
          <w:p w14:paraId="7166ACA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现状调查方法</w:t>
            </w:r>
          </w:p>
        </w:tc>
        <w:tc>
          <w:tcPr>
            <w:tcW w:w="3650" w:type="pct"/>
            <w:gridSpan w:val="7"/>
            <w:tcBorders>
              <w:tl2br w:val="nil"/>
              <w:tr2bl w:val="nil"/>
            </w:tcBorders>
            <w:shd w:val="clear" w:color="auto" w:fill="FFFFFF"/>
            <w:vAlign w:val="top"/>
          </w:tcPr>
          <w:p w14:paraId="61841C0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现场实</w:t>
            </w:r>
            <w:r>
              <w:rPr>
                <w:rFonts w:hint="default" w:ascii="Times New Roman" w:hAnsi="Times New Roman" w:eastAsia="华文中宋" w:cs="Times New Roman"/>
                <w:szCs w:val="21"/>
                <w:lang w:val="zh-CN" w:eastAsia="zh-CN"/>
              </w:rPr>
              <w:t>测法</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lang w:val="zh-CN" w:eastAsia="zh-CN"/>
              </w:rPr>
              <w:tab/>
            </w:r>
            <w:r>
              <w:rPr>
                <w:rFonts w:hint="default" w:ascii="Times New Roman" w:hAnsi="Times New Roman" w:eastAsia="华文中宋" w:cs="Times New Roman"/>
                <w:szCs w:val="21"/>
              </w:rPr>
              <w:t>现场实测加模型计算法</w:t>
            </w:r>
            <w:r>
              <w:rPr>
                <w:rFonts w:hint="default" w:ascii="Times New Roman" w:hAnsi="Times New Roman" w:eastAsia="华文中宋" w:cs="Times New Roman"/>
                <w:szCs w:val="21"/>
                <w:lang w:val="zh-CN" w:eastAsia="zh-CN"/>
              </w:rPr>
              <w:t>口</w:t>
            </w:r>
            <w:r>
              <w:rPr>
                <w:rFonts w:hint="default" w:ascii="Times New Roman" w:hAnsi="Times New Roman" w:eastAsia="华文中宋" w:cs="Times New Roman"/>
                <w:szCs w:val="21"/>
              </w:rPr>
              <w:tab/>
            </w:r>
            <w:r>
              <w:rPr>
                <w:rFonts w:hint="default" w:ascii="Times New Roman" w:hAnsi="Times New Roman" w:eastAsia="华文中宋" w:cs="Times New Roman"/>
                <w:szCs w:val="21"/>
              </w:rPr>
              <w:t>收集</w:t>
            </w:r>
            <w:r>
              <w:rPr>
                <w:rFonts w:hint="default" w:ascii="Times New Roman" w:hAnsi="Times New Roman" w:eastAsia="华文中宋" w:cs="Times New Roman"/>
                <w:szCs w:val="21"/>
                <w:lang w:val="zh-CN" w:eastAsia="zh-CN"/>
              </w:rPr>
              <w:t>资料口</w:t>
            </w:r>
          </w:p>
        </w:tc>
      </w:tr>
      <w:tr w14:paraId="3955A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67" w:type="pct"/>
            <w:vMerge w:val="continue"/>
            <w:tcBorders>
              <w:tl2br w:val="nil"/>
              <w:tr2bl w:val="nil"/>
            </w:tcBorders>
            <w:shd w:val="clear" w:color="auto" w:fill="FFFFFF"/>
            <w:vAlign w:val="center"/>
          </w:tcPr>
          <w:p w14:paraId="57164D09">
            <w:pPr>
              <w:spacing w:line="300" w:lineRule="exact"/>
              <w:jc w:val="center"/>
              <w:rPr>
                <w:rFonts w:hint="default" w:ascii="Times New Roman" w:hAnsi="Times New Roman" w:eastAsia="华文中宋" w:cs="Times New Roman"/>
                <w:szCs w:val="21"/>
              </w:rPr>
            </w:pPr>
          </w:p>
        </w:tc>
        <w:tc>
          <w:tcPr>
            <w:tcW w:w="781" w:type="pct"/>
            <w:tcBorders>
              <w:tl2br w:val="nil"/>
              <w:tr2bl w:val="nil"/>
            </w:tcBorders>
            <w:shd w:val="clear" w:color="auto" w:fill="FFFFFF"/>
            <w:vAlign w:val="center"/>
          </w:tcPr>
          <w:p w14:paraId="720070E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现状评价</w:t>
            </w:r>
          </w:p>
        </w:tc>
        <w:tc>
          <w:tcPr>
            <w:tcW w:w="1083" w:type="pct"/>
            <w:gridSpan w:val="3"/>
            <w:tcBorders>
              <w:tl2br w:val="nil"/>
              <w:tr2bl w:val="nil"/>
            </w:tcBorders>
            <w:shd w:val="clear" w:color="auto" w:fill="FFFFFF"/>
            <w:vAlign w:val="bottom"/>
          </w:tcPr>
          <w:p w14:paraId="4C911C1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达标百分比</w:t>
            </w:r>
          </w:p>
        </w:tc>
        <w:tc>
          <w:tcPr>
            <w:tcW w:w="2567" w:type="pct"/>
            <w:gridSpan w:val="4"/>
            <w:tcBorders>
              <w:tl2br w:val="nil"/>
              <w:tr2bl w:val="nil"/>
            </w:tcBorders>
            <w:shd w:val="clear" w:color="auto" w:fill="FFFFFF"/>
            <w:vAlign w:val="bottom"/>
          </w:tcPr>
          <w:p w14:paraId="6F335C00">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zh-CN" w:eastAsia="zh-CN"/>
              </w:rPr>
              <w:t>100%</w:t>
            </w:r>
          </w:p>
        </w:tc>
      </w:tr>
      <w:tr w14:paraId="6269A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67" w:type="pct"/>
            <w:tcBorders>
              <w:tl2br w:val="nil"/>
              <w:tr2bl w:val="nil"/>
            </w:tcBorders>
            <w:shd w:val="clear" w:color="auto" w:fill="FFFFFF"/>
            <w:vAlign w:val="center"/>
          </w:tcPr>
          <w:p w14:paraId="371148E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噪声源调查</w:t>
            </w:r>
          </w:p>
        </w:tc>
        <w:tc>
          <w:tcPr>
            <w:tcW w:w="781" w:type="pct"/>
            <w:tcBorders>
              <w:tl2br w:val="nil"/>
              <w:tr2bl w:val="nil"/>
            </w:tcBorders>
            <w:shd w:val="clear" w:color="auto" w:fill="FFFFFF"/>
            <w:vAlign w:val="center"/>
          </w:tcPr>
          <w:p w14:paraId="19490E8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噪声源调查方法</w:t>
            </w:r>
          </w:p>
        </w:tc>
        <w:tc>
          <w:tcPr>
            <w:tcW w:w="909" w:type="pct"/>
            <w:gridSpan w:val="2"/>
            <w:tcBorders>
              <w:tl2br w:val="nil"/>
              <w:tr2bl w:val="nil"/>
            </w:tcBorders>
            <w:shd w:val="clear" w:color="auto" w:fill="FFFFFF"/>
            <w:vAlign w:val="top"/>
          </w:tcPr>
          <w:p w14:paraId="3C9094A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现场实测</w:t>
            </w:r>
            <w:r>
              <w:rPr>
                <w:rFonts w:hint="default" w:ascii="Times New Roman" w:hAnsi="Times New Roman" w:eastAsia="华文中宋" w:cs="Times New Roman"/>
                <w:szCs w:val="21"/>
                <w:lang w:val="zh-CN" w:eastAsia="zh-CN"/>
              </w:rPr>
              <w:t>口</w:t>
            </w:r>
          </w:p>
        </w:tc>
        <w:tc>
          <w:tcPr>
            <w:tcW w:w="2740" w:type="pct"/>
            <w:gridSpan w:val="5"/>
            <w:tcBorders>
              <w:tl2br w:val="nil"/>
              <w:tr2bl w:val="nil"/>
            </w:tcBorders>
            <w:shd w:val="clear" w:color="auto" w:fill="FFFFFF"/>
            <w:vAlign w:val="top"/>
          </w:tcPr>
          <w:p w14:paraId="681C610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已有</w:t>
            </w:r>
            <w:r>
              <w:rPr>
                <w:rFonts w:hint="default" w:ascii="Times New Roman" w:hAnsi="Times New Roman" w:eastAsia="华文中宋" w:cs="Times New Roman"/>
                <w:szCs w:val="21"/>
                <w:lang w:val="zh-CN" w:eastAsia="zh-CN"/>
              </w:rPr>
              <w:t>资料</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lang w:val="zh-CN" w:eastAsia="zh-CN"/>
              </w:rPr>
              <w:tab/>
            </w:r>
            <w:r>
              <w:rPr>
                <w:rFonts w:hint="default" w:ascii="Times New Roman" w:hAnsi="Times New Roman" w:eastAsia="华文中宋" w:cs="Times New Roman"/>
                <w:szCs w:val="21"/>
              </w:rPr>
              <w:t>研究</w:t>
            </w:r>
            <w:r>
              <w:rPr>
                <w:rFonts w:hint="default" w:ascii="Times New Roman" w:hAnsi="Times New Roman" w:eastAsia="华文中宋" w:cs="Times New Roman"/>
                <w:szCs w:val="21"/>
                <w:lang w:val="zh-CN" w:eastAsia="zh-CN"/>
              </w:rPr>
              <w:t>成果口</w:t>
            </w:r>
          </w:p>
        </w:tc>
      </w:tr>
      <w:tr w14:paraId="09F11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67" w:type="pct"/>
            <w:vMerge w:val="restart"/>
            <w:tcBorders>
              <w:tl2br w:val="nil"/>
              <w:tr2bl w:val="nil"/>
            </w:tcBorders>
            <w:shd w:val="clear" w:color="auto" w:fill="FFFFFF"/>
            <w:vAlign w:val="center"/>
          </w:tcPr>
          <w:p w14:paraId="16A2BB3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声环境影响预测与评价</w:t>
            </w:r>
          </w:p>
        </w:tc>
        <w:tc>
          <w:tcPr>
            <w:tcW w:w="781" w:type="pct"/>
            <w:tcBorders>
              <w:tl2br w:val="nil"/>
              <w:tr2bl w:val="nil"/>
            </w:tcBorders>
            <w:shd w:val="clear" w:color="auto" w:fill="FFFFFF"/>
            <w:vAlign w:val="center"/>
          </w:tcPr>
          <w:p w14:paraId="03536C6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预测模型</w:t>
            </w:r>
          </w:p>
        </w:tc>
        <w:tc>
          <w:tcPr>
            <w:tcW w:w="909" w:type="pct"/>
            <w:gridSpan w:val="2"/>
            <w:tcBorders>
              <w:tl2br w:val="nil"/>
              <w:tr2bl w:val="nil"/>
            </w:tcBorders>
            <w:shd w:val="clear" w:color="auto" w:fill="FFFFFF"/>
            <w:vAlign w:val="top"/>
          </w:tcPr>
          <w:p w14:paraId="7B96C190">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导则推荐</w:t>
            </w:r>
            <w:r>
              <w:rPr>
                <w:rFonts w:hint="default" w:ascii="Times New Roman" w:hAnsi="Times New Roman" w:eastAsia="华文中宋" w:cs="Times New Roman"/>
                <w:szCs w:val="21"/>
                <w:lang w:val="zh-CN" w:eastAsia="zh-CN"/>
              </w:rPr>
              <w:t>模型</w:t>
            </w:r>
            <w:r>
              <w:rPr>
                <w:rFonts w:hint="default" w:ascii="Times New Roman" w:hAnsi="Times New Roman" w:eastAsia="华文中宋" w:cs="Times New Roman"/>
                <w:szCs w:val="21"/>
                <w:lang w:eastAsia="zh-CN"/>
              </w:rPr>
              <w:t>☑</w:t>
            </w:r>
          </w:p>
        </w:tc>
        <w:tc>
          <w:tcPr>
            <w:tcW w:w="2740" w:type="pct"/>
            <w:gridSpan w:val="5"/>
            <w:tcBorders>
              <w:tl2br w:val="nil"/>
              <w:tr2bl w:val="nil"/>
            </w:tcBorders>
            <w:shd w:val="clear" w:color="auto" w:fill="FFFFFF"/>
            <w:vAlign w:val="top"/>
          </w:tcPr>
          <w:p w14:paraId="664A8277">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其他□</w:t>
            </w:r>
            <w:r>
              <w:rPr>
                <w:rFonts w:hint="default" w:ascii="Times New Roman" w:hAnsi="Times New Roman" w:eastAsia="华文中宋" w:cs="Times New Roman"/>
                <w:szCs w:val="21"/>
                <w:lang w:val="zh-CN" w:eastAsia="zh-CN"/>
              </w:rPr>
              <w:tab/>
            </w:r>
          </w:p>
        </w:tc>
      </w:tr>
      <w:tr w14:paraId="1F82E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67" w:type="pct"/>
            <w:vMerge w:val="continue"/>
            <w:tcBorders>
              <w:tl2br w:val="nil"/>
              <w:tr2bl w:val="nil"/>
            </w:tcBorders>
            <w:shd w:val="clear" w:color="auto" w:fill="FFFFFF"/>
            <w:vAlign w:val="center"/>
          </w:tcPr>
          <w:p w14:paraId="215CBC6D">
            <w:pPr>
              <w:spacing w:line="300" w:lineRule="exact"/>
              <w:jc w:val="center"/>
              <w:rPr>
                <w:rFonts w:hint="default" w:ascii="Times New Roman" w:hAnsi="Times New Roman" w:eastAsia="华文中宋" w:cs="Times New Roman"/>
                <w:szCs w:val="21"/>
              </w:rPr>
            </w:pPr>
          </w:p>
        </w:tc>
        <w:tc>
          <w:tcPr>
            <w:tcW w:w="781" w:type="pct"/>
            <w:tcBorders>
              <w:tl2br w:val="nil"/>
              <w:tr2bl w:val="nil"/>
            </w:tcBorders>
            <w:shd w:val="clear" w:color="auto" w:fill="FFFFFF"/>
            <w:vAlign w:val="center"/>
          </w:tcPr>
          <w:p w14:paraId="78D9B88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预测范围</w:t>
            </w:r>
          </w:p>
        </w:tc>
        <w:tc>
          <w:tcPr>
            <w:tcW w:w="3650" w:type="pct"/>
            <w:gridSpan w:val="7"/>
            <w:tcBorders>
              <w:tl2br w:val="nil"/>
              <w:tr2bl w:val="nil"/>
            </w:tcBorders>
            <w:shd w:val="clear" w:color="auto" w:fill="FFFFFF"/>
            <w:vAlign w:val="top"/>
          </w:tcPr>
          <w:p w14:paraId="0835C55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 xml:space="preserve">200 </w:t>
            </w:r>
            <w:r>
              <w:rPr>
                <w:rFonts w:hint="default" w:ascii="Times New Roman" w:hAnsi="Times New Roman" w:eastAsia="华文中宋" w:cs="Times New Roman"/>
                <w:szCs w:val="21"/>
                <w:lang w:val="en-US" w:eastAsia="en-US"/>
              </w:rPr>
              <w:t>m</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lang w:val="en-US" w:eastAsia="en-US"/>
              </w:rPr>
              <w:tab/>
            </w:r>
            <w:r>
              <w:rPr>
                <w:rFonts w:hint="default" w:ascii="Times New Roman" w:hAnsi="Times New Roman" w:eastAsia="华文中宋" w:cs="Times New Roman"/>
                <w:szCs w:val="21"/>
              </w:rPr>
              <w:t>大于</w:t>
            </w:r>
            <w:r>
              <w:rPr>
                <w:rFonts w:hint="default" w:ascii="Times New Roman" w:hAnsi="Times New Roman" w:eastAsia="华文中宋" w:cs="Times New Roman"/>
                <w:szCs w:val="21"/>
                <w:lang w:val="en-US" w:eastAsia="en-US"/>
              </w:rPr>
              <w:t>200m</w:t>
            </w:r>
            <w:r>
              <w:rPr>
                <w:rFonts w:hint="default" w:ascii="Times New Roman" w:hAnsi="Times New Roman" w:eastAsia="华文中宋" w:cs="Times New Roman"/>
                <w:szCs w:val="21"/>
                <w:lang w:val="zh-CN" w:eastAsia="zh-CN"/>
              </w:rPr>
              <w:t>口</w:t>
            </w:r>
            <w:r>
              <w:rPr>
                <w:rFonts w:hint="default" w:ascii="Times New Roman" w:hAnsi="Times New Roman" w:eastAsia="华文中宋" w:cs="Times New Roman"/>
                <w:szCs w:val="21"/>
                <w:lang w:val="en-US" w:eastAsia="en-US"/>
              </w:rPr>
              <w:tab/>
            </w:r>
            <w:r>
              <w:rPr>
                <w:rFonts w:hint="default" w:ascii="Times New Roman" w:hAnsi="Times New Roman" w:eastAsia="华文中宋" w:cs="Times New Roman"/>
                <w:szCs w:val="21"/>
              </w:rPr>
              <w:t xml:space="preserve">小于200 </w:t>
            </w:r>
            <w:r>
              <w:rPr>
                <w:rFonts w:hint="default" w:ascii="Times New Roman" w:hAnsi="Times New Roman" w:eastAsia="华文中宋" w:cs="Times New Roman"/>
                <w:szCs w:val="21"/>
                <w:lang w:val="en-US" w:eastAsia="en-US"/>
              </w:rPr>
              <w:t>m</w:t>
            </w:r>
            <w:r>
              <w:rPr>
                <w:rFonts w:hint="default" w:ascii="Times New Roman" w:hAnsi="Times New Roman" w:eastAsia="华文中宋" w:cs="Times New Roman"/>
                <w:szCs w:val="21"/>
                <w:lang w:val="zh-CN" w:eastAsia="zh-CN"/>
              </w:rPr>
              <w:t>口</w:t>
            </w:r>
          </w:p>
        </w:tc>
      </w:tr>
      <w:tr w14:paraId="18D3D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67" w:type="pct"/>
            <w:vMerge w:val="continue"/>
            <w:tcBorders>
              <w:tl2br w:val="nil"/>
              <w:tr2bl w:val="nil"/>
            </w:tcBorders>
            <w:shd w:val="clear" w:color="auto" w:fill="FFFFFF"/>
            <w:vAlign w:val="center"/>
          </w:tcPr>
          <w:p w14:paraId="5C6CB44C">
            <w:pPr>
              <w:spacing w:line="300" w:lineRule="exact"/>
              <w:jc w:val="center"/>
              <w:rPr>
                <w:rFonts w:hint="default" w:ascii="Times New Roman" w:hAnsi="Times New Roman" w:eastAsia="华文中宋" w:cs="Times New Roman"/>
                <w:szCs w:val="21"/>
              </w:rPr>
            </w:pPr>
          </w:p>
        </w:tc>
        <w:tc>
          <w:tcPr>
            <w:tcW w:w="781" w:type="pct"/>
            <w:tcBorders>
              <w:tl2br w:val="nil"/>
              <w:tr2bl w:val="nil"/>
            </w:tcBorders>
            <w:shd w:val="clear" w:color="auto" w:fill="FFFFFF"/>
            <w:vAlign w:val="center"/>
          </w:tcPr>
          <w:p w14:paraId="6E7B3BB0">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预测因子</w:t>
            </w:r>
          </w:p>
        </w:tc>
        <w:tc>
          <w:tcPr>
            <w:tcW w:w="3650" w:type="pct"/>
            <w:gridSpan w:val="7"/>
            <w:tcBorders>
              <w:tl2br w:val="nil"/>
              <w:tr2bl w:val="nil"/>
            </w:tcBorders>
            <w:shd w:val="clear" w:color="auto" w:fill="FFFFFF"/>
            <w:vAlign w:val="top"/>
          </w:tcPr>
          <w:p w14:paraId="2FCD4C2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等效连续</w:t>
            </w:r>
            <w:r>
              <w:rPr>
                <w:rFonts w:hint="default" w:ascii="Times New Roman" w:hAnsi="Times New Roman" w:eastAsia="华文中宋" w:cs="Times New Roman"/>
                <w:szCs w:val="21"/>
                <w:lang w:val="en-US" w:eastAsia="en-US"/>
              </w:rPr>
              <w:t>A</w:t>
            </w:r>
            <w:r>
              <w:rPr>
                <w:rFonts w:hint="default" w:ascii="Times New Roman" w:hAnsi="Times New Roman" w:eastAsia="华文中宋" w:cs="Times New Roman"/>
                <w:szCs w:val="21"/>
              </w:rPr>
              <w:t>声级</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最大</w:t>
            </w:r>
            <w:r>
              <w:rPr>
                <w:rFonts w:hint="default" w:ascii="Times New Roman" w:hAnsi="Times New Roman" w:eastAsia="华文中宋" w:cs="Times New Roman"/>
                <w:szCs w:val="21"/>
                <w:lang w:val="en-US" w:eastAsia="en-US"/>
              </w:rPr>
              <w:t>A</w:t>
            </w:r>
            <w:r>
              <w:rPr>
                <w:rFonts w:hint="default" w:ascii="Times New Roman" w:hAnsi="Times New Roman" w:eastAsia="华文中宋" w:cs="Times New Roman"/>
                <w:szCs w:val="21"/>
                <w:lang w:val="zh-CN" w:eastAsia="zh-CN"/>
              </w:rPr>
              <w:t>声级口</w:t>
            </w:r>
            <w:r>
              <w:rPr>
                <w:rFonts w:hint="default" w:ascii="Times New Roman" w:hAnsi="Times New Roman" w:eastAsia="华文中宋" w:cs="Times New Roman"/>
                <w:szCs w:val="21"/>
              </w:rPr>
              <w:t>计权等效连续感觉噪</w:t>
            </w:r>
            <w:r>
              <w:rPr>
                <w:rFonts w:hint="default" w:ascii="Times New Roman" w:hAnsi="Times New Roman" w:eastAsia="华文中宋" w:cs="Times New Roman"/>
                <w:szCs w:val="21"/>
                <w:lang w:val="zh-CN" w:eastAsia="zh-CN"/>
              </w:rPr>
              <w:t>声级口</w:t>
            </w:r>
          </w:p>
        </w:tc>
      </w:tr>
      <w:tr w14:paraId="41C5B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67" w:type="pct"/>
            <w:vMerge w:val="continue"/>
            <w:tcBorders>
              <w:tl2br w:val="nil"/>
              <w:tr2bl w:val="nil"/>
            </w:tcBorders>
            <w:shd w:val="clear" w:color="auto" w:fill="FFFFFF"/>
            <w:vAlign w:val="center"/>
          </w:tcPr>
          <w:p w14:paraId="2CBFB87E">
            <w:pPr>
              <w:spacing w:line="300" w:lineRule="exact"/>
              <w:jc w:val="center"/>
              <w:rPr>
                <w:rFonts w:hint="default" w:ascii="Times New Roman" w:hAnsi="Times New Roman" w:eastAsia="华文中宋" w:cs="Times New Roman"/>
                <w:szCs w:val="21"/>
              </w:rPr>
            </w:pPr>
          </w:p>
        </w:tc>
        <w:tc>
          <w:tcPr>
            <w:tcW w:w="781" w:type="pct"/>
            <w:tcBorders>
              <w:tl2br w:val="nil"/>
              <w:tr2bl w:val="nil"/>
            </w:tcBorders>
            <w:shd w:val="clear" w:color="auto" w:fill="FFFFFF"/>
            <w:vAlign w:val="center"/>
          </w:tcPr>
          <w:p w14:paraId="5F0C96C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厂界噪声贡献值</w:t>
            </w:r>
          </w:p>
        </w:tc>
        <w:tc>
          <w:tcPr>
            <w:tcW w:w="1083" w:type="pct"/>
            <w:gridSpan w:val="3"/>
            <w:tcBorders>
              <w:tl2br w:val="nil"/>
              <w:tr2bl w:val="nil"/>
            </w:tcBorders>
            <w:shd w:val="clear" w:color="auto" w:fill="FFFFFF"/>
            <w:vAlign w:val="top"/>
          </w:tcPr>
          <w:p w14:paraId="0DCA97D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zh-CN" w:eastAsia="zh-CN"/>
              </w:rPr>
              <w:t>达标</w:t>
            </w:r>
            <w:r>
              <w:rPr>
                <w:rFonts w:hint="default" w:ascii="Times New Roman" w:hAnsi="Times New Roman" w:eastAsia="华文中宋" w:cs="Times New Roman"/>
                <w:szCs w:val="21"/>
                <w:lang w:eastAsia="zh-CN"/>
              </w:rPr>
              <w:t>☑</w:t>
            </w:r>
          </w:p>
        </w:tc>
        <w:tc>
          <w:tcPr>
            <w:tcW w:w="2567" w:type="pct"/>
            <w:gridSpan w:val="4"/>
            <w:tcBorders>
              <w:tl2br w:val="nil"/>
              <w:tr2bl w:val="nil"/>
            </w:tcBorders>
            <w:shd w:val="clear" w:color="auto" w:fill="FFFFFF"/>
            <w:vAlign w:val="top"/>
          </w:tcPr>
          <w:p w14:paraId="79F726E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不达标</w:t>
            </w:r>
            <w:r>
              <w:rPr>
                <w:rFonts w:hint="default" w:ascii="Times New Roman" w:hAnsi="Times New Roman" w:eastAsia="华文中宋" w:cs="Times New Roman"/>
                <w:szCs w:val="21"/>
                <w:lang w:val="en-US" w:eastAsia="en-US"/>
              </w:rPr>
              <w:t>口</w:t>
            </w:r>
          </w:p>
        </w:tc>
      </w:tr>
      <w:tr w14:paraId="20CEE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67" w:type="pct"/>
            <w:vMerge w:val="continue"/>
            <w:tcBorders>
              <w:tl2br w:val="nil"/>
              <w:tr2bl w:val="nil"/>
            </w:tcBorders>
            <w:shd w:val="clear" w:color="auto" w:fill="FFFFFF"/>
            <w:vAlign w:val="center"/>
          </w:tcPr>
          <w:p w14:paraId="0ABA7726">
            <w:pPr>
              <w:spacing w:line="300" w:lineRule="exact"/>
              <w:jc w:val="center"/>
              <w:rPr>
                <w:rFonts w:hint="default" w:ascii="Times New Roman" w:hAnsi="Times New Roman" w:eastAsia="华文中宋" w:cs="Times New Roman"/>
                <w:szCs w:val="21"/>
              </w:rPr>
            </w:pPr>
          </w:p>
        </w:tc>
        <w:tc>
          <w:tcPr>
            <w:tcW w:w="781" w:type="pct"/>
            <w:tcBorders>
              <w:tl2br w:val="nil"/>
              <w:tr2bl w:val="nil"/>
            </w:tcBorders>
            <w:shd w:val="clear" w:color="auto" w:fill="FFFFFF"/>
            <w:vAlign w:val="center"/>
          </w:tcPr>
          <w:p w14:paraId="5E576FB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声环境保护目标处噪声值</w:t>
            </w:r>
          </w:p>
        </w:tc>
        <w:tc>
          <w:tcPr>
            <w:tcW w:w="1083" w:type="pct"/>
            <w:gridSpan w:val="3"/>
            <w:tcBorders>
              <w:tl2br w:val="nil"/>
              <w:tr2bl w:val="nil"/>
            </w:tcBorders>
            <w:shd w:val="clear" w:color="auto" w:fill="FFFFFF"/>
            <w:vAlign w:val="top"/>
          </w:tcPr>
          <w:p w14:paraId="1BCEA8C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zh-CN" w:eastAsia="zh-CN"/>
              </w:rPr>
              <w:t>达标口</w:t>
            </w:r>
          </w:p>
        </w:tc>
        <w:tc>
          <w:tcPr>
            <w:tcW w:w="2567" w:type="pct"/>
            <w:gridSpan w:val="4"/>
            <w:tcBorders>
              <w:tl2br w:val="nil"/>
              <w:tr2bl w:val="nil"/>
            </w:tcBorders>
            <w:shd w:val="clear" w:color="auto" w:fill="FFFFFF"/>
            <w:vAlign w:val="top"/>
          </w:tcPr>
          <w:p w14:paraId="7435382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不达标</w:t>
            </w:r>
            <w:r>
              <w:rPr>
                <w:rFonts w:hint="default" w:ascii="Times New Roman" w:hAnsi="Times New Roman" w:eastAsia="华文中宋" w:cs="Times New Roman"/>
                <w:szCs w:val="21"/>
                <w:lang w:val="en-US" w:eastAsia="en-US"/>
              </w:rPr>
              <w:t>口</w:t>
            </w:r>
          </w:p>
        </w:tc>
      </w:tr>
      <w:tr w14:paraId="08F41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67" w:type="pct"/>
            <w:vMerge w:val="restart"/>
            <w:tcBorders>
              <w:tl2br w:val="nil"/>
              <w:tr2bl w:val="nil"/>
            </w:tcBorders>
            <w:shd w:val="clear" w:color="auto" w:fill="FFFFFF"/>
            <w:vAlign w:val="center"/>
          </w:tcPr>
          <w:p w14:paraId="79102610">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环境监测计划</w:t>
            </w:r>
          </w:p>
        </w:tc>
        <w:tc>
          <w:tcPr>
            <w:tcW w:w="781" w:type="pct"/>
            <w:tcBorders>
              <w:tl2br w:val="nil"/>
              <w:tr2bl w:val="nil"/>
            </w:tcBorders>
            <w:shd w:val="clear" w:color="auto" w:fill="FFFFFF"/>
            <w:vAlign w:val="center"/>
          </w:tcPr>
          <w:p w14:paraId="5BAE1E9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排放监测</w:t>
            </w:r>
          </w:p>
        </w:tc>
        <w:tc>
          <w:tcPr>
            <w:tcW w:w="3650" w:type="pct"/>
            <w:gridSpan w:val="7"/>
            <w:tcBorders>
              <w:tl2br w:val="nil"/>
              <w:tr2bl w:val="nil"/>
            </w:tcBorders>
            <w:shd w:val="clear" w:color="auto" w:fill="FFFFFF"/>
            <w:vAlign w:val="top"/>
          </w:tcPr>
          <w:p w14:paraId="359FD85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厂界</w:t>
            </w:r>
            <w:r>
              <w:rPr>
                <w:rFonts w:hint="default" w:ascii="Times New Roman" w:hAnsi="Times New Roman" w:eastAsia="华文中宋" w:cs="Times New Roman"/>
                <w:szCs w:val="21"/>
                <w:lang w:val="zh-CN" w:eastAsia="zh-CN"/>
              </w:rPr>
              <w:t>监测</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lang w:val="zh-CN" w:eastAsia="zh-CN"/>
              </w:rPr>
              <w:tab/>
            </w:r>
            <w:r>
              <w:rPr>
                <w:rFonts w:hint="default" w:ascii="Times New Roman" w:hAnsi="Times New Roman" w:eastAsia="华文中宋" w:cs="Times New Roman"/>
                <w:szCs w:val="21"/>
              </w:rPr>
              <w:t>固定位置</w:t>
            </w:r>
            <w:r>
              <w:rPr>
                <w:rFonts w:hint="default" w:ascii="Times New Roman" w:hAnsi="Times New Roman" w:eastAsia="华文中宋" w:cs="Times New Roman"/>
                <w:szCs w:val="21"/>
                <w:lang w:val="zh-CN" w:eastAsia="zh-CN"/>
              </w:rPr>
              <w:t>监测</w:t>
            </w:r>
            <w:r>
              <w:rPr>
                <w:rFonts w:hint="eastAsia" w:ascii="Times New Roman" w:hAnsi="Times New Roman" w:eastAsia="华文中宋" w:cs="Times New Roman"/>
                <w:szCs w:val="21"/>
                <w:lang w:val="zh-CN" w:eastAsia="zh-CN"/>
              </w:rPr>
              <w:t>□</w:t>
            </w:r>
            <w:r>
              <w:rPr>
                <w:rFonts w:hint="default" w:ascii="Times New Roman" w:hAnsi="Times New Roman" w:eastAsia="华文中宋" w:cs="Times New Roman"/>
                <w:szCs w:val="21"/>
              </w:rPr>
              <w:t>自动</w:t>
            </w:r>
            <w:r>
              <w:rPr>
                <w:rFonts w:hint="default" w:ascii="Times New Roman" w:hAnsi="Times New Roman" w:eastAsia="华文中宋" w:cs="Times New Roman"/>
                <w:szCs w:val="21"/>
                <w:lang w:val="zh-CN" w:eastAsia="zh-CN"/>
              </w:rPr>
              <w:t>监测</w:t>
            </w:r>
            <w:r>
              <w:rPr>
                <w:rFonts w:hint="eastAsia" w:ascii="Times New Roman" w:hAnsi="Times New Roman" w:eastAsia="华文中宋" w:cs="Times New Roman"/>
                <w:szCs w:val="21"/>
                <w:lang w:val="zh-CN" w:eastAsia="zh-CN"/>
              </w:rPr>
              <w:t>□</w:t>
            </w:r>
            <w:r>
              <w:rPr>
                <w:rFonts w:hint="default" w:ascii="Times New Roman" w:hAnsi="Times New Roman" w:eastAsia="华文中宋" w:cs="Times New Roman"/>
                <w:szCs w:val="21"/>
              </w:rPr>
              <w:t>手动</w:t>
            </w:r>
            <w:r>
              <w:rPr>
                <w:rFonts w:hint="default" w:ascii="Times New Roman" w:hAnsi="Times New Roman" w:eastAsia="华文中宋" w:cs="Times New Roman"/>
                <w:szCs w:val="21"/>
                <w:lang w:val="zh-CN" w:eastAsia="zh-CN"/>
              </w:rPr>
              <w:t>监测</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lang w:val="zh-CN" w:eastAsia="zh-CN"/>
              </w:rPr>
              <w:tab/>
            </w:r>
            <w:r>
              <w:rPr>
                <w:rFonts w:hint="default" w:ascii="Times New Roman" w:hAnsi="Times New Roman" w:eastAsia="华文中宋" w:cs="Times New Roman"/>
                <w:szCs w:val="21"/>
              </w:rPr>
              <w:t>无监测</w:t>
            </w:r>
            <w:r>
              <w:rPr>
                <w:rFonts w:hint="default" w:ascii="Times New Roman" w:hAnsi="Times New Roman" w:eastAsia="华文中宋" w:cs="Times New Roman"/>
                <w:szCs w:val="21"/>
                <w:lang w:val="zh-CN" w:eastAsia="zh-CN"/>
              </w:rPr>
              <w:t>口</w:t>
            </w:r>
          </w:p>
        </w:tc>
      </w:tr>
      <w:tr w14:paraId="2005C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67" w:type="pct"/>
            <w:vMerge w:val="continue"/>
            <w:tcBorders>
              <w:tl2br w:val="nil"/>
              <w:tr2bl w:val="nil"/>
            </w:tcBorders>
            <w:shd w:val="clear" w:color="auto" w:fill="FFFFFF"/>
            <w:vAlign w:val="center"/>
          </w:tcPr>
          <w:p w14:paraId="4CB14765">
            <w:pPr>
              <w:spacing w:line="300" w:lineRule="exact"/>
              <w:jc w:val="center"/>
              <w:rPr>
                <w:rFonts w:hint="default" w:ascii="Times New Roman" w:hAnsi="Times New Roman" w:eastAsia="华文中宋" w:cs="Times New Roman"/>
                <w:szCs w:val="21"/>
              </w:rPr>
            </w:pPr>
          </w:p>
        </w:tc>
        <w:tc>
          <w:tcPr>
            <w:tcW w:w="781" w:type="pct"/>
            <w:tcBorders>
              <w:tl2br w:val="nil"/>
              <w:tr2bl w:val="nil"/>
            </w:tcBorders>
            <w:shd w:val="clear" w:color="auto" w:fill="FFFFFF"/>
            <w:vAlign w:val="center"/>
          </w:tcPr>
          <w:p w14:paraId="05EA429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声环境保护目标处噪声监测</w:t>
            </w:r>
          </w:p>
        </w:tc>
        <w:tc>
          <w:tcPr>
            <w:tcW w:w="1803" w:type="pct"/>
            <w:gridSpan w:val="4"/>
            <w:tcBorders>
              <w:tl2br w:val="nil"/>
              <w:tr2bl w:val="nil"/>
            </w:tcBorders>
            <w:shd w:val="clear" w:color="auto" w:fill="FFFFFF"/>
            <w:vAlign w:val="top"/>
          </w:tcPr>
          <w:p w14:paraId="6F6A501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监测因子：（等效连续A声级）</w:t>
            </w:r>
          </w:p>
        </w:tc>
        <w:tc>
          <w:tcPr>
            <w:tcW w:w="1197" w:type="pct"/>
            <w:gridSpan w:val="2"/>
            <w:tcBorders>
              <w:tl2br w:val="nil"/>
              <w:tr2bl w:val="nil"/>
            </w:tcBorders>
            <w:shd w:val="clear" w:color="auto" w:fill="FFFFFF"/>
            <w:vAlign w:val="top"/>
          </w:tcPr>
          <w:p w14:paraId="5F07A1B1">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监测点位数</w:t>
            </w:r>
            <w:r>
              <w:rPr>
                <w:rFonts w:hint="eastAsia" w:ascii="Times New Roman" w:hAnsi="Times New Roman" w:eastAsia="华文中宋" w:cs="Times New Roman"/>
                <w:szCs w:val="21"/>
                <w:lang w:eastAsia="zh-CN"/>
              </w:rPr>
              <w:t>（</w:t>
            </w:r>
            <w:r>
              <w:rPr>
                <w:rFonts w:hint="eastAsia" w:ascii="Times New Roman" w:hAnsi="Times New Roman" w:eastAsia="华文中宋" w:cs="Times New Roman"/>
                <w:szCs w:val="21"/>
                <w:lang w:val="en-US" w:eastAsia="zh-CN"/>
              </w:rPr>
              <w:t>4</w:t>
            </w:r>
            <w:r>
              <w:rPr>
                <w:rFonts w:hint="default" w:ascii="Times New Roman" w:hAnsi="Times New Roman" w:eastAsia="华文中宋" w:cs="Times New Roman"/>
                <w:szCs w:val="21"/>
              </w:rPr>
              <w:t>）</w:t>
            </w:r>
          </w:p>
        </w:tc>
        <w:tc>
          <w:tcPr>
            <w:tcW w:w="648" w:type="pct"/>
            <w:tcBorders>
              <w:tl2br w:val="nil"/>
              <w:tr2bl w:val="nil"/>
            </w:tcBorders>
            <w:shd w:val="clear" w:color="auto" w:fill="FFFFFF"/>
            <w:vAlign w:val="top"/>
          </w:tcPr>
          <w:p w14:paraId="5D5E46B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无监测</w:t>
            </w:r>
            <w:r>
              <w:rPr>
                <w:rFonts w:hint="default" w:ascii="Times New Roman" w:hAnsi="Times New Roman" w:eastAsia="华文中宋" w:cs="Times New Roman"/>
                <w:szCs w:val="21"/>
                <w:lang w:val="zh-CN" w:eastAsia="zh-CN"/>
              </w:rPr>
              <w:t>口</w:t>
            </w:r>
          </w:p>
        </w:tc>
      </w:tr>
      <w:tr w14:paraId="73C20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67" w:type="pct"/>
            <w:tcBorders>
              <w:tl2br w:val="nil"/>
              <w:tr2bl w:val="nil"/>
            </w:tcBorders>
            <w:shd w:val="clear" w:color="auto" w:fill="FFFFFF"/>
            <w:vAlign w:val="center"/>
          </w:tcPr>
          <w:p w14:paraId="62CE0D1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评价结论</w:t>
            </w:r>
          </w:p>
        </w:tc>
        <w:tc>
          <w:tcPr>
            <w:tcW w:w="781" w:type="pct"/>
            <w:tcBorders>
              <w:tl2br w:val="nil"/>
              <w:tr2bl w:val="nil"/>
            </w:tcBorders>
            <w:shd w:val="clear" w:color="auto" w:fill="FFFFFF"/>
            <w:vAlign w:val="center"/>
          </w:tcPr>
          <w:p w14:paraId="32DC89D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环境影响</w:t>
            </w:r>
          </w:p>
        </w:tc>
        <w:tc>
          <w:tcPr>
            <w:tcW w:w="3650" w:type="pct"/>
            <w:gridSpan w:val="7"/>
            <w:tcBorders>
              <w:tl2br w:val="nil"/>
              <w:tr2bl w:val="nil"/>
            </w:tcBorders>
            <w:shd w:val="clear" w:color="auto" w:fill="FFFFFF"/>
            <w:vAlign w:val="top"/>
          </w:tcPr>
          <w:p w14:paraId="2AF206A0">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可行</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ab/>
            </w:r>
            <w:r>
              <w:rPr>
                <w:rFonts w:hint="default" w:ascii="Times New Roman" w:hAnsi="Times New Roman" w:eastAsia="华文中宋" w:cs="Times New Roman"/>
                <w:szCs w:val="21"/>
              </w:rPr>
              <w:t>不可行□</w:t>
            </w:r>
          </w:p>
        </w:tc>
      </w:tr>
      <w:tr w14:paraId="7B90A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5000" w:type="pct"/>
            <w:gridSpan w:val="9"/>
            <w:tcBorders>
              <w:tl2br w:val="nil"/>
              <w:tr2bl w:val="nil"/>
            </w:tcBorders>
            <w:shd w:val="clear" w:color="auto" w:fill="FFFFFF"/>
            <w:vAlign w:val="top"/>
          </w:tcPr>
          <w:p w14:paraId="03BB793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注“</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”为勾选项，“（）”为内容填写项。</w:t>
            </w:r>
          </w:p>
        </w:tc>
      </w:tr>
    </w:tbl>
    <w:p w14:paraId="4406714A">
      <w:pPr>
        <w:pStyle w:val="4"/>
        <w:spacing w:before="120" w:after="120" w:line="500" w:lineRule="exact"/>
        <w:rPr>
          <w:rFonts w:hint="default" w:ascii="Times New Roman" w:hAnsi="Times New Roman" w:eastAsia="华文中宋" w:cs="Times New Roman"/>
          <w:kern w:val="0"/>
          <w:sz w:val="24"/>
          <w:szCs w:val="24"/>
          <w:lang w:val="en-US" w:eastAsia="zh-CN"/>
        </w:rPr>
      </w:pPr>
      <w:bookmarkStart w:id="187" w:name="_Toc13666"/>
      <w:r>
        <w:rPr>
          <w:rFonts w:hint="default" w:ascii="Times New Roman" w:hAnsi="Times New Roman" w:eastAsia="华文中宋" w:cs="Times New Roman"/>
          <w:kern w:val="0"/>
          <w:sz w:val="24"/>
          <w:szCs w:val="24"/>
          <w:lang w:val="en-US" w:eastAsia="zh-CN"/>
        </w:rPr>
        <w:t>5.2.5固体废物环境影响分析</w:t>
      </w:r>
      <w:bookmarkEnd w:id="187"/>
    </w:p>
    <w:p w14:paraId="6C4BFCDE">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（1）固体废物产生量</w:t>
      </w:r>
    </w:p>
    <w:p w14:paraId="45BDD0D5">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项目运营期产生的固体废物主要是露天矿开采过程中产生的废石、生活垃圾及机械维修保养产生的废机油、废润滑油等。</w:t>
      </w:r>
    </w:p>
    <w:p w14:paraId="2F463017">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运营期固体废物排放量及处置方式见表5.2-2</w:t>
      </w:r>
      <w:r>
        <w:rPr>
          <w:rFonts w:hint="eastAsia" w:ascii="Times New Roman" w:hAnsi="Times New Roman" w:cs="Times New Roman"/>
          <w:color w:val="auto"/>
          <w:lang w:val="en-US" w:eastAsia="zh-CN"/>
        </w:rPr>
        <w:t>6</w:t>
      </w:r>
      <w:r>
        <w:rPr>
          <w:rFonts w:hint="default" w:ascii="Times New Roman" w:hAnsi="Times New Roman" w:eastAsia="华文中宋" w:cs="Times New Roman"/>
          <w:color w:val="auto"/>
          <w:lang w:val="en-US" w:eastAsia="zh-CN"/>
        </w:rPr>
        <w:t>。</w:t>
      </w:r>
    </w:p>
    <w:p w14:paraId="52F40DB4">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表5.2-2</w:t>
      </w:r>
      <w:r>
        <w:rPr>
          <w:rFonts w:hint="eastAsia" w:ascii="Times New Roman" w:hAnsi="Times New Roman" w:eastAsia="华文中宋" w:cs="Times New Roman"/>
          <w:b/>
          <w:szCs w:val="21"/>
          <w:lang w:val="en-US" w:eastAsia="zh-CN"/>
        </w:rPr>
        <w:t>6</w:t>
      </w:r>
      <w:r>
        <w:rPr>
          <w:rFonts w:hint="default" w:ascii="Times New Roman" w:hAnsi="Times New Roman" w:eastAsia="华文中宋" w:cs="Times New Roman"/>
          <w:b/>
          <w:szCs w:val="21"/>
          <w:lang w:val="en-US" w:eastAsia="zh-CN"/>
        </w:rPr>
        <w:t xml:space="preserve">  运营期固体废物排放量及处置方式一览表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938"/>
        <w:gridCol w:w="1102"/>
        <w:gridCol w:w="679"/>
        <w:gridCol w:w="1791"/>
        <w:gridCol w:w="2909"/>
        <w:gridCol w:w="1103"/>
      </w:tblGrid>
      <w:tr w14:paraId="0830CF0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21" w:hRule="atLeast"/>
        </w:trPr>
        <w:tc>
          <w:tcPr>
            <w:tcW w:w="550" w:type="pct"/>
            <w:tcBorders>
              <w:tl2br w:val="nil"/>
              <w:tr2bl w:val="nil"/>
            </w:tcBorders>
            <w:vAlign w:val="center"/>
          </w:tcPr>
          <w:p w14:paraId="165E49D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固废名称</w:t>
            </w:r>
          </w:p>
        </w:tc>
        <w:tc>
          <w:tcPr>
            <w:tcW w:w="646" w:type="pct"/>
            <w:tcBorders>
              <w:tl2br w:val="nil"/>
              <w:tr2bl w:val="nil"/>
            </w:tcBorders>
            <w:vAlign w:val="center"/>
          </w:tcPr>
          <w:p w14:paraId="6499A90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产生量（t/a）</w:t>
            </w:r>
          </w:p>
        </w:tc>
        <w:tc>
          <w:tcPr>
            <w:tcW w:w="398" w:type="pct"/>
            <w:tcBorders>
              <w:tl2br w:val="nil"/>
              <w:tr2bl w:val="nil"/>
            </w:tcBorders>
            <w:vAlign w:val="center"/>
          </w:tcPr>
          <w:p w14:paraId="3FC6A07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固废性质</w:t>
            </w:r>
          </w:p>
        </w:tc>
        <w:tc>
          <w:tcPr>
            <w:tcW w:w="1050" w:type="pct"/>
            <w:tcBorders>
              <w:tl2br w:val="nil"/>
              <w:tr2bl w:val="nil"/>
            </w:tcBorders>
            <w:vAlign w:val="center"/>
          </w:tcPr>
          <w:p w14:paraId="69A2F0A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代码</w:t>
            </w:r>
          </w:p>
        </w:tc>
        <w:tc>
          <w:tcPr>
            <w:tcW w:w="1706" w:type="pct"/>
            <w:tcBorders>
              <w:tl2br w:val="nil"/>
              <w:tr2bl w:val="nil"/>
            </w:tcBorders>
            <w:vAlign w:val="center"/>
          </w:tcPr>
          <w:p w14:paraId="489A38F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处置措施</w:t>
            </w:r>
          </w:p>
        </w:tc>
        <w:tc>
          <w:tcPr>
            <w:tcW w:w="647" w:type="pct"/>
            <w:tcBorders>
              <w:tl2br w:val="nil"/>
              <w:tr2bl w:val="nil"/>
            </w:tcBorders>
            <w:vAlign w:val="center"/>
          </w:tcPr>
          <w:p w14:paraId="3CD3FE4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处置量（t/a）</w:t>
            </w:r>
          </w:p>
        </w:tc>
      </w:tr>
      <w:tr w14:paraId="7F01147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48" w:hRule="atLeast"/>
        </w:trPr>
        <w:tc>
          <w:tcPr>
            <w:tcW w:w="550" w:type="pct"/>
            <w:tcBorders>
              <w:tl2br w:val="nil"/>
              <w:tr2bl w:val="nil"/>
            </w:tcBorders>
            <w:vAlign w:val="center"/>
          </w:tcPr>
          <w:p w14:paraId="3BB62BA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废石</w:t>
            </w:r>
          </w:p>
        </w:tc>
        <w:tc>
          <w:tcPr>
            <w:tcW w:w="646" w:type="pct"/>
            <w:tcBorders>
              <w:tl2br w:val="nil"/>
              <w:tr2bl w:val="nil"/>
            </w:tcBorders>
            <w:vAlign w:val="center"/>
          </w:tcPr>
          <w:p w14:paraId="174204D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92.684</w:t>
            </w:r>
            <w:r>
              <w:rPr>
                <w:rFonts w:hint="default" w:ascii="Times New Roman" w:hAnsi="Times New Roman" w:eastAsia="华文中宋" w:cs="Times New Roman"/>
                <w:szCs w:val="21"/>
                <w:lang w:val="en-US" w:eastAsia="zh-CN"/>
              </w:rPr>
              <w:t>万</w:t>
            </w:r>
          </w:p>
        </w:tc>
        <w:tc>
          <w:tcPr>
            <w:tcW w:w="398" w:type="pct"/>
            <w:tcBorders>
              <w:tl2br w:val="nil"/>
              <w:tr2bl w:val="nil"/>
            </w:tcBorders>
            <w:vAlign w:val="center"/>
          </w:tcPr>
          <w:p w14:paraId="0D7BA5C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一般工业固废</w:t>
            </w:r>
          </w:p>
        </w:tc>
        <w:tc>
          <w:tcPr>
            <w:tcW w:w="1050" w:type="pct"/>
            <w:tcBorders>
              <w:tl2br w:val="nil"/>
              <w:tr2bl w:val="nil"/>
            </w:tcBorders>
            <w:vAlign w:val="center"/>
          </w:tcPr>
          <w:p w14:paraId="57A035D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900-099-S59</w:t>
            </w:r>
          </w:p>
        </w:tc>
        <w:tc>
          <w:tcPr>
            <w:tcW w:w="1706" w:type="pct"/>
            <w:tcBorders>
              <w:tl2br w:val="nil"/>
              <w:tr2bl w:val="nil"/>
            </w:tcBorders>
            <w:vAlign w:val="center"/>
          </w:tcPr>
          <w:p w14:paraId="3A7FEDA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运至废石堆放场堆存，闭矿后回填采坑</w:t>
            </w:r>
            <w:r>
              <w:rPr>
                <w:rFonts w:hint="eastAsia" w:ascii="Times New Roman" w:hAnsi="Times New Roman" w:eastAsia="华文中宋" w:cs="Times New Roman"/>
                <w:szCs w:val="21"/>
                <w:lang w:val="en-US" w:eastAsia="zh-CN"/>
              </w:rPr>
              <w:t>，多余部分废石堆放在废石堆放场，闭矿后进行土地复垦</w:t>
            </w:r>
          </w:p>
        </w:tc>
        <w:tc>
          <w:tcPr>
            <w:tcW w:w="647" w:type="pct"/>
            <w:tcBorders>
              <w:tl2br w:val="nil"/>
              <w:tr2bl w:val="nil"/>
            </w:tcBorders>
            <w:vAlign w:val="center"/>
          </w:tcPr>
          <w:p w14:paraId="54CCE10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92.684</w:t>
            </w:r>
            <w:r>
              <w:rPr>
                <w:rFonts w:hint="default" w:ascii="Times New Roman" w:hAnsi="Times New Roman" w:eastAsia="华文中宋" w:cs="Times New Roman"/>
                <w:szCs w:val="21"/>
                <w:lang w:val="en-US" w:eastAsia="zh-CN"/>
              </w:rPr>
              <w:t>万</w:t>
            </w:r>
          </w:p>
        </w:tc>
      </w:tr>
      <w:tr w14:paraId="24D8165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21" w:hRule="atLeast"/>
        </w:trPr>
        <w:tc>
          <w:tcPr>
            <w:tcW w:w="550" w:type="pct"/>
            <w:tcBorders>
              <w:tl2br w:val="nil"/>
              <w:tr2bl w:val="nil"/>
            </w:tcBorders>
            <w:vAlign w:val="center"/>
          </w:tcPr>
          <w:p w14:paraId="76DC180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生活垃圾</w:t>
            </w:r>
          </w:p>
        </w:tc>
        <w:tc>
          <w:tcPr>
            <w:tcW w:w="646" w:type="pct"/>
            <w:tcBorders>
              <w:tl2br w:val="nil"/>
              <w:tr2bl w:val="nil"/>
            </w:tcBorders>
            <w:vAlign w:val="center"/>
          </w:tcPr>
          <w:p w14:paraId="20974D5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w:t>
            </w:r>
          </w:p>
        </w:tc>
        <w:tc>
          <w:tcPr>
            <w:tcW w:w="398" w:type="pct"/>
            <w:tcBorders>
              <w:tl2br w:val="nil"/>
              <w:tr2bl w:val="nil"/>
            </w:tcBorders>
            <w:vAlign w:val="center"/>
          </w:tcPr>
          <w:p w14:paraId="05B4D94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一般固废</w:t>
            </w:r>
          </w:p>
        </w:tc>
        <w:tc>
          <w:tcPr>
            <w:tcW w:w="1050" w:type="pct"/>
            <w:tcBorders>
              <w:tl2br w:val="nil"/>
              <w:tr2bl w:val="nil"/>
            </w:tcBorders>
            <w:vAlign w:val="center"/>
          </w:tcPr>
          <w:p w14:paraId="1701E86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900-001-S61</w:t>
            </w:r>
          </w:p>
        </w:tc>
        <w:tc>
          <w:tcPr>
            <w:tcW w:w="1706" w:type="pct"/>
            <w:tcBorders>
              <w:tl2br w:val="nil"/>
              <w:tr2bl w:val="nil"/>
            </w:tcBorders>
            <w:vAlign w:val="center"/>
          </w:tcPr>
          <w:p w14:paraId="79A9976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在各场区内备有垃圾箱，生活垃圾集中收集、定期运至附近乡镇的垃圾收集点由环卫部门统一清运填埋处置</w:t>
            </w:r>
          </w:p>
        </w:tc>
        <w:tc>
          <w:tcPr>
            <w:tcW w:w="647" w:type="pct"/>
            <w:tcBorders>
              <w:tl2br w:val="nil"/>
              <w:tr2bl w:val="nil"/>
            </w:tcBorders>
            <w:vAlign w:val="center"/>
          </w:tcPr>
          <w:p w14:paraId="489C287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3.7</w:t>
            </w:r>
          </w:p>
        </w:tc>
      </w:tr>
      <w:tr w14:paraId="0D5F19A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21" w:hRule="atLeast"/>
        </w:trPr>
        <w:tc>
          <w:tcPr>
            <w:tcW w:w="550" w:type="pct"/>
            <w:tcBorders>
              <w:tl2br w:val="nil"/>
              <w:tr2bl w:val="nil"/>
            </w:tcBorders>
            <w:vAlign w:val="center"/>
          </w:tcPr>
          <w:p w14:paraId="76613FEE">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废机油、废润滑油</w:t>
            </w:r>
          </w:p>
        </w:tc>
        <w:tc>
          <w:tcPr>
            <w:tcW w:w="646" w:type="pct"/>
            <w:tcBorders>
              <w:tl2br w:val="nil"/>
              <w:tr2bl w:val="nil"/>
            </w:tcBorders>
            <w:vAlign w:val="center"/>
          </w:tcPr>
          <w:p w14:paraId="54DA8764">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1.0</w:t>
            </w:r>
          </w:p>
        </w:tc>
        <w:tc>
          <w:tcPr>
            <w:tcW w:w="398" w:type="pct"/>
            <w:tcBorders>
              <w:tl2br w:val="nil"/>
              <w:tr2bl w:val="nil"/>
            </w:tcBorders>
            <w:vAlign w:val="center"/>
          </w:tcPr>
          <w:p w14:paraId="1185CAC4">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危险废物</w:t>
            </w:r>
          </w:p>
        </w:tc>
        <w:tc>
          <w:tcPr>
            <w:tcW w:w="1050" w:type="pct"/>
            <w:tcBorders>
              <w:tl2br w:val="nil"/>
              <w:tr2bl w:val="nil"/>
            </w:tcBorders>
            <w:vAlign w:val="center"/>
          </w:tcPr>
          <w:p w14:paraId="617B4967">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HW08</w:t>
            </w:r>
          </w:p>
          <w:p w14:paraId="7AB7822F">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900-214-08</w:t>
            </w:r>
          </w:p>
          <w:p w14:paraId="577E2871">
            <w:pPr>
              <w:spacing w:line="300" w:lineRule="exact"/>
              <w:jc w:val="center"/>
              <w:rPr>
                <w:highlight w:val="none"/>
              </w:rPr>
            </w:pPr>
            <w:r>
              <w:rPr>
                <w:rFonts w:hint="default" w:ascii="Times New Roman" w:hAnsi="Times New Roman" w:eastAsia="华文中宋" w:cs="Times New Roman"/>
                <w:szCs w:val="21"/>
                <w:highlight w:val="none"/>
                <w:lang w:val="en-US" w:eastAsia="zh-CN"/>
              </w:rPr>
              <w:t>HW08</w:t>
            </w:r>
          </w:p>
          <w:p w14:paraId="1E23C53F">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 w:val="24"/>
                <w:highlight w:val="none"/>
                <w:lang w:val="en-US" w:eastAsia="zh-CN"/>
              </w:rPr>
              <w:t>900-217-08</w:t>
            </w:r>
          </w:p>
        </w:tc>
        <w:tc>
          <w:tcPr>
            <w:tcW w:w="1706" w:type="pct"/>
            <w:tcBorders>
              <w:tl2br w:val="nil"/>
              <w:tr2bl w:val="nil"/>
            </w:tcBorders>
            <w:vAlign w:val="center"/>
          </w:tcPr>
          <w:p w14:paraId="4DA893E5">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暂存于废机油仓库，外委有资质单位处置。</w:t>
            </w:r>
          </w:p>
        </w:tc>
        <w:tc>
          <w:tcPr>
            <w:tcW w:w="647" w:type="pct"/>
            <w:tcBorders>
              <w:tl2br w:val="nil"/>
              <w:tr2bl w:val="nil"/>
            </w:tcBorders>
            <w:vAlign w:val="center"/>
          </w:tcPr>
          <w:p w14:paraId="6925D4A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w:t>
            </w:r>
          </w:p>
        </w:tc>
      </w:tr>
      <w:tr w14:paraId="3A0DD93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21" w:hRule="atLeast"/>
        </w:trPr>
        <w:tc>
          <w:tcPr>
            <w:tcW w:w="550" w:type="pct"/>
            <w:tcBorders>
              <w:tl2br w:val="nil"/>
              <w:tr2bl w:val="nil"/>
            </w:tcBorders>
            <w:vAlign w:val="center"/>
          </w:tcPr>
          <w:p w14:paraId="4FCF7CF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污水处理设施污泥</w:t>
            </w:r>
          </w:p>
        </w:tc>
        <w:tc>
          <w:tcPr>
            <w:tcW w:w="646" w:type="pct"/>
            <w:tcBorders>
              <w:tl2br w:val="nil"/>
              <w:tr2bl w:val="nil"/>
            </w:tcBorders>
            <w:vAlign w:val="center"/>
          </w:tcPr>
          <w:p w14:paraId="52A969E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0.052</w:t>
            </w:r>
          </w:p>
        </w:tc>
        <w:tc>
          <w:tcPr>
            <w:tcW w:w="398" w:type="pct"/>
            <w:tcBorders>
              <w:tl2br w:val="nil"/>
              <w:tr2bl w:val="nil"/>
            </w:tcBorders>
            <w:vAlign w:val="center"/>
          </w:tcPr>
          <w:p w14:paraId="0DF6B56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一般固废</w:t>
            </w:r>
          </w:p>
        </w:tc>
        <w:tc>
          <w:tcPr>
            <w:tcW w:w="1050" w:type="pct"/>
            <w:tcBorders>
              <w:tl2br w:val="nil"/>
              <w:tr2bl w:val="nil"/>
            </w:tcBorders>
            <w:vAlign w:val="center"/>
          </w:tcPr>
          <w:p w14:paraId="18DD469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900-099-S07</w:t>
            </w:r>
          </w:p>
        </w:tc>
        <w:tc>
          <w:tcPr>
            <w:tcW w:w="1706" w:type="pct"/>
            <w:tcBorders>
              <w:tl2br w:val="nil"/>
              <w:tr2bl w:val="nil"/>
            </w:tcBorders>
            <w:vAlign w:val="center"/>
          </w:tcPr>
          <w:p w14:paraId="69A06D6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随生活垃圾一同</w:t>
            </w:r>
            <w:r>
              <w:rPr>
                <w:rFonts w:hint="default" w:ascii="Times New Roman" w:hAnsi="Times New Roman" w:eastAsia="华文中宋" w:cs="Times New Roman"/>
                <w:szCs w:val="21"/>
                <w:lang w:val="en-US" w:eastAsia="zh-CN"/>
              </w:rPr>
              <w:t>运至附近乡镇的垃圾收集点由环卫部门统一清运填埋处置</w:t>
            </w:r>
          </w:p>
        </w:tc>
        <w:tc>
          <w:tcPr>
            <w:tcW w:w="647" w:type="pct"/>
            <w:tcBorders>
              <w:tl2br w:val="nil"/>
              <w:tr2bl w:val="nil"/>
            </w:tcBorders>
            <w:vAlign w:val="center"/>
          </w:tcPr>
          <w:p w14:paraId="1E6222F0">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w:t>
            </w:r>
          </w:p>
        </w:tc>
      </w:tr>
    </w:tbl>
    <w:p w14:paraId="7FE25DAF">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（2）固体废物处置方式</w:t>
      </w:r>
    </w:p>
    <w:p w14:paraId="6D999E32">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①</w:t>
      </w:r>
      <w:r>
        <w:rPr>
          <w:rFonts w:hint="default" w:ascii="Times New Roman" w:hAnsi="Times New Roman" w:eastAsia="华文中宋" w:cs="Times New Roman"/>
          <w:sz w:val="24"/>
          <w:lang w:val="en-US" w:eastAsia="zh-CN"/>
        </w:rPr>
        <w:t>废石</w:t>
      </w:r>
    </w:p>
    <w:p w14:paraId="4C80EF61">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该矿山废石在开采过程综合利用于简易道路的铺填及修复、采矿场边坡修护、废石堆放场挡土墙的修建，剩余废石在闭坑前堆积在废石堆放场，废石堆放场在服务期满内可满足项目废石堆放需要，废石处置合理。闭坑后对石堆场边坡进行分阶碾压，并平整处理，基本恢复原地形地貌。</w:t>
      </w:r>
    </w:p>
    <w:p w14:paraId="0B49438B">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②</w:t>
      </w:r>
      <w:r>
        <w:rPr>
          <w:rFonts w:hint="default" w:ascii="Times New Roman" w:hAnsi="Times New Roman" w:eastAsia="华文中宋" w:cs="Times New Roman"/>
          <w:sz w:val="24"/>
          <w:lang w:val="en-US" w:eastAsia="zh-CN"/>
        </w:rPr>
        <w:t>生活垃圾</w:t>
      </w:r>
    </w:p>
    <w:p w14:paraId="19348953">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环评要求在矿山生活区配套垃圾桶，生活垃圾暂存于矿区垃圾桶内，定期拉运至民丰县生活垃圾填埋场填埋。同时还要加强矿山员工环保意识，做到生活垃圾集中收集，严禁随意丢弃。</w:t>
      </w:r>
    </w:p>
    <w:p w14:paraId="24F37804">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③</w:t>
      </w:r>
      <w:r>
        <w:rPr>
          <w:rFonts w:hint="default" w:ascii="Times New Roman" w:hAnsi="Times New Roman" w:eastAsia="华文中宋" w:cs="Times New Roman"/>
          <w:sz w:val="24"/>
          <w:lang w:val="en-US" w:eastAsia="zh-CN"/>
        </w:rPr>
        <w:t>危险废物</w:t>
      </w:r>
    </w:p>
    <w:p w14:paraId="1F008CC6">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运营过程中机械设备及汽车维修保养会产生少量的废机油、废润滑油，根据《国家危险废物名录（202</w:t>
      </w:r>
      <w:r>
        <w:rPr>
          <w:rFonts w:hint="eastAsia" w:ascii="Times New Roman" w:hAnsi="Times New Roman" w:eastAsia="华文中宋" w:cs="Times New Roman"/>
          <w:sz w:val="24"/>
          <w:lang w:val="en-US" w:eastAsia="zh-CN"/>
        </w:rPr>
        <w:t>5</w:t>
      </w:r>
      <w:r>
        <w:rPr>
          <w:rFonts w:hint="default" w:ascii="Times New Roman" w:hAnsi="Times New Roman" w:eastAsia="华文中宋" w:cs="Times New Roman"/>
          <w:sz w:val="24"/>
          <w:lang w:val="en-US" w:eastAsia="zh-CN"/>
        </w:rPr>
        <w:t>年）》废润滑油属于“HW08废矿物油与含矿物油废物”，危废代码为900-214-08（车辆、轮船</w:t>
      </w:r>
      <w:r>
        <w:rPr>
          <w:rFonts w:hint="eastAsia" w:ascii="Times New Roman" w:hAnsi="Times New Roman" w:eastAsia="华文中宋" w:cs="Times New Roman"/>
          <w:sz w:val="24"/>
          <w:lang w:val="en-US" w:eastAsia="zh-CN"/>
        </w:rPr>
        <w:t>及其他</w:t>
      </w:r>
      <w:r>
        <w:rPr>
          <w:rFonts w:hint="default" w:ascii="Times New Roman" w:hAnsi="Times New Roman" w:eastAsia="华文中宋" w:cs="Times New Roman"/>
          <w:sz w:val="24"/>
          <w:lang w:val="en-US" w:eastAsia="zh-CN"/>
        </w:rPr>
        <w:t>机械维修过程中产生的废发动机油、制动器油、自动变速器油、齿轮油等废润滑油），900-217-08（使用工业齿轮油进行机械设备润滑过程中产生的废润滑油），收集后暂存于危废暂存间内，定期交由有资质单位进行处置。危险废物按危废相关标准要求进行收运管理，并做好交接记录台账。危险废物暂存间的设置应满足《危险废物贮存污染控制标准》（GB18597-2023）要求，周边设置围堰，地面及墙面进行防渗，并且设置干粉灭火器和警示标志。</w:t>
      </w:r>
    </w:p>
    <w:p w14:paraId="7E136271">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（3）固体废物堆存对环境的影响</w:t>
      </w:r>
    </w:p>
    <w:p w14:paraId="46712F0E">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①</w:t>
      </w:r>
      <w:r>
        <w:rPr>
          <w:rFonts w:hint="default" w:ascii="Times New Roman" w:hAnsi="Times New Roman" w:eastAsia="华文中宋" w:cs="Times New Roman"/>
          <w:sz w:val="24"/>
          <w:lang w:val="en-US" w:eastAsia="zh-CN"/>
        </w:rPr>
        <w:t>废石堆存对环境的影响</w:t>
      </w:r>
    </w:p>
    <w:p w14:paraId="668584A6">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废石浸出液分析指标浓度均未超过鉴别标准值，废石不具有危险特性，废石浸出液分析指标均未超出《污水综合排放标准》（GB8978-1996）最高允许排放浓度，可以确定本项目的废石性质为第I类一般工业固体废物，按照I类一般工业固体废物处置方式处理。废石堆场周围1km范围内无集中或分散居住区，废砂石堆场的建设需符合《一般工业固体废物贮存和填埋污染控制标准》（GB18599-2020）第I类一般工业固体废物的有关规定。</w:t>
      </w:r>
    </w:p>
    <w:p w14:paraId="2BFA3388">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②其他固废处置对环境的影响分析</w:t>
      </w:r>
    </w:p>
    <w:p w14:paraId="6B007D5C">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本项目产生的生活垃圾以及在生产、设备维修过程中产生的废机油、废润滑油等危险废物均得到了合理地利用和处置，对区域环境影响较小。</w:t>
      </w:r>
    </w:p>
    <w:p w14:paraId="5E782CD4">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（4）固体废物占地对环境的影响</w:t>
      </w:r>
    </w:p>
    <w:p w14:paraId="71CBD3F9">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①固体废物堆放对景观的影响</w:t>
      </w:r>
    </w:p>
    <w:p w14:paraId="4CE614DA">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废砂石场占地改变了原有地表形态，导致区域地貌和景观发生改变，由于废砂石堆场距采区近，在可视范围之内，对景观影响较为显著。要求在废砂石排放过程中对废砂石进行推平处理，减少对区域景观影响，减轻水土流失。</w:t>
      </w:r>
    </w:p>
    <w:p w14:paraId="3BD05526">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项目闭场后，要求对废砂石场分层、压实、覆土，使地表植被得到恢复，恢复原有景观，将对生态环境影响降低到最低。</w:t>
      </w:r>
    </w:p>
    <w:p w14:paraId="314D4DFB">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②废砂石扬尘对环境的影响</w:t>
      </w:r>
    </w:p>
    <w:p w14:paraId="15461634">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废砂石在废砂石场装卸和堆放过程中产生粉尘污染。</w:t>
      </w:r>
    </w:p>
    <w:p w14:paraId="719A0EA8">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固体物料起尘条件主要取决于其粒度、表面含水量和风速的大小。废砂石在堆场存放的过程中，表面水分逐渐蒸发，遇到刮大风的天气就易产生风蚀扬尘。</w:t>
      </w:r>
    </w:p>
    <w:p w14:paraId="6631EFE0">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废砂石在堆放过程中对大气环境的污染影响不大，但是，废砂石在倾倒过程中产生的粉尘对所在区域的大气环境质量会造成一定程度的影响。</w:t>
      </w:r>
    </w:p>
    <w:p w14:paraId="71D67510">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③</w:t>
      </w:r>
      <w:r>
        <w:rPr>
          <w:rFonts w:hint="default" w:ascii="Times New Roman" w:hAnsi="Times New Roman" w:eastAsia="华文中宋" w:cs="Times New Roman"/>
          <w:sz w:val="24"/>
          <w:lang w:val="en-US" w:eastAsia="zh-CN"/>
        </w:rPr>
        <w:t>废石淋溶对环境的影响</w:t>
      </w:r>
    </w:p>
    <w:p w14:paraId="7445095B">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根据废石浸出数据，矿山废砂石不废石不具有危险特性，属无毒I类一般固废。对照《危险废物鉴别标准</w:t>
      </w:r>
      <w:r>
        <w:rPr>
          <w:rFonts w:hint="eastAsia" w:ascii="Times New Roman" w:hAnsi="Times New Roman" w:eastAsia="华文中宋" w:cs="Times New Roman"/>
          <w:sz w:val="24"/>
          <w:lang w:val="en-US" w:eastAsia="zh-CN"/>
        </w:rPr>
        <w:t xml:space="preserve"> 浸出毒性鉴别</w:t>
      </w:r>
      <w:r>
        <w:rPr>
          <w:rFonts w:hint="default" w:ascii="Times New Roman" w:hAnsi="Times New Roman" w:eastAsia="华文中宋" w:cs="Times New Roman"/>
          <w:sz w:val="24"/>
          <w:lang w:val="en-US" w:eastAsia="zh-CN"/>
        </w:rPr>
        <w:t>》（GB5085.3-2007）和《污水综合排放标准》</w:t>
      </w:r>
      <w:r>
        <w:rPr>
          <w:rFonts w:hint="eastAsia" w:ascii="Times New Roman" w:hAnsi="Times New Roman" w:eastAsia="华文中宋" w:cs="Times New Roman"/>
          <w:sz w:val="24"/>
          <w:lang w:val="en-US" w:eastAsia="zh-CN"/>
        </w:rPr>
        <w:t>（</w:t>
      </w:r>
      <w:r>
        <w:rPr>
          <w:rFonts w:hint="default" w:ascii="Times New Roman" w:hAnsi="Times New Roman" w:eastAsia="华文中宋" w:cs="Times New Roman"/>
          <w:sz w:val="24"/>
          <w:lang w:val="en-US" w:eastAsia="zh-CN"/>
        </w:rPr>
        <w:t>GB8978-1996）第一类污染物最高允许排放标准，浸出试验水质</w:t>
      </w:r>
      <w:r>
        <w:rPr>
          <w:rFonts w:hint="eastAsia" w:ascii="Times New Roman" w:hAnsi="Times New Roman" w:eastAsia="华文中宋" w:cs="Times New Roman"/>
          <w:sz w:val="24"/>
          <w:lang w:val="en-US" w:eastAsia="zh-CN"/>
        </w:rPr>
        <w:t>指标</w:t>
      </w:r>
      <w:r>
        <w:rPr>
          <w:rFonts w:hint="default" w:ascii="Times New Roman" w:hAnsi="Times New Roman" w:eastAsia="华文中宋" w:cs="Times New Roman"/>
          <w:sz w:val="24"/>
          <w:lang w:val="en-US" w:eastAsia="zh-CN"/>
        </w:rPr>
        <w:t>均可满足排放标准要求。</w:t>
      </w:r>
    </w:p>
    <w:p w14:paraId="024549C6">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该区年平均降水量为140mm，雨季多集中于5</w:t>
      </w:r>
      <w:r>
        <w:rPr>
          <w:rFonts w:hint="eastAsia" w:ascii="Times New Roman" w:hAnsi="Times New Roman" w:eastAsia="华文中宋" w:cs="Times New Roman"/>
          <w:sz w:val="24"/>
          <w:lang w:val="en-US" w:eastAsia="zh-CN"/>
        </w:rPr>
        <w:t>～</w:t>
      </w:r>
      <w:r>
        <w:rPr>
          <w:rFonts w:hint="default" w:ascii="Times New Roman" w:hAnsi="Times New Roman" w:eastAsia="华文中宋" w:cs="Times New Roman"/>
          <w:sz w:val="24"/>
          <w:lang w:val="en-US" w:eastAsia="zh-CN"/>
        </w:rPr>
        <w:t>8月。在该地区特殊的气候条件下废石淋溶水产生的量极小，很快通过自然蒸发</w:t>
      </w:r>
      <w:r>
        <w:rPr>
          <w:rFonts w:hint="eastAsia" w:ascii="Times New Roman" w:hAnsi="Times New Roman" w:eastAsia="华文中宋" w:cs="Times New Roman"/>
          <w:sz w:val="24"/>
          <w:lang w:val="en-US" w:eastAsia="zh-CN"/>
        </w:rPr>
        <w:t>消失</w:t>
      </w:r>
      <w:r>
        <w:rPr>
          <w:rFonts w:hint="default" w:ascii="Times New Roman" w:hAnsi="Times New Roman" w:eastAsia="华文中宋" w:cs="Times New Roman"/>
          <w:sz w:val="24"/>
          <w:lang w:val="en-US" w:eastAsia="zh-CN"/>
        </w:rPr>
        <w:t>。废石堆场均位于侵蚀基准面标高以上，不受矿区短暂地表径流影响。由大气降水产生的淋溶水量很少，废砂石淋溶水渗透到地下水的可能性极小，固体废弃物淋溶液通过垂直渗透或补给方式污染地下水环境的可能性极小，根据项目地下水污染预测情况废石堆放场废石对地下水造成的影响较小。</w:t>
      </w:r>
    </w:p>
    <w:p w14:paraId="5EAB6484">
      <w:pPr>
        <w:pStyle w:val="4"/>
        <w:spacing w:before="120" w:after="120" w:line="500" w:lineRule="exact"/>
        <w:rPr>
          <w:rFonts w:hint="default" w:ascii="Times New Roman" w:hAnsi="Times New Roman" w:eastAsia="华文中宋" w:cs="Times New Roman"/>
          <w:kern w:val="0"/>
          <w:sz w:val="24"/>
          <w:szCs w:val="24"/>
          <w:lang w:val="en-US" w:eastAsia="zh-CN"/>
        </w:rPr>
      </w:pPr>
      <w:bookmarkStart w:id="188" w:name="_Toc2617"/>
      <w:r>
        <w:rPr>
          <w:rFonts w:hint="default" w:ascii="Times New Roman" w:hAnsi="Times New Roman" w:eastAsia="华文中宋" w:cs="Times New Roman"/>
          <w:kern w:val="0"/>
          <w:sz w:val="24"/>
          <w:szCs w:val="24"/>
          <w:lang w:val="en-US" w:eastAsia="zh-CN"/>
        </w:rPr>
        <w:t>5.2.6.土壤环境影响分析</w:t>
      </w:r>
      <w:bookmarkEnd w:id="188"/>
    </w:p>
    <w:p w14:paraId="2EA3963D">
      <w:pPr>
        <w:pStyle w:val="24"/>
        <w:snapToGrid w:val="0"/>
        <w:ind w:left="0" w:leftChars="0" w:firstLine="0" w:firstLineChars="0"/>
        <w:jc w:val="left"/>
        <w:rPr>
          <w:rFonts w:hint="default" w:ascii="Times New Roman" w:hAnsi="Times New Roman" w:eastAsia="华文中宋" w:cs="Times New Roman"/>
          <w:b/>
          <w:bCs/>
          <w:color w:val="auto"/>
          <w:lang w:val="en-US" w:eastAsia="zh-CN"/>
        </w:rPr>
      </w:pPr>
      <w:r>
        <w:rPr>
          <w:rFonts w:hint="eastAsia" w:ascii="Times New Roman" w:hAnsi="Times New Roman" w:cs="Times New Roman"/>
          <w:b/>
          <w:bCs/>
          <w:color w:val="auto"/>
          <w:lang w:val="en-US" w:eastAsia="zh-CN"/>
        </w:rPr>
        <w:t>5.2.6.1</w:t>
      </w:r>
      <w:r>
        <w:rPr>
          <w:rFonts w:hint="default" w:ascii="Times New Roman" w:hAnsi="Times New Roman" w:eastAsia="华文中宋" w:cs="Times New Roman"/>
          <w:b/>
          <w:bCs/>
          <w:color w:val="auto"/>
          <w:lang w:val="en-US" w:eastAsia="zh-CN"/>
        </w:rPr>
        <w:t>土壤环境的影响识别</w:t>
      </w:r>
    </w:p>
    <w:p w14:paraId="05B1748B">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（1）</w:t>
      </w:r>
      <w:r>
        <w:rPr>
          <w:rFonts w:hint="default" w:ascii="Times New Roman" w:hAnsi="Times New Roman" w:eastAsia="华文中宋" w:cs="Times New Roman"/>
          <w:color w:val="auto"/>
          <w:lang w:val="en-US" w:eastAsia="zh-CN"/>
        </w:rPr>
        <w:t>建设项目所属行业类别</w:t>
      </w:r>
    </w:p>
    <w:p w14:paraId="1AB3974F">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本项目为金属矿开采，根据《环境影响评价技术导则 土壤环境（试行）》（HJ964-2018）附录A，为I类项目。</w:t>
      </w:r>
    </w:p>
    <w:p w14:paraId="57CDB5B2">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（2）</w:t>
      </w:r>
      <w:r>
        <w:rPr>
          <w:rFonts w:hint="default" w:ascii="Times New Roman" w:hAnsi="Times New Roman" w:eastAsia="华文中宋" w:cs="Times New Roman"/>
          <w:color w:val="auto"/>
          <w:lang w:val="en-US" w:eastAsia="zh-CN"/>
        </w:rPr>
        <w:t>土壤环境影响类型、影响途径、影响源与影响因子识别</w:t>
      </w:r>
    </w:p>
    <w:p w14:paraId="3B4BE8B2">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通过对项目工程分析，根据《环境影响评价技术导则土壤环境（试行）》（HJ964-2018）附录B表B.1，为生态影响型、污染影响型兼有项目。根据工程组成，可分为建设期、运营期两个阶段对土壤的环境影响。</w:t>
      </w:r>
    </w:p>
    <w:p w14:paraId="6B688341">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①污染影响型</w:t>
      </w:r>
    </w:p>
    <w:p w14:paraId="6E778610">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施工期环境影响识别主要针对施工过程中施工机械在使用过程中，施工人员在施工过程中，固体废物在临时储存过程中对土壤产生的影响等。</w:t>
      </w:r>
    </w:p>
    <w:p w14:paraId="2DA9D9BC">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运营期环境影响识别主要针对排放的废气、废石等，本工程主要包括新建废石堆场等生产运营过程中对土壤产生的影响。</w:t>
      </w:r>
    </w:p>
    <w:p w14:paraId="744C7A08">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②生态影响型</w:t>
      </w:r>
    </w:p>
    <w:p w14:paraId="7464B64B">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本工程采矿过程中不使用酸碱试剂，不会导致土壤酸化、碱化，</w:t>
      </w:r>
      <w:r>
        <w:rPr>
          <w:rFonts w:hint="eastAsia" w:ascii="Times New Roman" w:hAnsi="Times New Roman" w:cs="Times New Roman"/>
          <w:color w:val="auto"/>
          <w:lang w:val="en-US" w:eastAsia="zh-CN"/>
        </w:rPr>
        <w:t>但项目露天开采过程中会导致地下水水位发生变化</w:t>
      </w:r>
      <w:r>
        <w:rPr>
          <w:rFonts w:hint="default" w:ascii="Times New Roman" w:hAnsi="Times New Roman" w:eastAsia="华文中宋" w:cs="Times New Roman"/>
          <w:color w:val="auto"/>
          <w:lang w:val="en-US" w:eastAsia="zh-CN"/>
        </w:rPr>
        <w:t>，可能会导致土壤盐化。</w:t>
      </w:r>
    </w:p>
    <w:p w14:paraId="37F0B85B">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本工程对土壤的影响类型和途径及影响因子见表5.3-</w:t>
      </w:r>
      <w:r>
        <w:rPr>
          <w:rFonts w:hint="eastAsia" w:ascii="Times New Roman" w:hAnsi="Times New Roman" w:cs="Times New Roman"/>
          <w:color w:val="auto"/>
          <w:lang w:val="en-US" w:eastAsia="zh-CN"/>
        </w:rPr>
        <w:t>27</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5.2-</w:t>
      </w:r>
      <w:r>
        <w:rPr>
          <w:rFonts w:hint="eastAsia" w:ascii="Times New Roman" w:hAnsi="Times New Roman" w:cs="Times New Roman"/>
          <w:color w:val="auto"/>
          <w:lang w:val="en-US" w:eastAsia="zh-CN"/>
        </w:rPr>
        <w:t>28、5.2-29</w:t>
      </w:r>
      <w:r>
        <w:rPr>
          <w:rFonts w:hint="default" w:ascii="Times New Roman" w:hAnsi="Times New Roman" w:eastAsia="华文中宋" w:cs="Times New Roman"/>
          <w:color w:val="auto"/>
          <w:lang w:val="en-US" w:eastAsia="zh-CN"/>
        </w:rPr>
        <w:t>。</w:t>
      </w:r>
    </w:p>
    <w:p w14:paraId="7C778CCD">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表5.2-</w:t>
      </w:r>
      <w:r>
        <w:rPr>
          <w:rFonts w:hint="eastAsia" w:ascii="Times New Roman" w:hAnsi="Times New Roman" w:eastAsia="华文中宋" w:cs="Times New Roman"/>
          <w:b/>
          <w:szCs w:val="21"/>
          <w:lang w:val="en-US" w:eastAsia="zh-CN"/>
        </w:rPr>
        <w:t>27</w:t>
      </w:r>
      <w:r>
        <w:rPr>
          <w:rFonts w:hint="default" w:ascii="Times New Roman" w:hAnsi="Times New Roman" w:eastAsia="华文中宋" w:cs="Times New Roman"/>
          <w:b/>
          <w:szCs w:val="21"/>
          <w:lang w:val="en-US" w:eastAsia="zh-CN"/>
        </w:rPr>
        <w:t xml:space="preserve">  土壤环境影响类型与影响途径一览表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850"/>
        <w:gridCol w:w="1298"/>
        <w:gridCol w:w="1119"/>
        <w:gridCol w:w="1200"/>
        <w:gridCol w:w="700"/>
        <w:gridCol w:w="716"/>
        <w:gridCol w:w="734"/>
        <w:gridCol w:w="783"/>
        <w:gridCol w:w="714"/>
      </w:tblGrid>
      <w:tr w14:paraId="1787C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258" w:type="dxa"/>
            <w:gridSpan w:val="2"/>
            <w:vMerge w:val="restart"/>
            <w:vAlign w:val="center"/>
          </w:tcPr>
          <w:p w14:paraId="2C7EF4C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不同时段</w:t>
            </w:r>
          </w:p>
        </w:tc>
        <w:tc>
          <w:tcPr>
            <w:tcW w:w="4317" w:type="dxa"/>
            <w:gridSpan w:val="4"/>
            <w:vAlign w:val="center"/>
          </w:tcPr>
          <w:p w14:paraId="061DFDE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污染影响型</w:t>
            </w:r>
          </w:p>
        </w:tc>
        <w:tc>
          <w:tcPr>
            <w:tcW w:w="2947" w:type="dxa"/>
            <w:gridSpan w:val="4"/>
            <w:vAlign w:val="center"/>
          </w:tcPr>
          <w:p w14:paraId="3758E47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生态影响型</w:t>
            </w:r>
          </w:p>
        </w:tc>
      </w:tr>
      <w:tr w14:paraId="12147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8" w:type="dxa"/>
            <w:gridSpan w:val="2"/>
            <w:vMerge w:val="continue"/>
            <w:vAlign w:val="center"/>
          </w:tcPr>
          <w:p w14:paraId="41D46986">
            <w:pPr>
              <w:spacing w:line="300" w:lineRule="exact"/>
              <w:jc w:val="center"/>
              <w:rPr>
                <w:rFonts w:hint="default" w:ascii="Times New Roman" w:hAnsi="Times New Roman" w:eastAsia="华文中宋" w:cs="Times New Roman"/>
                <w:szCs w:val="21"/>
                <w:lang w:val="en-US" w:eastAsia="zh-CN"/>
              </w:rPr>
            </w:pPr>
          </w:p>
        </w:tc>
        <w:tc>
          <w:tcPr>
            <w:tcW w:w="1298" w:type="dxa"/>
            <w:vAlign w:val="center"/>
          </w:tcPr>
          <w:p w14:paraId="381B4DB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大气沉降</w:t>
            </w:r>
          </w:p>
        </w:tc>
        <w:tc>
          <w:tcPr>
            <w:tcW w:w="1119" w:type="dxa"/>
            <w:vAlign w:val="center"/>
          </w:tcPr>
          <w:p w14:paraId="1A13E08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地面漫流</w:t>
            </w:r>
          </w:p>
        </w:tc>
        <w:tc>
          <w:tcPr>
            <w:tcW w:w="1200" w:type="dxa"/>
            <w:vAlign w:val="center"/>
          </w:tcPr>
          <w:p w14:paraId="4DE4E1F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垂直入渗</w:t>
            </w:r>
          </w:p>
        </w:tc>
        <w:tc>
          <w:tcPr>
            <w:tcW w:w="700" w:type="dxa"/>
            <w:vAlign w:val="center"/>
          </w:tcPr>
          <w:p w14:paraId="57246C4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其他</w:t>
            </w:r>
          </w:p>
        </w:tc>
        <w:tc>
          <w:tcPr>
            <w:tcW w:w="716" w:type="dxa"/>
            <w:vAlign w:val="center"/>
          </w:tcPr>
          <w:p w14:paraId="2D66603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盐化</w:t>
            </w:r>
          </w:p>
        </w:tc>
        <w:tc>
          <w:tcPr>
            <w:tcW w:w="734" w:type="dxa"/>
            <w:vAlign w:val="center"/>
          </w:tcPr>
          <w:p w14:paraId="0C86BF9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碱化</w:t>
            </w:r>
          </w:p>
        </w:tc>
        <w:tc>
          <w:tcPr>
            <w:tcW w:w="783" w:type="dxa"/>
            <w:vAlign w:val="center"/>
          </w:tcPr>
          <w:p w14:paraId="2558944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酸化</w:t>
            </w:r>
          </w:p>
        </w:tc>
        <w:tc>
          <w:tcPr>
            <w:tcW w:w="714" w:type="dxa"/>
            <w:vAlign w:val="center"/>
          </w:tcPr>
          <w:p w14:paraId="37F75EE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其他</w:t>
            </w:r>
          </w:p>
        </w:tc>
      </w:tr>
      <w:tr w14:paraId="7C5DA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8" w:type="dxa"/>
            <w:gridSpan w:val="2"/>
            <w:vAlign w:val="center"/>
          </w:tcPr>
          <w:p w14:paraId="149FA13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建设期</w:t>
            </w:r>
          </w:p>
        </w:tc>
        <w:tc>
          <w:tcPr>
            <w:tcW w:w="1298" w:type="dxa"/>
            <w:vAlign w:val="center"/>
          </w:tcPr>
          <w:p w14:paraId="5E36863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w:t>
            </w:r>
          </w:p>
        </w:tc>
        <w:tc>
          <w:tcPr>
            <w:tcW w:w="1119" w:type="dxa"/>
            <w:vAlign w:val="center"/>
          </w:tcPr>
          <w:p w14:paraId="6B2F28CF">
            <w:pPr>
              <w:spacing w:line="300" w:lineRule="exact"/>
              <w:jc w:val="center"/>
              <w:rPr>
                <w:rFonts w:hint="default" w:ascii="Times New Roman" w:hAnsi="Times New Roman" w:eastAsia="华文中宋" w:cs="Times New Roman"/>
                <w:szCs w:val="21"/>
                <w:lang w:val="en-US" w:eastAsia="zh-CN"/>
              </w:rPr>
            </w:pPr>
          </w:p>
        </w:tc>
        <w:tc>
          <w:tcPr>
            <w:tcW w:w="1200" w:type="dxa"/>
            <w:vAlign w:val="center"/>
          </w:tcPr>
          <w:p w14:paraId="30D53D1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w:t>
            </w:r>
          </w:p>
        </w:tc>
        <w:tc>
          <w:tcPr>
            <w:tcW w:w="700" w:type="dxa"/>
            <w:vAlign w:val="center"/>
          </w:tcPr>
          <w:p w14:paraId="34A296ED">
            <w:pPr>
              <w:spacing w:line="300" w:lineRule="exact"/>
              <w:jc w:val="center"/>
              <w:rPr>
                <w:rFonts w:hint="default" w:ascii="Times New Roman" w:hAnsi="Times New Roman" w:eastAsia="华文中宋" w:cs="Times New Roman"/>
                <w:szCs w:val="21"/>
                <w:lang w:val="en-US" w:eastAsia="zh-CN"/>
              </w:rPr>
            </w:pPr>
          </w:p>
        </w:tc>
        <w:tc>
          <w:tcPr>
            <w:tcW w:w="716" w:type="dxa"/>
            <w:vAlign w:val="center"/>
          </w:tcPr>
          <w:p w14:paraId="03ED1D82">
            <w:pPr>
              <w:spacing w:line="300" w:lineRule="exact"/>
              <w:jc w:val="center"/>
              <w:rPr>
                <w:rFonts w:hint="default" w:ascii="Times New Roman" w:hAnsi="Times New Roman" w:eastAsia="华文中宋" w:cs="Times New Roman"/>
                <w:szCs w:val="21"/>
                <w:lang w:val="en-US" w:eastAsia="zh-CN"/>
              </w:rPr>
            </w:pPr>
          </w:p>
        </w:tc>
        <w:tc>
          <w:tcPr>
            <w:tcW w:w="734" w:type="dxa"/>
            <w:vAlign w:val="center"/>
          </w:tcPr>
          <w:p w14:paraId="63193D30">
            <w:pPr>
              <w:spacing w:line="300" w:lineRule="exact"/>
              <w:jc w:val="center"/>
              <w:rPr>
                <w:rFonts w:hint="default" w:ascii="Times New Roman" w:hAnsi="Times New Roman" w:eastAsia="华文中宋" w:cs="Times New Roman"/>
                <w:szCs w:val="21"/>
                <w:lang w:val="en-US" w:eastAsia="zh-CN"/>
              </w:rPr>
            </w:pPr>
          </w:p>
        </w:tc>
        <w:tc>
          <w:tcPr>
            <w:tcW w:w="783" w:type="dxa"/>
            <w:vAlign w:val="center"/>
          </w:tcPr>
          <w:p w14:paraId="020761E5">
            <w:pPr>
              <w:spacing w:line="300" w:lineRule="exact"/>
              <w:jc w:val="center"/>
              <w:rPr>
                <w:rFonts w:hint="default" w:ascii="Times New Roman" w:hAnsi="Times New Roman" w:eastAsia="华文中宋" w:cs="Times New Roman"/>
                <w:szCs w:val="21"/>
                <w:lang w:val="en-US" w:eastAsia="zh-CN"/>
              </w:rPr>
            </w:pPr>
          </w:p>
        </w:tc>
        <w:tc>
          <w:tcPr>
            <w:tcW w:w="714" w:type="dxa"/>
            <w:vAlign w:val="center"/>
          </w:tcPr>
          <w:p w14:paraId="0C035824">
            <w:pPr>
              <w:spacing w:line="300" w:lineRule="exact"/>
              <w:jc w:val="center"/>
              <w:rPr>
                <w:rFonts w:hint="default" w:ascii="Times New Roman" w:hAnsi="Times New Roman" w:eastAsia="华文中宋" w:cs="Times New Roman"/>
                <w:szCs w:val="21"/>
                <w:lang w:val="en-US" w:eastAsia="zh-CN"/>
              </w:rPr>
            </w:pPr>
          </w:p>
        </w:tc>
      </w:tr>
      <w:tr w14:paraId="04F36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dxa"/>
            <w:vMerge w:val="restart"/>
            <w:vAlign w:val="center"/>
          </w:tcPr>
          <w:p w14:paraId="39C4E94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运营期</w:t>
            </w:r>
          </w:p>
        </w:tc>
        <w:tc>
          <w:tcPr>
            <w:tcW w:w="850" w:type="dxa"/>
            <w:vAlign w:val="center"/>
          </w:tcPr>
          <w:p w14:paraId="329EB29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采矿区</w:t>
            </w:r>
          </w:p>
        </w:tc>
        <w:tc>
          <w:tcPr>
            <w:tcW w:w="1298" w:type="dxa"/>
            <w:vAlign w:val="center"/>
          </w:tcPr>
          <w:p w14:paraId="4AB1411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w:t>
            </w:r>
          </w:p>
        </w:tc>
        <w:tc>
          <w:tcPr>
            <w:tcW w:w="1119" w:type="dxa"/>
            <w:vAlign w:val="center"/>
          </w:tcPr>
          <w:p w14:paraId="2C4755FC">
            <w:pPr>
              <w:spacing w:line="300" w:lineRule="exact"/>
              <w:jc w:val="center"/>
              <w:rPr>
                <w:rFonts w:hint="default" w:ascii="Times New Roman" w:hAnsi="Times New Roman" w:eastAsia="华文中宋" w:cs="Times New Roman"/>
                <w:szCs w:val="21"/>
                <w:lang w:val="en-US" w:eastAsia="zh-CN"/>
              </w:rPr>
            </w:pPr>
          </w:p>
        </w:tc>
        <w:tc>
          <w:tcPr>
            <w:tcW w:w="1200" w:type="dxa"/>
            <w:vAlign w:val="center"/>
          </w:tcPr>
          <w:p w14:paraId="07A81764">
            <w:pPr>
              <w:spacing w:line="300" w:lineRule="exact"/>
              <w:jc w:val="center"/>
              <w:rPr>
                <w:rFonts w:hint="default" w:ascii="Times New Roman" w:hAnsi="Times New Roman" w:eastAsia="华文中宋" w:cs="Times New Roman"/>
                <w:szCs w:val="21"/>
                <w:lang w:val="en-US" w:eastAsia="zh-CN"/>
              </w:rPr>
            </w:pPr>
          </w:p>
        </w:tc>
        <w:tc>
          <w:tcPr>
            <w:tcW w:w="700" w:type="dxa"/>
            <w:vAlign w:val="center"/>
          </w:tcPr>
          <w:p w14:paraId="3B17C31E">
            <w:pPr>
              <w:spacing w:line="300" w:lineRule="exact"/>
              <w:jc w:val="center"/>
              <w:rPr>
                <w:rFonts w:hint="default" w:ascii="Times New Roman" w:hAnsi="Times New Roman" w:eastAsia="华文中宋" w:cs="Times New Roman"/>
                <w:szCs w:val="21"/>
                <w:lang w:val="en-US" w:eastAsia="zh-CN"/>
              </w:rPr>
            </w:pPr>
          </w:p>
        </w:tc>
        <w:tc>
          <w:tcPr>
            <w:tcW w:w="716" w:type="dxa"/>
            <w:vAlign w:val="center"/>
          </w:tcPr>
          <w:p w14:paraId="6A21B61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w:t>
            </w:r>
          </w:p>
        </w:tc>
        <w:tc>
          <w:tcPr>
            <w:tcW w:w="734" w:type="dxa"/>
            <w:vAlign w:val="center"/>
          </w:tcPr>
          <w:p w14:paraId="7C1FF9F6">
            <w:pPr>
              <w:spacing w:line="300" w:lineRule="exact"/>
              <w:jc w:val="center"/>
              <w:rPr>
                <w:rFonts w:hint="default" w:ascii="Times New Roman" w:hAnsi="Times New Roman" w:eastAsia="华文中宋" w:cs="Times New Roman"/>
                <w:szCs w:val="21"/>
                <w:lang w:val="en-US" w:eastAsia="zh-CN"/>
              </w:rPr>
            </w:pPr>
          </w:p>
        </w:tc>
        <w:tc>
          <w:tcPr>
            <w:tcW w:w="783" w:type="dxa"/>
            <w:vAlign w:val="center"/>
          </w:tcPr>
          <w:p w14:paraId="198160EE">
            <w:pPr>
              <w:spacing w:line="300" w:lineRule="exact"/>
              <w:jc w:val="center"/>
              <w:rPr>
                <w:rFonts w:hint="default" w:ascii="Times New Roman" w:hAnsi="Times New Roman" w:eastAsia="华文中宋" w:cs="Times New Roman"/>
                <w:szCs w:val="21"/>
                <w:lang w:val="en-US" w:eastAsia="zh-CN"/>
              </w:rPr>
            </w:pPr>
          </w:p>
        </w:tc>
        <w:tc>
          <w:tcPr>
            <w:tcW w:w="714" w:type="dxa"/>
            <w:vAlign w:val="center"/>
          </w:tcPr>
          <w:p w14:paraId="3C1CA1BF">
            <w:pPr>
              <w:spacing w:line="300" w:lineRule="exact"/>
              <w:jc w:val="center"/>
              <w:rPr>
                <w:rFonts w:hint="default" w:ascii="Times New Roman" w:hAnsi="Times New Roman" w:eastAsia="华文中宋" w:cs="Times New Roman"/>
                <w:szCs w:val="21"/>
                <w:lang w:val="en-US" w:eastAsia="zh-CN"/>
              </w:rPr>
            </w:pPr>
          </w:p>
        </w:tc>
      </w:tr>
      <w:tr w14:paraId="1A73C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dxa"/>
            <w:vMerge w:val="continue"/>
            <w:vAlign w:val="center"/>
          </w:tcPr>
          <w:p w14:paraId="46C88CEF">
            <w:pPr>
              <w:spacing w:line="300" w:lineRule="exact"/>
              <w:jc w:val="center"/>
              <w:rPr>
                <w:rFonts w:hint="default" w:ascii="Times New Roman" w:hAnsi="Times New Roman" w:eastAsia="华文中宋" w:cs="Times New Roman"/>
                <w:szCs w:val="21"/>
                <w:lang w:val="en-US" w:eastAsia="zh-CN"/>
              </w:rPr>
            </w:pPr>
          </w:p>
        </w:tc>
        <w:tc>
          <w:tcPr>
            <w:tcW w:w="850" w:type="dxa"/>
            <w:vAlign w:val="center"/>
          </w:tcPr>
          <w:p w14:paraId="5F3DDB9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废石堆放场</w:t>
            </w:r>
          </w:p>
        </w:tc>
        <w:tc>
          <w:tcPr>
            <w:tcW w:w="1298" w:type="dxa"/>
            <w:vAlign w:val="center"/>
          </w:tcPr>
          <w:p w14:paraId="2D7AB5E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w:t>
            </w:r>
          </w:p>
        </w:tc>
        <w:tc>
          <w:tcPr>
            <w:tcW w:w="1119" w:type="dxa"/>
            <w:vAlign w:val="center"/>
          </w:tcPr>
          <w:p w14:paraId="55C442F7">
            <w:pPr>
              <w:spacing w:line="300" w:lineRule="exact"/>
              <w:jc w:val="center"/>
              <w:rPr>
                <w:rFonts w:hint="default" w:ascii="Times New Roman" w:hAnsi="Times New Roman" w:eastAsia="华文中宋" w:cs="Times New Roman"/>
                <w:szCs w:val="21"/>
                <w:lang w:val="en-US" w:eastAsia="zh-CN"/>
              </w:rPr>
            </w:pPr>
          </w:p>
        </w:tc>
        <w:tc>
          <w:tcPr>
            <w:tcW w:w="1200" w:type="dxa"/>
            <w:vAlign w:val="center"/>
          </w:tcPr>
          <w:p w14:paraId="2EF35F0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w:t>
            </w:r>
          </w:p>
        </w:tc>
        <w:tc>
          <w:tcPr>
            <w:tcW w:w="700" w:type="dxa"/>
            <w:vAlign w:val="center"/>
          </w:tcPr>
          <w:p w14:paraId="6B8A910C">
            <w:pPr>
              <w:spacing w:line="300" w:lineRule="exact"/>
              <w:jc w:val="center"/>
              <w:rPr>
                <w:rFonts w:hint="default" w:ascii="Times New Roman" w:hAnsi="Times New Roman" w:eastAsia="华文中宋" w:cs="Times New Roman"/>
                <w:szCs w:val="21"/>
                <w:lang w:val="en-US" w:eastAsia="zh-CN"/>
              </w:rPr>
            </w:pPr>
          </w:p>
        </w:tc>
        <w:tc>
          <w:tcPr>
            <w:tcW w:w="716" w:type="dxa"/>
            <w:vAlign w:val="center"/>
          </w:tcPr>
          <w:p w14:paraId="759A8342">
            <w:pPr>
              <w:spacing w:line="300" w:lineRule="exact"/>
              <w:jc w:val="center"/>
              <w:rPr>
                <w:rFonts w:hint="default" w:ascii="Times New Roman" w:hAnsi="Times New Roman" w:eastAsia="华文中宋" w:cs="Times New Roman"/>
                <w:szCs w:val="21"/>
                <w:lang w:val="en-US" w:eastAsia="zh-CN"/>
              </w:rPr>
            </w:pPr>
          </w:p>
        </w:tc>
        <w:tc>
          <w:tcPr>
            <w:tcW w:w="734" w:type="dxa"/>
            <w:vAlign w:val="center"/>
          </w:tcPr>
          <w:p w14:paraId="488986F9">
            <w:pPr>
              <w:spacing w:line="300" w:lineRule="exact"/>
              <w:jc w:val="center"/>
              <w:rPr>
                <w:rFonts w:hint="default" w:ascii="Times New Roman" w:hAnsi="Times New Roman" w:eastAsia="华文中宋" w:cs="Times New Roman"/>
                <w:szCs w:val="21"/>
                <w:lang w:val="en-US" w:eastAsia="zh-CN"/>
              </w:rPr>
            </w:pPr>
          </w:p>
        </w:tc>
        <w:tc>
          <w:tcPr>
            <w:tcW w:w="783" w:type="dxa"/>
            <w:vAlign w:val="center"/>
          </w:tcPr>
          <w:p w14:paraId="623CBF84">
            <w:pPr>
              <w:spacing w:line="300" w:lineRule="exact"/>
              <w:jc w:val="center"/>
              <w:rPr>
                <w:rFonts w:hint="default" w:ascii="Times New Roman" w:hAnsi="Times New Roman" w:eastAsia="华文中宋" w:cs="Times New Roman"/>
                <w:szCs w:val="21"/>
                <w:lang w:val="en-US" w:eastAsia="zh-CN"/>
              </w:rPr>
            </w:pPr>
          </w:p>
        </w:tc>
        <w:tc>
          <w:tcPr>
            <w:tcW w:w="714" w:type="dxa"/>
            <w:vAlign w:val="center"/>
          </w:tcPr>
          <w:p w14:paraId="2544A36F">
            <w:pPr>
              <w:spacing w:line="300" w:lineRule="exact"/>
              <w:jc w:val="center"/>
              <w:rPr>
                <w:rFonts w:hint="default" w:ascii="Times New Roman" w:hAnsi="Times New Roman" w:eastAsia="华文中宋" w:cs="Times New Roman"/>
                <w:szCs w:val="21"/>
                <w:lang w:val="en-US" w:eastAsia="zh-CN"/>
              </w:rPr>
            </w:pPr>
          </w:p>
        </w:tc>
      </w:tr>
      <w:tr w14:paraId="78DD8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522" w:type="dxa"/>
            <w:gridSpan w:val="10"/>
            <w:vAlign w:val="center"/>
          </w:tcPr>
          <w:p w14:paraId="7F04889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注：在</w:t>
            </w:r>
            <w:r>
              <w:rPr>
                <w:rFonts w:hint="eastAsia" w:ascii="Times New Roman" w:hAnsi="Times New Roman" w:eastAsia="华文中宋" w:cs="Times New Roman"/>
                <w:szCs w:val="21"/>
                <w:lang w:val="en-US" w:eastAsia="zh-CN"/>
              </w:rPr>
              <w:t>可</w:t>
            </w:r>
            <w:r>
              <w:rPr>
                <w:rFonts w:hint="default" w:ascii="Times New Roman" w:hAnsi="Times New Roman" w:eastAsia="华文中宋" w:cs="Times New Roman"/>
                <w:szCs w:val="21"/>
                <w:lang w:val="en-US" w:eastAsia="zh-CN"/>
              </w:rPr>
              <w:t>产生的土壤环境影响类型处打“√”</w:t>
            </w:r>
          </w:p>
        </w:tc>
      </w:tr>
    </w:tbl>
    <w:p w14:paraId="110E8E0B">
      <w:pPr>
        <w:adjustRightInd w:val="0"/>
        <w:snapToGrid w:val="0"/>
        <w:spacing w:before="250" w:beforeLines="50"/>
        <w:ind w:firstLine="422" w:firstLineChars="200"/>
        <w:jc w:val="center"/>
        <w:rPr>
          <w:rFonts w:hint="default" w:ascii="Times New Roman" w:hAnsi="Times New Roman" w:cs="Times New Roman"/>
          <w:color w:val="000000"/>
          <w:kern w:val="0"/>
          <w:sz w:val="24"/>
          <w:szCs w:val="24"/>
          <w:highlight w:val="none"/>
          <w:lang w:val="en-US" w:eastAsia="zh-CN" w:bidi="ar"/>
        </w:rPr>
      </w:pPr>
      <w:r>
        <w:rPr>
          <w:rFonts w:hint="default" w:ascii="Times New Roman" w:hAnsi="Times New Roman" w:eastAsia="华文中宋" w:cs="Times New Roman"/>
          <w:b/>
          <w:szCs w:val="21"/>
          <w:highlight w:val="none"/>
          <w:lang w:val="en-US" w:eastAsia="zh-CN"/>
        </w:rPr>
        <w:t>表5.2-</w:t>
      </w:r>
      <w:r>
        <w:rPr>
          <w:rFonts w:hint="eastAsia" w:ascii="Times New Roman" w:hAnsi="Times New Roman" w:eastAsia="华文中宋" w:cs="Times New Roman"/>
          <w:b/>
          <w:szCs w:val="21"/>
          <w:highlight w:val="none"/>
          <w:lang w:val="en-US" w:eastAsia="zh-CN"/>
        </w:rPr>
        <w:t>28</w:t>
      </w:r>
      <w:r>
        <w:rPr>
          <w:rFonts w:hint="default" w:ascii="Times New Roman" w:hAnsi="Times New Roman" w:eastAsia="华文中宋" w:cs="Times New Roman"/>
          <w:b/>
          <w:szCs w:val="21"/>
          <w:highlight w:val="none"/>
          <w:lang w:val="en-US" w:eastAsia="zh-CN"/>
        </w:rPr>
        <w:t xml:space="preserve">  污染影响型建设项目土壤影响源及影响因子识别表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2"/>
        <w:gridCol w:w="1143"/>
        <w:gridCol w:w="2016"/>
        <w:gridCol w:w="3184"/>
        <w:gridCol w:w="1097"/>
      </w:tblGrid>
      <w:tr w14:paraId="4C462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dxa"/>
            <w:vAlign w:val="center"/>
          </w:tcPr>
          <w:p w14:paraId="7E5D00F3">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污染源</w:t>
            </w:r>
          </w:p>
        </w:tc>
        <w:tc>
          <w:tcPr>
            <w:tcW w:w="1143" w:type="dxa"/>
            <w:vAlign w:val="center"/>
          </w:tcPr>
          <w:p w14:paraId="635FF8F4">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工艺流程/节点</w:t>
            </w:r>
          </w:p>
        </w:tc>
        <w:tc>
          <w:tcPr>
            <w:tcW w:w="2016" w:type="dxa"/>
            <w:vAlign w:val="center"/>
          </w:tcPr>
          <w:p w14:paraId="178BD9E3">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污染途径</w:t>
            </w:r>
          </w:p>
        </w:tc>
        <w:tc>
          <w:tcPr>
            <w:tcW w:w="3184" w:type="dxa"/>
            <w:vAlign w:val="center"/>
          </w:tcPr>
          <w:p w14:paraId="3595B812">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全部污染物指标</w:t>
            </w:r>
          </w:p>
        </w:tc>
        <w:tc>
          <w:tcPr>
            <w:tcW w:w="1097" w:type="dxa"/>
            <w:vAlign w:val="center"/>
          </w:tcPr>
          <w:p w14:paraId="697D7B54">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特征因子</w:t>
            </w:r>
          </w:p>
        </w:tc>
      </w:tr>
      <w:tr w14:paraId="4A826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dxa"/>
            <w:vAlign w:val="center"/>
          </w:tcPr>
          <w:p w14:paraId="384CE988">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废石堆放场</w:t>
            </w:r>
          </w:p>
        </w:tc>
        <w:tc>
          <w:tcPr>
            <w:tcW w:w="1143" w:type="dxa"/>
            <w:vAlign w:val="center"/>
          </w:tcPr>
          <w:p w14:paraId="51CF1B2A">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废石堆存过程中淋溶液</w:t>
            </w:r>
          </w:p>
        </w:tc>
        <w:tc>
          <w:tcPr>
            <w:tcW w:w="2016" w:type="dxa"/>
            <w:vAlign w:val="center"/>
          </w:tcPr>
          <w:p w14:paraId="2BA37636">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垂直入渗</w:t>
            </w:r>
          </w:p>
        </w:tc>
        <w:tc>
          <w:tcPr>
            <w:tcW w:w="3184" w:type="dxa"/>
            <w:vAlign w:val="center"/>
          </w:tcPr>
          <w:p w14:paraId="6A85F125">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铜、锌、镉、铅、铬、六价铬、汞、铍、钡、镍、银、砷、硒、氟化物、氰根离子、烷基汞、苯、并[a]芘</w:t>
            </w:r>
          </w:p>
        </w:tc>
        <w:tc>
          <w:tcPr>
            <w:tcW w:w="1097" w:type="dxa"/>
            <w:vAlign w:val="center"/>
          </w:tcPr>
          <w:p w14:paraId="69653819">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铅</w:t>
            </w:r>
            <w:r>
              <w:rPr>
                <w:rFonts w:hint="eastAsia" w:ascii="Times New Roman" w:hAnsi="Times New Roman" w:eastAsia="华文中宋" w:cs="Times New Roman"/>
                <w:szCs w:val="21"/>
                <w:highlight w:val="none"/>
                <w:lang w:val="en-US" w:eastAsia="zh-CN"/>
              </w:rPr>
              <w:t>、锌</w:t>
            </w:r>
          </w:p>
        </w:tc>
      </w:tr>
      <w:tr w14:paraId="59974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dxa"/>
            <w:vAlign w:val="center"/>
          </w:tcPr>
          <w:p w14:paraId="25F9832C">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采矿区、堆场各类</w:t>
            </w:r>
          </w:p>
        </w:tc>
        <w:tc>
          <w:tcPr>
            <w:tcW w:w="1143" w:type="dxa"/>
            <w:vAlign w:val="center"/>
          </w:tcPr>
          <w:p w14:paraId="1B3FB531">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扬尘</w:t>
            </w:r>
          </w:p>
        </w:tc>
        <w:tc>
          <w:tcPr>
            <w:tcW w:w="2016" w:type="dxa"/>
            <w:vAlign w:val="center"/>
          </w:tcPr>
          <w:p w14:paraId="46DB9893">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大气沉降</w:t>
            </w:r>
          </w:p>
        </w:tc>
        <w:tc>
          <w:tcPr>
            <w:tcW w:w="3184" w:type="dxa"/>
            <w:vAlign w:val="center"/>
          </w:tcPr>
          <w:p w14:paraId="181EB3DC">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铅</w:t>
            </w:r>
          </w:p>
        </w:tc>
        <w:tc>
          <w:tcPr>
            <w:tcW w:w="1097" w:type="dxa"/>
            <w:vAlign w:val="center"/>
          </w:tcPr>
          <w:p w14:paraId="06E7DDA4">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铅</w:t>
            </w:r>
          </w:p>
        </w:tc>
      </w:tr>
    </w:tbl>
    <w:p w14:paraId="2E6EEF12">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表5.2-</w:t>
      </w:r>
      <w:r>
        <w:rPr>
          <w:rFonts w:hint="eastAsia" w:ascii="Times New Roman" w:hAnsi="Times New Roman" w:eastAsia="华文中宋" w:cs="Times New Roman"/>
          <w:b/>
          <w:szCs w:val="21"/>
          <w:lang w:val="en-US" w:eastAsia="zh-CN"/>
        </w:rPr>
        <w:t>29</w:t>
      </w:r>
      <w:r>
        <w:rPr>
          <w:rFonts w:hint="default" w:ascii="Times New Roman" w:hAnsi="Times New Roman" w:eastAsia="华文中宋" w:cs="Times New Roman"/>
          <w:b/>
          <w:szCs w:val="21"/>
          <w:lang w:val="en-US" w:eastAsia="zh-CN"/>
        </w:rPr>
        <w:t xml:space="preserve">  生态影响型建设项目土壤环境影响途径识别表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3"/>
        <w:gridCol w:w="1513"/>
        <w:gridCol w:w="1576"/>
        <w:gridCol w:w="1809"/>
        <w:gridCol w:w="2108"/>
      </w:tblGrid>
      <w:tr w14:paraId="593EB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3" w:type="dxa"/>
          </w:tcPr>
          <w:p w14:paraId="1166B8C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污染源</w:t>
            </w:r>
          </w:p>
        </w:tc>
        <w:tc>
          <w:tcPr>
            <w:tcW w:w="1513" w:type="dxa"/>
          </w:tcPr>
          <w:p w14:paraId="595F006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影响结果</w:t>
            </w:r>
          </w:p>
        </w:tc>
        <w:tc>
          <w:tcPr>
            <w:tcW w:w="1576" w:type="dxa"/>
          </w:tcPr>
          <w:p w14:paraId="0593E3C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影响途径</w:t>
            </w:r>
          </w:p>
        </w:tc>
        <w:tc>
          <w:tcPr>
            <w:tcW w:w="1809" w:type="dxa"/>
          </w:tcPr>
          <w:p w14:paraId="60214E8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具体指标</w:t>
            </w:r>
          </w:p>
        </w:tc>
        <w:tc>
          <w:tcPr>
            <w:tcW w:w="2108" w:type="dxa"/>
          </w:tcPr>
          <w:p w14:paraId="21B12D1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土壤环境敏感目标</w:t>
            </w:r>
          </w:p>
        </w:tc>
      </w:tr>
      <w:tr w14:paraId="034CD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3" w:type="dxa"/>
          </w:tcPr>
          <w:p w14:paraId="3612F47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采矿区</w:t>
            </w:r>
          </w:p>
        </w:tc>
        <w:tc>
          <w:tcPr>
            <w:tcW w:w="1513" w:type="dxa"/>
          </w:tcPr>
          <w:p w14:paraId="7D8B68B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其他</w:t>
            </w:r>
          </w:p>
        </w:tc>
        <w:tc>
          <w:tcPr>
            <w:tcW w:w="1576" w:type="dxa"/>
          </w:tcPr>
          <w:p w14:paraId="05A8619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水位变化</w:t>
            </w:r>
          </w:p>
        </w:tc>
        <w:tc>
          <w:tcPr>
            <w:tcW w:w="1809" w:type="dxa"/>
          </w:tcPr>
          <w:p w14:paraId="3128A70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土壤盐碱化</w:t>
            </w:r>
          </w:p>
        </w:tc>
        <w:tc>
          <w:tcPr>
            <w:tcW w:w="2108" w:type="dxa"/>
          </w:tcPr>
          <w:p w14:paraId="59E8079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盐分含量、pH</w:t>
            </w:r>
          </w:p>
        </w:tc>
      </w:tr>
    </w:tbl>
    <w:p w14:paraId="4303EFB3">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项目的预测评价范围与调查评价范围一致，生态影响型评价时段为运营期和服务期满后；污染影响型评价时段为运营期。按项目正常运营和事故状态两种情形为预测情景。</w:t>
      </w:r>
    </w:p>
    <w:p w14:paraId="15F442C1">
      <w:pPr>
        <w:pStyle w:val="24"/>
        <w:snapToGrid w:val="0"/>
        <w:ind w:left="0" w:leftChars="0" w:firstLine="0" w:firstLineChars="0"/>
        <w:jc w:val="left"/>
        <w:rPr>
          <w:rFonts w:hint="default" w:ascii="Times New Roman" w:hAnsi="Times New Roman" w:eastAsia="华文中宋" w:cs="Times New Roman"/>
          <w:b/>
          <w:bCs/>
          <w:color w:val="auto"/>
          <w:lang w:val="en-US" w:eastAsia="zh-CN"/>
        </w:rPr>
      </w:pPr>
      <w:r>
        <w:rPr>
          <w:rFonts w:hint="eastAsia" w:ascii="Times New Roman" w:hAnsi="Times New Roman" w:cs="Times New Roman"/>
          <w:b/>
          <w:bCs/>
          <w:color w:val="auto"/>
          <w:lang w:val="en-US" w:eastAsia="zh-CN"/>
        </w:rPr>
        <w:t>5.2.6.2</w:t>
      </w:r>
      <w:r>
        <w:rPr>
          <w:rFonts w:hint="default" w:ascii="Times New Roman" w:hAnsi="Times New Roman" w:eastAsia="华文中宋" w:cs="Times New Roman"/>
          <w:b/>
          <w:bCs/>
          <w:color w:val="auto"/>
          <w:lang w:val="en-US" w:eastAsia="zh-CN"/>
        </w:rPr>
        <w:t>污染影响型土壤影响预测与分析</w:t>
      </w:r>
    </w:p>
    <w:p w14:paraId="4D8B964B">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按照《环境影响评价技术导则</w:t>
      </w:r>
      <w:r>
        <w:rPr>
          <w:rFonts w:hint="eastAsia" w:ascii="Times New Roman" w:hAnsi="Times New Roman" w:eastAsia="华文中宋" w:cs="Times New Roman"/>
          <w:color w:val="auto"/>
          <w:lang w:val="en-US" w:eastAsia="zh-CN"/>
        </w:rPr>
        <w:t xml:space="preserve"> </w:t>
      </w:r>
      <w:r>
        <w:rPr>
          <w:rFonts w:hint="default" w:ascii="Times New Roman" w:hAnsi="Times New Roman" w:eastAsia="华文中宋" w:cs="Times New Roman"/>
          <w:color w:val="auto"/>
          <w:lang w:val="en-US" w:eastAsia="zh-CN"/>
        </w:rPr>
        <w:t>土壤环境（试行）》（HJ964-2018）的相关要求，根据土壤环境影响评价项目类别、占地规模与敏感程度，确定本项目污染影响型土壤环境评价工作等级为二级。本项目产生废水全部利用不外排，因此不考虑矿山开采过程中通过地表漫流对土壤环境的影响，本项目对土壤的影响途径主要为大气沉降和垂直入渗。</w:t>
      </w:r>
    </w:p>
    <w:p w14:paraId="777B1A2A">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（1）</w:t>
      </w:r>
      <w:r>
        <w:rPr>
          <w:rFonts w:hint="default" w:ascii="Times New Roman" w:hAnsi="Times New Roman" w:eastAsia="华文中宋" w:cs="Times New Roman"/>
          <w:color w:val="auto"/>
          <w:lang w:val="en-US" w:eastAsia="zh-CN"/>
        </w:rPr>
        <w:t>大气沉降</w:t>
      </w:r>
    </w:p>
    <w:p w14:paraId="3F04E256">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本次评价采用《环境影响评价技术导则土壤环境（试行）》（HJ964-2018）中附录E土壤环境影响预测方法预测采矿工业场地各废气污染源含重金属粉尘通过自然沉降进入周边土壤量。</w:t>
      </w:r>
    </w:p>
    <w:p w14:paraId="14236A7E">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采用下列公式计算单位质量土壤中某种物质的增量：</w:t>
      </w:r>
    </w:p>
    <w:p w14:paraId="28CF8E88">
      <w:pPr>
        <w:pStyle w:val="24"/>
        <w:snapToGrid w:val="0"/>
        <w:jc w:val="center"/>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ΔS=n</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Is-Ls-Rs</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ρb×A×D</w:t>
      </w:r>
      <w:r>
        <w:rPr>
          <w:rFonts w:hint="eastAsia" w:ascii="Times New Roman" w:hAnsi="Times New Roman" w:cs="Times New Roman"/>
          <w:color w:val="auto"/>
          <w:lang w:val="en-US" w:eastAsia="zh-CN"/>
        </w:rPr>
        <w:t>)</w:t>
      </w:r>
    </w:p>
    <w:p w14:paraId="5C8F2642">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式中：ΔS——单位质量表层土壤中某种物质的增量，</w:t>
      </w:r>
      <w:r>
        <w:rPr>
          <w:rFonts w:hint="eastAsia" w:ascii="Times New Roman" w:hAnsi="Times New Roman" w:eastAsia="华文中宋" w:cs="Times New Roman"/>
          <w:color w:val="auto"/>
          <w:lang w:val="en-US" w:eastAsia="zh-CN"/>
        </w:rPr>
        <w:t>m</w:t>
      </w:r>
      <w:r>
        <w:rPr>
          <w:rFonts w:hint="default" w:ascii="Times New Roman" w:hAnsi="Times New Roman" w:eastAsia="华文中宋" w:cs="Times New Roman"/>
          <w:color w:val="auto"/>
          <w:lang w:val="en-US" w:eastAsia="zh-CN"/>
        </w:rPr>
        <w:t>g/kg；</w:t>
      </w:r>
    </w:p>
    <w:p w14:paraId="1096F2C8">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Is——预测评价范围内单位年份表层土壤中某种物质的输入量，g（</w:t>
      </w:r>
      <w:r>
        <w:rPr>
          <w:rFonts w:hint="eastAsia" w:ascii="Times New Roman" w:hAnsi="Times New Roman" w:cs="Times New Roman"/>
          <w:color w:val="auto"/>
          <w:lang w:val="en-US" w:eastAsia="zh-CN"/>
        </w:rPr>
        <w:t>根据表5.2-12，本项目铅的排放量为0.024t/a）</w:t>
      </w:r>
      <w:r>
        <w:rPr>
          <w:rFonts w:hint="default" w:ascii="Times New Roman" w:hAnsi="Times New Roman" w:eastAsia="华文中宋" w:cs="Times New Roman"/>
          <w:color w:val="auto"/>
          <w:lang w:val="en-US" w:eastAsia="zh-CN"/>
        </w:rPr>
        <w:t>；</w:t>
      </w:r>
    </w:p>
    <w:p w14:paraId="725D30F4">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Ls——预测评价范围内单位年份表层土壤中某种物质经淋溶排出的量，g（考虑最不利影响，取值0）；</w:t>
      </w:r>
    </w:p>
    <w:p w14:paraId="61DF5A39">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Rs——预测评价范围内单位年份表层土壤中某种物质经径流排出的量，g（考虑最不利影响，取值0）；</w:t>
      </w:r>
    </w:p>
    <w:p w14:paraId="19C321EF">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ρb——土壤容重，kg/m</w:t>
      </w:r>
      <w:r>
        <w:rPr>
          <w:rFonts w:hint="default" w:ascii="Times New Roman" w:hAnsi="Times New Roman" w:eastAsia="华文中宋" w:cs="Times New Roman"/>
          <w:color w:val="auto"/>
          <w:vertAlign w:val="superscript"/>
          <w:lang w:val="en-US" w:eastAsia="zh-CN"/>
        </w:rPr>
        <w:t>3</w:t>
      </w:r>
      <w:r>
        <w:rPr>
          <w:rFonts w:hint="default" w:ascii="Times New Roman" w:hAnsi="Times New Roman" w:eastAsia="华文中宋" w:cs="Times New Roman"/>
          <w:color w:val="auto"/>
          <w:lang w:val="en-US" w:eastAsia="zh-CN"/>
        </w:rPr>
        <w:t>（</w:t>
      </w:r>
      <w:r>
        <w:rPr>
          <w:rFonts w:hint="eastAsia" w:ascii="Times New Roman" w:hAnsi="Times New Roman" w:eastAsia="华文中宋" w:cs="Times New Roman"/>
          <w:color w:val="auto"/>
          <w:lang w:val="en-US" w:eastAsia="zh-CN"/>
        </w:rPr>
        <w:t>15</w:t>
      </w:r>
      <w:r>
        <w:rPr>
          <w:rFonts w:hint="eastAsia" w:ascii="Times New Roman" w:hAnsi="Times New Roman" w:cs="Times New Roman"/>
          <w:color w:val="auto"/>
          <w:lang w:val="en-US" w:eastAsia="zh-CN"/>
        </w:rPr>
        <w:t>1</w:t>
      </w:r>
      <w:r>
        <w:rPr>
          <w:rFonts w:hint="eastAsia" w:ascii="Times New Roman" w:hAnsi="Times New Roman" w:eastAsia="华文中宋" w:cs="Times New Roman"/>
          <w:color w:val="auto"/>
          <w:lang w:val="en-US" w:eastAsia="zh-CN"/>
        </w:rPr>
        <w:t>0</w:t>
      </w:r>
      <w:r>
        <w:rPr>
          <w:rFonts w:hint="default" w:ascii="Times New Roman" w:hAnsi="Times New Roman" w:eastAsia="华文中宋" w:cs="Times New Roman"/>
          <w:color w:val="auto"/>
          <w:lang w:val="en-US" w:eastAsia="zh-CN"/>
        </w:rPr>
        <w:t>kg/m</w:t>
      </w:r>
      <w:r>
        <w:rPr>
          <w:rFonts w:hint="default" w:ascii="Times New Roman" w:hAnsi="Times New Roman" w:eastAsia="华文中宋" w:cs="Times New Roman"/>
          <w:color w:val="auto"/>
          <w:vertAlign w:val="superscript"/>
          <w:lang w:val="en-US" w:eastAsia="zh-CN"/>
        </w:rPr>
        <w:t>3</w:t>
      </w:r>
      <w:r>
        <w:rPr>
          <w:rFonts w:hint="default" w:ascii="Times New Roman" w:hAnsi="Times New Roman" w:eastAsia="华文中宋" w:cs="Times New Roman"/>
          <w:color w:val="auto"/>
          <w:lang w:val="en-US" w:eastAsia="zh-CN"/>
        </w:rPr>
        <w:t>）；</w:t>
      </w:r>
    </w:p>
    <w:p w14:paraId="124D45D1">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A——预测评价范围，m</w:t>
      </w:r>
      <w:r>
        <w:rPr>
          <w:rFonts w:hint="default" w:ascii="Times New Roman" w:hAnsi="Times New Roman" w:eastAsia="华文中宋" w:cs="Times New Roman"/>
          <w:color w:val="auto"/>
          <w:vertAlign w:val="superscript"/>
          <w:lang w:val="en-US" w:eastAsia="zh-CN"/>
        </w:rPr>
        <w:t>2</w:t>
      </w:r>
      <w:r>
        <w:rPr>
          <w:rFonts w:hint="default" w:ascii="Times New Roman" w:hAnsi="Times New Roman" w:eastAsia="华文中宋" w:cs="Times New Roman"/>
          <w:color w:val="auto"/>
          <w:lang w:val="en-US" w:eastAsia="zh-CN"/>
        </w:rPr>
        <w:t>（</w:t>
      </w:r>
      <w:r>
        <w:rPr>
          <w:rFonts w:hint="eastAsia" w:ascii="Times New Roman" w:hAnsi="Times New Roman" w:cs="Times New Roman"/>
          <w:color w:val="auto"/>
          <w:lang w:val="en-US" w:eastAsia="zh-CN"/>
        </w:rPr>
        <w:t>占地916800</w:t>
      </w:r>
      <w:r>
        <w:rPr>
          <w:rFonts w:hint="eastAsia" w:ascii="Times New Roman" w:hAnsi="Times New Roman" w:eastAsia="华文中宋" w:cs="Times New Roman"/>
          <w:color w:val="auto"/>
          <w:lang w:val="en-US" w:eastAsia="zh-CN"/>
        </w:rPr>
        <w:t>m</w:t>
      </w:r>
      <w:r>
        <w:rPr>
          <w:rFonts w:hint="eastAsia" w:ascii="Times New Roman" w:hAnsi="Times New Roman" w:eastAsia="华文中宋" w:cs="Times New Roman"/>
          <w:color w:val="auto"/>
          <w:vertAlign w:val="superscript"/>
          <w:lang w:val="en-US" w:eastAsia="zh-CN"/>
        </w:rPr>
        <w:t>2</w:t>
      </w:r>
      <w:r>
        <w:rPr>
          <w:rFonts w:hint="default" w:ascii="Times New Roman" w:hAnsi="Times New Roman" w:eastAsia="华文中宋" w:cs="Times New Roman"/>
          <w:color w:val="auto"/>
          <w:lang w:val="en-US" w:eastAsia="zh-CN"/>
        </w:rPr>
        <w:t>）；</w:t>
      </w:r>
    </w:p>
    <w:p w14:paraId="225B1B01">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D——表层土壤深度，一般取0.2m；</w:t>
      </w:r>
    </w:p>
    <w:p w14:paraId="4AC95130">
      <w:pPr>
        <w:pStyle w:val="24"/>
        <w:snapToGrid w:val="0"/>
        <w:jc w:val="left"/>
      </w:pPr>
      <w:r>
        <w:rPr>
          <w:rFonts w:hint="default" w:ascii="Times New Roman" w:hAnsi="Times New Roman" w:eastAsia="华文中宋" w:cs="Times New Roman"/>
          <w:color w:val="auto"/>
          <w:lang w:val="en-US" w:eastAsia="zh-CN"/>
        </w:rPr>
        <w:t>N——持续年份，a（</w:t>
      </w:r>
      <w:r>
        <w:rPr>
          <w:rFonts w:hint="eastAsia" w:ascii="Times New Roman" w:hAnsi="Times New Roman" w:cs="Times New Roman"/>
          <w:color w:val="auto"/>
          <w:lang w:val="en-US" w:eastAsia="zh-CN"/>
        </w:rPr>
        <w:t>项目</w:t>
      </w:r>
      <w:r>
        <w:rPr>
          <w:rFonts w:hint="default" w:ascii="Times New Roman" w:hAnsi="Times New Roman" w:eastAsia="华文中宋" w:cs="Times New Roman"/>
          <w:color w:val="auto"/>
          <w:lang w:val="en-US" w:eastAsia="zh-CN"/>
        </w:rPr>
        <w:t>总服务年限</w:t>
      </w:r>
      <w:r>
        <w:rPr>
          <w:rFonts w:hint="eastAsia" w:ascii="Times New Roman" w:hAnsi="Times New Roman" w:cs="Times New Roman"/>
          <w:color w:val="auto"/>
          <w:lang w:val="en-US" w:eastAsia="zh-CN"/>
        </w:rPr>
        <w:t>5.09</w:t>
      </w:r>
      <w:r>
        <w:rPr>
          <w:rFonts w:hint="default" w:ascii="Times New Roman" w:hAnsi="Times New Roman" w:eastAsia="华文中宋" w:cs="Times New Roman"/>
          <w:color w:val="auto"/>
          <w:lang w:val="en-US" w:eastAsia="zh-CN"/>
        </w:rPr>
        <w:t>年）</w:t>
      </w:r>
      <w:r>
        <w:t>。</w:t>
      </w:r>
    </w:p>
    <w:p w14:paraId="40E24F31">
      <w:pPr>
        <w:pStyle w:val="24"/>
        <w:snapToGrid w:val="0"/>
        <w:jc w:val="left"/>
      </w:pPr>
      <w:r>
        <w:rPr>
          <w:rFonts w:hint="eastAsia" w:ascii="Times New Roman" w:hAnsi="Times New Roman" w:eastAsia="华文中宋" w:cs="Times New Roman"/>
          <w:color w:val="auto"/>
          <w:lang w:val="en-US" w:eastAsia="zh-CN"/>
        </w:rPr>
        <w:t>预测参数及结果见表</w:t>
      </w:r>
      <w:r>
        <w:rPr>
          <w:rFonts w:hint="eastAsia" w:ascii="Times New Roman" w:hAnsi="Times New Roman" w:cs="Times New Roman"/>
          <w:color w:val="auto"/>
          <w:lang w:val="en-US" w:eastAsia="zh-CN"/>
        </w:rPr>
        <w:t>5.2-30</w:t>
      </w:r>
      <w:r>
        <w:rPr>
          <w:rFonts w:hint="eastAsia" w:ascii="Times New Roman" w:hAnsi="Times New Roman" w:eastAsia="华文中宋" w:cs="Times New Roman"/>
          <w:color w:val="auto"/>
          <w:lang w:val="en-US" w:eastAsia="zh-CN"/>
        </w:rPr>
        <w:t>。</w:t>
      </w:r>
    </w:p>
    <w:p w14:paraId="496333BB">
      <w:pPr>
        <w:adjustRightInd w:val="0"/>
        <w:snapToGrid w:val="0"/>
        <w:ind w:firstLine="0" w:firstLineChars="0"/>
        <w:jc w:val="center"/>
        <w:rPr>
          <w:b/>
          <w:szCs w:val="20"/>
        </w:rPr>
      </w:pPr>
      <w:r>
        <w:rPr>
          <w:rFonts w:hint="eastAsia"/>
          <w:b/>
          <w:szCs w:val="20"/>
        </w:rPr>
        <w:t>表</w:t>
      </w:r>
      <w:r>
        <w:rPr>
          <w:rFonts w:hint="eastAsia"/>
          <w:b/>
          <w:szCs w:val="20"/>
          <w:lang w:val="en-US" w:eastAsia="zh-CN"/>
        </w:rPr>
        <w:t>5.2-30</w:t>
      </w:r>
      <w:r>
        <w:rPr>
          <w:rFonts w:hint="eastAsia"/>
          <w:b/>
          <w:szCs w:val="20"/>
        </w:rPr>
        <w:t xml:space="preserve">  铅大气沉降影响预测结果</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1223"/>
        <w:gridCol w:w="949"/>
        <w:gridCol w:w="881"/>
        <w:gridCol w:w="1208"/>
        <w:gridCol w:w="985"/>
        <w:gridCol w:w="1284"/>
        <w:gridCol w:w="1208"/>
      </w:tblGrid>
      <w:tr w14:paraId="37E8B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12D21924">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持续年份n（a）</w:t>
            </w:r>
          </w:p>
        </w:tc>
        <w:tc>
          <w:tcPr>
            <w:tcW w:w="0" w:type="auto"/>
            <w:shd w:val="clear" w:color="auto" w:fill="auto"/>
            <w:vAlign w:val="center"/>
          </w:tcPr>
          <w:p w14:paraId="016C9653">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表层土壤容重ρb（kg/m</w:t>
            </w:r>
            <w:r>
              <w:rPr>
                <w:rFonts w:hint="eastAsia" w:ascii="Times New Roman" w:hAnsi="Times New Roman" w:eastAsia="华文中宋" w:cs="Times New Roman"/>
                <w:szCs w:val="21"/>
                <w:vertAlign w:val="superscript"/>
                <w:lang w:val="en-US" w:eastAsia="zh-CN"/>
              </w:rPr>
              <w:t>3</w:t>
            </w:r>
            <w:r>
              <w:rPr>
                <w:rFonts w:hint="eastAsia" w:ascii="Times New Roman" w:hAnsi="Times New Roman" w:eastAsia="华文中宋" w:cs="Times New Roman"/>
                <w:szCs w:val="21"/>
                <w:lang w:val="en-US" w:eastAsia="zh-CN"/>
              </w:rPr>
              <w:t>）</w:t>
            </w:r>
          </w:p>
        </w:tc>
        <w:tc>
          <w:tcPr>
            <w:tcW w:w="0" w:type="auto"/>
            <w:shd w:val="clear" w:color="auto" w:fill="auto"/>
            <w:vAlign w:val="center"/>
          </w:tcPr>
          <w:p w14:paraId="5242E4DD">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预测评价范围A（m</w:t>
            </w:r>
            <w:r>
              <w:rPr>
                <w:rFonts w:hint="eastAsia" w:ascii="Times New Roman" w:hAnsi="Times New Roman" w:eastAsia="华文中宋" w:cs="Times New Roman"/>
                <w:szCs w:val="21"/>
                <w:vertAlign w:val="superscript"/>
                <w:lang w:val="en-US" w:eastAsia="zh-CN"/>
              </w:rPr>
              <w:t>2</w:t>
            </w:r>
            <w:r>
              <w:rPr>
                <w:rFonts w:hint="eastAsia" w:ascii="Times New Roman" w:hAnsi="Times New Roman" w:eastAsia="华文中宋" w:cs="Times New Roman"/>
                <w:szCs w:val="21"/>
                <w:lang w:val="en-US" w:eastAsia="zh-CN"/>
              </w:rPr>
              <w:t>）</w:t>
            </w:r>
          </w:p>
        </w:tc>
        <w:tc>
          <w:tcPr>
            <w:tcW w:w="0" w:type="auto"/>
            <w:shd w:val="clear" w:color="auto" w:fill="auto"/>
            <w:vAlign w:val="center"/>
          </w:tcPr>
          <w:p w14:paraId="39DC7104">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表层土壤深度D（m）</w:t>
            </w:r>
          </w:p>
        </w:tc>
        <w:tc>
          <w:tcPr>
            <w:tcW w:w="0" w:type="auto"/>
            <w:shd w:val="clear" w:color="auto" w:fill="auto"/>
            <w:vAlign w:val="center"/>
          </w:tcPr>
          <w:p w14:paraId="7523FE4A">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背景值（mg/kg）</w:t>
            </w:r>
          </w:p>
        </w:tc>
        <w:tc>
          <w:tcPr>
            <w:tcW w:w="0" w:type="auto"/>
            <w:shd w:val="clear" w:color="auto" w:fill="auto"/>
            <w:vAlign w:val="center"/>
          </w:tcPr>
          <w:p w14:paraId="62F62AD2">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持续年份输入量Is（g/a）</w:t>
            </w:r>
          </w:p>
        </w:tc>
        <w:tc>
          <w:tcPr>
            <w:tcW w:w="0" w:type="auto"/>
            <w:shd w:val="clear" w:color="auto" w:fill="auto"/>
            <w:vAlign w:val="center"/>
          </w:tcPr>
          <w:p w14:paraId="18767C66">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土壤中污染物增量ΔS（mg/kg）</w:t>
            </w:r>
          </w:p>
        </w:tc>
        <w:tc>
          <w:tcPr>
            <w:tcW w:w="0" w:type="auto"/>
            <w:shd w:val="clear" w:color="auto" w:fill="auto"/>
            <w:vAlign w:val="center"/>
          </w:tcPr>
          <w:p w14:paraId="4BA6664D">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预测值（mg/kg）</w:t>
            </w:r>
          </w:p>
        </w:tc>
      </w:tr>
      <w:tr w14:paraId="0CF8A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1C2388E7">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5.09</w:t>
            </w:r>
          </w:p>
        </w:tc>
        <w:tc>
          <w:tcPr>
            <w:tcW w:w="0" w:type="auto"/>
            <w:shd w:val="clear" w:color="auto" w:fill="auto"/>
            <w:vAlign w:val="center"/>
          </w:tcPr>
          <w:p w14:paraId="37527A8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1510</w:t>
            </w:r>
          </w:p>
        </w:tc>
        <w:tc>
          <w:tcPr>
            <w:tcW w:w="0" w:type="auto"/>
            <w:shd w:val="clear" w:color="auto" w:fill="auto"/>
            <w:vAlign w:val="center"/>
          </w:tcPr>
          <w:p w14:paraId="29FB4FE0">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916800</w:t>
            </w:r>
          </w:p>
        </w:tc>
        <w:tc>
          <w:tcPr>
            <w:tcW w:w="0" w:type="auto"/>
            <w:shd w:val="clear" w:color="auto" w:fill="auto"/>
            <w:vAlign w:val="center"/>
          </w:tcPr>
          <w:p w14:paraId="5700E6A8">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0.2</w:t>
            </w:r>
          </w:p>
        </w:tc>
        <w:tc>
          <w:tcPr>
            <w:tcW w:w="0" w:type="auto"/>
            <w:shd w:val="clear" w:color="auto" w:fill="auto"/>
            <w:vAlign w:val="center"/>
          </w:tcPr>
          <w:p w14:paraId="69D8162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14.567</w:t>
            </w:r>
          </w:p>
        </w:tc>
        <w:tc>
          <w:tcPr>
            <w:tcW w:w="0" w:type="auto"/>
            <w:shd w:val="clear" w:color="auto" w:fill="auto"/>
            <w:vAlign w:val="center"/>
          </w:tcPr>
          <w:p w14:paraId="62F67DB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24000</w:t>
            </w:r>
          </w:p>
        </w:tc>
        <w:tc>
          <w:tcPr>
            <w:tcW w:w="0" w:type="auto"/>
            <w:shd w:val="clear" w:color="auto" w:fill="auto"/>
            <w:vAlign w:val="center"/>
          </w:tcPr>
          <w:p w14:paraId="169016A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0.0004</w:t>
            </w:r>
          </w:p>
        </w:tc>
        <w:tc>
          <w:tcPr>
            <w:tcW w:w="0" w:type="auto"/>
            <w:shd w:val="clear" w:color="auto" w:fill="auto"/>
            <w:vAlign w:val="center"/>
          </w:tcPr>
          <w:p w14:paraId="59B1233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14.5674</w:t>
            </w:r>
          </w:p>
        </w:tc>
      </w:tr>
    </w:tbl>
    <w:p w14:paraId="42D6ADFB">
      <w:pPr>
        <w:pStyle w:val="24"/>
        <w:snapToGrid w:val="0"/>
        <w:jc w:val="left"/>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根据大气沉降预测结果，本项目在运营期结束后，其大气沉降中的重金属，对周边土壤环境质量的影响不大，不会导致周边土壤超过相应环境质量标准。</w:t>
      </w:r>
    </w:p>
    <w:p w14:paraId="12E64E2B">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w:t>
      </w:r>
      <w:r>
        <w:rPr>
          <w:rFonts w:hint="eastAsia" w:ascii="Times New Roman" w:hAnsi="Times New Roman" w:cs="Times New Roman"/>
          <w:color w:val="auto"/>
          <w:lang w:val="en-US" w:eastAsia="zh-CN"/>
        </w:rPr>
        <w:t>2</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垂直入渗</w:t>
      </w:r>
    </w:p>
    <w:p w14:paraId="0E4B8262">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本工程入渗土壤污染源</w:t>
      </w:r>
      <w:r>
        <w:rPr>
          <w:rFonts w:hint="eastAsia" w:ascii="Times New Roman" w:hAnsi="Times New Roman" w:cs="Times New Roman"/>
          <w:color w:val="auto"/>
          <w:lang w:val="en-US" w:eastAsia="zh-CN"/>
        </w:rPr>
        <w:t>主要为废石堆放场</w:t>
      </w:r>
      <w:r>
        <w:rPr>
          <w:rFonts w:hint="default" w:ascii="Times New Roman" w:hAnsi="Times New Roman" w:eastAsia="华文中宋" w:cs="Times New Roman"/>
          <w:color w:val="auto"/>
          <w:lang w:val="en-US" w:eastAsia="zh-CN"/>
        </w:rPr>
        <w:t>。</w:t>
      </w:r>
    </w:p>
    <w:p w14:paraId="02FB3C30">
      <w:pPr>
        <w:pStyle w:val="24"/>
        <w:snapToGrid w:val="0"/>
        <w:jc w:val="left"/>
        <w:rPr>
          <w:rFonts w:hint="default" w:ascii="Times New Roman" w:hAnsi="Times New Roman" w:eastAsia="华文中宋" w:cs="Times New Roman"/>
          <w:color w:val="auto"/>
          <w:lang w:val="en-US"/>
        </w:rPr>
      </w:pPr>
      <w:r>
        <w:rPr>
          <w:rFonts w:hint="default" w:ascii="Times New Roman" w:hAnsi="Times New Roman" w:eastAsia="华文中宋" w:cs="Times New Roman"/>
          <w:color w:val="auto"/>
          <w:lang w:val="en-US" w:eastAsia="zh-CN"/>
        </w:rPr>
        <w:t>根据《环境影响评价技术导则 土壤环境（试行）》（HJ964-2018）附录E，确定预测方法如下：</w:t>
      </w:r>
    </w:p>
    <w:p w14:paraId="4A2C188F">
      <w:pPr>
        <w:pStyle w:val="24"/>
        <w:snapToGrid w:val="0"/>
        <w:ind w:left="0" w:leftChars="0" w:firstLine="480" w:firstLineChars="20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①单位质量土壤中某种物质的增量可用下式计算：</w:t>
      </w:r>
    </w:p>
    <w:p w14:paraId="42114CE5">
      <w:pPr>
        <w:pStyle w:val="24"/>
        <w:snapToGrid w:val="0"/>
        <w:jc w:val="center"/>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△S=n(Is-Ls-Rs)/(ρb×A×D)</w:t>
      </w:r>
    </w:p>
    <w:p w14:paraId="5F3D8F71">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式中：</w:t>
      </w:r>
    </w:p>
    <w:p w14:paraId="576C8236">
      <w:pPr>
        <w:pStyle w:val="24"/>
        <w:snapToGrid w:val="0"/>
        <w:ind w:firstLine="1200" w:firstLineChars="50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val="en-US" w:eastAsia="zh-CN"/>
        </w:rPr>
        <w:t>△S——单位质量表层土壤中某种物质的增量，g/kg；</w:t>
      </w:r>
    </w:p>
    <w:p w14:paraId="1B243C32">
      <w:pPr>
        <w:pStyle w:val="24"/>
        <w:snapToGrid w:val="0"/>
        <w:ind w:firstLine="1200" w:firstLineChars="50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val="en-US" w:eastAsia="zh-CN"/>
        </w:rPr>
        <w:t>Is——预测评价范围内单位年份表层土壤中某种物质的输入量，g；</w:t>
      </w:r>
    </w:p>
    <w:p w14:paraId="6603BCD2">
      <w:pPr>
        <w:pStyle w:val="24"/>
        <w:snapToGrid w:val="0"/>
        <w:ind w:firstLine="1200" w:firstLineChars="50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val="en-US" w:eastAsia="zh-CN"/>
        </w:rPr>
        <w:t>Ls——预测评价范围内单位年份土壤中某种物质经淋溶排出的量，g；</w:t>
      </w:r>
    </w:p>
    <w:p w14:paraId="41096469">
      <w:pPr>
        <w:pStyle w:val="24"/>
        <w:snapToGrid w:val="0"/>
        <w:ind w:firstLine="1200" w:firstLineChars="50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val="en-US" w:eastAsia="zh-CN"/>
        </w:rPr>
        <w:t>Rs——预测评价范围内单位年份表层土壤中某种物质经径流排出的量，g；</w:t>
      </w:r>
    </w:p>
    <w:p w14:paraId="0FD715A6">
      <w:pPr>
        <w:pStyle w:val="24"/>
        <w:snapToGrid w:val="0"/>
        <w:ind w:firstLine="1200" w:firstLineChars="50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val="en-US" w:eastAsia="zh-CN"/>
        </w:rPr>
        <w:t>ρb——表层土壤容重，kg/m</w:t>
      </w:r>
      <w:r>
        <w:rPr>
          <w:rFonts w:hint="default" w:ascii="Times New Roman" w:hAnsi="Times New Roman" w:eastAsia="华文中宋" w:cs="Times New Roman"/>
          <w:color w:val="auto"/>
          <w:vertAlign w:val="superscript"/>
          <w:lang w:val="en-US" w:eastAsia="zh-CN"/>
        </w:rPr>
        <w:t>3</w:t>
      </w:r>
      <w:r>
        <w:rPr>
          <w:rFonts w:hint="default" w:ascii="Times New Roman" w:hAnsi="Times New Roman" w:eastAsia="华文中宋" w:cs="Times New Roman"/>
          <w:color w:val="auto"/>
          <w:lang w:val="en-US" w:eastAsia="zh-CN"/>
        </w:rPr>
        <w:t>；</w:t>
      </w:r>
    </w:p>
    <w:p w14:paraId="16A54569">
      <w:pPr>
        <w:pStyle w:val="24"/>
        <w:snapToGrid w:val="0"/>
        <w:ind w:firstLine="1200" w:firstLineChars="50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val="en-US" w:eastAsia="zh-CN"/>
        </w:rPr>
        <w:t>D——表层土壤深度，一般取0.2m，可根据实际情况适当调整；</w:t>
      </w:r>
    </w:p>
    <w:p w14:paraId="10C69754">
      <w:pPr>
        <w:pStyle w:val="24"/>
        <w:snapToGrid w:val="0"/>
        <w:ind w:firstLine="1200" w:firstLineChars="500"/>
        <w:jc w:val="left"/>
        <w:rPr>
          <w:rFonts w:hint="default" w:ascii="Times New Roman" w:hAnsi="Times New Roman" w:eastAsia="华文中宋" w:cs="Times New Roman"/>
          <w:color w:val="auto"/>
          <w:highlight w:val="none"/>
        </w:rPr>
      </w:pPr>
      <w:r>
        <w:rPr>
          <w:rFonts w:hint="default" w:ascii="Times New Roman" w:hAnsi="Times New Roman" w:eastAsia="华文中宋" w:cs="Times New Roman"/>
          <w:color w:val="auto"/>
          <w:highlight w:val="none"/>
          <w:lang w:val="en-US" w:eastAsia="zh-CN"/>
        </w:rPr>
        <w:t>N——持续年份，a。</w:t>
      </w:r>
    </w:p>
    <w:p w14:paraId="0649CB94">
      <w:pPr>
        <w:pStyle w:val="24"/>
        <w:snapToGrid w:val="0"/>
        <w:ind w:left="0" w:leftChars="0" w:firstLine="480" w:firstLineChars="200"/>
        <w:jc w:val="left"/>
        <w:rPr>
          <w:rFonts w:hint="default" w:ascii="Times New Roman" w:hAnsi="Times New Roman" w:eastAsia="华文中宋" w:cs="Times New Roman"/>
          <w:color w:val="auto"/>
          <w:highlight w:val="none"/>
          <w:lang w:val="en-US" w:eastAsia="zh-CN"/>
        </w:rPr>
      </w:pPr>
      <w:r>
        <w:rPr>
          <w:rFonts w:hint="default" w:ascii="Times New Roman" w:hAnsi="Times New Roman" w:eastAsia="华文中宋" w:cs="Times New Roman"/>
          <w:color w:val="auto"/>
          <w:highlight w:val="none"/>
          <w:lang w:val="en-US" w:eastAsia="zh-CN"/>
        </w:rPr>
        <w:t>②单位质量土壤中某种物质的预测值可根据其增量叠加现状值进行计算</w:t>
      </w:r>
    </w:p>
    <w:p w14:paraId="3D8704B1">
      <w:pPr>
        <w:pStyle w:val="24"/>
        <w:snapToGrid w:val="0"/>
        <w:ind w:firstLine="960" w:firstLineChars="400"/>
        <w:jc w:val="left"/>
        <w:rPr>
          <w:rFonts w:hint="default" w:ascii="Times New Roman" w:hAnsi="Times New Roman" w:eastAsia="华文中宋" w:cs="Times New Roman"/>
          <w:color w:val="auto"/>
          <w:highlight w:val="none"/>
        </w:rPr>
      </w:pPr>
      <w:r>
        <w:rPr>
          <w:rFonts w:hint="default" w:ascii="Times New Roman" w:hAnsi="Times New Roman" w:eastAsia="华文中宋" w:cs="Times New Roman"/>
          <w:color w:val="auto"/>
          <w:highlight w:val="none"/>
          <w:lang w:val="en-US" w:eastAsia="zh-CN"/>
        </w:rPr>
        <w:t>如式：</w:t>
      </w:r>
    </w:p>
    <w:p w14:paraId="75A4336A">
      <w:pPr>
        <w:pStyle w:val="24"/>
        <w:snapToGrid w:val="0"/>
        <w:jc w:val="center"/>
        <w:rPr>
          <w:rFonts w:hint="default" w:ascii="Times New Roman" w:hAnsi="Times New Roman" w:eastAsia="华文中宋" w:cs="Times New Roman"/>
          <w:color w:val="auto"/>
          <w:highlight w:val="none"/>
          <w:lang w:val="en-US" w:eastAsia="zh-CN"/>
        </w:rPr>
      </w:pPr>
      <w:r>
        <w:rPr>
          <w:rFonts w:hint="default" w:ascii="Times New Roman" w:hAnsi="Times New Roman" w:eastAsia="华文中宋" w:cs="Times New Roman"/>
          <w:color w:val="auto"/>
          <w:highlight w:val="none"/>
          <w:lang w:val="en-US" w:eastAsia="zh-CN"/>
        </w:rPr>
        <w:t>S=Sb+△S</w:t>
      </w:r>
    </w:p>
    <w:p w14:paraId="753B4757">
      <w:pPr>
        <w:pStyle w:val="24"/>
        <w:snapToGrid w:val="0"/>
        <w:jc w:val="left"/>
        <w:rPr>
          <w:rFonts w:hint="default" w:ascii="Times New Roman" w:hAnsi="Times New Roman" w:eastAsia="华文中宋" w:cs="Times New Roman"/>
          <w:color w:val="auto"/>
          <w:highlight w:val="none"/>
        </w:rPr>
      </w:pPr>
      <w:r>
        <w:rPr>
          <w:rFonts w:hint="default" w:ascii="Times New Roman" w:hAnsi="Times New Roman" w:eastAsia="华文中宋" w:cs="Times New Roman"/>
          <w:color w:val="auto"/>
          <w:highlight w:val="none"/>
          <w:lang w:val="en-US" w:eastAsia="zh-CN"/>
        </w:rPr>
        <w:t xml:space="preserve">式中：Sb——单位质量土壤中某种物质的现状值，g/kg； </w:t>
      </w:r>
    </w:p>
    <w:p w14:paraId="7F6E36C0">
      <w:pPr>
        <w:pStyle w:val="24"/>
        <w:snapToGrid w:val="0"/>
        <w:ind w:firstLine="1200" w:firstLineChars="500"/>
        <w:jc w:val="left"/>
        <w:rPr>
          <w:rFonts w:hint="default" w:ascii="Times New Roman" w:hAnsi="Times New Roman" w:eastAsia="华文中宋" w:cs="Times New Roman"/>
          <w:color w:val="auto"/>
          <w:highlight w:val="none"/>
        </w:rPr>
      </w:pPr>
      <w:r>
        <w:rPr>
          <w:rFonts w:hint="default" w:ascii="Times New Roman" w:hAnsi="Times New Roman" w:eastAsia="华文中宋" w:cs="Times New Roman"/>
          <w:color w:val="auto"/>
          <w:highlight w:val="none"/>
          <w:lang w:val="en-US" w:eastAsia="zh-CN"/>
        </w:rPr>
        <w:t>S——单位质量土壤中某种物质的预测值，g/kg。</w:t>
      </w:r>
    </w:p>
    <w:p w14:paraId="03BED4A5">
      <w:pPr>
        <w:pStyle w:val="24"/>
        <w:snapToGrid w:val="0"/>
        <w:ind w:left="0" w:leftChars="0" w:firstLine="480" w:firstLineChars="200"/>
        <w:jc w:val="left"/>
        <w:rPr>
          <w:rFonts w:hint="default" w:ascii="Times New Roman" w:hAnsi="Times New Roman" w:eastAsia="华文中宋" w:cs="Times New Roman"/>
          <w:color w:val="auto"/>
          <w:highlight w:val="none"/>
          <w:lang w:val="en-US" w:eastAsia="zh-CN"/>
        </w:rPr>
      </w:pPr>
      <w:r>
        <w:rPr>
          <w:rFonts w:hint="default" w:ascii="Times New Roman" w:hAnsi="Times New Roman" w:eastAsia="华文中宋" w:cs="Times New Roman"/>
          <w:color w:val="auto"/>
          <w:highlight w:val="none"/>
          <w:lang w:val="en-US" w:eastAsia="zh-CN"/>
        </w:rPr>
        <w:t>③模型参数</w:t>
      </w:r>
    </w:p>
    <w:p w14:paraId="44709003">
      <w:pPr>
        <w:pStyle w:val="24"/>
        <w:snapToGrid w:val="0"/>
        <w:jc w:val="left"/>
        <w:rPr>
          <w:rFonts w:hint="default" w:ascii="Times New Roman" w:hAnsi="Times New Roman" w:eastAsia="华文中宋" w:cs="Times New Roman"/>
          <w:color w:val="auto"/>
          <w:highlight w:val="none"/>
        </w:rPr>
      </w:pPr>
      <w:r>
        <w:rPr>
          <w:rFonts w:hint="default" w:ascii="Times New Roman" w:hAnsi="Times New Roman" w:eastAsia="华文中宋" w:cs="Times New Roman"/>
          <w:color w:val="auto"/>
          <w:highlight w:val="none"/>
          <w:lang w:val="en-US" w:eastAsia="zh-CN"/>
        </w:rPr>
        <w:t>Is：废石浸出试验中的</w:t>
      </w:r>
      <w:r>
        <w:rPr>
          <w:rFonts w:hint="eastAsia" w:ascii="Times New Roman" w:hAnsi="Times New Roman" w:cs="Times New Roman"/>
          <w:color w:val="auto"/>
          <w:highlight w:val="none"/>
          <w:lang w:val="en-US" w:eastAsia="zh-CN"/>
        </w:rPr>
        <w:t>锌</w:t>
      </w:r>
      <w:r>
        <w:rPr>
          <w:rFonts w:hint="default" w:ascii="Times New Roman" w:hAnsi="Times New Roman" w:eastAsia="华文中宋" w:cs="Times New Roman"/>
          <w:color w:val="auto"/>
          <w:highlight w:val="none"/>
          <w:lang w:val="en-US" w:eastAsia="zh-CN"/>
        </w:rPr>
        <w:t>含量为0.04mg/L</w:t>
      </w:r>
      <w:r>
        <w:rPr>
          <w:rFonts w:hint="eastAsia" w:ascii="Times New Roman" w:hAnsi="Times New Roman" w:cs="Times New Roman"/>
          <w:color w:val="auto"/>
          <w:highlight w:val="none"/>
          <w:lang w:val="en-US" w:eastAsia="zh-CN"/>
        </w:rPr>
        <w:t>（铅含量未检出），</w:t>
      </w:r>
      <w:r>
        <w:rPr>
          <w:rFonts w:hint="default" w:ascii="Times New Roman" w:hAnsi="Times New Roman" w:eastAsia="华文中宋" w:cs="Times New Roman"/>
          <w:color w:val="auto"/>
          <w:highlight w:val="none"/>
          <w:lang w:val="en-US" w:eastAsia="zh-CN"/>
        </w:rPr>
        <w:t>根据当地气象资料可知，本工程区域年降水量为140mm，废石堆场汇水面积以7hm</w:t>
      </w:r>
      <w:r>
        <w:rPr>
          <w:rFonts w:hint="default" w:ascii="Times New Roman" w:hAnsi="Times New Roman" w:eastAsia="华文中宋" w:cs="Times New Roman"/>
          <w:color w:val="auto"/>
          <w:highlight w:val="none"/>
          <w:vertAlign w:val="superscript"/>
          <w:lang w:val="en-US" w:eastAsia="zh-CN"/>
        </w:rPr>
        <w:t>2</w:t>
      </w:r>
      <w:r>
        <w:rPr>
          <w:rFonts w:hint="default" w:ascii="Times New Roman" w:hAnsi="Times New Roman" w:eastAsia="华文中宋" w:cs="Times New Roman"/>
          <w:color w:val="auto"/>
          <w:highlight w:val="none"/>
          <w:lang w:val="en-US" w:eastAsia="zh-CN"/>
        </w:rPr>
        <w:t>计，因此进入废石场降水量为9800m</w:t>
      </w:r>
      <w:r>
        <w:rPr>
          <w:rFonts w:hint="default" w:ascii="Times New Roman" w:hAnsi="Times New Roman" w:eastAsia="华文中宋" w:cs="Times New Roman"/>
          <w:color w:val="auto"/>
          <w:highlight w:val="none"/>
          <w:vertAlign w:val="superscript"/>
          <w:lang w:val="en-US" w:eastAsia="zh-CN"/>
        </w:rPr>
        <w:t>3</w:t>
      </w:r>
      <w:r>
        <w:rPr>
          <w:rFonts w:hint="default" w:ascii="Times New Roman" w:hAnsi="Times New Roman" w:eastAsia="华文中宋" w:cs="Times New Roman"/>
          <w:color w:val="auto"/>
          <w:highlight w:val="none"/>
          <w:lang w:val="en-US" w:eastAsia="zh-CN"/>
        </w:rPr>
        <w:t>，Is</w:t>
      </w:r>
      <w:r>
        <w:rPr>
          <w:rFonts w:hint="eastAsia" w:ascii="Times New Roman" w:hAnsi="Times New Roman" w:cs="Times New Roman"/>
          <w:color w:val="auto"/>
          <w:highlight w:val="none"/>
          <w:lang w:val="en-US" w:eastAsia="zh-CN"/>
        </w:rPr>
        <w:t>（锌）</w:t>
      </w:r>
      <w:r>
        <w:rPr>
          <w:rFonts w:hint="default" w:ascii="Times New Roman" w:hAnsi="Times New Roman" w:eastAsia="华文中宋" w:cs="Times New Roman"/>
          <w:color w:val="auto"/>
          <w:highlight w:val="none"/>
          <w:lang w:val="en-US" w:eastAsia="zh-CN"/>
        </w:rPr>
        <w:t>为392g；</w:t>
      </w:r>
    </w:p>
    <w:p w14:paraId="71A28B8C">
      <w:pPr>
        <w:pStyle w:val="24"/>
        <w:snapToGrid w:val="0"/>
        <w:jc w:val="left"/>
        <w:rPr>
          <w:rFonts w:hint="default" w:ascii="Times New Roman" w:hAnsi="Times New Roman" w:eastAsia="华文中宋" w:cs="Times New Roman"/>
          <w:color w:val="auto"/>
          <w:highlight w:val="none"/>
        </w:rPr>
      </w:pPr>
      <w:r>
        <w:rPr>
          <w:rFonts w:hint="default" w:ascii="Times New Roman" w:hAnsi="Times New Roman" w:eastAsia="华文中宋" w:cs="Times New Roman"/>
          <w:color w:val="auto"/>
          <w:highlight w:val="none"/>
          <w:lang w:val="en-US" w:eastAsia="zh-CN"/>
        </w:rPr>
        <w:t>Ls：按最不利情景，不考虑排出量，取值0；</w:t>
      </w:r>
    </w:p>
    <w:p w14:paraId="2046BBE2">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highlight w:val="none"/>
          <w:lang w:val="en-US" w:eastAsia="zh-CN"/>
        </w:rPr>
        <w:t>Rs：按最不利情景，不考虑排出量，取值</w:t>
      </w:r>
      <w:r>
        <w:rPr>
          <w:rFonts w:hint="default" w:ascii="Times New Roman" w:hAnsi="Times New Roman" w:eastAsia="华文中宋" w:cs="Times New Roman"/>
          <w:color w:val="auto"/>
          <w:lang w:val="en-US" w:eastAsia="zh-CN"/>
        </w:rPr>
        <w:t>0；</w:t>
      </w:r>
    </w:p>
    <w:p w14:paraId="082C07E4">
      <w:pPr>
        <w:pStyle w:val="24"/>
        <w:snapToGrid w:val="0"/>
        <w:jc w:val="left"/>
        <w:rPr>
          <w:rFonts w:hint="default" w:ascii="Times New Roman" w:hAnsi="Times New Roman" w:eastAsia="华文中宋" w:cs="Times New Roman"/>
          <w:color w:val="auto"/>
          <w:highlight w:val="none"/>
        </w:rPr>
      </w:pPr>
      <w:r>
        <w:rPr>
          <w:rFonts w:hint="default" w:ascii="Times New Roman" w:hAnsi="Times New Roman" w:eastAsia="华文中宋" w:cs="Times New Roman"/>
          <w:color w:val="auto"/>
          <w:lang w:val="en-US" w:eastAsia="zh-CN"/>
        </w:rPr>
        <w:t>ρb：根据土壤理化特性调查</w:t>
      </w:r>
      <w:r>
        <w:rPr>
          <w:rFonts w:hint="default" w:ascii="Times New Roman" w:hAnsi="Times New Roman" w:eastAsia="华文中宋" w:cs="Times New Roman"/>
          <w:color w:val="auto"/>
          <w:highlight w:val="none"/>
          <w:lang w:val="en-US" w:eastAsia="zh-CN"/>
        </w:rPr>
        <w:t>，本工程土壤容重为</w:t>
      </w:r>
      <w:r>
        <w:rPr>
          <w:rFonts w:hint="eastAsia" w:ascii="Times New Roman" w:hAnsi="Times New Roman" w:cs="Times New Roman"/>
          <w:color w:val="auto"/>
          <w:highlight w:val="none"/>
          <w:lang w:val="en-US" w:eastAsia="zh-CN"/>
        </w:rPr>
        <w:t>1510</w:t>
      </w:r>
      <w:r>
        <w:rPr>
          <w:rFonts w:hint="default" w:ascii="Times New Roman" w:hAnsi="Times New Roman" w:eastAsia="华文中宋" w:cs="Times New Roman"/>
          <w:color w:val="auto"/>
          <w:highlight w:val="none"/>
          <w:lang w:val="en-US" w:eastAsia="zh-CN"/>
        </w:rPr>
        <w:t>kg/m</w:t>
      </w:r>
      <w:r>
        <w:rPr>
          <w:rFonts w:hint="default" w:ascii="Times New Roman" w:hAnsi="Times New Roman" w:eastAsia="华文中宋" w:cs="Times New Roman"/>
          <w:color w:val="auto"/>
          <w:highlight w:val="none"/>
          <w:vertAlign w:val="superscript"/>
          <w:lang w:val="en-US" w:eastAsia="zh-CN"/>
        </w:rPr>
        <w:t>3</w:t>
      </w:r>
      <w:r>
        <w:rPr>
          <w:rFonts w:hint="default" w:ascii="Times New Roman" w:hAnsi="Times New Roman" w:eastAsia="华文中宋" w:cs="Times New Roman"/>
          <w:color w:val="auto"/>
          <w:highlight w:val="none"/>
          <w:lang w:val="en-US" w:eastAsia="zh-CN"/>
        </w:rPr>
        <w:t>；</w:t>
      </w:r>
    </w:p>
    <w:p w14:paraId="64AEA4AC">
      <w:pPr>
        <w:pStyle w:val="24"/>
        <w:snapToGrid w:val="0"/>
        <w:jc w:val="left"/>
        <w:rPr>
          <w:rFonts w:hint="default" w:ascii="Times New Roman" w:hAnsi="Times New Roman" w:eastAsia="华文中宋" w:cs="Times New Roman"/>
          <w:color w:val="auto"/>
          <w:highlight w:val="none"/>
        </w:rPr>
      </w:pPr>
      <w:r>
        <w:rPr>
          <w:rFonts w:hint="default" w:ascii="Times New Roman" w:hAnsi="Times New Roman" w:eastAsia="华文中宋" w:cs="Times New Roman"/>
          <w:color w:val="auto"/>
          <w:highlight w:val="none"/>
          <w:lang w:val="en-US" w:eastAsia="zh-CN"/>
        </w:rPr>
        <w:t>A：本次以废砂石场汇水面积计，取值70000m</w:t>
      </w:r>
      <w:r>
        <w:rPr>
          <w:rFonts w:hint="default" w:ascii="Times New Roman" w:hAnsi="Times New Roman" w:eastAsia="华文中宋" w:cs="Times New Roman"/>
          <w:color w:val="auto"/>
          <w:highlight w:val="none"/>
          <w:vertAlign w:val="superscript"/>
          <w:lang w:val="en-US" w:eastAsia="zh-CN"/>
        </w:rPr>
        <w:t>2</w:t>
      </w:r>
      <w:r>
        <w:rPr>
          <w:rFonts w:hint="default" w:ascii="Times New Roman" w:hAnsi="Times New Roman" w:eastAsia="华文中宋" w:cs="Times New Roman"/>
          <w:color w:val="auto"/>
          <w:highlight w:val="none"/>
          <w:lang w:val="en-US" w:eastAsia="zh-CN"/>
        </w:rPr>
        <w:t>；</w:t>
      </w:r>
    </w:p>
    <w:p w14:paraId="01184C65">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val="en-US" w:eastAsia="zh-CN"/>
        </w:rPr>
        <w:t>D：取0.2m；</w:t>
      </w:r>
    </w:p>
    <w:p w14:paraId="78292C73">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val="en-US" w:eastAsia="zh-CN"/>
        </w:rPr>
        <w:t>Sb：根据排土场土壤现状监测数据，土壤中</w:t>
      </w:r>
      <w:r>
        <w:rPr>
          <w:rFonts w:hint="eastAsia" w:ascii="Times New Roman" w:hAnsi="Times New Roman" w:cs="Times New Roman"/>
          <w:color w:val="auto"/>
          <w:lang w:val="en-US" w:eastAsia="zh-CN"/>
        </w:rPr>
        <w:t>锌</w:t>
      </w:r>
      <w:r>
        <w:rPr>
          <w:rFonts w:hint="default" w:ascii="Times New Roman" w:hAnsi="Times New Roman" w:eastAsia="华文中宋" w:cs="Times New Roman"/>
          <w:color w:val="auto"/>
          <w:lang w:val="en-US" w:eastAsia="zh-CN"/>
        </w:rPr>
        <w:t>平均含量为</w:t>
      </w:r>
      <w:r>
        <w:rPr>
          <w:rFonts w:hint="eastAsia" w:ascii="Times New Roman" w:hAnsi="Times New Roman" w:cs="Times New Roman"/>
          <w:color w:val="auto"/>
          <w:lang w:val="en-US" w:eastAsia="zh-CN"/>
        </w:rPr>
        <w:t>66.67</w:t>
      </w:r>
      <w:r>
        <w:rPr>
          <w:rFonts w:hint="default" w:ascii="Times New Roman" w:hAnsi="Times New Roman" w:eastAsia="华文中宋" w:cs="Times New Roman"/>
          <w:color w:val="auto"/>
          <w:lang w:val="en-US" w:eastAsia="zh-CN"/>
        </w:rPr>
        <w:t>mg/L，土壤容重为</w:t>
      </w:r>
      <w:r>
        <w:rPr>
          <w:rFonts w:hint="eastAsia" w:ascii="Times New Roman" w:hAnsi="Times New Roman" w:cs="Times New Roman"/>
          <w:color w:val="auto"/>
          <w:lang w:val="en-US" w:eastAsia="zh-CN"/>
        </w:rPr>
        <w:t>1510</w:t>
      </w:r>
      <w:r>
        <w:rPr>
          <w:rFonts w:hint="default" w:ascii="Times New Roman" w:hAnsi="Times New Roman" w:eastAsia="华文中宋" w:cs="Times New Roman"/>
          <w:color w:val="auto"/>
          <w:lang w:val="en-US" w:eastAsia="zh-CN"/>
        </w:rPr>
        <w:t>kg/m</w:t>
      </w:r>
      <w:r>
        <w:rPr>
          <w:rFonts w:hint="default" w:ascii="Times New Roman" w:hAnsi="Times New Roman" w:eastAsia="华文中宋" w:cs="Times New Roman"/>
          <w:color w:val="auto"/>
          <w:vertAlign w:val="superscript"/>
          <w:lang w:val="en-US" w:eastAsia="zh-CN"/>
        </w:rPr>
        <w:t>3</w:t>
      </w:r>
      <w:r>
        <w:rPr>
          <w:rFonts w:hint="default" w:ascii="Times New Roman" w:hAnsi="Times New Roman" w:eastAsia="华文中宋" w:cs="Times New Roman"/>
          <w:color w:val="auto"/>
          <w:lang w:val="en-US" w:eastAsia="zh-CN"/>
        </w:rPr>
        <w:t>，则Sb为0.</w:t>
      </w:r>
      <w:r>
        <w:rPr>
          <w:rFonts w:hint="eastAsia" w:ascii="Times New Roman" w:hAnsi="Times New Roman" w:cs="Times New Roman"/>
          <w:color w:val="auto"/>
          <w:lang w:val="en-US" w:eastAsia="zh-CN"/>
        </w:rPr>
        <w:t>066.67</w:t>
      </w:r>
      <w:r>
        <w:rPr>
          <w:rFonts w:hint="default" w:ascii="Times New Roman" w:hAnsi="Times New Roman" w:eastAsia="华文中宋" w:cs="Times New Roman"/>
          <w:color w:val="auto"/>
          <w:lang w:val="en-US" w:eastAsia="zh-CN"/>
        </w:rPr>
        <w:t>g/kg；</w:t>
      </w:r>
    </w:p>
    <w:p w14:paraId="2A5403D2">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val="en-US" w:eastAsia="zh-CN"/>
        </w:rPr>
        <w:t>将上述参数</w:t>
      </w:r>
      <w:r>
        <w:rPr>
          <w:rFonts w:hint="eastAsia" w:ascii="Times New Roman" w:hAnsi="Times New Roman" w:eastAsia="华文中宋" w:cs="Times New Roman"/>
          <w:color w:val="auto"/>
          <w:lang w:val="en-US" w:eastAsia="zh-CN"/>
        </w:rPr>
        <w:t>代入</w:t>
      </w:r>
      <w:r>
        <w:rPr>
          <w:rFonts w:hint="default" w:ascii="Times New Roman" w:hAnsi="Times New Roman" w:eastAsia="华文中宋" w:cs="Times New Roman"/>
          <w:color w:val="auto"/>
          <w:lang w:val="en-US" w:eastAsia="zh-CN"/>
        </w:rPr>
        <w:t>公式，分别计算工程运行1年、3年、5年累积量，并叠加现状背景值，累积影响见表5.2-3</w:t>
      </w:r>
      <w:r>
        <w:rPr>
          <w:rFonts w:hint="eastAsia" w:ascii="Times New Roman" w:hAnsi="Times New Roman" w:cs="Times New Roman"/>
          <w:color w:val="auto"/>
          <w:lang w:val="en-US" w:eastAsia="zh-CN"/>
        </w:rPr>
        <w:t>1</w:t>
      </w:r>
      <w:r>
        <w:rPr>
          <w:rFonts w:hint="default" w:ascii="Times New Roman" w:hAnsi="Times New Roman" w:eastAsia="华文中宋" w:cs="Times New Roman"/>
          <w:color w:val="auto"/>
          <w:lang w:val="en-US" w:eastAsia="zh-CN"/>
        </w:rPr>
        <w:t>。</w:t>
      </w:r>
    </w:p>
    <w:p w14:paraId="1BD624F5">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表5.2-3</w:t>
      </w:r>
      <w:r>
        <w:rPr>
          <w:rFonts w:hint="eastAsia" w:ascii="Times New Roman" w:hAnsi="Times New Roman" w:eastAsia="华文中宋" w:cs="Times New Roman"/>
          <w:b/>
          <w:szCs w:val="21"/>
          <w:lang w:val="en-US" w:eastAsia="zh-CN"/>
        </w:rPr>
        <w:t>1</w:t>
      </w:r>
      <w:r>
        <w:rPr>
          <w:rFonts w:hint="default" w:ascii="Times New Roman" w:hAnsi="Times New Roman" w:eastAsia="华文中宋" w:cs="Times New Roman"/>
          <w:b/>
          <w:szCs w:val="21"/>
          <w:lang w:val="en-US" w:eastAsia="zh-CN"/>
        </w:rPr>
        <w:t xml:space="preserve">  </w:t>
      </w:r>
      <w:r>
        <w:rPr>
          <w:rFonts w:hint="eastAsia" w:ascii="Times New Roman" w:hAnsi="Times New Roman" w:eastAsia="华文中宋" w:cs="Times New Roman"/>
          <w:b/>
          <w:szCs w:val="21"/>
          <w:lang w:val="en-US" w:eastAsia="zh-CN"/>
        </w:rPr>
        <w:t>锌</w:t>
      </w:r>
      <w:r>
        <w:rPr>
          <w:rFonts w:hint="default" w:ascii="Times New Roman" w:hAnsi="Times New Roman" w:eastAsia="华文中宋" w:cs="Times New Roman"/>
          <w:b/>
          <w:szCs w:val="21"/>
          <w:lang w:val="en-US" w:eastAsia="zh-CN"/>
        </w:rPr>
        <w:t>对土壤的累积影响</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14:paraId="3464D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14:paraId="5FD1CD1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特征因子</w:t>
            </w:r>
          </w:p>
        </w:tc>
        <w:tc>
          <w:tcPr>
            <w:tcW w:w="1420" w:type="dxa"/>
            <w:vAlign w:val="center"/>
          </w:tcPr>
          <w:p w14:paraId="11BF347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持续年限</w:t>
            </w:r>
          </w:p>
        </w:tc>
        <w:tc>
          <w:tcPr>
            <w:tcW w:w="1420" w:type="dxa"/>
            <w:vAlign w:val="center"/>
          </w:tcPr>
          <w:p w14:paraId="14E7F35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△S(g/kg)</w:t>
            </w:r>
          </w:p>
        </w:tc>
        <w:tc>
          <w:tcPr>
            <w:tcW w:w="1420" w:type="dxa"/>
            <w:vAlign w:val="center"/>
          </w:tcPr>
          <w:p w14:paraId="1D457A7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Sb(g/kg)</w:t>
            </w:r>
          </w:p>
        </w:tc>
        <w:tc>
          <w:tcPr>
            <w:tcW w:w="1421" w:type="dxa"/>
            <w:vAlign w:val="center"/>
          </w:tcPr>
          <w:p w14:paraId="5EA9A61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S(g/kg)</w:t>
            </w:r>
          </w:p>
        </w:tc>
        <w:tc>
          <w:tcPr>
            <w:tcW w:w="1421" w:type="dxa"/>
            <w:vAlign w:val="center"/>
          </w:tcPr>
          <w:p w14:paraId="4444DCA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筛选值评价标准（g/kg）</w:t>
            </w:r>
          </w:p>
        </w:tc>
      </w:tr>
      <w:tr w14:paraId="7F675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14:paraId="044901F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锌</w:t>
            </w:r>
          </w:p>
        </w:tc>
        <w:tc>
          <w:tcPr>
            <w:tcW w:w="1420" w:type="dxa"/>
            <w:vAlign w:val="center"/>
          </w:tcPr>
          <w:p w14:paraId="696CE73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w:t>
            </w:r>
          </w:p>
        </w:tc>
        <w:tc>
          <w:tcPr>
            <w:tcW w:w="1420" w:type="dxa"/>
            <w:vAlign w:val="center"/>
          </w:tcPr>
          <w:p w14:paraId="3331B33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1.84</w:t>
            </w:r>
            <w:r>
              <w:rPr>
                <w:rFonts w:hint="default" w:ascii="Times New Roman" w:hAnsi="Times New Roman" w:eastAsia="华文中宋" w:cs="Times New Roman"/>
                <w:szCs w:val="21"/>
                <w:lang w:val="en-US" w:eastAsia="zh-CN"/>
              </w:rPr>
              <w:t>×10</w:t>
            </w:r>
            <w:r>
              <w:rPr>
                <w:rFonts w:hint="default" w:ascii="Times New Roman" w:hAnsi="Times New Roman" w:eastAsia="华文中宋" w:cs="Times New Roman"/>
                <w:szCs w:val="21"/>
                <w:vertAlign w:val="superscript"/>
                <w:lang w:val="en-US" w:eastAsia="zh-CN"/>
              </w:rPr>
              <w:t>-5</w:t>
            </w:r>
          </w:p>
        </w:tc>
        <w:tc>
          <w:tcPr>
            <w:tcW w:w="1420" w:type="dxa"/>
            <w:vAlign w:val="center"/>
          </w:tcPr>
          <w:p w14:paraId="71A5983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color w:val="auto"/>
                <w:lang w:val="en-US" w:eastAsia="zh-CN"/>
              </w:rPr>
              <w:t>0.0</w:t>
            </w:r>
            <w:r>
              <w:rPr>
                <w:rFonts w:hint="eastAsia" w:ascii="Times New Roman" w:hAnsi="Times New Roman" w:cs="Times New Roman"/>
                <w:color w:val="auto"/>
                <w:lang w:val="en-US" w:eastAsia="zh-CN"/>
              </w:rPr>
              <w:t>6667</w:t>
            </w:r>
          </w:p>
        </w:tc>
        <w:tc>
          <w:tcPr>
            <w:tcW w:w="1421" w:type="dxa"/>
            <w:vAlign w:val="center"/>
          </w:tcPr>
          <w:p w14:paraId="3430952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w:t>
            </w:r>
            <w:r>
              <w:rPr>
                <w:rFonts w:hint="eastAsia" w:ascii="Times New Roman" w:hAnsi="Times New Roman" w:eastAsia="华文中宋" w:cs="Times New Roman"/>
                <w:szCs w:val="21"/>
                <w:lang w:val="en-US" w:eastAsia="zh-CN"/>
              </w:rPr>
              <w:t>666884</w:t>
            </w:r>
          </w:p>
        </w:tc>
        <w:tc>
          <w:tcPr>
            <w:tcW w:w="1421" w:type="dxa"/>
            <w:vAlign w:val="center"/>
          </w:tcPr>
          <w:p w14:paraId="17EE155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r>
      <w:tr w14:paraId="02316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0DBA87F0">
            <w:pPr>
              <w:spacing w:line="300" w:lineRule="exact"/>
              <w:jc w:val="center"/>
              <w:rPr>
                <w:rFonts w:hint="default" w:ascii="Times New Roman" w:hAnsi="Times New Roman" w:eastAsia="华文中宋" w:cs="Times New Roman"/>
                <w:szCs w:val="21"/>
                <w:lang w:val="en-US" w:eastAsia="zh-CN"/>
              </w:rPr>
            </w:pPr>
          </w:p>
        </w:tc>
        <w:tc>
          <w:tcPr>
            <w:tcW w:w="1420" w:type="dxa"/>
            <w:vAlign w:val="center"/>
          </w:tcPr>
          <w:p w14:paraId="1B5E690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w:t>
            </w:r>
          </w:p>
        </w:tc>
        <w:tc>
          <w:tcPr>
            <w:tcW w:w="1420" w:type="dxa"/>
            <w:vAlign w:val="center"/>
          </w:tcPr>
          <w:p w14:paraId="74A8904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5.26</w:t>
            </w:r>
            <w:r>
              <w:rPr>
                <w:rFonts w:hint="default" w:ascii="Times New Roman" w:hAnsi="Times New Roman" w:eastAsia="华文中宋" w:cs="Times New Roman"/>
                <w:szCs w:val="21"/>
                <w:lang w:val="en-US" w:eastAsia="zh-CN"/>
              </w:rPr>
              <w:t>×10</w:t>
            </w:r>
            <w:r>
              <w:rPr>
                <w:rFonts w:hint="default" w:ascii="Times New Roman" w:hAnsi="Times New Roman" w:eastAsia="华文中宋" w:cs="Times New Roman"/>
                <w:szCs w:val="21"/>
                <w:vertAlign w:val="superscript"/>
                <w:lang w:val="en-US" w:eastAsia="zh-CN"/>
              </w:rPr>
              <w:t>-5</w:t>
            </w:r>
          </w:p>
        </w:tc>
        <w:tc>
          <w:tcPr>
            <w:tcW w:w="1420" w:type="dxa"/>
            <w:vAlign w:val="center"/>
          </w:tcPr>
          <w:p w14:paraId="613A001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color w:val="auto"/>
                <w:lang w:val="en-US" w:eastAsia="zh-CN"/>
              </w:rPr>
              <w:t>0.0</w:t>
            </w:r>
            <w:r>
              <w:rPr>
                <w:rFonts w:hint="eastAsia" w:ascii="Times New Roman" w:hAnsi="Times New Roman" w:cs="Times New Roman"/>
                <w:color w:val="auto"/>
                <w:lang w:val="en-US" w:eastAsia="zh-CN"/>
              </w:rPr>
              <w:t>6667</w:t>
            </w:r>
          </w:p>
        </w:tc>
        <w:tc>
          <w:tcPr>
            <w:tcW w:w="1421" w:type="dxa"/>
            <w:vAlign w:val="center"/>
          </w:tcPr>
          <w:p w14:paraId="20B7AB1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w:t>
            </w:r>
            <w:r>
              <w:rPr>
                <w:rFonts w:hint="eastAsia" w:ascii="Times New Roman" w:hAnsi="Times New Roman" w:eastAsia="华文中宋" w:cs="Times New Roman"/>
                <w:szCs w:val="21"/>
                <w:lang w:val="en-US" w:eastAsia="zh-CN"/>
              </w:rPr>
              <w:t>666723</w:t>
            </w:r>
          </w:p>
        </w:tc>
        <w:tc>
          <w:tcPr>
            <w:tcW w:w="1421" w:type="dxa"/>
            <w:vAlign w:val="center"/>
          </w:tcPr>
          <w:p w14:paraId="4C2A5CC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r>
      <w:tr w14:paraId="7B786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14:paraId="3EDD1F20">
            <w:pPr>
              <w:spacing w:line="300" w:lineRule="exact"/>
              <w:jc w:val="center"/>
              <w:rPr>
                <w:rFonts w:hint="default" w:ascii="Times New Roman" w:hAnsi="Times New Roman" w:eastAsia="华文中宋" w:cs="Times New Roman"/>
                <w:szCs w:val="21"/>
                <w:lang w:val="en-US" w:eastAsia="zh-CN"/>
              </w:rPr>
            </w:pPr>
          </w:p>
        </w:tc>
        <w:tc>
          <w:tcPr>
            <w:tcW w:w="1420" w:type="dxa"/>
            <w:vAlign w:val="center"/>
          </w:tcPr>
          <w:p w14:paraId="5B41144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w:t>
            </w:r>
          </w:p>
        </w:tc>
        <w:tc>
          <w:tcPr>
            <w:tcW w:w="1420" w:type="dxa"/>
            <w:vAlign w:val="center"/>
          </w:tcPr>
          <w:p w14:paraId="5C95A73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9.21</w:t>
            </w:r>
            <w:r>
              <w:rPr>
                <w:rFonts w:hint="default" w:ascii="Times New Roman" w:hAnsi="Times New Roman" w:eastAsia="华文中宋" w:cs="Times New Roman"/>
                <w:szCs w:val="21"/>
                <w:lang w:val="en-US" w:eastAsia="zh-CN"/>
              </w:rPr>
              <w:t>×10</w:t>
            </w:r>
            <w:r>
              <w:rPr>
                <w:rFonts w:hint="default" w:ascii="Times New Roman" w:hAnsi="Times New Roman" w:eastAsia="华文中宋" w:cs="Times New Roman"/>
                <w:szCs w:val="21"/>
                <w:vertAlign w:val="superscript"/>
                <w:lang w:val="en-US" w:eastAsia="zh-CN"/>
              </w:rPr>
              <w:t>-</w:t>
            </w:r>
            <w:r>
              <w:rPr>
                <w:rFonts w:hint="eastAsia" w:ascii="Times New Roman" w:hAnsi="Times New Roman" w:eastAsia="华文中宋" w:cs="Times New Roman"/>
                <w:szCs w:val="21"/>
                <w:vertAlign w:val="superscript"/>
                <w:lang w:val="en-US" w:eastAsia="zh-CN"/>
              </w:rPr>
              <w:t>4</w:t>
            </w:r>
          </w:p>
        </w:tc>
        <w:tc>
          <w:tcPr>
            <w:tcW w:w="1420" w:type="dxa"/>
            <w:vAlign w:val="center"/>
          </w:tcPr>
          <w:p w14:paraId="15D192F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color w:val="auto"/>
                <w:lang w:val="en-US" w:eastAsia="zh-CN"/>
              </w:rPr>
              <w:t>0.0</w:t>
            </w:r>
            <w:r>
              <w:rPr>
                <w:rFonts w:hint="eastAsia" w:ascii="Times New Roman" w:hAnsi="Times New Roman" w:cs="Times New Roman"/>
                <w:color w:val="auto"/>
                <w:lang w:val="en-US" w:eastAsia="zh-CN"/>
              </w:rPr>
              <w:t>6667</w:t>
            </w:r>
          </w:p>
        </w:tc>
        <w:tc>
          <w:tcPr>
            <w:tcW w:w="1421" w:type="dxa"/>
            <w:vAlign w:val="center"/>
          </w:tcPr>
          <w:p w14:paraId="789907C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0.0</w:t>
            </w:r>
            <w:r>
              <w:rPr>
                <w:rFonts w:hint="eastAsia" w:ascii="Times New Roman" w:hAnsi="Times New Roman" w:eastAsia="华文中宋" w:cs="Times New Roman"/>
                <w:szCs w:val="21"/>
                <w:lang w:val="en-US" w:eastAsia="zh-CN"/>
              </w:rPr>
              <w:t>667621</w:t>
            </w:r>
          </w:p>
        </w:tc>
        <w:tc>
          <w:tcPr>
            <w:tcW w:w="1421" w:type="dxa"/>
            <w:vAlign w:val="center"/>
          </w:tcPr>
          <w:p w14:paraId="04A8D4D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r>
    </w:tbl>
    <w:p w14:paraId="0A4F1373">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由上表可以看出，排土场淋溶水中</w:t>
      </w:r>
      <w:r>
        <w:rPr>
          <w:rFonts w:hint="eastAsia" w:ascii="Times New Roman" w:hAnsi="Times New Roman" w:cs="Times New Roman"/>
          <w:color w:val="auto"/>
          <w:lang w:val="en-US" w:eastAsia="zh-CN"/>
        </w:rPr>
        <w:t>锌</w:t>
      </w:r>
      <w:r>
        <w:rPr>
          <w:rFonts w:hint="default" w:ascii="Times New Roman" w:hAnsi="Times New Roman" w:eastAsia="华文中宋" w:cs="Times New Roman"/>
          <w:color w:val="auto"/>
          <w:lang w:val="en-US" w:eastAsia="zh-CN"/>
        </w:rPr>
        <w:t>垂直入渗对项目区及周边土壤造成一定的累积影响，根据《环境影响评价技术导则 土壤环境（试行）》（HJ964-2018）模型预测分析，淋溶水如连续垂直入渗5年，评价范围内单位质量土壤中</w:t>
      </w:r>
      <w:r>
        <w:rPr>
          <w:rFonts w:hint="eastAsia" w:ascii="Times New Roman" w:hAnsi="Times New Roman" w:cs="Times New Roman"/>
          <w:color w:val="auto"/>
          <w:lang w:val="en-US" w:eastAsia="zh-CN"/>
        </w:rPr>
        <w:t>锌</w:t>
      </w:r>
      <w:r>
        <w:rPr>
          <w:rFonts w:hint="default" w:ascii="Times New Roman" w:hAnsi="Times New Roman" w:eastAsia="华文中宋" w:cs="Times New Roman"/>
          <w:color w:val="auto"/>
          <w:lang w:val="en-US" w:eastAsia="zh-CN"/>
        </w:rPr>
        <w:t>预测值将基本保持在本底值，总体增量较小，对环境影响较小。本项目产生的污染物质可能达到潜水含水层的量较小，区域地下水埋深，在全部下渗情况下对表层土壤环境有一定影响，但对地下水环境影响较小，在污染影响一段时间后对周边土壤环境影响将逐渐减轻。</w:t>
      </w:r>
    </w:p>
    <w:p w14:paraId="3552F6C9">
      <w:pPr>
        <w:pStyle w:val="24"/>
        <w:snapToGrid w:val="0"/>
        <w:ind w:left="0" w:leftChars="0" w:firstLine="0" w:firstLineChars="0"/>
        <w:jc w:val="left"/>
        <w:rPr>
          <w:rFonts w:hint="default" w:ascii="Times New Roman" w:hAnsi="Times New Roman" w:eastAsia="华文中宋" w:cs="Times New Roman"/>
          <w:b/>
          <w:bCs/>
          <w:color w:val="auto"/>
          <w:lang w:val="en-US" w:eastAsia="zh-CN"/>
        </w:rPr>
      </w:pPr>
      <w:r>
        <w:rPr>
          <w:rFonts w:hint="eastAsia" w:ascii="Times New Roman" w:hAnsi="Times New Roman" w:cs="Times New Roman"/>
          <w:b/>
          <w:bCs/>
          <w:color w:val="auto"/>
          <w:lang w:val="en-US" w:eastAsia="zh-CN"/>
        </w:rPr>
        <w:t>5.2.6.3</w:t>
      </w:r>
      <w:r>
        <w:rPr>
          <w:rFonts w:hint="default" w:ascii="Times New Roman" w:hAnsi="Times New Roman" w:eastAsia="华文中宋" w:cs="Times New Roman"/>
          <w:b/>
          <w:bCs/>
          <w:color w:val="auto"/>
          <w:lang w:val="en-US" w:eastAsia="zh-CN"/>
        </w:rPr>
        <w:t>生态影响型土壤影响预测与分析</w:t>
      </w:r>
    </w:p>
    <w:p w14:paraId="2A41B93B">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（1）</w:t>
      </w:r>
      <w:r>
        <w:rPr>
          <w:rFonts w:hint="default" w:ascii="Times New Roman" w:hAnsi="Times New Roman" w:eastAsia="华文中宋" w:cs="Times New Roman"/>
          <w:color w:val="auto"/>
          <w:lang w:val="en-US" w:eastAsia="zh-CN"/>
        </w:rPr>
        <w:t>土壤碱化</w:t>
      </w:r>
    </w:p>
    <w:p w14:paraId="424B9BC7">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根据本项目土壤质量现状监测结果，矿区范围及周边地区pH值在8.8，矿区内外属于无酸化、轻度碱化，矿区区域矿山开采并没有对土壤环境的pH值造成较大影响，现状土壤状况较好。本项目可能导致产生土壤碱化的途径较少，本项目的实施不会改变区域土壤酸碱度。</w:t>
      </w:r>
    </w:p>
    <w:p w14:paraId="40A2A75A">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（2）</w:t>
      </w:r>
      <w:r>
        <w:rPr>
          <w:rFonts w:hint="default" w:ascii="Times New Roman" w:hAnsi="Times New Roman" w:eastAsia="华文中宋" w:cs="Times New Roman"/>
          <w:color w:val="auto"/>
          <w:lang w:val="en-US" w:eastAsia="zh-CN"/>
        </w:rPr>
        <w:t>土壤盐化</w:t>
      </w:r>
    </w:p>
    <w:p w14:paraId="33A61ABC">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项目</w:t>
      </w:r>
      <w:r>
        <w:rPr>
          <w:rFonts w:hint="eastAsia" w:ascii="Times New Roman" w:hAnsi="Times New Roman" w:cs="Times New Roman"/>
          <w:color w:val="auto"/>
          <w:lang w:val="en-US" w:eastAsia="zh-CN"/>
        </w:rPr>
        <w:t>所在区域地下水埋深＞102m，项目最低开采深度为64m，项目在正常</w:t>
      </w:r>
      <w:r>
        <w:rPr>
          <w:rFonts w:hint="default" w:ascii="Times New Roman" w:hAnsi="Times New Roman" w:eastAsia="华文中宋" w:cs="Times New Roman"/>
          <w:color w:val="auto"/>
          <w:lang w:val="en-US" w:eastAsia="zh-CN"/>
        </w:rPr>
        <w:t>开采过程中</w:t>
      </w:r>
      <w:r>
        <w:rPr>
          <w:rFonts w:hint="eastAsia" w:ascii="Times New Roman" w:hAnsi="Times New Roman" w:cs="Times New Roman"/>
          <w:color w:val="auto"/>
          <w:lang w:val="en-US" w:eastAsia="zh-CN"/>
        </w:rPr>
        <w:t>不会</w:t>
      </w:r>
      <w:r>
        <w:rPr>
          <w:rFonts w:hint="default" w:ascii="Times New Roman" w:hAnsi="Times New Roman" w:eastAsia="华文中宋" w:cs="Times New Roman"/>
          <w:color w:val="auto"/>
          <w:lang w:val="en-US" w:eastAsia="zh-CN"/>
        </w:rPr>
        <w:t>引起地下水水位变动及堆场淋溶水地表漫流，</w:t>
      </w:r>
      <w:r>
        <w:rPr>
          <w:rFonts w:hint="eastAsia" w:ascii="Times New Roman" w:hAnsi="Times New Roman" w:cs="Times New Roman"/>
          <w:color w:val="auto"/>
          <w:lang w:val="en-US" w:eastAsia="zh-CN"/>
        </w:rPr>
        <w:t>因此对矿区</w:t>
      </w:r>
      <w:r>
        <w:rPr>
          <w:rFonts w:hint="default" w:ascii="Times New Roman" w:hAnsi="Times New Roman" w:eastAsia="华文中宋" w:cs="Times New Roman"/>
          <w:color w:val="auto"/>
          <w:lang w:val="en-US" w:eastAsia="zh-CN"/>
        </w:rPr>
        <w:t>盐化</w:t>
      </w:r>
      <w:r>
        <w:rPr>
          <w:rFonts w:hint="eastAsia" w:ascii="Times New Roman" w:hAnsi="Times New Roman" w:cs="Times New Roman"/>
          <w:color w:val="auto"/>
          <w:lang w:val="en-US" w:eastAsia="zh-CN"/>
        </w:rPr>
        <w:t>基本无影响。</w:t>
      </w:r>
    </w:p>
    <w:p w14:paraId="655A0D88">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整体来说，本项目的实施对土壤的生态影响较小，不会对区域土壤环境造成较</w:t>
      </w:r>
      <w:r>
        <w:rPr>
          <w:rFonts w:hint="eastAsia" w:ascii="Times New Roman" w:hAnsi="Times New Roman" w:eastAsia="华文中宋" w:cs="Times New Roman"/>
          <w:color w:val="auto"/>
          <w:lang w:val="en-US" w:eastAsia="zh-CN"/>
        </w:rPr>
        <w:t>大的</w:t>
      </w:r>
      <w:r>
        <w:rPr>
          <w:rFonts w:hint="default" w:ascii="Times New Roman" w:hAnsi="Times New Roman" w:eastAsia="华文中宋" w:cs="Times New Roman"/>
          <w:color w:val="auto"/>
          <w:lang w:val="en-US" w:eastAsia="zh-CN"/>
        </w:rPr>
        <w:t>碱化及盐化影响。</w:t>
      </w:r>
    </w:p>
    <w:p w14:paraId="7DF3B726">
      <w:pPr>
        <w:pStyle w:val="24"/>
        <w:snapToGrid w:val="0"/>
        <w:ind w:left="0" w:leftChars="0" w:firstLine="0" w:firstLineChars="0"/>
        <w:jc w:val="left"/>
        <w:rPr>
          <w:rFonts w:hint="default" w:ascii="Times New Roman" w:hAnsi="Times New Roman" w:eastAsia="华文中宋" w:cs="Times New Roman"/>
          <w:b/>
          <w:bCs/>
          <w:color w:val="auto"/>
          <w:lang w:val="en-US" w:eastAsia="zh-CN"/>
        </w:rPr>
      </w:pPr>
      <w:r>
        <w:rPr>
          <w:rFonts w:hint="eastAsia" w:ascii="Times New Roman" w:hAnsi="Times New Roman" w:cs="Times New Roman"/>
          <w:b/>
          <w:bCs/>
          <w:color w:val="auto"/>
          <w:lang w:val="en-US" w:eastAsia="zh-CN"/>
        </w:rPr>
        <w:t>5.2.6.4</w:t>
      </w:r>
      <w:r>
        <w:rPr>
          <w:rFonts w:hint="default" w:ascii="Times New Roman" w:hAnsi="Times New Roman" w:eastAsia="华文中宋" w:cs="Times New Roman"/>
          <w:b/>
          <w:bCs/>
          <w:color w:val="auto"/>
          <w:lang w:val="en-US" w:eastAsia="zh-CN"/>
        </w:rPr>
        <w:t>结论</w:t>
      </w:r>
    </w:p>
    <w:p w14:paraId="04685C10">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本工程各功能区均采取“源头控制”“分区防控”的防渗措施，可以有效保证污染物不会进入土壤环境，防止污染土壤。危险废物暂存库已按《危险废物贮存污染控制标准》（GB18597-2023）要求进行设计建造。危险废物分类收集后，定期交由有危废处置资质的单位进行处置。整个过程基本上可以杜绝危险废物接触土壤，且建设项目场地地面会做硬化处理，对土壤环境不会造成影响。</w:t>
      </w:r>
    </w:p>
    <w:p w14:paraId="72754747">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运营期产生的废水、固体废物和危险废物等污染物均有</w:t>
      </w:r>
      <w:r>
        <w:rPr>
          <w:rFonts w:hint="eastAsia" w:ascii="Times New Roman" w:hAnsi="Times New Roman" w:eastAsia="华文中宋" w:cs="Times New Roman"/>
          <w:color w:val="auto"/>
          <w:lang w:val="en-US" w:eastAsia="zh-CN"/>
        </w:rPr>
        <w:t>妥善地</w:t>
      </w:r>
      <w:r>
        <w:rPr>
          <w:rFonts w:hint="default" w:ascii="Times New Roman" w:hAnsi="Times New Roman" w:eastAsia="华文中宋" w:cs="Times New Roman"/>
          <w:color w:val="auto"/>
          <w:lang w:val="en-US" w:eastAsia="zh-CN"/>
        </w:rPr>
        <w:t>处理、处置措施严格执行各项环保措施，则各种污染物对土壤环境的影响均处于可接受范围内。</w:t>
      </w:r>
    </w:p>
    <w:p w14:paraId="09848716">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本项目土壤环境影响评价自查表见下表5.2-3</w:t>
      </w:r>
      <w:r>
        <w:rPr>
          <w:rFonts w:hint="eastAsia" w:ascii="Times New Roman" w:hAnsi="Times New Roman" w:cs="Times New Roman"/>
          <w:color w:val="auto"/>
          <w:lang w:val="en-US" w:eastAsia="zh-CN"/>
        </w:rPr>
        <w:t>2</w:t>
      </w:r>
      <w:r>
        <w:rPr>
          <w:rFonts w:hint="default" w:ascii="Times New Roman" w:hAnsi="Times New Roman" w:eastAsia="华文中宋" w:cs="Times New Roman"/>
          <w:color w:val="auto"/>
          <w:lang w:val="en-US" w:eastAsia="zh-CN"/>
        </w:rPr>
        <w:t>。</w:t>
      </w:r>
    </w:p>
    <w:p w14:paraId="3FDE3D36">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表5.2-3</w:t>
      </w:r>
      <w:r>
        <w:rPr>
          <w:rFonts w:hint="eastAsia" w:ascii="Times New Roman" w:hAnsi="Times New Roman" w:eastAsia="华文中宋" w:cs="Times New Roman"/>
          <w:b/>
          <w:szCs w:val="21"/>
          <w:lang w:val="en-US" w:eastAsia="zh-CN"/>
        </w:rPr>
        <w:t>2</w:t>
      </w:r>
      <w:r>
        <w:rPr>
          <w:rFonts w:hint="default" w:ascii="Times New Roman" w:hAnsi="Times New Roman" w:eastAsia="华文中宋" w:cs="Times New Roman"/>
          <w:b/>
          <w:szCs w:val="21"/>
          <w:lang w:val="en-US" w:eastAsia="zh-CN"/>
        </w:rPr>
        <w:t xml:space="preserve">  土壤环境影响评价自查表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923"/>
        <w:gridCol w:w="1593"/>
        <w:gridCol w:w="1412"/>
        <w:gridCol w:w="313"/>
        <w:gridCol w:w="1082"/>
        <w:gridCol w:w="247"/>
        <w:gridCol w:w="1055"/>
        <w:gridCol w:w="939"/>
        <w:gridCol w:w="955"/>
      </w:tblGrid>
      <w:tr w14:paraId="22C2F39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477" w:type="pct"/>
            <w:gridSpan w:val="2"/>
            <w:tcBorders>
              <w:tl2br w:val="nil"/>
              <w:tr2bl w:val="nil"/>
            </w:tcBorders>
            <w:vAlign w:val="center"/>
          </w:tcPr>
          <w:p w14:paraId="63E93B8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工作内容</w:t>
            </w:r>
          </w:p>
        </w:tc>
        <w:tc>
          <w:tcPr>
            <w:tcW w:w="2963" w:type="pct"/>
            <w:gridSpan w:val="6"/>
            <w:tcBorders>
              <w:tl2br w:val="nil"/>
              <w:tr2bl w:val="nil"/>
            </w:tcBorders>
            <w:vAlign w:val="center"/>
          </w:tcPr>
          <w:p w14:paraId="1B8C8C01">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完成情况</w:t>
            </w:r>
          </w:p>
        </w:tc>
        <w:tc>
          <w:tcPr>
            <w:tcW w:w="558" w:type="pct"/>
            <w:tcBorders>
              <w:tl2br w:val="nil"/>
              <w:tr2bl w:val="nil"/>
            </w:tcBorders>
            <w:vAlign w:val="center"/>
          </w:tcPr>
          <w:p w14:paraId="6B44B0E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备注</w:t>
            </w:r>
          </w:p>
        </w:tc>
      </w:tr>
      <w:tr w14:paraId="57EF5F3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542" w:type="pct"/>
            <w:vMerge w:val="restart"/>
            <w:tcBorders>
              <w:tl2br w:val="nil"/>
              <w:tr2bl w:val="nil"/>
            </w:tcBorders>
            <w:vAlign w:val="center"/>
          </w:tcPr>
          <w:p w14:paraId="570459F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影响识别</w:t>
            </w:r>
          </w:p>
        </w:tc>
        <w:tc>
          <w:tcPr>
            <w:tcW w:w="934" w:type="pct"/>
            <w:tcBorders>
              <w:tl2br w:val="nil"/>
              <w:tr2bl w:val="nil"/>
            </w:tcBorders>
            <w:vAlign w:val="center"/>
          </w:tcPr>
          <w:p w14:paraId="1BBEAD6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影响类型</w:t>
            </w:r>
          </w:p>
        </w:tc>
        <w:tc>
          <w:tcPr>
            <w:tcW w:w="2963" w:type="pct"/>
            <w:gridSpan w:val="6"/>
            <w:tcBorders>
              <w:tl2br w:val="nil"/>
              <w:tr2bl w:val="nil"/>
            </w:tcBorders>
            <w:vAlign w:val="center"/>
          </w:tcPr>
          <w:p w14:paraId="012BAE6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污染影响型</w:t>
            </w:r>
            <w:r>
              <w:rPr>
                <w:rFonts w:hint="default" w:ascii="Times New Roman" w:hAnsi="Times New Roman" w:eastAsia="华文中宋" w:cs="Times New Roman"/>
                <w:szCs w:val="21"/>
                <w:lang w:eastAsia="zh-CN"/>
              </w:rPr>
              <w:sym w:font="Wingdings 2" w:char="00A3"/>
            </w:r>
            <w:r>
              <w:rPr>
                <w:rFonts w:hint="default" w:ascii="Times New Roman" w:hAnsi="Times New Roman" w:eastAsia="华文中宋" w:cs="Times New Roman"/>
                <w:szCs w:val="21"/>
              </w:rPr>
              <w:t>；生态影响型□；两种兼有</w:t>
            </w:r>
            <w:r>
              <w:rPr>
                <w:rFonts w:hint="default" w:ascii="Times New Roman" w:hAnsi="Times New Roman" w:eastAsia="华文中宋" w:cs="Times New Roman"/>
                <w:szCs w:val="21"/>
              </w:rPr>
              <w:sym w:font="Wingdings 2" w:char="0052"/>
            </w:r>
          </w:p>
        </w:tc>
        <w:tc>
          <w:tcPr>
            <w:tcW w:w="558" w:type="pct"/>
            <w:tcBorders>
              <w:tl2br w:val="nil"/>
              <w:tr2bl w:val="nil"/>
            </w:tcBorders>
            <w:vAlign w:val="center"/>
          </w:tcPr>
          <w:p w14:paraId="4DBC0AD2">
            <w:pPr>
              <w:spacing w:line="300" w:lineRule="exact"/>
              <w:jc w:val="center"/>
              <w:rPr>
                <w:rFonts w:hint="default" w:ascii="Times New Roman" w:hAnsi="Times New Roman" w:eastAsia="华文中宋" w:cs="Times New Roman"/>
                <w:szCs w:val="21"/>
              </w:rPr>
            </w:pPr>
          </w:p>
        </w:tc>
      </w:tr>
      <w:tr w14:paraId="1A8FBEE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542" w:type="pct"/>
            <w:vMerge w:val="continue"/>
            <w:tcBorders>
              <w:tl2br w:val="nil"/>
              <w:tr2bl w:val="nil"/>
            </w:tcBorders>
            <w:vAlign w:val="center"/>
          </w:tcPr>
          <w:p w14:paraId="35901B67">
            <w:pPr>
              <w:spacing w:line="300" w:lineRule="exact"/>
              <w:jc w:val="center"/>
              <w:rPr>
                <w:rFonts w:hint="default" w:ascii="Times New Roman" w:hAnsi="Times New Roman" w:eastAsia="华文中宋" w:cs="Times New Roman"/>
                <w:szCs w:val="21"/>
              </w:rPr>
            </w:pPr>
          </w:p>
        </w:tc>
        <w:tc>
          <w:tcPr>
            <w:tcW w:w="934" w:type="pct"/>
            <w:tcBorders>
              <w:tl2br w:val="nil"/>
              <w:tr2bl w:val="nil"/>
            </w:tcBorders>
            <w:vAlign w:val="center"/>
          </w:tcPr>
          <w:p w14:paraId="38129F6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土地利用类型</w:t>
            </w:r>
          </w:p>
        </w:tc>
        <w:tc>
          <w:tcPr>
            <w:tcW w:w="2963" w:type="pct"/>
            <w:gridSpan w:val="6"/>
            <w:tcBorders>
              <w:tl2br w:val="nil"/>
              <w:tr2bl w:val="nil"/>
            </w:tcBorders>
            <w:vAlign w:val="center"/>
          </w:tcPr>
          <w:p w14:paraId="120F665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建设用地</w:t>
            </w:r>
            <w:r>
              <w:rPr>
                <w:rFonts w:hint="default" w:ascii="Times New Roman" w:hAnsi="Times New Roman" w:eastAsia="华文中宋" w:cs="Times New Roman"/>
                <w:szCs w:val="21"/>
                <w:lang w:eastAsia="zh-CN"/>
              </w:rPr>
              <w:sym w:font="Wingdings 2" w:char="0052"/>
            </w:r>
            <w:r>
              <w:rPr>
                <w:rFonts w:hint="default" w:ascii="Times New Roman" w:hAnsi="Times New Roman" w:eastAsia="华文中宋" w:cs="Times New Roman"/>
                <w:szCs w:val="21"/>
              </w:rPr>
              <w:t>；农用地</w:t>
            </w:r>
            <w:r>
              <w:rPr>
                <w:rFonts w:hint="default" w:ascii="Times New Roman" w:hAnsi="Times New Roman" w:eastAsia="华文中宋" w:cs="Times New Roman"/>
                <w:szCs w:val="21"/>
              </w:rPr>
              <w:sym w:font="Wingdings 2" w:char="00A3"/>
            </w:r>
            <w:r>
              <w:rPr>
                <w:rFonts w:hint="default" w:ascii="Times New Roman" w:hAnsi="Times New Roman" w:eastAsia="华文中宋" w:cs="Times New Roman"/>
                <w:szCs w:val="21"/>
              </w:rPr>
              <w:t>；未利用地</w:t>
            </w:r>
            <w:r>
              <w:rPr>
                <w:rFonts w:hint="default" w:ascii="Times New Roman" w:hAnsi="Times New Roman" w:eastAsia="华文中宋" w:cs="Times New Roman"/>
                <w:szCs w:val="21"/>
              </w:rPr>
              <w:sym w:font="Wingdings 2" w:char="00A3"/>
            </w:r>
          </w:p>
        </w:tc>
        <w:tc>
          <w:tcPr>
            <w:tcW w:w="558" w:type="pct"/>
            <w:tcBorders>
              <w:tl2br w:val="nil"/>
              <w:tr2bl w:val="nil"/>
            </w:tcBorders>
            <w:vAlign w:val="center"/>
          </w:tcPr>
          <w:p w14:paraId="11F122F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土地利用类型图</w:t>
            </w:r>
          </w:p>
        </w:tc>
      </w:tr>
      <w:tr w14:paraId="373CBFE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542" w:type="pct"/>
            <w:vMerge w:val="continue"/>
            <w:tcBorders>
              <w:tl2br w:val="nil"/>
              <w:tr2bl w:val="nil"/>
            </w:tcBorders>
            <w:vAlign w:val="center"/>
          </w:tcPr>
          <w:p w14:paraId="5CBF88CE">
            <w:pPr>
              <w:spacing w:line="300" w:lineRule="exact"/>
              <w:jc w:val="center"/>
              <w:rPr>
                <w:rFonts w:hint="default" w:ascii="Times New Roman" w:hAnsi="Times New Roman" w:eastAsia="华文中宋" w:cs="Times New Roman"/>
                <w:szCs w:val="21"/>
              </w:rPr>
            </w:pPr>
          </w:p>
        </w:tc>
        <w:tc>
          <w:tcPr>
            <w:tcW w:w="934" w:type="pct"/>
            <w:tcBorders>
              <w:tl2br w:val="nil"/>
              <w:tr2bl w:val="nil"/>
            </w:tcBorders>
            <w:vAlign w:val="center"/>
          </w:tcPr>
          <w:p w14:paraId="170B1507">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占地规模</w:t>
            </w:r>
          </w:p>
        </w:tc>
        <w:tc>
          <w:tcPr>
            <w:tcW w:w="2963" w:type="pct"/>
            <w:gridSpan w:val="6"/>
            <w:tcBorders>
              <w:tl2br w:val="nil"/>
              <w:tr2bl w:val="nil"/>
            </w:tcBorders>
            <w:vAlign w:val="center"/>
          </w:tcPr>
          <w:p w14:paraId="6121E56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0.9168km</w:t>
            </w:r>
            <w:r>
              <w:rPr>
                <w:rFonts w:hint="default" w:ascii="Times New Roman" w:hAnsi="Times New Roman" w:eastAsia="华文中宋" w:cs="Times New Roman"/>
                <w:szCs w:val="21"/>
                <w:vertAlign w:val="superscript"/>
                <w:lang w:val="en-US" w:eastAsia="zh-CN"/>
              </w:rPr>
              <w:t>2</w:t>
            </w:r>
          </w:p>
        </w:tc>
        <w:tc>
          <w:tcPr>
            <w:tcW w:w="558" w:type="pct"/>
            <w:tcBorders>
              <w:tl2br w:val="nil"/>
              <w:tr2bl w:val="nil"/>
            </w:tcBorders>
            <w:vAlign w:val="center"/>
          </w:tcPr>
          <w:p w14:paraId="48629C03">
            <w:pPr>
              <w:spacing w:line="300" w:lineRule="exact"/>
              <w:jc w:val="center"/>
              <w:rPr>
                <w:rFonts w:hint="default" w:ascii="Times New Roman" w:hAnsi="Times New Roman" w:eastAsia="华文中宋" w:cs="Times New Roman"/>
                <w:szCs w:val="21"/>
              </w:rPr>
            </w:pPr>
          </w:p>
        </w:tc>
      </w:tr>
      <w:tr w14:paraId="1230735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542" w:type="pct"/>
            <w:vMerge w:val="continue"/>
            <w:tcBorders>
              <w:tl2br w:val="nil"/>
              <w:tr2bl w:val="nil"/>
            </w:tcBorders>
            <w:vAlign w:val="center"/>
          </w:tcPr>
          <w:p w14:paraId="58C1DE74">
            <w:pPr>
              <w:spacing w:line="300" w:lineRule="exact"/>
              <w:jc w:val="center"/>
              <w:rPr>
                <w:rFonts w:hint="default" w:ascii="Times New Roman" w:hAnsi="Times New Roman" w:eastAsia="华文中宋" w:cs="Times New Roman"/>
                <w:szCs w:val="21"/>
              </w:rPr>
            </w:pPr>
          </w:p>
        </w:tc>
        <w:tc>
          <w:tcPr>
            <w:tcW w:w="934" w:type="pct"/>
            <w:tcBorders>
              <w:tl2br w:val="nil"/>
              <w:tr2bl w:val="nil"/>
            </w:tcBorders>
            <w:vAlign w:val="center"/>
          </w:tcPr>
          <w:p w14:paraId="49CD575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敏感目标信息</w:t>
            </w:r>
          </w:p>
        </w:tc>
        <w:tc>
          <w:tcPr>
            <w:tcW w:w="2963" w:type="pct"/>
            <w:gridSpan w:val="6"/>
            <w:tcBorders>
              <w:tl2br w:val="nil"/>
              <w:tr2bl w:val="nil"/>
            </w:tcBorders>
            <w:vAlign w:val="center"/>
          </w:tcPr>
          <w:p w14:paraId="27C9826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无</w:t>
            </w:r>
          </w:p>
        </w:tc>
        <w:tc>
          <w:tcPr>
            <w:tcW w:w="558" w:type="pct"/>
            <w:tcBorders>
              <w:tl2br w:val="nil"/>
              <w:tr2bl w:val="nil"/>
            </w:tcBorders>
            <w:vAlign w:val="center"/>
          </w:tcPr>
          <w:p w14:paraId="292F39AD">
            <w:pPr>
              <w:spacing w:line="300" w:lineRule="exact"/>
              <w:jc w:val="center"/>
              <w:rPr>
                <w:rFonts w:hint="default" w:ascii="Times New Roman" w:hAnsi="Times New Roman" w:eastAsia="华文中宋" w:cs="Times New Roman"/>
                <w:szCs w:val="21"/>
              </w:rPr>
            </w:pPr>
          </w:p>
        </w:tc>
      </w:tr>
      <w:tr w14:paraId="6494D89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542" w:type="pct"/>
            <w:vMerge w:val="continue"/>
            <w:tcBorders>
              <w:tl2br w:val="nil"/>
              <w:tr2bl w:val="nil"/>
            </w:tcBorders>
            <w:vAlign w:val="center"/>
          </w:tcPr>
          <w:p w14:paraId="5C598057">
            <w:pPr>
              <w:spacing w:line="300" w:lineRule="exact"/>
              <w:jc w:val="center"/>
              <w:rPr>
                <w:rFonts w:hint="default" w:ascii="Times New Roman" w:hAnsi="Times New Roman" w:eastAsia="华文中宋" w:cs="Times New Roman"/>
                <w:szCs w:val="21"/>
              </w:rPr>
            </w:pPr>
          </w:p>
        </w:tc>
        <w:tc>
          <w:tcPr>
            <w:tcW w:w="934" w:type="pct"/>
            <w:tcBorders>
              <w:tl2br w:val="nil"/>
              <w:tr2bl w:val="nil"/>
            </w:tcBorders>
            <w:vAlign w:val="center"/>
          </w:tcPr>
          <w:p w14:paraId="5955BEB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影响途径</w:t>
            </w:r>
          </w:p>
        </w:tc>
        <w:tc>
          <w:tcPr>
            <w:tcW w:w="2963" w:type="pct"/>
            <w:gridSpan w:val="6"/>
            <w:tcBorders>
              <w:tl2br w:val="nil"/>
              <w:tr2bl w:val="nil"/>
            </w:tcBorders>
            <w:vAlign w:val="center"/>
          </w:tcPr>
          <w:p w14:paraId="49B2BC3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大气沉降</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；地面漫流</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；垂直入渗</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；地下水位</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；其他□</w:t>
            </w:r>
          </w:p>
        </w:tc>
        <w:tc>
          <w:tcPr>
            <w:tcW w:w="558" w:type="pct"/>
            <w:tcBorders>
              <w:tl2br w:val="nil"/>
              <w:tr2bl w:val="nil"/>
            </w:tcBorders>
            <w:vAlign w:val="center"/>
          </w:tcPr>
          <w:p w14:paraId="57149E37">
            <w:pPr>
              <w:spacing w:line="300" w:lineRule="exact"/>
              <w:jc w:val="center"/>
              <w:rPr>
                <w:rFonts w:hint="default" w:ascii="Times New Roman" w:hAnsi="Times New Roman" w:eastAsia="华文中宋" w:cs="Times New Roman"/>
                <w:szCs w:val="21"/>
              </w:rPr>
            </w:pPr>
          </w:p>
        </w:tc>
      </w:tr>
      <w:tr w14:paraId="1826DCE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542" w:type="pct"/>
            <w:vMerge w:val="continue"/>
            <w:tcBorders>
              <w:tl2br w:val="nil"/>
              <w:tr2bl w:val="nil"/>
            </w:tcBorders>
            <w:vAlign w:val="center"/>
          </w:tcPr>
          <w:p w14:paraId="27D34709">
            <w:pPr>
              <w:spacing w:line="300" w:lineRule="exact"/>
              <w:jc w:val="center"/>
              <w:rPr>
                <w:rFonts w:hint="default" w:ascii="Times New Roman" w:hAnsi="Times New Roman" w:eastAsia="华文中宋" w:cs="Times New Roman"/>
                <w:szCs w:val="21"/>
              </w:rPr>
            </w:pPr>
          </w:p>
        </w:tc>
        <w:tc>
          <w:tcPr>
            <w:tcW w:w="934" w:type="pct"/>
            <w:tcBorders>
              <w:tl2br w:val="nil"/>
              <w:tr2bl w:val="nil"/>
            </w:tcBorders>
            <w:vAlign w:val="center"/>
          </w:tcPr>
          <w:p w14:paraId="65479BD0">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全部污染物</w:t>
            </w:r>
          </w:p>
        </w:tc>
        <w:tc>
          <w:tcPr>
            <w:tcW w:w="2963" w:type="pct"/>
            <w:gridSpan w:val="6"/>
            <w:tcBorders>
              <w:tl2br w:val="nil"/>
              <w:tr2bl w:val="nil"/>
            </w:tcBorders>
            <w:vAlign w:val="center"/>
          </w:tcPr>
          <w:p w14:paraId="5CB236E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铜、锌、镉、铅、铬、六价铬、汞、铍、钡、镍、银、砷、硒、氟化物、氰根离子、烷基汞、苯、并[a]芘、</w:t>
            </w:r>
          </w:p>
        </w:tc>
        <w:tc>
          <w:tcPr>
            <w:tcW w:w="558" w:type="pct"/>
            <w:tcBorders>
              <w:tl2br w:val="nil"/>
              <w:tr2bl w:val="nil"/>
            </w:tcBorders>
            <w:vAlign w:val="center"/>
          </w:tcPr>
          <w:p w14:paraId="311E41CE">
            <w:pPr>
              <w:spacing w:line="300" w:lineRule="exact"/>
              <w:jc w:val="center"/>
              <w:rPr>
                <w:rFonts w:hint="default" w:ascii="Times New Roman" w:hAnsi="Times New Roman" w:eastAsia="华文中宋" w:cs="Times New Roman"/>
                <w:szCs w:val="21"/>
              </w:rPr>
            </w:pPr>
          </w:p>
        </w:tc>
      </w:tr>
      <w:tr w14:paraId="0CCDBF5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542" w:type="pct"/>
            <w:vMerge w:val="continue"/>
            <w:tcBorders>
              <w:tl2br w:val="nil"/>
              <w:tr2bl w:val="nil"/>
            </w:tcBorders>
            <w:vAlign w:val="center"/>
          </w:tcPr>
          <w:p w14:paraId="3D7CC6B4">
            <w:pPr>
              <w:spacing w:line="300" w:lineRule="exact"/>
              <w:jc w:val="center"/>
              <w:rPr>
                <w:rFonts w:hint="default" w:ascii="Times New Roman" w:hAnsi="Times New Roman" w:eastAsia="华文中宋" w:cs="Times New Roman"/>
                <w:szCs w:val="21"/>
              </w:rPr>
            </w:pPr>
          </w:p>
        </w:tc>
        <w:tc>
          <w:tcPr>
            <w:tcW w:w="934" w:type="pct"/>
            <w:tcBorders>
              <w:tl2br w:val="nil"/>
              <w:tr2bl w:val="nil"/>
            </w:tcBorders>
            <w:vAlign w:val="center"/>
          </w:tcPr>
          <w:p w14:paraId="4172BBD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特征因子</w:t>
            </w:r>
          </w:p>
        </w:tc>
        <w:tc>
          <w:tcPr>
            <w:tcW w:w="2963" w:type="pct"/>
            <w:gridSpan w:val="6"/>
            <w:tcBorders>
              <w:tl2br w:val="nil"/>
              <w:tr2bl w:val="nil"/>
            </w:tcBorders>
            <w:vAlign w:val="center"/>
          </w:tcPr>
          <w:p w14:paraId="452091D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w:t>
            </w:r>
          </w:p>
        </w:tc>
        <w:tc>
          <w:tcPr>
            <w:tcW w:w="558" w:type="pct"/>
            <w:tcBorders>
              <w:tl2br w:val="nil"/>
              <w:tr2bl w:val="nil"/>
            </w:tcBorders>
            <w:vAlign w:val="center"/>
          </w:tcPr>
          <w:p w14:paraId="0D9084D1">
            <w:pPr>
              <w:spacing w:line="300" w:lineRule="exact"/>
              <w:jc w:val="center"/>
              <w:rPr>
                <w:rFonts w:hint="default" w:ascii="Times New Roman" w:hAnsi="Times New Roman" w:eastAsia="华文中宋" w:cs="Times New Roman"/>
                <w:szCs w:val="21"/>
              </w:rPr>
            </w:pPr>
          </w:p>
        </w:tc>
      </w:tr>
      <w:tr w14:paraId="7949471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542" w:type="pct"/>
            <w:vMerge w:val="continue"/>
            <w:tcBorders>
              <w:tl2br w:val="nil"/>
              <w:tr2bl w:val="nil"/>
            </w:tcBorders>
            <w:vAlign w:val="center"/>
          </w:tcPr>
          <w:p w14:paraId="41BC588E">
            <w:pPr>
              <w:spacing w:line="300" w:lineRule="exact"/>
              <w:jc w:val="center"/>
              <w:rPr>
                <w:rFonts w:hint="default" w:ascii="Times New Roman" w:hAnsi="Times New Roman" w:eastAsia="华文中宋" w:cs="Times New Roman"/>
                <w:szCs w:val="21"/>
              </w:rPr>
            </w:pPr>
          </w:p>
        </w:tc>
        <w:tc>
          <w:tcPr>
            <w:tcW w:w="934" w:type="pct"/>
            <w:tcBorders>
              <w:tl2br w:val="nil"/>
              <w:tr2bl w:val="nil"/>
            </w:tcBorders>
            <w:vAlign w:val="center"/>
          </w:tcPr>
          <w:p w14:paraId="23B54A6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所属土壤环境影响评价项目类别</w:t>
            </w:r>
          </w:p>
        </w:tc>
        <w:tc>
          <w:tcPr>
            <w:tcW w:w="2963" w:type="pct"/>
            <w:gridSpan w:val="6"/>
            <w:tcBorders>
              <w:tl2br w:val="nil"/>
              <w:tr2bl w:val="nil"/>
            </w:tcBorders>
            <w:vAlign w:val="center"/>
          </w:tcPr>
          <w:p w14:paraId="0B278B8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Ⅰ类</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；Ⅱ类</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；Ⅲ类</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；Ⅳ类□</w:t>
            </w:r>
          </w:p>
        </w:tc>
        <w:tc>
          <w:tcPr>
            <w:tcW w:w="558" w:type="pct"/>
            <w:tcBorders>
              <w:tl2br w:val="nil"/>
              <w:tr2bl w:val="nil"/>
            </w:tcBorders>
            <w:vAlign w:val="center"/>
          </w:tcPr>
          <w:p w14:paraId="4F283AB9">
            <w:pPr>
              <w:spacing w:line="300" w:lineRule="exact"/>
              <w:jc w:val="center"/>
              <w:rPr>
                <w:rFonts w:hint="default" w:ascii="Times New Roman" w:hAnsi="Times New Roman" w:eastAsia="华文中宋" w:cs="Times New Roman"/>
                <w:szCs w:val="21"/>
              </w:rPr>
            </w:pPr>
          </w:p>
        </w:tc>
      </w:tr>
      <w:tr w14:paraId="7D63270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542" w:type="pct"/>
            <w:vMerge w:val="continue"/>
            <w:tcBorders>
              <w:tl2br w:val="nil"/>
              <w:tr2bl w:val="nil"/>
            </w:tcBorders>
            <w:vAlign w:val="center"/>
          </w:tcPr>
          <w:p w14:paraId="56F21B52">
            <w:pPr>
              <w:spacing w:line="300" w:lineRule="exact"/>
              <w:jc w:val="center"/>
              <w:rPr>
                <w:rFonts w:hint="default" w:ascii="Times New Roman" w:hAnsi="Times New Roman" w:eastAsia="华文中宋" w:cs="Times New Roman"/>
                <w:szCs w:val="21"/>
              </w:rPr>
            </w:pPr>
          </w:p>
        </w:tc>
        <w:tc>
          <w:tcPr>
            <w:tcW w:w="934" w:type="pct"/>
            <w:tcBorders>
              <w:tl2br w:val="nil"/>
              <w:tr2bl w:val="nil"/>
            </w:tcBorders>
            <w:vAlign w:val="center"/>
          </w:tcPr>
          <w:p w14:paraId="462A60C3">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敏感程度</w:t>
            </w:r>
          </w:p>
        </w:tc>
        <w:tc>
          <w:tcPr>
            <w:tcW w:w="2963" w:type="pct"/>
            <w:gridSpan w:val="6"/>
            <w:tcBorders>
              <w:tl2br w:val="nil"/>
              <w:tr2bl w:val="nil"/>
            </w:tcBorders>
            <w:vAlign w:val="center"/>
          </w:tcPr>
          <w:p w14:paraId="06DEEBA0">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敏感</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；较敏感</w:t>
            </w:r>
            <w:r>
              <w:rPr>
                <w:rFonts w:hint="default" w:ascii="Times New Roman" w:hAnsi="Times New Roman" w:eastAsia="华文中宋" w:cs="Times New Roman"/>
                <w:szCs w:val="21"/>
              </w:rPr>
              <w:sym w:font="Wingdings 2" w:char="0052"/>
            </w:r>
            <w:r>
              <w:rPr>
                <w:rFonts w:hint="default" w:ascii="Times New Roman" w:hAnsi="Times New Roman" w:eastAsia="华文中宋" w:cs="Times New Roman"/>
                <w:szCs w:val="21"/>
              </w:rPr>
              <w:t>；不敏感</w:t>
            </w:r>
            <w:r>
              <w:rPr>
                <w:rFonts w:hint="default" w:ascii="Times New Roman" w:hAnsi="Times New Roman" w:eastAsia="华文中宋" w:cs="Times New Roman"/>
                <w:szCs w:val="21"/>
              </w:rPr>
              <w:sym w:font="Wingdings 2" w:char="00A3"/>
            </w:r>
          </w:p>
        </w:tc>
        <w:tc>
          <w:tcPr>
            <w:tcW w:w="558" w:type="pct"/>
            <w:tcBorders>
              <w:tl2br w:val="nil"/>
              <w:tr2bl w:val="nil"/>
            </w:tcBorders>
            <w:vAlign w:val="center"/>
          </w:tcPr>
          <w:p w14:paraId="1CFF6749">
            <w:pPr>
              <w:spacing w:line="300" w:lineRule="exact"/>
              <w:jc w:val="center"/>
              <w:rPr>
                <w:rFonts w:hint="default" w:ascii="Times New Roman" w:hAnsi="Times New Roman" w:eastAsia="华文中宋" w:cs="Times New Roman"/>
                <w:szCs w:val="21"/>
              </w:rPr>
            </w:pPr>
          </w:p>
        </w:tc>
      </w:tr>
      <w:tr w14:paraId="6FE74BA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7" w:type="pct"/>
            <w:gridSpan w:val="2"/>
            <w:tcBorders>
              <w:tl2br w:val="nil"/>
              <w:tr2bl w:val="nil"/>
            </w:tcBorders>
            <w:vAlign w:val="center"/>
          </w:tcPr>
          <w:p w14:paraId="1C3EC28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评价工作等级</w:t>
            </w:r>
          </w:p>
        </w:tc>
        <w:tc>
          <w:tcPr>
            <w:tcW w:w="2963" w:type="pct"/>
            <w:gridSpan w:val="6"/>
            <w:tcBorders>
              <w:tl2br w:val="nil"/>
              <w:tr2bl w:val="nil"/>
            </w:tcBorders>
            <w:vAlign w:val="center"/>
          </w:tcPr>
          <w:p w14:paraId="3CA5E11C">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rPr>
              <w:t>一级□；二级</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；三级</w:t>
            </w:r>
            <w:r>
              <w:rPr>
                <w:rFonts w:hint="default" w:ascii="Times New Roman" w:hAnsi="Times New Roman" w:eastAsia="华文中宋" w:cs="Times New Roman"/>
                <w:szCs w:val="21"/>
                <w:lang w:eastAsia="zh-CN"/>
              </w:rPr>
              <w:t>□</w:t>
            </w:r>
          </w:p>
        </w:tc>
        <w:tc>
          <w:tcPr>
            <w:tcW w:w="558" w:type="pct"/>
            <w:tcBorders>
              <w:tl2br w:val="nil"/>
              <w:tr2bl w:val="nil"/>
            </w:tcBorders>
            <w:vAlign w:val="center"/>
          </w:tcPr>
          <w:p w14:paraId="20433482">
            <w:pPr>
              <w:spacing w:line="300" w:lineRule="exact"/>
              <w:jc w:val="center"/>
              <w:rPr>
                <w:rFonts w:hint="default" w:ascii="Times New Roman" w:hAnsi="Times New Roman" w:eastAsia="华文中宋" w:cs="Times New Roman"/>
                <w:szCs w:val="21"/>
              </w:rPr>
            </w:pPr>
          </w:p>
        </w:tc>
      </w:tr>
      <w:tr w14:paraId="05DDEF9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542" w:type="pct"/>
            <w:vMerge w:val="restart"/>
            <w:tcBorders>
              <w:tl2br w:val="nil"/>
              <w:tr2bl w:val="nil"/>
            </w:tcBorders>
            <w:vAlign w:val="center"/>
          </w:tcPr>
          <w:p w14:paraId="78879B17">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现状调查内容</w:t>
            </w:r>
          </w:p>
        </w:tc>
        <w:tc>
          <w:tcPr>
            <w:tcW w:w="934" w:type="pct"/>
            <w:tcBorders>
              <w:tl2br w:val="nil"/>
              <w:tr2bl w:val="nil"/>
            </w:tcBorders>
            <w:vAlign w:val="center"/>
          </w:tcPr>
          <w:p w14:paraId="6ABF5CB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资料收集</w:t>
            </w:r>
          </w:p>
        </w:tc>
        <w:tc>
          <w:tcPr>
            <w:tcW w:w="2963" w:type="pct"/>
            <w:gridSpan w:val="6"/>
            <w:tcBorders>
              <w:tl2br w:val="nil"/>
              <w:tr2bl w:val="nil"/>
            </w:tcBorders>
            <w:vAlign w:val="center"/>
          </w:tcPr>
          <w:p w14:paraId="129D3973">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a)</w:t>
            </w:r>
            <w:r>
              <w:rPr>
                <w:rFonts w:hint="default" w:ascii="Times New Roman" w:hAnsi="Times New Roman" w:eastAsia="华文中宋" w:cs="Times New Roman"/>
                <w:szCs w:val="21"/>
              </w:rPr>
              <w:sym w:font="Wingdings 2" w:char="0052"/>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b)</w:t>
            </w:r>
            <w:r>
              <w:rPr>
                <w:rFonts w:hint="default" w:ascii="Times New Roman" w:hAnsi="Times New Roman" w:eastAsia="华文中宋" w:cs="Times New Roman"/>
                <w:szCs w:val="21"/>
              </w:rPr>
              <w:sym w:font="Wingdings 2" w:char="0052"/>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c)</w:t>
            </w:r>
            <w:r>
              <w:rPr>
                <w:rFonts w:hint="default" w:ascii="Times New Roman" w:hAnsi="Times New Roman" w:eastAsia="华文中宋" w:cs="Times New Roman"/>
                <w:szCs w:val="21"/>
              </w:rPr>
              <w:sym w:font="Wingdings 2" w:char="0052"/>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d</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sym w:font="Wingdings 2" w:char="0052"/>
            </w:r>
          </w:p>
        </w:tc>
        <w:tc>
          <w:tcPr>
            <w:tcW w:w="558" w:type="pct"/>
            <w:tcBorders>
              <w:tl2br w:val="nil"/>
              <w:tr2bl w:val="nil"/>
            </w:tcBorders>
            <w:vAlign w:val="center"/>
          </w:tcPr>
          <w:p w14:paraId="76F11EFF">
            <w:pPr>
              <w:spacing w:line="300" w:lineRule="exact"/>
              <w:jc w:val="center"/>
              <w:rPr>
                <w:rFonts w:hint="default" w:ascii="Times New Roman" w:hAnsi="Times New Roman" w:eastAsia="华文中宋" w:cs="Times New Roman"/>
                <w:szCs w:val="21"/>
              </w:rPr>
            </w:pPr>
          </w:p>
        </w:tc>
      </w:tr>
      <w:tr w14:paraId="0A9BB68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542" w:type="pct"/>
            <w:vMerge w:val="continue"/>
            <w:tcBorders>
              <w:tl2br w:val="nil"/>
              <w:tr2bl w:val="nil"/>
            </w:tcBorders>
            <w:vAlign w:val="center"/>
          </w:tcPr>
          <w:p w14:paraId="51003791">
            <w:pPr>
              <w:spacing w:line="300" w:lineRule="exact"/>
              <w:jc w:val="center"/>
              <w:rPr>
                <w:rFonts w:hint="default" w:ascii="Times New Roman" w:hAnsi="Times New Roman" w:eastAsia="华文中宋" w:cs="Times New Roman"/>
                <w:szCs w:val="21"/>
              </w:rPr>
            </w:pPr>
          </w:p>
        </w:tc>
        <w:tc>
          <w:tcPr>
            <w:tcW w:w="934" w:type="pct"/>
            <w:tcBorders>
              <w:tl2br w:val="nil"/>
              <w:tr2bl w:val="nil"/>
            </w:tcBorders>
            <w:vAlign w:val="center"/>
          </w:tcPr>
          <w:p w14:paraId="527E891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理化特性</w:t>
            </w:r>
          </w:p>
        </w:tc>
        <w:tc>
          <w:tcPr>
            <w:tcW w:w="2963" w:type="pct"/>
            <w:gridSpan w:val="6"/>
            <w:tcBorders>
              <w:tl2br w:val="nil"/>
              <w:tr2bl w:val="nil"/>
            </w:tcBorders>
            <w:vAlign w:val="center"/>
          </w:tcPr>
          <w:p w14:paraId="26ECAA0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w:t>
            </w:r>
          </w:p>
        </w:tc>
        <w:tc>
          <w:tcPr>
            <w:tcW w:w="558" w:type="pct"/>
            <w:tcBorders>
              <w:tl2br w:val="nil"/>
              <w:tr2bl w:val="nil"/>
            </w:tcBorders>
            <w:vAlign w:val="center"/>
          </w:tcPr>
          <w:p w14:paraId="50C14840">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同附录C</w:t>
            </w:r>
          </w:p>
        </w:tc>
      </w:tr>
      <w:tr w14:paraId="16453F7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542" w:type="pct"/>
            <w:vMerge w:val="continue"/>
            <w:tcBorders>
              <w:tl2br w:val="nil"/>
              <w:tr2bl w:val="nil"/>
            </w:tcBorders>
            <w:vAlign w:val="center"/>
          </w:tcPr>
          <w:p w14:paraId="2A8A8916">
            <w:pPr>
              <w:spacing w:line="300" w:lineRule="exact"/>
              <w:jc w:val="center"/>
              <w:rPr>
                <w:rFonts w:hint="default" w:ascii="Times New Roman" w:hAnsi="Times New Roman" w:eastAsia="华文中宋" w:cs="Times New Roman"/>
                <w:szCs w:val="21"/>
              </w:rPr>
            </w:pPr>
          </w:p>
        </w:tc>
        <w:tc>
          <w:tcPr>
            <w:tcW w:w="934" w:type="pct"/>
            <w:vMerge w:val="restart"/>
            <w:tcBorders>
              <w:tl2br w:val="nil"/>
              <w:tr2bl w:val="nil"/>
            </w:tcBorders>
            <w:vAlign w:val="center"/>
          </w:tcPr>
          <w:p w14:paraId="212DF31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现状监测点位</w:t>
            </w:r>
          </w:p>
        </w:tc>
        <w:tc>
          <w:tcPr>
            <w:tcW w:w="829" w:type="pct"/>
            <w:tcBorders>
              <w:tl2br w:val="nil"/>
              <w:tr2bl w:val="nil"/>
            </w:tcBorders>
            <w:vAlign w:val="center"/>
          </w:tcPr>
          <w:p w14:paraId="74A4A4DF">
            <w:pPr>
              <w:spacing w:line="300" w:lineRule="exact"/>
              <w:jc w:val="center"/>
              <w:rPr>
                <w:rFonts w:hint="default" w:ascii="Times New Roman" w:hAnsi="Times New Roman" w:eastAsia="华文中宋" w:cs="Times New Roman"/>
                <w:szCs w:val="21"/>
              </w:rPr>
            </w:pPr>
          </w:p>
        </w:tc>
        <w:tc>
          <w:tcPr>
            <w:tcW w:w="819" w:type="pct"/>
            <w:gridSpan w:val="2"/>
            <w:tcBorders>
              <w:right w:val="single" w:color="auto" w:sz="4" w:space="0"/>
              <w:tl2br w:val="nil"/>
              <w:tr2bl w:val="nil"/>
            </w:tcBorders>
            <w:vAlign w:val="center"/>
          </w:tcPr>
          <w:p w14:paraId="40B132C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占地范围内</w:t>
            </w:r>
          </w:p>
        </w:tc>
        <w:tc>
          <w:tcPr>
            <w:tcW w:w="764" w:type="pct"/>
            <w:gridSpan w:val="2"/>
            <w:tcBorders>
              <w:left w:val="single" w:color="auto" w:sz="4" w:space="0"/>
              <w:tl2br w:val="nil"/>
              <w:tr2bl w:val="nil"/>
            </w:tcBorders>
            <w:vAlign w:val="center"/>
          </w:tcPr>
          <w:p w14:paraId="38B3EC0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占地范围外</w:t>
            </w:r>
          </w:p>
        </w:tc>
        <w:tc>
          <w:tcPr>
            <w:tcW w:w="549" w:type="pct"/>
            <w:tcBorders>
              <w:tl2br w:val="nil"/>
              <w:tr2bl w:val="nil"/>
            </w:tcBorders>
            <w:vAlign w:val="center"/>
          </w:tcPr>
          <w:p w14:paraId="3F345277">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深度</w:t>
            </w:r>
          </w:p>
        </w:tc>
        <w:tc>
          <w:tcPr>
            <w:tcW w:w="558" w:type="pct"/>
            <w:vMerge w:val="restart"/>
            <w:tcBorders>
              <w:tl2br w:val="nil"/>
              <w:tr2bl w:val="nil"/>
            </w:tcBorders>
            <w:vAlign w:val="center"/>
          </w:tcPr>
          <w:p w14:paraId="3BCB072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点位布置图</w:t>
            </w:r>
          </w:p>
        </w:tc>
      </w:tr>
      <w:tr w14:paraId="092BFB1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542" w:type="pct"/>
            <w:vMerge w:val="continue"/>
            <w:tcBorders>
              <w:tl2br w:val="nil"/>
              <w:tr2bl w:val="nil"/>
            </w:tcBorders>
            <w:vAlign w:val="center"/>
          </w:tcPr>
          <w:p w14:paraId="371A5E76">
            <w:pPr>
              <w:spacing w:line="300" w:lineRule="exact"/>
              <w:jc w:val="center"/>
              <w:rPr>
                <w:rFonts w:hint="default" w:ascii="Times New Roman" w:hAnsi="Times New Roman" w:eastAsia="华文中宋" w:cs="Times New Roman"/>
                <w:szCs w:val="21"/>
              </w:rPr>
            </w:pPr>
          </w:p>
        </w:tc>
        <w:tc>
          <w:tcPr>
            <w:tcW w:w="934" w:type="pct"/>
            <w:vMerge w:val="continue"/>
            <w:tcBorders>
              <w:tl2br w:val="nil"/>
              <w:tr2bl w:val="nil"/>
            </w:tcBorders>
            <w:vAlign w:val="center"/>
          </w:tcPr>
          <w:p w14:paraId="7CCBFAB0">
            <w:pPr>
              <w:spacing w:line="300" w:lineRule="exact"/>
              <w:jc w:val="center"/>
              <w:rPr>
                <w:rFonts w:hint="default" w:ascii="Times New Roman" w:hAnsi="Times New Roman" w:eastAsia="华文中宋" w:cs="Times New Roman"/>
                <w:szCs w:val="21"/>
              </w:rPr>
            </w:pPr>
          </w:p>
        </w:tc>
        <w:tc>
          <w:tcPr>
            <w:tcW w:w="829" w:type="pct"/>
            <w:tcBorders>
              <w:tl2br w:val="nil"/>
              <w:tr2bl w:val="nil"/>
            </w:tcBorders>
            <w:vAlign w:val="center"/>
          </w:tcPr>
          <w:p w14:paraId="6A3A49F3">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表层样点数</w:t>
            </w:r>
          </w:p>
        </w:tc>
        <w:tc>
          <w:tcPr>
            <w:tcW w:w="819" w:type="pct"/>
            <w:gridSpan w:val="2"/>
            <w:tcBorders>
              <w:right w:val="single" w:color="auto" w:sz="4" w:space="0"/>
              <w:tl2br w:val="nil"/>
              <w:tr2bl w:val="nil"/>
            </w:tcBorders>
            <w:vAlign w:val="center"/>
          </w:tcPr>
          <w:p w14:paraId="5B2A76DE">
            <w:pPr>
              <w:spacing w:line="300" w:lineRule="exact"/>
              <w:jc w:val="center"/>
              <w:rPr>
                <w:rFonts w:hint="default" w:ascii="Times New Roman" w:hAnsi="Times New Roman" w:eastAsia="华文中宋" w:cs="Times New Roman"/>
                <w:szCs w:val="21"/>
                <w:lang w:eastAsia="zh-CN"/>
              </w:rPr>
            </w:pPr>
            <w:r>
              <w:rPr>
                <w:rFonts w:hint="eastAsia" w:ascii="Times New Roman" w:hAnsi="Times New Roman" w:eastAsia="华文中宋" w:cs="Times New Roman"/>
                <w:szCs w:val="21"/>
                <w:lang w:val="en-US" w:eastAsia="zh-CN"/>
              </w:rPr>
              <w:t>3</w:t>
            </w:r>
          </w:p>
        </w:tc>
        <w:tc>
          <w:tcPr>
            <w:tcW w:w="764" w:type="pct"/>
            <w:gridSpan w:val="2"/>
            <w:tcBorders>
              <w:left w:val="single" w:color="auto" w:sz="4" w:space="0"/>
              <w:tl2br w:val="nil"/>
              <w:tr2bl w:val="nil"/>
            </w:tcBorders>
            <w:vAlign w:val="center"/>
          </w:tcPr>
          <w:p w14:paraId="0724CF2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4</w:t>
            </w:r>
          </w:p>
        </w:tc>
        <w:tc>
          <w:tcPr>
            <w:tcW w:w="549" w:type="pct"/>
            <w:tcBorders>
              <w:tl2br w:val="nil"/>
              <w:tr2bl w:val="nil"/>
            </w:tcBorders>
            <w:vAlign w:val="center"/>
          </w:tcPr>
          <w:p w14:paraId="7A1EF8F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0-0.2m</w:t>
            </w:r>
          </w:p>
        </w:tc>
        <w:tc>
          <w:tcPr>
            <w:tcW w:w="558" w:type="pct"/>
            <w:vMerge w:val="continue"/>
            <w:tcBorders>
              <w:tl2br w:val="nil"/>
              <w:tr2bl w:val="nil"/>
            </w:tcBorders>
            <w:vAlign w:val="center"/>
          </w:tcPr>
          <w:p w14:paraId="6B59E30A">
            <w:pPr>
              <w:spacing w:line="300" w:lineRule="exact"/>
              <w:jc w:val="center"/>
              <w:rPr>
                <w:rFonts w:hint="default" w:ascii="Times New Roman" w:hAnsi="Times New Roman" w:eastAsia="华文中宋" w:cs="Times New Roman"/>
                <w:szCs w:val="21"/>
              </w:rPr>
            </w:pPr>
          </w:p>
        </w:tc>
      </w:tr>
      <w:tr w14:paraId="4755FD3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542" w:type="pct"/>
            <w:vMerge w:val="continue"/>
            <w:tcBorders>
              <w:tl2br w:val="nil"/>
              <w:tr2bl w:val="nil"/>
            </w:tcBorders>
            <w:vAlign w:val="center"/>
          </w:tcPr>
          <w:p w14:paraId="08120BB4">
            <w:pPr>
              <w:spacing w:line="300" w:lineRule="exact"/>
              <w:jc w:val="center"/>
              <w:rPr>
                <w:rFonts w:hint="default" w:ascii="Times New Roman" w:hAnsi="Times New Roman" w:eastAsia="华文中宋" w:cs="Times New Roman"/>
                <w:szCs w:val="21"/>
              </w:rPr>
            </w:pPr>
          </w:p>
        </w:tc>
        <w:tc>
          <w:tcPr>
            <w:tcW w:w="934" w:type="pct"/>
            <w:vMerge w:val="continue"/>
            <w:tcBorders>
              <w:tl2br w:val="nil"/>
              <w:tr2bl w:val="nil"/>
            </w:tcBorders>
            <w:vAlign w:val="center"/>
          </w:tcPr>
          <w:p w14:paraId="54E672A2">
            <w:pPr>
              <w:spacing w:line="300" w:lineRule="exact"/>
              <w:jc w:val="center"/>
              <w:rPr>
                <w:rFonts w:hint="default" w:ascii="Times New Roman" w:hAnsi="Times New Roman" w:eastAsia="华文中宋" w:cs="Times New Roman"/>
                <w:szCs w:val="21"/>
              </w:rPr>
            </w:pPr>
          </w:p>
        </w:tc>
        <w:tc>
          <w:tcPr>
            <w:tcW w:w="829" w:type="pct"/>
            <w:tcBorders>
              <w:tl2br w:val="nil"/>
              <w:tr2bl w:val="nil"/>
            </w:tcBorders>
            <w:vAlign w:val="center"/>
          </w:tcPr>
          <w:p w14:paraId="788A1240">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柱状样点数</w:t>
            </w:r>
          </w:p>
        </w:tc>
        <w:tc>
          <w:tcPr>
            <w:tcW w:w="819" w:type="pct"/>
            <w:gridSpan w:val="2"/>
            <w:tcBorders>
              <w:right w:val="single" w:color="auto" w:sz="4" w:space="0"/>
              <w:tl2br w:val="nil"/>
              <w:tr2bl w:val="nil"/>
            </w:tcBorders>
            <w:vAlign w:val="center"/>
          </w:tcPr>
          <w:p w14:paraId="197905C7">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val="en-US" w:eastAsia="zh-CN"/>
              </w:rPr>
              <w:t>3</w:t>
            </w:r>
          </w:p>
        </w:tc>
        <w:tc>
          <w:tcPr>
            <w:tcW w:w="764" w:type="pct"/>
            <w:gridSpan w:val="2"/>
            <w:tcBorders>
              <w:left w:val="single" w:color="auto" w:sz="4" w:space="0"/>
              <w:tl2br w:val="nil"/>
              <w:tr2bl w:val="nil"/>
            </w:tcBorders>
            <w:vAlign w:val="center"/>
          </w:tcPr>
          <w:p w14:paraId="1D4C4F0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w:t>
            </w:r>
          </w:p>
        </w:tc>
        <w:tc>
          <w:tcPr>
            <w:tcW w:w="549" w:type="pct"/>
            <w:tcBorders>
              <w:tl2br w:val="nil"/>
              <w:tr2bl w:val="nil"/>
            </w:tcBorders>
            <w:vAlign w:val="center"/>
          </w:tcPr>
          <w:p w14:paraId="39D1355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0-6m</w:t>
            </w:r>
          </w:p>
        </w:tc>
        <w:tc>
          <w:tcPr>
            <w:tcW w:w="558" w:type="pct"/>
            <w:vMerge w:val="continue"/>
            <w:tcBorders>
              <w:tl2br w:val="nil"/>
              <w:tr2bl w:val="nil"/>
            </w:tcBorders>
            <w:vAlign w:val="center"/>
          </w:tcPr>
          <w:p w14:paraId="4FAA7276">
            <w:pPr>
              <w:spacing w:line="300" w:lineRule="exact"/>
              <w:jc w:val="center"/>
              <w:rPr>
                <w:rFonts w:hint="default" w:ascii="Times New Roman" w:hAnsi="Times New Roman" w:eastAsia="华文中宋" w:cs="Times New Roman"/>
                <w:szCs w:val="21"/>
              </w:rPr>
            </w:pPr>
          </w:p>
        </w:tc>
      </w:tr>
      <w:tr w14:paraId="6E9A5F2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285" w:hRule="atLeast"/>
          <w:jc w:val="center"/>
        </w:trPr>
        <w:tc>
          <w:tcPr>
            <w:tcW w:w="542" w:type="pct"/>
            <w:vMerge w:val="continue"/>
            <w:tcBorders>
              <w:tl2br w:val="nil"/>
              <w:tr2bl w:val="nil"/>
            </w:tcBorders>
            <w:vAlign w:val="center"/>
          </w:tcPr>
          <w:p w14:paraId="6FBBD4F5">
            <w:pPr>
              <w:spacing w:line="300" w:lineRule="exact"/>
              <w:jc w:val="center"/>
              <w:rPr>
                <w:rFonts w:hint="default" w:ascii="Times New Roman" w:hAnsi="Times New Roman" w:eastAsia="华文中宋" w:cs="Times New Roman"/>
                <w:szCs w:val="21"/>
              </w:rPr>
            </w:pPr>
          </w:p>
        </w:tc>
        <w:tc>
          <w:tcPr>
            <w:tcW w:w="934" w:type="pct"/>
            <w:tcBorders>
              <w:tl2br w:val="nil"/>
              <w:tr2bl w:val="nil"/>
            </w:tcBorders>
            <w:vAlign w:val="center"/>
          </w:tcPr>
          <w:p w14:paraId="5AF40B80">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现状监测因子</w:t>
            </w:r>
          </w:p>
        </w:tc>
        <w:tc>
          <w:tcPr>
            <w:tcW w:w="2963" w:type="pct"/>
            <w:gridSpan w:val="6"/>
            <w:tcBorders>
              <w:tl2br w:val="nil"/>
              <w:tr2bl w:val="nil"/>
            </w:tcBorders>
            <w:vAlign w:val="center"/>
          </w:tcPr>
          <w:p w14:paraId="6E66D2F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基本45项+</w:t>
            </w:r>
            <w:r>
              <w:rPr>
                <w:rFonts w:hint="eastAsia" w:ascii="Times New Roman" w:hAnsi="Times New Roman" w:eastAsia="华文中宋" w:cs="Times New Roman"/>
                <w:szCs w:val="21"/>
                <w:lang w:val="en-US" w:eastAsia="zh-CN"/>
              </w:rPr>
              <w:t>p</w:t>
            </w:r>
            <w:r>
              <w:rPr>
                <w:rFonts w:hint="default" w:ascii="Times New Roman" w:hAnsi="Times New Roman" w:eastAsia="华文中宋" w:cs="Times New Roman"/>
                <w:szCs w:val="21"/>
              </w:rPr>
              <w:t>H</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lang w:val="en-US" w:eastAsia="zh-CN"/>
              </w:rPr>
              <w:t>全盐量</w:t>
            </w:r>
            <w:r>
              <w:rPr>
                <w:rFonts w:hint="eastAsia" w:ascii="Times New Roman" w:hAnsi="Times New Roman" w:eastAsia="华文中宋" w:cs="Times New Roman"/>
                <w:szCs w:val="21"/>
                <w:lang w:val="en-US" w:eastAsia="zh-CN"/>
              </w:rPr>
              <w:t>，以及</w:t>
            </w:r>
            <w:r>
              <w:rPr>
                <w:rFonts w:hint="default" w:ascii="Times New Roman" w:hAnsi="Times New Roman" w:eastAsia="华文中宋" w:cs="Times New Roman"/>
                <w:szCs w:val="21"/>
                <w:lang w:val="en-US" w:eastAsia="zh-CN"/>
              </w:rPr>
              <w:t>重金属锑、锌</w:t>
            </w:r>
          </w:p>
        </w:tc>
        <w:tc>
          <w:tcPr>
            <w:tcW w:w="558" w:type="pct"/>
            <w:tcBorders>
              <w:tl2br w:val="nil"/>
              <w:tr2bl w:val="nil"/>
            </w:tcBorders>
            <w:vAlign w:val="center"/>
          </w:tcPr>
          <w:p w14:paraId="7B7175ED">
            <w:pPr>
              <w:spacing w:line="300" w:lineRule="exact"/>
              <w:jc w:val="center"/>
              <w:rPr>
                <w:rFonts w:hint="default" w:ascii="Times New Roman" w:hAnsi="Times New Roman" w:eastAsia="华文中宋" w:cs="Times New Roman"/>
                <w:szCs w:val="21"/>
              </w:rPr>
            </w:pPr>
          </w:p>
        </w:tc>
      </w:tr>
      <w:tr w14:paraId="03CE217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542" w:type="pct"/>
            <w:vMerge w:val="restart"/>
            <w:tcBorders>
              <w:tl2br w:val="nil"/>
              <w:tr2bl w:val="nil"/>
            </w:tcBorders>
            <w:vAlign w:val="center"/>
          </w:tcPr>
          <w:p w14:paraId="08B9487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现状评价</w:t>
            </w:r>
          </w:p>
        </w:tc>
        <w:tc>
          <w:tcPr>
            <w:tcW w:w="934" w:type="pct"/>
            <w:tcBorders>
              <w:tl2br w:val="nil"/>
              <w:tr2bl w:val="nil"/>
            </w:tcBorders>
            <w:vAlign w:val="center"/>
          </w:tcPr>
          <w:p w14:paraId="5D03CDD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评价因子</w:t>
            </w:r>
          </w:p>
        </w:tc>
        <w:tc>
          <w:tcPr>
            <w:tcW w:w="2963" w:type="pct"/>
            <w:gridSpan w:val="6"/>
            <w:tcBorders>
              <w:tl2br w:val="nil"/>
              <w:tr2bl w:val="nil"/>
            </w:tcBorders>
            <w:vAlign w:val="center"/>
          </w:tcPr>
          <w:p w14:paraId="69EB15E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铅、锌、pH</w:t>
            </w:r>
          </w:p>
        </w:tc>
        <w:tc>
          <w:tcPr>
            <w:tcW w:w="558" w:type="pct"/>
            <w:tcBorders>
              <w:tl2br w:val="nil"/>
              <w:tr2bl w:val="nil"/>
            </w:tcBorders>
            <w:vAlign w:val="center"/>
          </w:tcPr>
          <w:p w14:paraId="4D47D50A">
            <w:pPr>
              <w:spacing w:line="300" w:lineRule="exact"/>
              <w:jc w:val="center"/>
              <w:rPr>
                <w:rFonts w:hint="default" w:ascii="Times New Roman" w:hAnsi="Times New Roman" w:eastAsia="华文中宋" w:cs="Times New Roman"/>
                <w:szCs w:val="21"/>
              </w:rPr>
            </w:pPr>
          </w:p>
        </w:tc>
      </w:tr>
      <w:tr w14:paraId="79F5DF1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542" w:type="pct"/>
            <w:vMerge w:val="continue"/>
            <w:tcBorders>
              <w:tl2br w:val="nil"/>
              <w:tr2bl w:val="nil"/>
            </w:tcBorders>
            <w:vAlign w:val="center"/>
          </w:tcPr>
          <w:p w14:paraId="0DB294E6">
            <w:pPr>
              <w:spacing w:line="300" w:lineRule="exact"/>
              <w:jc w:val="center"/>
              <w:rPr>
                <w:rFonts w:hint="default" w:ascii="Times New Roman" w:hAnsi="Times New Roman" w:eastAsia="华文中宋" w:cs="Times New Roman"/>
                <w:szCs w:val="21"/>
              </w:rPr>
            </w:pPr>
          </w:p>
        </w:tc>
        <w:tc>
          <w:tcPr>
            <w:tcW w:w="934" w:type="pct"/>
            <w:tcBorders>
              <w:tl2br w:val="nil"/>
              <w:tr2bl w:val="nil"/>
            </w:tcBorders>
            <w:vAlign w:val="center"/>
          </w:tcPr>
          <w:p w14:paraId="1CFA06C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评价标准</w:t>
            </w:r>
          </w:p>
        </w:tc>
        <w:tc>
          <w:tcPr>
            <w:tcW w:w="2963" w:type="pct"/>
            <w:gridSpan w:val="6"/>
            <w:tcBorders>
              <w:tl2br w:val="nil"/>
              <w:tr2bl w:val="nil"/>
            </w:tcBorders>
            <w:vAlign w:val="center"/>
          </w:tcPr>
          <w:p w14:paraId="2385BEF0">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GB15618</w:t>
            </w:r>
            <w:r>
              <w:rPr>
                <w:rFonts w:hint="default" w:ascii="Times New Roman" w:hAnsi="Times New Roman" w:eastAsia="华文中宋" w:cs="Times New Roman"/>
                <w:szCs w:val="21"/>
              </w:rPr>
              <w:sym w:font="Wingdings 2" w:char="00A3"/>
            </w:r>
            <w:r>
              <w:rPr>
                <w:rFonts w:hint="default" w:ascii="Times New Roman" w:hAnsi="Times New Roman" w:eastAsia="华文中宋" w:cs="Times New Roman"/>
                <w:szCs w:val="21"/>
              </w:rPr>
              <w:t>；GB36600</w:t>
            </w:r>
            <w:r>
              <w:rPr>
                <w:rFonts w:hint="default" w:ascii="Times New Roman" w:hAnsi="Times New Roman" w:eastAsia="华文中宋" w:cs="Times New Roman"/>
                <w:szCs w:val="21"/>
              </w:rPr>
              <w:sym w:font="Wingdings 2" w:char="0052"/>
            </w:r>
            <w:r>
              <w:rPr>
                <w:rFonts w:hint="default" w:ascii="Times New Roman" w:hAnsi="Times New Roman" w:eastAsia="华文中宋" w:cs="Times New Roman"/>
                <w:szCs w:val="21"/>
              </w:rPr>
              <w:t>；表D.1□；D.2□；其他□</w:t>
            </w:r>
          </w:p>
        </w:tc>
        <w:tc>
          <w:tcPr>
            <w:tcW w:w="558" w:type="pct"/>
            <w:tcBorders>
              <w:tl2br w:val="nil"/>
              <w:tr2bl w:val="nil"/>
            </w:tcBorders>
            <w:vAlign w:val="center"/>
          </w:tcPr>
          <w:p w14:paraId="4CE0BE16">
            <w:pPr>
              <w:spacing w:line="300" w:lineRule="exact"/>
              <w:jc w:val="center"/>
              <w:rPr>
                <w:rFonts w:hint="default" w:ascii="Times New Roman" w:hAnsi="Times New Roman" w:eastAsia="华文中宋" w:cs="Times New Roman"/>
                <w:szCs w:val="21"/>
              </w:rPr>
            </w:pPr>
          </w:p>
        </w:tc>
      </w:tr>
      <w:tr w14:paraId="1DF9CFA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jc w:val="center"/>
        </w:trPr>
        <w:tc>
          <w:tcPr>
            <w:tcW w:w="542" w:type="pct"/>
            <w:vMerge w:val="continue"/>
            <w:tcBorders>
              <w:tl2br w:val="nil"/>
              <w:tr2bl w:val="nil"/>
            </w:tcBorders>
            <w:vAlign w:val="center"/>
          </w:tcPr>
          <w:p w14:paraId="679CBE4C">
            <w:pPr>
              <w:spacing w:line="300" w:lineRule="exact"/>
              <w:jc w:val="center"/>
              <w:rPr>
                <w:rFonts w:hint="default" w:ascii="Times New Roman" w:hAnsi="Times New Roman" w:eastAsia="华文中宋" w:cs="Times New Roman"/>
                <w:szCs w:val="21"/>
              </w:rPr>
            </w:pPr>
          </w:p>
        </w:tc>
        <w:tc>
          <w:tcPr>
            <w:tcW w:w="934" w:type="pct"/>
            <w:tcBorders>
              <w:tl2br w:val="nil"/>
              <w:tr2bl w:val="nil"/>
            </w:tcBorders>
            <w:vAlign w:val="center"/>
          </w:tcPr>
          <w:p w14:paraId="349090F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现状评价结论</w:t>
            </w:r>
          </w:p>
        </w:tc>
        <w:tc>
          <w:tcPr>
            <w:tcW w:w="2963" w:type="pct"/>
            <w:gridSpan w:val="6"/>
            <w:tcBorders>
              <w:tl2br w:val="nil"/>
              <w:tr2bl w:val="nil"/>
            </w:tcBorders>
            <w:vAlign w:val="center"/>
          </w:tcPr>
          <w:p w14:paraId="0E3EF51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达标</w:t>
            </w:r>
          </w:p>
        </w:tc>
        <w:tc>
          <w:tcPr>
            <w:tcW w:w="558" w:type="pct"/>
            <w:tcBorders>
              <w:tl2br w:val="nil"/>
              <w:tr2bl w:val="nil"/>
            </w:tcBorders>
            <w:vAlign w:val="center"/>
          </w:tcPr>
          <w:p w14:paraId="5F252A57">
            <w:pPr>
              <w:spacing w:line="300" w:lineRule="exact"/>
              <w:jc w:val="center"/>
              <w:rPr>
                <w:rFonts w:hint="default" w:ascii="Times New Roman" w:hAnsi="Times New Roman" w:eastAsia="华文中宋" w:cs="Times New Roman"/>
                <w:szCs w:val="21"/>
              </w:rPr>
            </w:pPr>
          </w:p>
        </w:tc>
      </w:tr>
      <w:tr w14:paraId="52AD0B0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542" w:type="pct"/>
            <w:vMerge w:val="restart"/>
            <w:tcBorders>
              <w:tl2br w:val="nil"/>
              <w:tr2bl w:val="nil"/>
            </w:tcBorders>
            <w:vAlign w:val="center"/>
          </w:tcPr>
          <w:p w14:paraId="5B484A0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影响预测</w:t>
            </w:r>
          </w:p>
        </w:tc>
        <w:tc>
          <w:tcPr>
            <w:tcW w:w="934" w:type="pct"/>
            <w:tcBorders>
              <w:tl2br w:val="nil"/>
              <w:tr2bl w:val="nil"/>
            </w:tcBorders>
            <w:vAlign w:val="center"/>
          </w:tcPr>
          <w:p w14:paraId="1ECC673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预测因子</w:t>
            </w:r>
          </w:p>
        </w:tc>
        <w:tc>
          <w:tcPr>
            <w:tcW w:w="2963" w:type="pct"/>
            <w:gridSpan w:val="6"/>
            <w:tcBorders>
              <w:tl2br w:val="nil"/>
              <w:tr2bl w:val="nil"/>
            </w:tcBorders>
            <w:vAlign w:val="center"/>
          </w:tcPr>
          <w:p w14:paraId="397D7DB4">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铅、锌</w:t>
            </w:r>
          </w:p>
        </w:tc>
        <w:tc>
          <w:tcPr>
            <w:tcW w:w="558" w:type="pct"/>
            <w:tcBorders>
              <w:tl2br w:val="nil"/>
              <w:tr2bl w:val="nil"/>
            </w:tcBorders>
            <w:vAlign w:val="center"/>
          </w:tcPr>
          <w:p w14:paraId="4F488796">
            <w:pPr>
              <w:spacing w:line="300" w:lineRule="exact"/>
              <w:jc w:val="center"/>
              <w:rPr>
                <w:rFonts w:hint="default" w:ascii="Times New Roman" w:hAnsi="Times New Roman" w:eastAsia="华文中宋" w:cs="Times New Roman"/>
                <w:szCs w:val="21"/>
              </w:rPr>
            </w:pPr>
          </w:p>
        </w:tc>
      </w:tr>
      <w:tr w14:paraId="3B2B2F2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542" w:type="pct"/>
            <w:vMerge w:val="continue"/>
            <w:tcBorders>
              <w:tl2br w:val="nil"/>
              <w:tr2bl w:val="nil"/>
            </w:tcBorders>
            <w:vAlign w:val="center"/>
          </w:tcPr>
          <w:p w14:paraId="4C210E35">
            <w:pPr>
              <w:spacing w:line="300" w:lineRule="exact"/>
              <w:jc w:val="center"/>
              <w:rPr>
                <w:rFonts w:hint="default" w:ascii="Times New Roman" w:hAnsi="Times New Roman" w:eastAsia="华文中宋" w:cs="Times New Roman"/>
                <w:szCs w:val="21"/>
              </w:rPr>
            </w:pPr>
          </w:p>
        </w:tc>
        <w:tc>
          <w:tcPr>
            <w:tcW w:w="934" w:type="pct"/>
            <w:tcBorders>
              <w:tl2br w:val="nil"/>
              <w:tr2bl w:val="nil"/>
            </w:tcBorders>
            <w:vAlign w:val="center"/>
          </w:tcPr>
          <w:p w14:paraId="2D224D5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预测方法</w:t>
            </w:r>
          </w:p>
        </w:tc>
        <w:tc>
          <w:tcPr>
            <w:tcW w:w="2963" w:type="pct"/>
            <w:gridSpan w:val="6"/>
            <w:tcBorders>
              <w:tl2br w:val="nil"/>
              <w:tr2bl w:val="nil"/>
            </w:tcBorders>
            <w:vAlign w:val="center"/>
          </w:tcPr>
          <w:p w14:paraId="68D2E91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附录E</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；附录F</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；其他（）</w:t>
            </w:r>
          </w:p>
        </w:tc>
        <w:tc>
          <w:tcPr>
            <w:tcW w:w="558" w:type="pct"/>
            <w:tcBorders>
              <w:tl2br w:val="nil"/>
              <w:tr2bl w:val="nil"/>
            </w:tcBorders>
            <w:vAlign w:val="center"/>
          </w:tcPr>
          <w:p w14:paraId="03F76493">
            <w:pPr>
              <w:spacing w:line="300" w:lineRule="exact"/>
              <w:jc w:val="center"/>
              <w:rPr>
                <w:rFonts w:hint="default" w:ascii="Times New Roman" w:hAnsi="Times New Roman" w:eastAsia="华文中宋" w:cs="Times New Roman"/>
                <w:szCs w:val="21"/>
              </w:rPr>
            </w:pPr>
          </w:p>
        </w:tc>
      </w:tr>
      <w:tr w14:paraId="76232BA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542" w:type="pct"/>
            <w:vMerge w:val="continue"/>
            <w:tcBorders>
              <w:tl2br w:val="nil"/>
              <w:tr2bl w:val="nil"/>
            </w:tcBorders>
            <w:vAlign w:val="center"/>
          </w:tcPr>
          <w:p w14:paraId="24BF7A43">
            <w:pPr>
              <w:spacing w:line="300" w:lineRule="exact"/>
              <w:jc w:val="center"/>
              <w:rPr>
                <w:rFonts w:hint="default" w:ascii="Times New Roman" w:hAnsi="Times New Roman" w:eastAsia="华文中宋" w:cs="Times New Roman"/>
                <w:szCs w:val="21"/>
              </w:rPr>
            </w:pPr>
          </w:p>
        </w:tc>
        <w:tc>
          <w:tcPr>
            <w:tcW w:w="934" w:type="pct"/>
            <w:tcBorders>
              <w:tl2br w:val="nil"/>
              <w:tr2bl w:val="nil"/>
            </w:tcBorders>
            <w:vAlign w:val="center"/>
          </w:tcPr>
          <w:p w14:paraId="58E7BAB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预测分析内容</w:t>
            </w:r>
          </w:p>
        </w:tc>
        <w:tc>
          <w:tcPr>
            <w:tcW w:w="2963" w:type="pct"/>
            <w:gridSpan w:val="6"/>
            <w:tcBorders>
              <w:tl2br w:val="nil"/>
              <w:tr2bl w:val="nil"/>
            </w:tcBorders>
            <w:vAlign w:val="center"/>
          </w:tcPr>
          <w:p w14:paraId="3AE32F1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影响范围（）影响程度（</w:t>
            </w:r>
            <w:r>
              <w:rPr>
                <w:rFonts w:hint="eastAsia" w:ascii="Times New Roman" w:hAnsi="Times New Roman" w:eastAsia="华文中宋" w:cs="Times New Roman"/>
                <w:szCs w:val="21"/>
                <w:lang w:val="en-US" w:eastAsia="zh-CN"/>
              </w:rPr>
              <w:t>可接受</w:t>
            </w:r>
            <w:r>
              <w:rPr>
                <w:rFonts w:hint="default" w:ascii="Times New Roman" w:hAnsi="Times New Roman" w:eastAsia="华文中宋" w:cs="Times New Roman"/>
                <w:szCs w:val="21"/>
              </w:rPr>
              <w:t>）</w:t>
            </w:r>
          </w:p>
        </w:tc>
        <w:tc>
          <w:tcPr>
            <w:tcW w:w="558" w:type="pct"/>
            <w:tcBorders>
              <w:tl2br w:val="nil"/>
              <w:tr2bl w:val="nil"/>
            </w:tcBorders>
            <w:vAlign w:val="center"/>
          </w:tcPr>
          <w:p w14:paraId="6AFFBD1C">
            <w:pPr>
              <w:spacing w:line="300" w:lineRule="exact"/>
              <w:jc w:val="center"/>
              <w:rPr>
                <w:rFonts w:hint="default" w:ascii="Times New Roman" w:hAnsi="Times New Roman" w:eastAsia="华文中宋" w:cs="Times New Roman"/>
                <w:szCs w:val="21"/>
              </w:rPr>
            </w:pPr>
          </w:p>
        </w:tc>
      </w:tr>
      <w:tr w14:paraId="7C1780E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542" w:type="pct"/>
            <w:vMerge w:val="continue"/>
            <w:tcBorders>
              <w:tl2br w:val="nil"/>
              <w:tr2bl w:val="nil"/>
            </w:tcBorders>
            <w:vAlign w:val="center"/>
          </w:tcPr>
          <w:p w14:paraId="2423B19E">
            <w:pPr>
              <w:spacing w:line="300" w:lineRule="exact"/>
              <w:jc w:val="center"/>
              <w:rPr>
                <w:rFonts w:hint="default" w:ascii="Times New Roman" w:hAnsi="Times New Roman" w:eastAsia="华文中宋" w:cs="Times New Roman"/>
                <w:szCs w:val="21"/>
              </w:rPr>
            </w:pPr>
          </w:p>
        </w:tc>
        <w:tc>
          <w:tcPr>
            <w:tcW w:w="934" w:type="pct"/>
            <w:tcBorders>
              <w:tl2br w:val="nil"/>
              <w:tr2bl w:val="nil"/>
            </w:tcBorders>
            <w:vAlign w:val="center"/>
          </w:tcPr>
          <w:p w14:paraId="2775AAB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预测结论</w:t>
            </w:r>
          </w:p>
        </w:tc>
        <w:tc>
          <w:tcPr>
            <w:tcW w:w="2963" w:type="pct"/>
            <w:gridSpan w:val="6"/>
            <w:tcBorders>
              <w:tl2br w:val="nil"/>
              <w:tr2bl w:val="nil"/>
            </w:tcBorders>
            <w:vAlign w:val="center"/>
          </w:tcPr>
          <w:p w14:paraId="5AFA127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达标结论：a)</w:t>
            </w:r>
            <w:r>
              <w:rPr>
                <w:rFonts w:hint="eastAsia" w:ascii="Times New Roman" w:hAnsi="Times New Roman" w:eastAsia="华文中宋" w:cs="Times New Roman"/>
                <w:szCs w:val="21"/>
                <w:lang w:eastAsia="zh-CN"/>
              </w:rPr>
              <w:t>☑</w:t>
            </w:r>
            <w:r>
              <w:rPr>
                <w:rFonts w:hint="default" w:ascii="Times New Roman" w:hAnsi="Times New Roman" w:eastAsia="华文中宋" w:cs="Times New Roman"/>
                <w:szCs w:val="21"/>
              </w:rPr>
              <w:t>；b)□；c)□</w:t>
            </w:r>
          </w:p>
          <w:p w14:paraId="2EAF4A2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不达标结论：a)□；b)□</w:t>
            </w:r>
          </w:p>
        </w:tc>
        <w:tc>
          <w:tcPr>
            <w:tcW w:w="558" w:type="pct"/>
            <w:tcBorders>
              <w:tl2br w:val="nil"/>
              <w:tr2bl w:val="nil"/>
            </w:tcBorders>
            <w:vAlign w:val="center"/>
          </w:tcPr>
          <w:p w14:paraId="69C5F29C">
            <w:pPr>
              <w:spacing w:line="300" w:lineRule="exact"/>
              <w:jc w:val="center"/>
              <w:rPr>
                <w:rFonts w:hint="default" w:ascii="Times New Roman" w:hAnsi="Times New Roman" w:eastAsia="华文中宋" w:cs="Times New Roman"/>
                <w:szCs w:val="21"/>
              </w:rPr>
            </w:pPr>
          </w:p>
        </w:tc>
      </w:tr>
      <w:tr w14:paraId="2224897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542" w:type="pct"/>
            <w:vMerge w:val="restart"/>
            <w:tcBorders>
              <w:tl2br w:val="nil"/>
              <w:tr2bl w:val="nil"/>
            </w:tcBorders>
            <w:vAlign w:val="center"/>
          </w:tcPr>
          <w:p w14:paraId="45EA95F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防治措施</w:t>
            </w:r>
          </w:p>
        </w:tc>
        <w:tc>
          <w:tcPr>
            <w:tcW w:w="934" w:type="pct"/>
            <w:tcBorders>
              <w:tl2br w:val="nil"/>
              <w:tr2bl w:val="nil"/>
            </w:tcBorders>
            <w:vAlign w:val="center"/>
          </w:tcPr>
          <w:p w14:paraId="6D000E0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防控措施</w:t>
            </w:r>
          </w:p>
        </w:tc>
        <w:tc>
          <w:tcPr>
            <w:tcW w:w="2963" w:type="pct"/>
            <w:gridSpan w:val="6"/>
            <w:tcBorders>
              <w:tl2br w:val="nil"/>
              <w:tr2bl w:val="nil"/>
            </w:tcBorders>
            <w:vAlign w:val="center"/>
          </w:tcPr>
          <w:p w14:paraId="3C8F653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土壤环境质量现状保障□；源头控制☑；过程防控☑；其他（）</w:t>
            </w:r>
          </w:p>
        </w:tc>
        <w:tc>
          <w:tcPr>
            <w:tcW w:w="558" w:type="pct"/>
            <w:tcBorders>
              <w:tl2br w:val="nil"/>
              <w:tr2bl w:val="nil"/>
            </w:tcBorders>
            <w:vAlign w:val="center"/>
          </w:tcPr>
          <w:p w14:paraId="22F7316C">
            <w:pPr>
              <w:spacing w:line="300" w:lineRule="exact"/>
              <w:jc w:val="center"/>
              <w:rPr>
                <w:rFonts w:hint="default" w:ascii="Times New Roman" w:hAnsi="Times New Roman" w:eastAsia="华文中宋" w:cs="Times New Roman"/>
                <w:szCs w:val="21"/>
              </w:rPr>
            </w:pPr>
          </w:p>
        </w:tc>
      </w:tr>
      <w:tr w14:paraId="2011B9E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542" w:type="pct"/>
            <w:vMerge w:val="continue"/>
            <w:tcBorders>
              <w:tl2br w:val="nil"/>
              <w:tr2bl w:val="nil"/>
            </w:tcBorders>
            <w:vAlign w:val="center"/>
          </w:tcPr>
          <w:p w14:paraId="618C7E8F">
            <w:pPr>
              <w:spacing w:line="300" w:lineRule="exact"/>
              <w:jc w:val="center"/>
              <w:rPr>
                <w:rFonts w:hint="default" w:ascii="Times New Roman" w:hAnsi="Times New Roman" w:eastAsia="华文中宋" w:cs="Times New Roman"/>
                <w:szCs w:val="21"/>
              </w:rPr>
            </w:pPr>
          </w:p>
        </w:tc>
        <w:tc>
          <w:tcPr>
            <w:tcW w:w="934" w:type="pct"/>
            <w:vMerge w:val="restart"/>
            <w:tcBorders>
              <w:tl2br w:val="nil"/>
              <w:tr2bl w:val="nil"/>
            </w:tcBorders>
            <w:vAlign w:val="center"/>
          </w:tcPr>
          <w:p w14:paraId="7F5BFBE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跟踪监测</w:t>
            </w:r>
          </w:p>
        </w:tc>
        <w:tc>
          <w:tcPr>
            <w:tcW w:w="1013" w:type="pct"/>
            <w:gridSpan w:val="2"/>
            <w:tcBorders>
              <w:tl2br w:val="nil"/>
              <w:tr2bl w:val="nil"/>
            </w:tcBorders>
            <w:vAlign w:val="center"/>
          </w:tcPr>
          <w:p w14:paraId="0C87C7D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监测点数</w:t>
            </w:r>
          </w:p>
        </w:tc>
        <w:tc>
          <w:tcPr>
            <w:tcW w:w="780" w:type="pct"/>
            <w:gridSpan w:val="2"/>
            <w:tcBorders>
              <w:tl2br w:val="nil"/>
              <w:tr2bl w:val="nil"/>
            </w:tcBorders>
            <w:vAlign w:val="center"/>
          </w:tcPr>
          <w:p w14:paraId="3226DDB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监测指标</w:t>
            </w:r>
          </w:p>
        </w:tc>
        <w:tc>
          <w:tcPr>
            <w:tcW w:w="1169" w:type="pct"/>
            <w:gridSpan w:val="2"/>
            <w:tcBorders>
              <w:tl2br w:val="nil"/>
              <w:tr2bl w:val="nil"/>
            </w:tcBorders>
            <w:vAlign w:val="center"/>
          </w:tcPr>
          <w:p w14:paraId="32E8440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监测频次</w:t>
            </w:r>
          </w:p>
        </w:tc>
        <w:tc>
          <w:tcPr>
            <w:tcW w:w="558" w:type="pct"/>
            <w:tcBorders>
              <w:tl2br w:val="nil"/>
              <w:tr2bl w:val="nil"/>
            </w:tcBorders>
            <w:vAlign w:val="center"/>
          </w:tcPr>
          <w:p w14:paraId="52309B23">
            <w:pPr>
              <w:spacing w:line="300" w:lineRule="exact"/>
              <w:jc w:val="center"/>
              <w:rPr>
                <w:rFonts w:hint="default" w:ascii="Times New Roman" w:hAnsi="Times New Roman" w:eastAsia="华文中宋" w:cs="Times New Roman"/>
                <w:szCs w:val="21"/>
              </w:rPr>
            </w:pPr>
          </w:p>
        </w:tc>
      </w:tr>
      <w:tr w14:paraId="3DB5C20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542" w:type="pct"/>
            <w:vMerge w:val="continue"/>
            <w:tcBorders>
              <w:tl2br w:val="nil"/>
              <w:tr2bl w:val="nil"/>
            </w:tcBorders>
            <w:vAlign w:val="center"/>
          </w:tcPr>
          <w:p w14:paraId="63AC8E4F">
            <w:pPr>
              <w:spacing w:line="300" w:lineRule="exact"/>
              <w:jc w:val="center"/>
              <w:rPr>
                <w:rFonts w:hint="default" w:ascii="Times New Roman" w:hAnsi="Times New Roman" w:eastAsia="华文中宋" w:cs="Times New Roman"/>
                <w:szCs w:val="21"/>
              </w:rPr>
            </w:pPr>
          </w:p>
        </w:tc>
        <w:tc>
          <w:tcPr>
            <w:tcW w:w="934" w:type="pct"/>
            <w:vMerge w:val="continue"/>
            <w:tcBorders>
              <w:tl2br w:val="nil"/>
              <w:tr2bl w:val="nil"/>
            </w:tcBorders>
            <w:vAlign w:val="center"/>
          </w:tcPr>
          <w:p w14:paraId="1CA8BE53">
            <w:pPr>
              <w:spacing w:line="300" w:lineRule="exact"/>
              <w:jc w:val="center"/>
              <w:rPr>
                <w:rFonts w:hint="default" w:ascii="Times New Roman" w:hAnsi="Times New Roman" w:eastAsia="华文中宋" w:cs="Times New Roman"/>
                <w:szCs w:val="21"/>
              </w:rPr>
            </w:pPr>
          </w:p>
        </w:tc>
        <w:tc>
          <w:tcPr>
            <w:tcW w:w="1013" w:type="pct"/>
            <w:gridSpan w:val="2"/>
            <w:tcBorders>
              <w:tl2br w:val="nil"/>
              <w:tr2bl w:val="nil"/>
            </w:tcBorders>
            <w:vAlign w:val="center"/>
          </w:tcPr>
          <w:p w14:paraId="79034CE1">
            <w:pPr>
              <w:spacing w:line="300" w:lineRule="exact"/>
              <w:jc w:val="center"/>
              <w:rPr>
                <w:rFonts w:hint="eastAsia" w:ascii="Times New Roman" w:hAnsi="Times New Roman" w:eastAsia="华文中宋" w:cs="Times New Roman"/>
                <w:szCs w:val="21"/>
                <w:highlight w:val="none"/>
                <w:lang w:eastAsia="zh-CN"/>
              </w:rPr>
            </w:pPr>
            <w:r>
              <w:rPr>
                <w:rFonts w:hint="eastAsia" w:ascii="Times New Roman" w:hAnsi="Times New Roman" w:eastAsia="华文中宋" w:cs="Times New Roman"/>
                <w:szCs w:val="21"/>
                <w:highlight w:val="none"/>
                <w:lang w:val="en-US" w:eastAsia="zh-CN"/>
              </w:rPr>
              <w:t>3</w:t>
            </w:r>
          </w:p>
        </w:tc>
        <w:tc>
          <w:tcPr>
            <w:tcW w:w="780" w:type="pct"/>
            <w:gridSpan w:val="2"/>
            <w:tcBorders>
              <w:tl2br w:val="nil"/>
              <w:tr2bl w:val="nil"/>
            </w:tcBorders>
            <w:vAlign w:val="center"/>
          </w:tcPr>
          <w:p w14:paraId="1FC8C72D">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pH、锑、铅、锌</w:t>
            </w:r>
          </w:p>
        </w:tc>
        <w:tc>
          <w:tcPr>
            <w:tcW w:w="1169" w:type="pct"/>
            <w:gridSpan w:val="2"/>
            <w:tcBorders>
              <w:tl2br w:val="nil"/>
              <w:tr2bl w:val="nil"/>
            </w:tcBorders>
            <w:vAlign w:val="center"/>
          </w:tcPr>
          <w:p w14:paraId="79D33B61">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五年一次</w:t>
            </w:r>
          </w:p>
        </w:tc>
        <w:tc>
          <w:tcPr>
            <w:tcW w:w="558" w:type="pct"/>
            <w:tcBorders>
              <w:tl2br w:val="nil"/>
              <w:tr2bl w:val="nil"/>
            </w:tcBorders>
            <w:vAlign w:val="center"/>
          </w:tcPr>
          <w:p w14:paraId="0880D7DB">
            <w:pPr>
              <w:spacing w:line="300" w:lineRule="exact"/>
              <w:jc w:val="center"/>
              <w:rPr>
                <w:rFonts w:hint="default" w:ascii="Times New Roman" w:hAnsi="Times New Roman" w:eastAsia="华文中宋" w:cs="Times New Roman"/>
                <w:szCs w:val="21"/>
              </w:rPr>
            </w:pPr>
          </w:p>
        </w:tc>
      </w:tr>
      <w:tr w14:paraId="3F1AE7D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542" w:type="pct"/>
            <w:vMerge w:val="continue"/>
            <w:tcBorders>
              <w:tl2br w:val="nil"/>
              <w:tr2bl w:val="nil"/>
            </w:tcBorders>
            <w:vAlign w:val="center"/>
          </w:tcPr>
          <w:p w14:paraId="23A6C7B1">
            <w:pPr>
              <w:spacing w:line="300" w:lineRule="exact"/>
              <w:jc w:val="center"/>
              <w:rPr>
                <w:rFonts w:hint="default" w:ascii="Times New Roman" w:hAnsi="Times New Roman" w:eastAsia="华文中宋" w:cs="Times New Roman"/>
                <w:szCs w:val="21"/>
              </w:rPr>
            </w:pPr>
          </w:p>
        </w:tc>
        <w:tc>
          <w:tcPr>
            <w:tcW w:w="934" w:type="pct"/>
            <w:tcBorders>
              <w:tl2br w:val="nil"/>
              <w:tr2bl w:val="nil"/>
            </w:tcBorders>
            <w:vAlign w:val="center"/>
          </w:tcPr>
          <w:p w14:paraId="2428006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信息公开指标</w:t>
            </w:r>
          </w:p>
        </w:tc>
        <w:tc>
          <w:tcPr>
            <w:tcW w:w="2963" w:type="pct"/>
            <w:gridSpan w:val="6"/>
            <w:tcBorders>
              <w:tl2br w:val="nil"/>
              <w:tr2bl w:val="nil"/>
            </w:tcBorders>
            <w:vAlign w:val="center"/>
          </w:tcPr>
          <w:p w14:paraId="4F28C1D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w:t>
            </w:r>
          </w:p>
        </w:tc>
        <w:tc>
          <w:tcPr>
            <w:tcW w:w="558" w:type="pct"/>
            <w:tcBorders>
              <w:tl2br w:val="nil"/>
              <w:tr2bl w:val="nil"/>
            </w:tcBorders>
            <w:vAlign w:val="center"/>
          </w:tcPr>
          <w:p w14:paraId="43E212D3">
            <w:pPr>
              <w:spacing w:line="300" w:lineRule="exact"/>
              <w:jc w:val="center"/>
              <w:rPr>
                <w:rFonts w:hint="default" w:ascii="Times New Roman" w:hAnsi="Times New Roman" w:eastAsia="华文中宋" w:cs="Times New Roman"/>
                <w:szCs w:val="21"/>
              </w:rPr>
            </w:pPr>
          </w:p>
        </w:tc>
      </w:tr>
      <w:tr w14:paraId="24685C0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7" w:type="pct"/>
            <w:gridSpan w:val="2"/>
            <w:tcBorders>
              <w:tl2br w:val="nil"/>
              <w:tr2bl w:val="nil"/>
            </w:tcBorders>
            <w:vAlign w:val="center"/>
          </w:tcPr>
          <w:p w14:paraId="36713211">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评价结论</w:t>
            </w:r>
          </w:p>
        </w:tc>
        <w:tc>
          <w:tcPr>
            <w:tcW w:w="2963" w:type="pct"/>
            <w:gridSpan w:val="6"/>
            <w:tcBorders>
              <w:tl2br w:val="nil"/>
              <w:tr2bl w:val="nil"/>
            </w:tcBorders>
            <w:vAlign w:val="center"/>
          </w:tcPr>
          <w:p w14:paraId="34FBA68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在落实环境影响评价中提出的相关措施后对周围土壤环境影响较小。</w:t>
            </w:r>
          </w:p>
        </w:tc>
        <w:tc>
          <w:tcPr>
            <w:tcW w:w="558" w:type="pct"/>
            <w:tcBorders>
              <w:tl2br w:val="nil"/>
              <w:tr2bl w:val="nil"/>
            </w:tcBorders>
            <w:vAlign w:val="center"/>
          </w:tcPr>
          <w:p w14:paraId="523E61CF">
            <w:pPr>
              <w:spacing w:line="300" w:lineRule="exact"/>
              <w:jc w:val="center"/>
              <w:rPr>
                <w:rFonts w:hint="default" w:ascii="Times New Roman" w:hAnsi="Times New Roman" w:eastAsia="华文中宋" w:cs="Times New Roman"/>
                <w:szCs w:val="21"/>
              </w:rPr>
            </w:pPr>
          </w:p>
        </w:tc>
      </w:tr>
      <w:tr w14:paraId="5DA572C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9"/>
            <w:tcBorders>
              <w:tl2br w:val="nil"/>
              <w:tr2bl w:val="nil"/>
            </w:tcBorders>
            <w:vAlign w:val="center"/>
          </w:tcPr>
          <w:p w14:paraId="290590C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注1：“□”为</w:t>
            </w:r>
            <w:r>
              <w:rPr>
                <w:rFonts w:hint="eastAsia" w:ascii="Times New Roman" w:hAnsi="Times New Roman" w:eastAsia="华文中宋" w:cs="Times New Roman"/>
                <w:szCs w:val="21"/>
                <w:lang w:eastAsia="zh-CN"/>
              </w:rPr>
              <w:t>勾</w:t>
            </w:r>
            <w:r>
              <w:rPr>
                <w:rFonts w:hint="default" w:ascii="Times New Roman" w:hAnsi="Times New Roman" w:eastAsia="华文中宋" w:cs="Times New Roman"/>
                <w:szCs w:val="21"/>
              </w:rPr>
              <w:t>选项，可√；“（）”为内容填写项；“备注”为其他补充内容。</w:t>
            </w:r>
          </w:p>
          <w:p w14:paraId="0E2483A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注2：需要分别开展土壤环境影响</w:t>
            </w:r>
            <w:r>
              <w:rPr>
                <w:rFonts w:hint="eastAsia" w:ascii="Times New Roman" w:hAnsi="Times New Roman" w:eastAsia="华文中宋" w:cs="Times New Roman"/>
                <w:szCs w:val="21"/>
                <w:lang w:eastAsia="zh-CN"/>
              </w:rPr>
              <w:t>评价</w:t>
            </w:r>
            <w:r>
              <w:rPr>
                <w:rFonts w:hint="default" w:ascii="Times New Roman" w:hAnsi="Times New Roman" w:eastAsia="华文中宋" w:cs="Times New Roman"/>
                <w:szCs w:val="21"/>
              </w:rPr>
              <w:t>工作的，分别填写自查表。</w:t>
            </w:r>
          </w:p>
        </w:tc>
      </w:tr>
    </w:tbl>
    <w:p w14:paraId="4124F204">
      <w:pPr>
        <w:pStyle w:val="4"/>
        <w:spacing w:before="120" w:after="120" w:line="500" w:lineRule="exact"/>
        <w:rPr>
          <w:rFonts w:hint="default" w:ascii="Times New Roman" w:hAnsi="Times New Roman" w:eastAsia="华文中宋" w:cs="Times New Roman"/>
          <w:kern w:val="0"/>
          <w:sz w:val="24"/>
          <w:szCs w:val="24"/>
          <w:lang w:val="en-US" w:eastAsia="zh-CN"/>
        </w:rPr>
      </w:pPr>
      <w:bookmarkStart w:id="189" w:name="_Toc5578"/>
      <w:r>
        <w:rPr>
          <w:rFonts w:hint="default" w:ascii="Times New Roman" w:hAnsi="Times New Roman" w:eastAsia="华文中宋" w:cs="Times New Roman"/>
          <w:kern w:val="0"/>
          <w:sz w:val="24"/>
          <w:szCs w:val="24"/>
          <w:lang w:val="en-US" w:eastAsia="zh-CN"/>
        </w:rPr>
        <w:t>5.2.7生态环境影响分析及评价</w:t>
      </w:r>
      <w:bookmarkEnd w:id="189"/>
    </w:p>
    <w:p w14:paraId="4D9A85A1">
      <w:pPr>
        <w:pStyle w:val="24"/>
        <w:snapToGrid w:val="0"/>
        <w:ind w:left="0" w:leftChars="0" w:firstLine="0" w:firstLineChars="0"/>
        <w:jc w:val="left"/>
        <w:rPr>
          <w:rFonts w:hint="default" w:ascii="Times New Roman" w:hAnsi="Times New Roman" w:eastAsia="华文中宋" w:cs="Times New Roman"/>
          <w:b/>
          <w:bCs/>
          <w:color w:val="auto"/>
          <w:lang w:val="en-US" w:eastAsia="zh-CN"/>
        </w:rPr>
      </w:pPr>
      <w:r>
        <w:rPr>
          <w:rFonts w:hint="eastAsia" w:ascii="Times New Roman" w:hAnsi="Times New Roman" w:cs="Times New Roman"/>
          <w:b/>
          <w:bCs/>
          <w:color w:val="auto"/>
          <w:lang w:val="en-US" w:eastAsia="zh-CN"/>
        </w:rPr>
        <w:t>5.2.7.1</w:t>
      </w:r>
      <w:r>
        <w:rPr>
          <w:rFonts w:hint="default" w:ascii="Times New Roman" w:hAnsi="Times New Roman" w:eastAsia="华文中宋" w:cs="Times New Roman"/>
          <w:b/>
          <w:bCs/>
          <w:color w:val="auto"/>
          <w:lang w:val="en-US" w:eastAsia="zh-CN"/>
        </w:rPr>
        <w:t>生态环境影响因素及特征</w:t>
      </w:r>
    </w:p>
    <w:p w14:paraId="2908874D">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val="en-US" w:eastAsia="zh-CN"/>
        </w:rPr>
        <w:t>矿山开采活动对区域生态的影响主要表现在土地占用扰动地表、破坏原地貌、景观影响、水土流失等方面。</w:t>
      </w:r>
    </w:p>
    <w:p w14:paraId="12B2E292">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本项目的建设，使区域内景观的自然性程度降低，人文影响程度增强，土地利用格局转化为工业用地。工程建设对区域内生态体系稳定性影响的主要途径是对地表的扰动和破坏，同时造成水土流失。</w:t>
      </w:r>
    </w:p>
    <w:p w14:paraId="0236CD8B">
      <w:pPr>
        <w:pStyle w:val="24"/>
        <w:snapToGrid w:val="0"/>
        <w:jc w:val="left"/>
        <w:rPr>
          <w:rFonts w:hint="default" w:ascii="Times New Roman" w:hAnsi="Times New Roman" w:eastAsia="华文中宋" w:cs="Times New Roman"/>
          <w:color w:val="auto"/>
          <w:lang w:val="en-US" w:eastAsia="zh-CN"/>
        </w:rPr>
      </w:pPr>
      <w:r>
        <w:rPr>
          <w:rFonts w:hint="eastAsia" w:ascii="Calibri" w:hAnsi="Calibri" w:cs="Calibri"/>
          <w:color w:val="auto"/>
          <w:lang w:val="en-US" w:eastAsia="zh-CN"/>
        </w:rPr>
        <w:t>（1）</w:t>
      </w:r>
      <w:r>
        <w:rPr>
          <w:rFonts w:hint="default" w:ascii="Times New Roman" w:hAnsi="Times New Roman" w:eastAsia="华文中宋" w:cs="Times New Roman"/>
          <w:color w:val="auto"/>
          <w:lang w:val="en-US" w:eastAsia="zh-CN"/>
        </w:rPr>
        <w:t>矿山开采对当地生态环境的典型影响因素</w:t>
      </w:r>
    </w:p>
    <w:p w14:paraId="4DBB8CF9">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根据现场调查类比分析，项目建设对当地生态环境造成的典型生态影响见下表。</w:t>
      </w:r>
    </w:p>
    <w:p w14:paraId="614E1B17">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表5.2-3</w:t>
      </w:r>
      <w:r>
        <w:rPr>
          <w:rFonts w:hint="eastAsia" w:ascii="Times New Roman" w:hAnsi="Times New Roman" w:eastAsia="华文中宋" w:cs="Times New Roman"/>
          <w:b/>
          <w:szCs w:val="21"/>
          <w:lang w:val="en-US" w:eastAsia="zh-CN"/>
        </w:rPr>
        <w:t xml:space="preserve">3 </w:t>
      </w:r>
      <w:r>
        <w:rPr>
          <w:rFonts w:hint="default" w:ascii="Times New Roman" w:hAnsi="Times New Roman" w:eastAsia="华文中宋" w:cs="Times New Roman"/>
          <w:b/>
          <w:szCs w:val="21"/>
          <w:lang w:val="en-US" w:eastAsia="zh-CN"/>
        </w:rPr>
        <w:t xml:space="preserve"> 矿山开采活动对生态的典型影响</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3180"/>
        <w:gridCol w:w="2115"/>
        <w:gridCol w:w="1701"/>
      </w:tblGrid>
      <w:tr w14:paraId="01822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4B973A7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活动方式</w:t>
            </w:r>
          </w:p>
        </w:tc>
        <w:tc>
          <w:tcPr>
            <w:tcW w:w="3180" w:type="dxa"/>
            <w:vAlign w:val="center"/>
          </w:tcPr>
          <w:p w14:paraId="1B06DEB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影响方式</w:t>
            </w:r>
          </w:p>
        </w:tc>
        <w:tc>
          <w:tcPr>
            <w:tcW w:w="2115" w:type="dxa"/>
            <w:vAlign w:val="center"/>
          </w:tcPr>
          <w:p w14:paraId="5F59064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有害</w:t>
            </w:r>
          </w:p>
        </w:tc>
        <w:tc>
          <w:tcPr>
            <w:tcW w:w="1701" w:type="dxa"/>
            <w:vAlign w:val="center"/>
          </w:tcPr>
          <w:p w14:paraId="6AEB171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有利</w:t>
            </w:r>
          </w:p>
        </w:tc>
      </w:tr>
      <w:tr w14:paraId="270DC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restart"/>
            <w:vAlign w:val="center"/>
          </w:tcPr>
          <w:p w14:paraId="7710AC3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露天开采</w:t>
            </w:r>
          </w:p>
        </w:tc>
        <w:tc>
          <w:tcPr>
            <w:tcW w:w="3180" w:type="dxa"/>
            <w:vAlign w:val="center"/>
          </w:tcPr>
          <w:p w14:paraId="20B9470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破坏地表覆盖土层和植被层</w:t>
            </w:r>
          </w:p>
        </w:tc>
        <w:tc>
          <w:tcPr>
            <w:tcW w:w="2115" w:type="dxa"/>
            <w:vAlign w:val="center"/>
          </w:tcPr>
          <w:p w14:paraId="7563AE7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w:t>
            </w:r>
          </w:p>
        </w:tc>
        <w:tc>
          <w:tcPr>
            <w:tcW w:w="1701" w:type="dxa"/>
            <w:vAlign w:val="center"/>
          </w:tcPr>
          <w:p w14:paraId="0586D5EF">
            <w:pPr>
              <w:spacing w:line="300" w:lineRule="exact"/>
              <w:jc w:val="center"/>
              <w:rPr>
                <w:rFonts w:hint="default" w:ascii="Times New Roman" w:hAnsi="Times New Roman" w:eastAsia="华文中宋" w:cs="Times New Roman"/>
                <w:szCs w:val="21"/>
                <w:lang w:val="en-US" w:eastAsia="zh-CN"/>
              </w:rPr>
            </w:pPr>
          </w:p>
        </w:tc>
      </w:tr>
      <w:tr w14:paraId="69A57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14:paraId="387FCF41">
            <w:pPr>
              <w:spacing w:line="300" w:lineRule="exact"/>
              <w:jc w:val="center"/>
              <w:rPr>
                <w:rFonts w:hint="default" w:ascii="Times New Roman" w:hAnsi="Times New Roman" w:eastAsia="华文中宋" w:cs="Times New Roman"/>
                <w:szCs w:val="21"/>
                <w:lang w:val="en-US" w:eastAsia="zh-CN"/>
              </w:rPr>
            </w:pPr>
          </w:p>
        </w:tc>
        <w:tc>
          <w:tcPr>
            <w:tcW w:w="3180" w:type="dxa"/>
            <w:vAlign w:val="center"/>
          </w:tcPr>
          <w:p w14:paraId="4C25C10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干扰动物栖息地</w:t>
            </w:r>
          </w:p>
        </w:tc>
        <w:tc>
          <w:tcPr>
            <w:tcW w:w="2115" w:type="dxa"/>
            <w:vAlign w:val="center"/>
          </w:tcPr>
          <w:p w14:paraId="26F6B67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w:t>
            </w:r>
          </w:p>
        </w:tc>
        <w:tc>
          <w:tcPr>
            <w:tcW w:w="1701" w:type="dxa"/>
            <w:vAlign w:val="center"/>
          </w:tcPr>
          <w:p w14:paraId="2878EE0D">
            <w:pPr>
              <w:spacing w:line="300" w:lineRule="exact"/>
              <w:jc w:val="center"/>
              <w:rPr>
                <w:rFonts w:hint="default" w:ascii="Times New Roman" w:hAnsi="Times New Roman" w:eastAsia="华文中宋" w:cs="Times New Roman"/>
                <w:szCs w:val="21"/>
                <w:lang w:val="en-US" w:eastAsia="zh-CN"/>
              </w:rPr>
            </w:pPr>
          </w:p>
        </w:tc>
      </w:tr>
      <w:tr w14:paraId="191AA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14:paraId="3C0F9C4D">
            <w:pPr>
              <w:spacing w:line="300" w:lineRule="exact"/>
              <w:jc w:val="center"/>
              <w:rPr>
                <w:rFonts w:hint="default" w:ascii="Times New Roman" w:hAnsi="Times New Roman" w:eastAsia="华文中宋" w:cs="Times New Roman"/>
                <w:szCs w:val="21"/>
                <w:lang w:val="en-US" w:eastAsia="zh-CN"/>
              </w:rPr>
            </w:pPr>
          </w:p>
        </w:tc>
        <w:tc>
          <w:tcPr>
            <w:tcW w:w="3180" w:type="dxa"/>
            <w:vAlign w:val="center"/>
          </w:tcPr>
          <w:p w14:paraId="60E5BD6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丧失部分动、植物</w:t>
            </w:r>
          </w:p>
        </w:tc>
        <w:tc>
          <w:tcPr>
            <w:tcW w:w="2115" w:type="dxa"/>
            <w:vAlign w:val="center"/>
          </w:tcPr>
          <w:p w14:paraId="6A5A1F4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w:t>
            </w:r>
          </w:p>
        </w:tc>
        <w:tc>
          <w:tcPr>
            <w:tcW w:w="1701" w:type="dxa"/>
            <w:vAlign w:val="center"/>
          </w:tcPr>
          <w:p w14:paraId="52073727">
            <w:pPr>
              <w:spacing w:line="300" w:lineRule="exact"/>
              <w:jc w:val="center"/>
              <w:rPr>
                <w:rFonts w:hint="default" w:ascii="Times New Roman" w:hAnsi="Times New Roman" w:eastAsia="华文中宋" w:cs="Times New Roman"/>
                <w:szCs w:val="21"/>
                <w:lang w:val="en-US" w:eastAsia="zh-CN"/>
              </w:rPr>
            </w:pPr>
          </w:p>
        </w:tc>
      </w:tr>
      <w:tr w14:paraId="36AD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14:paraId="49DCEFEC">
            <w:pPr>
              <w:spacing w:line="300" w:lineRule="exact"/>
              <w:jc w:val="center"/>
              <w:rPr>
                <w:rFonts w:hint="default" w:ascii="Times New Roman" w:hAnsi="Times New Roman" w:eastAsia="华文中宋" w:cs="Times New Roman"/>
                <w:szCs w:val="21"/>
                <w:lang w:val="en-US" w:eastAsia="zh-CN"/>
              </w:rPr>
            </w:pPr>
          </w:p>
        </w:tc>
        <w:tc>
          <w:tcPr>
            <w:tcW w:w="3180" w:type="dxa"/>
            <w:vAlign w:val="center"/>
          </w:tcPr>
          <w:p w14:paraId="0908E38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降低物种的多样性</w:t>
            </w:r>
          </w:p>
        </w:tc>
        <w:tc>
          <w:tcPr>
            <w:tcW w:w="2115" w:type="dxa"/>
            <w:vAlign w:val="center"/>
          </w:tcPr>
          <w:p w14:paraId="23E6EA8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w:t>
            </w:r>
          </w:p>
        </w:tc>
        <w:tc>
          <w:tcPr>
            <w:tcW w:w="1701" w:type="dxa"/>
            <w:vAlign w:val="center"/>
          </w:tcPr>
          <w:p w14:paraId="1D441E89">
            <w:pPr>
              <w:spacing w:line="300" w:lineRule="exact"/>
              <w:jc w:val="center"/>
              <w:rPr>
                <w:rFonts w:hint="default" w:ascii="Times New Roman" w:hAnsi="Times New Roman" w:eastAsia="华文中宋" w:cs="Times New Roman"/>
                <w:szCs w:val="21"/>
                <w:lang w:val="en-US" w:eastAsia="zh-CN"/>
              </w:rPr>
            </w:pPr>
          </w:p>
        </w:tc>
      </w:tr>
      <w:tr w14:paraId="70D07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14:paraId="18F37758">
            <w:pPr>
              <w:spacing w:line="300" w:lineRule="exact"/>
              <w:jc w:val="center"/>
              <w:rPr>
                <w:rFonts w:hint="default" w:ascii="Times New Roman" w:hAnsi="Times New Roman" w:eastAsia="华文中宋" w:cs="Times New Roman"/>
                <w:szCs w:val="21"/>
                <w:lang w:val="en-US" w:eastAsia="zh-CN"/>
              </w:rPr>
            </w:pPr>
          </w:p>
        </w:tc>
        <w:tc>
          <w:tcPr>
            <w:tcW w:w="3180" w:type="dxa"/>
            <w:vAlign w:val="center"/>
          </w:tcPr>
          <w:p w14:paraId="031D5C8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破坏自然排水坡度</w:t>
            </w:r>
          </w:p>
        </w:tc>
        <w:tc>
          <w:tcPr>
            <w:tcW w:w="2115" w:type="dxa"/>
            <w:vAlign w:val="center"/>
          </w:tcPr>
          <w:p w14:paraId="65E145F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w:t>
            </w:r>
          </w:p>
        </w:tc>
        <w:tc>
          <w:tcPr>
            <w:tcW w:w="1701" w:type="dxa"/>
            <w:vAlign w:val="center"/>
          </w:tcPr>
          <w:p w14:paraId="2DB352DF">
            <w:pPr>
              <w:spacing w:line="300" w:lineRule="exact"/>
              <w:jc w:val="center"/>
              <w:rPr>
                <w:rFonts w:hint="default" w:ascii="Times New Roman" w:hAnsi="Times New Roman" w:eastAsia="华文中宋" w:cs="Times New Roman"/>
                <w:szCs w:val="21"/>
                <w:lang w:val="en-US" w:eastAsia="zh-CN"/>
              </w:rPr>
            </w:pPr>
          </w:p>
        </w:tc>
      </w:tr>
      <w:tr w14:paraId="5DC6D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restart"/>
            <w:vAlign w:val="center"/>
          </w:tcPr>
          <w:p w14:paraId="618D8C8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道路运输</w:t>
            </w:r>
          </w:p>
        </w:tc>
        <w:tc>
          <w:tcPr>
            <w:tcW w:w="3180" w:type="dxa"/>
            <w:vAlign w:val="center"/>
          </w:tcPr>
          <w:p w14:paraId="28D6732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增加边界效应</w:t>
            </w:r>
          </w:p>
        </w:tc>
        <w:tc>
          <w:tcPr>
            <w:tcW w:w="2115" w:type="dxa"/>
            <w:vAlign w:val="center"/>
          </w:tcPr>
          <w:p w14:paraId="59A3D28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w:t>
            </w:r>
          </w:p>
        </w:tc>
        <w:tc>
          <w:tcPr>
            <w:tcW w:w="1701" w:type="dxa"/>
            <w:vAlign w:val="center"/>
          </w:tcPr>
          <w:p w14:paraId="189E35C3">
            <w:pPr>
              <w:spacing w:line="300" w:lineRule="exact"/>
              <w:jc w:val="center"/>
              <w:rPr>
                <w:rFonts w:hint="default" w:ascii="Times New Roman" w:hAnsi="Times New Roman" w:eastAsia="华文中宋" w:cs="Times New Roman"/>
                <w:szCs w:val="21"/>
                <w:lang w:val="en-US" w:eastAsia="zh-CN"/>
              </w:rPr>
            </w:pPr>
          </w:p>
        </w:tc>
      </w:tr>
      <w:tr w14:paraId="1A43A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14:paraId="3710D27A">
            <w:pPr>
              <w:spacing w:line="300" w:lineRule="exact"/>
              <w:jc w:val="center"/>
              <w:rPr>
                <w:rFonts w:hint="default" w:ascii="Times New Roman" w:hAnsi="Times New Roman" w:eastAsia="华文中宋" w:cs="Times New Roman"/>
                <w:szCs w:val="21"/>
                <w:lang w:val="en-US" w:eastAsia="zh-CN"/>
              </w:rPr>
            </w:pPr>
          </w:p>
        </w:tc>
        <w:tc>
          <w:tcPr>
            <w:tcW w:w="3180" w:type="dxa"/>
            <w:vAlign w:val="center"/>
          </w:tcPr>
          <w:p w14:paraId="5679AFF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妨碍动物迁徙</w:t>
            </w:r>
          </w:p>
        </w:tc>
        <w:tc>
          <w:tcPr>
            <w:tcW w:w="2115" w:type="dxa"/>
            <w:vAlign w:val="center"/>
          </w:tcPr>
          <w:p w14:paraId="023023B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w:t>
            </w:r>
          </w:p>
        </w:tc>
        <w:tc>
          <w:tcPr>
            <w:tcW w:w="1701" w:type="dxa"/>
            <w:vAlign w:val="center"/>
          </w:tcPr>
          <w:p w14:paraId="26FB7DC3">
            <w:pPr>
              <w:spacing w:line="300" w:lineRule="exact"/>
              <w:jc w:val="center"/>
              <w:rPr>
                <w:rFonts w:hint="default" w:ascii="Times New Roman" w:hAnsi="Times New Roman" w:eastAsia="华文中宋" w:cs="Times New Roman"/>
                <w:szCs w:val="21"/>
                <w:lang w:val="en-US" w:eastAsia="zh-CN"/>
              </w:rPr>
            </w:pPr>
          </w:p>
        </w:tc>
      </w:tr>
      <w:tr w14:paraId="3A456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restart"/>
            <w:vAlign w:val="center"/>
          </w:tcPr>
          <w:p w14:paraId="0F05BC2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生物修复</w:t>
            </w:r>
          </w:p>
        </w:tc>
        <w:tc>
          <w:tcPr>
            <w:tcW w:w="3180" w:type="dxa"/>
            <w:vAlign w:val="center"/>
          </w:tcPr>
          <w:p w14:paraId="357C570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恢复物种的多样性平衡</w:t>
            </w:r>
          </w:p>
        </w:tc>
        <w:tc>
          <w:tcPr>
            <w:tcW w:w="2115" w:type="dxa"/>
            <w:vAlign w:val="center"/>
          </w:tcPr>
          <w:p w14:paraId="0CA8C0EA">
            <w:pPr>
              <w:spacing w:line="300" w:lineRule="exact"/>
              <w:jc w:val="center"/>
              <w:rPr>
                <w:rFonts w:hint="default" w:ascii="Times New Roman" w:hAnsi="Times New Roman" w:eastAsia="华文中宋" w:cs="Times New Roman"/>
                <w:szCs w:val="21"/>
                <w:lang w:val="en-US" w:eastAsia="zh-CN"/>
              </w:rPr>
            </w:pPr>
          </w:p>
        </w:tc>
        <w:tc>
          <w:tcPr>
            <w:tcW w:w="1701" w:type="dxa"/>
            <w:vAlign w:val="center"/>
          </w:tcPr>
          <w:p w14:paraId="76C81D1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w:t>
            </w:r>
          </w:p>
        </w:tc>
      </w:tr>
      <w:tr w14:paraId="33B1B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vAlign w:val="center"/>
          </w:tcPr>
          <w:p w14:paraId="4D276C00">
            <w:pPr>
              <w:spacing w:line="300" w:lineRule="exact"/>
              <w:jc w:val="center"/>
              <w:rPr>
                <w:rFonts w:hint="default" w:ascii="Times New Roman" w:hAnsi="Times New Roman" w:eastAsia="华文中宋" w:cs="Times New Roman"/>
                <w:szCs w:val="21"/>
                <w:lang w:val="en-US" w:eastAsia="zh-CN"/>
              </w:rPr>
            </w:pPr>
          </w:p>
        </w:tc>
        <w:tc>
          <w:tcPr>
            <w:tcW w:w="3180" w:type="dxa"/>
            <w:vAlign w:val="center"/>
          </w:tcPr>
          <w:p w14:paraId="470E4C5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促使生态系统恢复平衡</w:t>
            </w:r>
          </w:p>
        </w:tc>
        <w:tc>
          <w:tcPr>
            <w:tcW w:w="2115" w:type="dxa"/>
            <w:vAlign w:val="center"/>
          </w:tcPr>
          <w:p w14:paraId="6C416AEC">
            <w:pPr>
              <w:spacing w:line="300" w:lineRule="exact"/>
              <w:jc w:val="center"/>
              <w:rPr>
                <w:rFonts w:hint="default" w:ascii="Times New Roman" w:hAnsi="Times New Roman" w:eastAsia="华文中宋" w:cs="Times New Roman"/>
                <w:szCs w:val="21"/>
                <w:lang w:val="en-US" w:eastAsia="zh-CN"/>
              </w:rPr>
            </w:pPr>
          </w:p>
        </w:tc>
        <w:tc>
          <w:tcPr>
            <w:tcW w:w="1701" w:type="dxa"/>
            <w:vAlign w:val="center"/>
          </w:tcPr>
          <w:p w14:paraId="48C4A01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w:t>
            </w:r>
          </w:p>
        </w:tc>
      </w:tr>
    </w:tbl>
    <w:p w14:paraId="0DC6369B">
      <w:pPr>
        <w:adjustRightInd w:val="0"/>
        <w:snapToGrid w:val="0"/>
        <w:spacing w:line="500" w:lineRule="exact"/>
        <w:ind w:firstLine="480" w:firstLineChars="200"/>
        <w:jc w:val="left"/>
        <w:rPr>
          <w:rFonts w:hint="default" w:ascii="Times New Roman" w:hAnsi="Times New Roman" w:eastAsia="华文中宋" w:cs="Times New Roman"/>
          <w:sz w:val="24"/>
        </w:rPr>
      </w:pPr>
      <w:r>
        <w:rPr>
          <w:rFonts w:hint="default" w:ascii="Times New Roman" w:hAnsi="Times New Roman" w:eastAsia="华文中宋" w:cs="Times New Roman"/>
          <w:sz w:val="24"/>
          <w:lang w:val="en-US" w:eastAsia="zh-CN"/>
        </w:rPr>
        <w:t>本项目以开发利用矿产资源为目标，建设项目对生态影响特征表现在以下方面：</w:t>
      </w:r>
    </w:p>
    <w:p w14:paraId="4004E10E">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①土地利用格局发生改变；</w:t>
      </w:r>
    </w:p>
    <w:p w14:paraId="6CC1660D">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②短期矿山型水土流失，局部土壤资源处于不平衡状况；</w:t>
      </w:r>
    </w:p>
    <w:p w14:paraId="175A4A53">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③改变地面生物生存环境；</w:t>
      </w:r>
    </w:p>
    <w:p w14:paraId="23962AE9">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④生态景观发生改变。</w:t>
      </w:r>
    </w:p>
    <w:p w14:paraId="1013A785">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（2）</w:t>
      </w:r>
      <w:r>
        <w:rPr>
          <w:rFonts w:hint="default" w:ascii="Times New Roman" w:hAnsi="Times New Roman" w:eastAsia="华文中宋" w:cs="Times New Roman"/>
          <w:sz w:val="24"/>
          <w:lang w:val="en-US" w:eastAsia="zh-CN"/>
        </w:rPr>
        <w:t>生态环境影响特征</w:t>
      </w:r>
    </w:p>
    <w:p w14:paraId="4BD17463">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本工程的开发使区域内景观的自然性程度降低，人文影响程度增强，原有土地利用格局转化为矿区用地。工程开发对区域内生态体系稳定性影响的主要途径是地表扰动，如果生态破坏程度过大或者得不到及时修复，就有可能导致区域生态环境的进一步衰退。</w:t>
      </w:r>
    </w:p>
    <w:p w14:paraId="5814725F">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（3）</w:t>
      </w:r>
      <w:r>
        <w:rPr>
          <w:rFonts w:hint="default" w:ascii="Times New Roman" w:hAnsi="Times New Roman" w:eastAsia="华文中宋" w:cs="Times New Roman"/>
          <w:sz w:val="24"/>
          <w:lang w:val="en-US" w:eastAsia="zh-CN"/>
        </w:rPr>
        <w:t>项目生态环境影响因素变化预测</w:t>
      </w:r>
    </w:p>
    <w:p w14:paraId="30970530">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①生物群落变化</w:t>
      </w:r>
    </w:p>
    <w:p w14:paraId="20734FA3">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矿山开发前，区域基本保持着原有天然生态特征，随着矿山开发利用，矿区内部分土地将被开发利用为</w:t>
      </w:r>
      <w:r>
        <w:rPr>
          <w:rFonts w:hint="eastAsia" w:ascii="Times New Roman" w:hAnsi="Times New Roman" w:eastAsia="华文中宋" w:cs="Times New Roman"/>
          <w:sz w:val="24"/>
          <w:lang w:val="en-US" w:eastAsia="zh-CN"/>
        </w:rPr>
        <w:t>堆场</w:t>
      </w:r>
      <w:r>
        <w:rPr>
          <w:rFonts w:hint="default" w:ascii="Times New Roman" w:hAnsi="Times New Roman" w:eastAsia="华文中宋" w:cs="Times New Roman"/>
          <w:sz w:val="24"/>
          <w:lang w:val="en-US" w:eastAsia="zh-CN"/>
        </w:rPr>
        <w:t>、建筑物、运输道路用地等，天然植被被铲除，使局部区域动、植物量减少。</w:t>
      </w:r>
    </w:p>
    <w:p w14:paraId="4B2AF079">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②改变土地利用功能，加重土壤侵蚀和水土流失</w:t>
      </w:r>
    </w:p>
    <w:p w14:paraId="033B2F5B">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工程生产将</w:t>
      </w:r>
      <w:r>
        <w:rPr>
          <w:rFonts w:hint="eastAsia" w:ascii="Times New Roman" w:hAnsi="Times New Roman" w:eastAsia="华文中宋" w:cs="Times New Roman"/>
          <w:sz w:val="24"/>
          <w:lang w:val="en-US" w:eastAsia="zh-CN"/>
        </w:rPr>
        <w:t>改</w:t>
      </w:r>
      <w:r>
        <w:rPr>
          <w:rFonts w:hint="default" w:ascii="Times New Roman" w:hAnsi="Times New Roman" w:eastAsia="华文中宋" w:cs="Times New Roman"/>
          <w:sz w:val="24"/>
          <w:lang w:val="en-US" w:eastAsia="zh-CN"/>
        </w:rPr>
        <w:t>变区域的岩土体力学性质，使局部突然侵蚀能力加强，大雨季节可造成一定程度矿山型水土流失。</w:t>
      </w:r>
    </w:p>
    <w:p w14:paraId="6F19ED45">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③生态景观变化</w:t>
      </w:r>
    </w:p>
    <w:p w14:paraId="3336F83C">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矿山的开发使土地使用功能发生转化，使矿区在景观上将发生根本性的变化，由原来戈壁和低覆盖度地景观变为施工区、运输道路、废矿石场等。</w:t>
      </w:r>
    </w:p>
    <w:p w14:paraId="0D6C0B14">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④污染增加，环境质量下降</w:t>
      </w:r>
    </w:p>
    <w:p w14:paraId="66EF9EDB">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矿山在运营过程中排放的污染物给原生态环境会带来一定污染，随着废矿石的排放等污染物，给局部区域环境带来一定的污染及景观影响。</w:t>
      </w:r>
    </w:p>
    <w:p w14:paraId="4FE5BC77">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（4）</w:t>
      </w:r>
      <w:r>
        <w:rPr>
          <w:rFonts w:hint="default" w:ascii="Times New Roman" w:hAnsi="Times New Roman" w:eastAsia="华文中宋" w:cs="Times New Roman"/>
          <w:sz w:val="24"/>
          <w:lang w:val="en-US" w:eastAsia="zh-CN"/>
        </w:rPr>
        <w:t>植被影响评价</w:t>
      </w:r>
    </w:p>
    <w:p w14:paraId="1CBAFB05">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露天开采将造成植被生境破坏，导致植物量减少、植被的面积及生物多样性减少等。对植被的直接影响就是采区露天剥采占地、废砂石堆场占地时的植被遭到破坏。</w:t>
      </w:r>
    </w:p>
    <w:p w14:paraId="00A540D1">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项目矿区占地面积91.68hm</w:t>
      </w:r>
      <w:r>
        <w:rPr>
          <w:rFonts w:hint="default" w:ascii="Times New Roman" w:hAnsi="Times New Roman" w:eastAsia="华文中宋" w:cs="Times New Roman"/>
          <w:sz w:val="24"/>
          <w:vertAlign w:val="superscript"/>
          <w:lang w:val="en-US" w:eastAsia="zh-CN"/>
        </w:rPr>
        <w:t>2</w:t>
      </w:r>
      <w:r>
        <w:rPr>
          <w:rFonts w:hint="default" w:ascii="Times New Roman" w:hAnsi="Times New Roman" w:eastAsia="华文中宋" w:cs="Times New Roman"/>
          <w:sz w:val="24"/>
          <w:lang w:val="en-US" w:eastAsia="zh-CN"/>
        </w:rPr>
        <w:t>，其中露天采场占地10.68hm</w:t>
      </w:r>
      <w:r>
        <w:rPr>
          <w:rFonts w:hint="default" w:ascii="Times New Roman" w:hAnsi="Times New Roman" w:eastAsia="华文中宋" w:cs="Times New Roman"/>
          <w:sz w:val="24"/>
          <w:vertAlign w:val="superscript"/>
          <w:lang w:val="en-US" w:eastAsia="zh-CN"/>
        </w:rPr>
        <w:t>2</w:t>
      </w:r>
      <w:r>
        <w:rPr>
          <w:rFonts w:hint="default" w:ascii="Times New Roman" w:hAnsi="Times New Roman" w:eastAsia="华文中宋" w:cs="Times New Roman"/>
          <w:sz w:val="24"/>
          <w:lang w:val="en-US" w:eastAsia="zh-CN"/>
        </w:rPr>
        <w:t>、废石堆场占地</w:t>
      </w:r>
      <w:r>
        <w:rPr>
          <w:rFonts w:hint="eastAsia" w:ascii="Times New Roman" w:hAnsi="Times New Roman" w:eastAsia="华文中宋" w:cs="Times New Roman"/>
          <w:sz w:val="24"/>
          <w:lang w:val="en-US" w:eastAsia="zh-CN"/>
        </w:rPr>
        <w:t>7.0</w:t>
      </w:r>
      <w:r>
        <w:rPr>
          <w:rFonts w:hint="default" w:ascii="Times New Roman" w:hAnsi="Times New Roman" w:eastAsia="华文中宋" w:cs="Times New Roman"/>
          <w:sz w:val="24"/>
          <w:lang w:val="en-US" w:eastAsia="zh-CN"/>
        </w:rPr>
        <w:t>hm</w:t>
      </w:r>
      <w:r>
        <w:rPr>
          <w:rFonts w:hint="default" w:ascii="Times New Roman" w:hAnsi="Times New Roman" w:eastAsia="华文中宋" w:cs="Times New Roman"/>
          <w:sz w:val="24"/>
          <w:vertAlign w:val="superscript"/>
          <w:lang w:val="en-US" w:eastAsia="zh-CN"/>
        </w:rPr>
        <w:t>2</w:t>
      </w:r>
      <w:r>
        <w:rPr>
          <w:rFonts w:hint="default" w:ascii="Times New Roman" w:hAnsi="Times New Roman" w:eastAsia="华文中宋" w:cs="Times New Roman"/>
          <w:sz w:val="24"/>
          <w:lang w:val="en-US" w:eastAsia="zh-CN"/>
        </w:rPr>
        <w:t>、生活区占地</w:t>
      </w:r>
      <w:r>
        <w:rPr>
          <w:rFonts w:hint="eastAsia" w:ascii="Times New Roman" w:hAnsi="Times New Roman" w:eastAsia="华文中宋" w:cs="Times New Roman"/>
          <w:sz w:val="24"/>
          <w:lang w:val="en-US" w:eastAsia="zh-CN"/>
        </w:rPr>
        <w:t>0.</w:t>
      </w:r>
      <w:r>
        <w:rPr>
          <w:rFonts w:hint="default" w:ascii="Times New Roman" w:hAnsi="Times New Roman" w:eastAsia="华文中宋" w:cs="Times New Roman"/>
          <w:sz w:val="24"/>
          <w:lang w:val="en-US" w:eastAsia="zh-CN"/>
        </w:rPr>
        <w:t>29hm</w:t>
      </w:r>
      <w:r>
        <w:rPr>
          <w:rFonts w:hint="default" w:ascii="Times New Roman" w:hAnsi="Times New Roman" w:eastAsia="华文中宋" w:cs="Times New Roman"/>
          <w:sz w:val="24"/>
          <w:vertAlign w:val="superscript"/>
          <w:lang w:val="en-US" w:eastAsia="zh-CN"/>
        </w:rPr>
        <w:t>2</w:t>
      </w:r>
      <w:r>
        <w:rPr>
          <w:rFonts w:hint="default" w:ascii="Times New Roman" w:hAnsi="Times New Roman" w:eastAsia="华文中宋" w:cs="Times New Roman"/>
          <w:sz w:val="24"/>
          <w:lang w:val="en-US" w:eastAsia="zh-CN"/>
        </w:rPr>
        <w:t>、矿石转运场占地0.52hm</w:t>
      </w:r>
      <w:r>
        <w:rPr>
          <w:rFonts w:hint="default" w:ascii="Times New Roman" w:hAnsi="Times New Roman" w:eastAsia="华文中宋" w:cs="Times New Roman"/>
          <w:sz w:val="24"/>
          <w:vertAlign w:val="superscript"/>
          <w:lang w:val="en-US" w:eastAsia="zh-CN"/>
        </w:rPr>
        <w:t>2</w:t>
      </w:r>
      <w:r>
        <w:rPr>
          <w:rFonts w:hint="default" w:ascii="Times New Roman" w:hAnsi="Times New Roman" w:eastAsia="华文中宋" w:cs="Times New Roman"/>
          <w:sz w:val="24"/>
          <w:lang w:val="en-US" w:eastAsia="zh-CN"/>
        </w:rPr>
        <w:t>、表土堆放场占地0.8hm</w:t>
      </w:r>
      <w:r>
        <w:rPr>
          <w:rFonts w:hint="default" w:ascii="Times New Roman" w:hAnsi="Times New Roman" w:eastAsia="华文中宋" w:cs="Times New Roman"/>
          <w:sz w:val="24"/>
          <w:vertAlign w:val="superscript"/>
          <w:lang w:val="en-US" w:eastAsia="zh-CN"/>
        </w:rPr>
        <w:t>2</w:t>
      </w:r>
      <w:r>
        <w:rPr>
          <w:rFonts w:hint="default" w:ascii="Times New Roman" w:hAnsi="Times New Roman" w:eastAsia="华文中宋" w:cs="Times New Roman"/>
          <w:sz w:val="24"/>
          <w:lang w:val="en-US" w:eastAsia="zh-CN"/>
        </w:rPr>
        <w:t>、矿山道路占地（包括矿山外）</w:t>
      </w:r>
      <w:r>
        <w:rPr>
          <w:rFonts w:hint="eastAsia" w:ascii="Times New Roman" w:hAnsi="Times New Roman" w:eastAsia="华文中宋" w:cs="Times New Roman"/>
          <w:sz w:val="24"/>
          <w:lang w:val="en-US" w:eastAsia="zh-CN"/>
        </w:rPr>
        <w:t>5.938</w:t>
      </w:r>
      <w:r>
        <w:rPr>
          <w:rFonts w:hint="default" w:ascii="Times New Roman" w:hAnsi="Times New Roman" w:eastAsia="华文中宋" w:cs="Times New Roman"/>
          <w:sz w:val="24"/>
          <w:lang w:val="en-US" w:eastAsia="zh-CN"/>
        </w:rPr>
        <w:t>hm</w:t>
      </w:r>
      <w:r>
        <w:rPr>
          <w:rFonts w:hint="default" w:ascii="Times New Roman" w:hAnsi="Times New Roman" w:eastAsia="华文中宋" w:cs="Times New Roman"/>
          <w:sz w:val="24"/>
          <w:vertAlign w:val="superscript"/>
          <w:lang w:val="en-US" w:eastAsia="zh-CN"/>
        </w:rPr>
        <w:t>2</w:t>
      </w:r>
      <w:r>
        <w:rPr>
          <w:rFonts w:hint="eastAsia" w:ascii="Times New Roman" w:hAnsi="Times New Roman" w:eastAsia="华文中宋" w:cs="Times New Roman"/>
          <w:sz w:val="24"/>
          <w:lang w:val="en-US" w:eastAsia="zh-CN"/>
        </w:rPr>
        <w:t>、</w:t>
      </w:r>
      <w:r>
        <w:rPr>
          <w:rFonts w:hint="default" w:ascii="Times New Roman" w:hAnsi="Times New Roman" w:eastAsia="华文中宋" w:cs="Times New Roman"/>
          <w:sz w:val="24"/>
          <w:lang w:val="en-US" w:eastAsia="zh-CN"/>
        </w:rPr>
        <w:t>共计占地</w:t>
      </w:r>
      <w:r>
        <w:rPr>
          <w:rFonts w:hint="eastAsia" w:ascii="Times New Roman" w:hAnsi="Times New Roman" w:eastAsia="华文中宋" w:cs="Times New Roman"/>
          <w:sz w:val="24"/>
          <w:lang w:val="en-US" w:eastAsia="zh-CN"/>
        </w:rPr>
        <w:t>25.228</w:t>
      </w:r>
      <w:r>
        <w:rPr>
          <w:rFonts w:hint="default" w:ascii="Times New Roman" w:hAnsi="Times New Roman" w:eastAsia="华文中宋" w:cs="Times New Roman"/>
          <w:sz w:val="24"/>
          <w:lang w:val="en-US" w:eastAsia="zh-CN"/>
        </w:rPr>
        <w:t>hm</w:t>
      </w:r>
      <w:r>
        <w:rPr>
          <w:rFonts w:hint="default" w:ascii="Times New Roman" w:hAnsi="Times New Roman" w:eastAsia="华文中宋" w:cs="Times New Roman"/>
          <w:sz w:val="24"/>
          <w:vertAlign w:val="superscript"/>
          <w:lang w:val="en-US" w:eastAsia="zh-CN"/>
        </w:rPr>
        <w:t>2</w:t>
      </w:r>
      <w:r>
        <w:rPr>
          <w:rFonts w:hint="default" w:ascii="Times New Roman" w:hAnsi="Times New Roman" w:eastAsia="华文中宋" w:cs="Times New Roman"/>
          <w:sz w:val="24"/>
          <w:lang w:val="en-US" w:eastAsia="zh-CN"/>
        </w:rPr>
        <w:t>。</w:t>
      </w:r>
    </w:p>
    <w:p w14:paraId="3E8BC65D">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根据现场踏勘和资料收集，各工程运营期占地情况见下表。</w:t>
      </w:r>
    </w:p>
    <w:p w14:paraId="267B85E1">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rPr>
        <w:t>表</w:t>
      </w:r>
      <w:r>
        <w:rPr>
          <w:rFonts w:hint="default" w:ascii="Times New Roman" w:hAnsi="Times New Roman" w:eastAsia="华文中宋" w:cs="Times New Roman"/>
          <w:b/>
          <w:szCs w:val="21"/>
          <w:lang w:val="en-US" w:eastAsia="zh-CN"/>
        </w:rPr>
        <w:t>5.2-3</w:t>
      </w:r>
      <w:r>
        <w:rPr>
          <w:rFonts w:hint="eastAsia" w:ascii="Times New Roman" w:hAnsi="Times New Roman" w:eastAsia="华文中宋" w:cs="Times New Roman"/>
          <w:b/>
          <w:szCs w:val="21"/>
          <w:lang w:val="en-US" w:eastAsia="zh-CN"/>
        </w:rPr>
        <w:t>4</w:t>
      </w:r>
      <w:r>
        <w:rPr>
          <w:rFonts w:hint="default" w:ascii="Times New Roman" w:hAnsi="Times New Roman" w:eastAsia="华文中宋" w:cs="Times New Roman"/>
          <w:b/>
          <w:szCs w:val="21"/>
          <w:lang w:val="en-US" w:eastAsia="zh-CN"/>
        </w:rPr>
        <w:t xml:space="preserve">  </w:t>
      </w:r>
      <w:r>
        <w:rPr>
          <w:rFonts w:hint="default" w:ascii="Times New Roman" w:hAnsi="Times New Roman" w:eastAsia="华文中宋" w:cs="Times New Roman"/>
          <w:b/>
          <w:szCs w:val="21"/>
        </w:rPr>
        <w:t>本项目占地类型</w:t>
      </w:r>
      <w:r>
        <w:rPr>
          <w:rFonts w:hint="default" w:ascii="Times New Roman" w:hAnsi="Times New Roman" w:eastAsia="华文中宋" w:cs="Times New Roman"/>
          <w:b/>
          <w:szCs w:val="21"/>
          <w:lang w:val="en-US" w:eastAsia="zh-CN"/>
        </w:rPr>
        <w:t xml:space="preserve">  （hm</w:t>
      </w:r>
      <w:r>
        <w:rPr>
          <w:rFonts w:hint="default" w:ascii="Times New Roman" w:hAnsi="Times New Roman" w:eastAsia="华文中宋" w:cs="Times New Roman"/>
          <w:b/>
          <w:szCs w:val="21"/>
          <w:vertAlign w:val="superscript"/>
          <w:lang w:val="en-US" w:eastAsia="zh-CN"/>
        </w:rPr>
        <w:t>2</w:t>
      </w:r>
      <w:r>
        <w:rPr>
          <w:rFonts w:hint="default" w:ascii="Times New Roman" w:hAnsi="Times New Roman" w:eastAsia="华文中宋" w:cs="Times New Roman"/>
          <w:b/>
          <w:szCs w:val="21"/>
          <w:lang w:val="en-US" w:eastAsia="zh-CN"/>
        </w:rPr>
        <w:t>）</w:t>
      </w:r>
    </w:p>
    <w:tbl>
      <w:tblPr>
        <w:tblStyle w:val="19"/>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21"/>
        <w:gridCol w:w="1124"/>
        <w:gridCol w:w="1129"/>
        <w:gridCol w:w="1124"/>
        <w:gridCol w:w="1126"/>
        <w:gridCol w:w="703"/>
        <w:gridCol w:w="1197"/>
        <w:gridCol w:w="1197"/>
      </w:tblGrid>
      <w:tr w14:paraId="1046C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exact"/>
          <w:jc w:val="center"/>
        </w:trPr>
        <w:tc>
          <w:tcPr>
            <w:tcW w:w="433" w:type="pct"/>
            <w:tcBorders>
              <w:top w:val="single" w:color="auto" w:sz="4" w:space="0"/>
              <w:left w:val="single" w:color="auto" w:sz="4" w:space="0"/>
              <w:bottom w:val="single" w:color="auto" w:sz="4" w:space="0"/>
              <w:right w:val="single" w:color="auto" w:sz="4" w:space="0"/>
            </w:tcBorders>
            <w:noWrap w:val="0"/>
            <w:vAlign w:val="center"/>
          </w:tcPr>
          <w:p w14:paraId="45A4880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序号</w:t>
            </w:r>
          </w:p>
        </w:tc>
        <w:tc>
          <w:tcPr>
            <w:tcW w:w="1353" w:type="pct"/>
            <w:gridSpan w:val="2"/>
            <w:tcBorders>
              <w:top w:val="single" w:color="auto" w:sz="4" w:space="0"/>
              <w:left w:val="single" w:color="auto" w:sz="4" w:space="0"/>
              <w:bottom w:val="single" w:color="auto" w:sz="4" w:space="0"/>
              <w:right w:val="single" w:color="auto" w:sz="4" w:space="0"/>
            </w:tcBorders>
            <w:noWrap w:val="0"/>
            <w:vAlign w:val="center"/>
          </w:tcPr>
          <w:p w14:paraId="590F5EB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项目名称</w:t>
            </w:r>
          </w:p>
        </w:tc>
        <w:tc>
          <w:tcPr>
            <w:tcW w:w="675" w:type="pct"/>
            <w:tcBorders>
              <w:top w:val="single" w:color="auto" w:sz="4" w:space="0"/>
              <w:left w:val="single" w:color="auto" w:sz="4" w:space="0"/>
              <w:bottom w:val="single" w:color="auto" w:sz="4" w:space="0"/>
              <w:right w:val="single" w:color="auto" w:sz="4" w:space="0"/>
            </w:tcBorders>
            <w:noWrap w:val="0"/>
            <w:vAlign w:val="center"/>
          </w:tcPr>
          <w:p w14:paraId="2830C74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矿区内面积</w:t>
            </w:r>
          </w:p>
        </w:tc>
        <w:tc>
          <w:tcPr>
            <w:tcW w:w="676" w:type="pct"/>
            <w:tcBorders>
              <w:top w:val="single" w:color="auto" w:sz="4" w:space="0"/>
              <w:left w:val="single" w:color="auto" w:sz="4" w:space="0"/>
              <w:bottom w:val="single" w:color="auto" w:sz="4" w:space="0"/>
              <w:right w:val="single" w:color="auto" w:sz="4" w:space="0"/>
            </w:tcBorders>
            <w:noWrap w:val="0"/>
            <w:vAlign w:val="center"/>
          </w:tcPr>
          <w:p w14:paraId="4544936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矿区外面积</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0A44E95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合计</w:t>
            </w:r>
          </w:p>
        </w:tc>
        <w:tc>
          <w:tcPr>
            <w:tcW w:w="719" w:type="pct"/>
            <w:tcBorders>
              <w:top w:val="single" w:color="auto" w:sz="4" w:space="0"/>
              <w:left w:val="single" w:color="auto" w:sz="4" w:space="0"/>
              <w:bottom w:val="single" w:color="auto" w:sz="4" w:space="0"/>
              <w:right w:val="single" w:color="auto" w:sz="4" w:space="0"/>
            </w:tcBorders>
            <w:noWrap w:val="0"/>
            <w:vAlign w:val="center"/>
          </w:tcPr>
          <w:p w14:paraId="66C2131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单位面积生物量（kg/m</w:t>
            </w:r>
            <w:r>
              <w:rPr>
                <w:rFonts w:hint="eastAsia" w:ascii="Times New Roman" w:hAnsi="Times New Roman" w:eastAsia="华文中宋" w:cs="Times New Roman"/>
                <w:szCs w:val="21"/>
                <w:vertAlign w:val="superscript"/>
                <w:lang w:val="en-US" w:eastAsia="zh-CN"/>
              </w:rPr>
              <w:t>2</w:t>
            </w:r>
            <w:r>
              <w:rPr>
                <w:rFonts w:hint="eastAsia" w:ascii="Times New Roman" w:hAnsi="Times New Roman" w:eastAsia="华文中宋" w:cs="Times New Roman"/>
                <w:szCs w:val="21"/>
                <w:lang w:val="en-US" w:eastAsia="zh-CN"/>
              </w:rPr>
              <w:t>）</w:t>
            </w:r>
          </w:p>
        </w:tc>
        <w:tc>
          <w:tcPr>
            <w:tcW w:w="719" w:type="pct"/>
            <w:tcBorders>
              <w:top w:val="single" w:color="auto" w:sz="4" w:space="0"/>
              <w:left w:val="single" w:color="auto" w:sz="4" w:space="0"/>
              <w:bottom w:val="single" w:color="auto" w:sz="4" w:space="0"/>
              <w:right w:val="single" w:color="auto" w:sz="4" w:space="0"/>
            </w:tcBorders>
            <w:noWrap w:val="0"/>
            <w:vAlign w:val="center"/>
          </w:tcPr>
          <w:p w14:paraId="65AA833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生物损失量（t）</w:t>
            </w:r>
          </w:p>
        </w:tc>
      </w:tr>
      <w:tr w14:paraId="4B83C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33" w:type="pct"/>
            <w:vMerge w:val="restart"/>
            <w:tcBorders>
              <w:top w:val="single" w:color="auto" w:sz="4" w:space="0"/>
              <w:left w:val="single" w:color="auto" w:sz="4" w:space="0"/>
              <w:right w:val="single" w:color="auto" w:sz="4" w:space="0"/>
            </w:tcBorders>
            <w:noWrap w:val="0"/>
            <w:vAlign w:val="center"/>
          </w:tcPr>
          <w:p w14:paraId="678A442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w:t>
            </w:r>
          </w:p>
        </w:tc>
        <w:tc>
          <w:tcPr>
            <w:tcW w:w="675" w:type="pct"/>
            <w:vMerge w:val="restart"/>
            <w:tcBorders>
              <w:top w:val="single" w:color="auto" w:sz="4" w:space="0"/>
              <w:left w:val="single" w:color="auto" w:sz="4" w:space="0"/>
              <w:right w:val="single" w:color="auto" w:sz="4" w:space="0"/>
            </w:tcBorders>
            <w:noWrap w:val="0"/>
            <w:vAlign w:val="center"/>
          </w:tcPr>
          <w:p w14:paraId="11A6EDA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露天采场</w:t>
            </w:r>
          </w:p>
        </w:tc>
        <w:tc>
          <w:tcPr>
            <w:tcW w:w="677" w:type="pct"/>
            <w:tcBorders>
              <w:top w:val="single" w:color="auto" w:sz="4" w:space="0"/>
              <w:left w:val="single" w:color="auto" w:sz="4" w:space="0"/>
              <w:right w:val="single" w:color="auto" w:sz="4" w:space="0"/>
            </w:tcBorders>
            <w:noWrap w:val="0"/>
            <w:vAlign w:val="center"/>
          </w:tcPr>
          <w:p w14:paraId="2B032D3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北露天采场</w:t>
            </w:r>
          </w:p>
        </w:tc>
        <w:tc>
          <w:tcPr>
            <w:tcW w:w="675" w:type="pct"/>
            <w:tcBorders>
              <w:top w:val="single" w:color="auto" w:sz="4" w:space="0"/>
              <w:left w:val="single" w:color="auto" w:sz="4" w:space="0"/>
              <w:bottom w:val="single" w:color="auto" w:sz="4" w:space="0"/>
              <w:right w:val="single" w:color="auto" w:sz="4" w:space="0"/>
            </w:tcBorders>
            <w:noWrap w:val="0"/>
            <w:vAlign w:val="center"/>
          </w:tcPr>
          <w:p w14:paraId="1EF9D3F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7.22</w:t>
            </w:r>
          </w:p>
        </w:tc>
        <w:tc>
          <w:tcPr>
            <w:tcW w:w="676" w:type="pct"/>
            <w:tcBorders>
              <w:top w:val="single" w:color="auto" w:sz="4" w:space="0"/>
              <w:left w:val="single" w:color="auto" w:sz="4" w:space="0"/>
              <w:bottom w:val="single" w:color="auto" w:sz="4" w:space="0"/>
              <w:right w:val="single" w:color="auto" w:sz="4" w:space="0"/>
            </w:tcBorders>
            <w:noWrap w:val="0"/>
            <w:vAlign w:val="center"/>
          </w:tcPr>
          <w:p w14:paraId="322CBDC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655AD9D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7.22</w:t>
            </w:r>
          </w:p>
        </w:tc>
        <w:tc>
          <w:tcPr>
            <w:tcW w:w="719" w:type="pct"/>
            <w:tcBorders>
              <w:top w:val="single" w:color="auto" w:sz="4" w:space="0"/>
              <w:left w:val="single" w:color="auto" w:sz="4" w:space="0"/>
              <w:bottom w:val="single" w:color="auto" w:sz="4" w:space="0"/>
              <w:right w:val="single" w:color="auto" w:sz="4" w:space="0"/>
            </w:tcBorders>
            <w:noWrap w:val="0"/>
            <w:vAlign w:val="center"/>
          </w:tcPr>
          <w:p w14:paraId="01539B7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0.08</w:t>
            </w:r>
          </w:p>
        </w:tc>
        <w:tc>
          <w:tcPr>
            <w:tcW w:w="719" w:type="pct"/>
            <w:tcBorders>
              <w:top w:val="single" w:color="auto" w:sz="4" w:space="0"/>
              <w:left w:val="single" w:color="auto" w:sz="4" w:space="0"/>
              <w:bottom w:val="single" w:color="auto" w:sz="4" w:space="0"/>
              <w:right w:val="single" w:color="auto" w:sz="4" w:space="0"/>
            </w:tcBorders>
            <w:noWrap w:val="0"/>
            <w:vAlign w:val="center"/>
          </w:tcPr>
          <w:p w14:paraId="6F72722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5.776</w:t>
            </w:r>
          </w:p>
        </w:tc>
      </w:tr>
      <w:tr w14:paraId="572CF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33" w:type="pct"/>
            <w:vMerge w:val="continue"/>
            <w:tcBorders>
              <w:left w:val="single" w:color="auto" w:sz="4" w:space="0"/>
              <w:right w:val="single" w:color="auto" w:sz="4" w:space="0"/>
            </w:tcBorders>
            <w:noWrap w:val="0"/>
            <w:vAlign w:val="center"/>
          </w:tcPr>
          <w:p w14:paraId="793509DE">
            <w:pPr>
              <w:spacing w:line="300" w:lineRule="exact"/>
              <w:jc w:val="center"/>
              <w:rPr>
                <w:rFonts w:hint="default" w:ascii="Times New Roman" w:hAnsi="Times New Roman" w:eastAsia="华文中宋" w:cs="Times New Roman"/>
                <w:szCs w:val="21"/>
                <w:lang w:val="en-US" w:eastAsia="zh-CN"/>
              </w:rPr>
            </w:pPr>
          </w:p>
        </w:tc>
        <w:tc>
          <w:tcPr>
            <w:tcW w:w="675" w:type="pct"/>
            <w:vMerge w:val="continue"/>
            <w:tcBorders>
              <w:left w:val="single" w:color="auto" w:sz="4" w:space="0"/>
              <w:right w:val="single" w:color="auto" w:sz="4" w:space="0"/>
            </w:tcBorders>
            <w:noWrap w:val="0"/>
            <w:vAlign w:val="center"/>
          </w:tcPr>
          <w:p w14:paraId="7755F976">
            <w:pPr>
              <w:spacing w:line="300" w:lineRule="exact"/>
              <w:jc w:val="center"/>
              <w:rPr>
                <w:rFonts w:hint="default" w:ascii="Times New Roman" w:hAnsi="Times New Roman" w:eastAsia="华文中宋" w:cs="Times New Roman"/>
                <w:szCs w:val="21"/>
                <w:lang w:val="en-US" w:eastAsia="zh-CN"/>
              </w:rPr>
            </w:pPr>
          </w:p>
        </w:tc>
        <w:tc>
          <w:tcPr>
            <w:tcW w:w="677" w:type="pct"/>
            <w:tcBorders>
              <w:top w:val="single" w:color="auto" w:sz="4" w:space="0"/>
              <w:left w:val="single" w:color="auto" w:sz="4" w:space="0"/>
              <w:right w:val="single" w:color="auto" w:sz="4" w:space="0"/>
            </w:tcBorders>
            <w:noWrap w:val="0"/>
            <w:vAlign w:val="center"/>
          </w:tcPr>
          <w:p w14:paraId="53C473F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南露天采场</w:t>
            </w:r>
          </w:p>
        </w:tc>
        <w:tc>
          <w:tcPr>
            <w:tcW w:w="675" w:type="pct"/>
            <w:tcBorders>
              <w:top w:val="single" w:color="auto" w:sz="4" w:space="0"/>
              <w:left w:val="single" w:color="auto" w:sz="4" w:space="0"/>
              <w:right w:val="single" w:color="auto" w:sz="4" w:space="0"/>
            </w:tcBorders>
            <w:noWrap w:val="0"/>
            <w:vAlign w:val="center"/>
          </w:tcPr>
          <w:p w14:paraId="7AF9655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3.46</w:t>
            </w:r>
          </w:p>
        </w:tc>
        <w:tc>
          <w:tcPr>
            <w:tcW w:w="676" w:type="pct"/>
            <w:tcBorders>
              <w:top w:val="single" w:color="auto" w:sz="4" w:space="0"/>
              <w:left w:val="single" w:color="auto" w:sz="4" w:space="0"/>
              <w:bottom w:val="single" w:color="auto" w:sz="4" w:space="0"/>
              <w:right w:val="single" w:color="auto" w:sz="4" w:space="0"/>
            </w:tcBorders>
            <w:noWrap w:val="0"/>
            <w:vAlign w:val="center"/>
          </w:tcPr>
          <w:p w14:paraId="4025663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2148048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3.46</w:t>
            </w:r>
          </w:p>
        </w:tc>
        <w:tc>
          <w:tcPr>
            <w:tcW w:w="719" w:type="pct"/>
            <w:tcBorders>
              <w:top w:val="single" w:color="auto" w:sz="4" w:space="0"/>
              <w:left w:val="single" w:color="auto" w:sz="4" w:space="0"/>
              <w:bottom w:val="single" w:color="auto" w:sz="4" w:space="0"/>
              <w:right w:val="single" w:color="auto" w:sz="4" w:space="0"/>
            </w:tcBorders>
            <w:noWrap w:val="0"/>
            <w:vAlign w:val="center"/>
          </w:tcPr>
          <w:p w14:paraId="356921A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0.08</w:t>
            </w:r>
          </w:p>
        </w:tc>
        <w:tc>
          <w:tcPr>
            <w:tcW w:w="719" w:type="pct"/>
            <w:tcBorders>
              <w:top w:val="single" w:color="auto" w:sz="4" w:space="0"/>
              <w:left w:val="single" w:color="auto" w:sz="4" w:space="0"/>
              <w:bottom w:val="single" w:color="auto" w:sz="4" w:space="0"/>
              <w:right w:val="single" w:color="auto" w:sz="4" w:space="0"/>
            </w:tcBorders>
            <w:noWrap w:val="0"/>
            <w:vAlign w:val="center"/>
          </w:tcPr>
          <w:p w14:paraId="7157BD1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2.768</w:t>
            </w:r>
          </w:p>
        </w:tc>
      </w:tr>
      <w:tr w14:paraId="57F14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33" w:type="pct"/>
            <w:tcBorders>
              <w:top w:val="single" w:color="auto" w:sz="4" w:space="0"/>
              <w:left w:val="single" w:color="auto" w:sz="4" w:space="0"/>
              <w:right w:val="single" w:color="auto" w:sz="4" w:space="0"/>
            </w:tcBorders>
            <w:noWrap w:val="0"/>
            <w:vAlign w:val="center"/>
          </w:tcPr>
          <w:p w14:paraId="7395036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w:t>
            </w:r>
          </w:p>
        </w:tc>
        <w:tc>
          <w:tcPr>
            <w:tcW w:w="1353" w:type="pct"/>
            <w:gridSpan w:val="2"/>
            <w:tcBorders>
              <w:top w:val="single" w:color="auto" w:sz="4" w:space="0"/>
              <w:left w:val="single" w:color="auto" w:sz="4" w:space="0"/>
              <w:right w:val="single" w:color="auto" w:sz="4" w:space="0"/>
            </w:tcBorders>
            <w:noWrap w:val="0"/>
            <w:vAlign w:val="center"/>
          </w:tcPr>
          <w:p w14:paraId="726A728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废石堆放场</w:t>
            </w:r>
          </w:p>
        </w:tc>
        <w:tc>
          <w:tcPr>
            <w:tcW w:w="675" w:type="pct"/>
            <w:tcBorders>
              <w:top w:val="single" w:color="auto" w:sz="4" w:space="0"/>
              <w:left w:val="single" w:color="auto" w:sz="4" w:space="0"/>
              <w:bottom w:val="single" w:color="auto" w:sz="4" w:space="0"/>
              <w:right w:val="single" w:color="auto" w:sz="4" w:space="0"/>
            </w:tcBorders>
            <w:noWrap w:val="0"/>
            <w:vAlign w:val="center"/>
          </w:tcPr>
          <w:p w14:paraId="58087DB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7.0</w:t>
            </w:r>
          </w:p>
        </w:tc>
        <w:tc>
          <w:tcPr>
            <w:tcW w:w="676" w:type="pct"/>
            <w:tcBorders>
              <w:top w:val="single" w:color="auto" w:sz="4" w:space="0"/>
              <w:left w:val="single" w:color="auto" w:sz="4" w:space="0"/>
              <w:bottom w:val="single" w:color="auto" w:sz="4" w:space="0"/>
              <w:right w:val="single" w:color="auto" w:sz="4" w:space="0"/>
            </w:tcBorders>
            <w:noWrap w:val="0"/>
            <w:vAlign w:val="center"/>
          </w:tcPr>
          <w:p w14:paraId="1049EF9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64CA57E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7.0</w:t>
            </w:r>
          </w:p>
        </w:tc>
        <w:tc>
          <w:tcPr>
            <w:tcW w:w="719" w:type="pct"/>
            <w:tcBorders>
              <w:top w:val="single" w:color="auto" w:sz="4" w:space="0"/>
              <w:left w:val="single" w:color="auto" w:sz="4" w:space="0"/>
              <w:bottom w:val="single" w:color="auto" w:sz="4" w:space="0"/>
              <w:right w:val="single" w:color="auto" w:sz="4" w:space="0"/>
            </w:tcBorders>
            <w:noWrap w:val="0"/>
            <w:vAlign w:val="center"/>
          </w:tcPr>
          <w:p w14:paraId="250C6C0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0.23</w:t>
            </w:r>
          </w:p>
        </w:tc>
        <w:tc>
          <w:tcPr>
            <w:tcW w:w="719" w:type="pct"/>
            <w:tcBorders>
              <w:top w:val="single" w:color="auto" w:sz="4" w:space="0"/>
              <w:left w:val="single" w:color="auto" w:sz="4" w:space="0"/>
              <w:bottom w:val="single" w:color="auto" w:sz="4" w:space="0"/>
              <w:right w:val="single" w:color="auto" w:sz="4" w:space="0"/>
            </w:tcBorders>
            <w:noWrap w:val="0"/>
            <w:vAlign w:val="center"/>
          </w:tcPr>
          <w:p w14:paraId="1DA5B2A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16.1</w:t>
            </w:r>
          </w:p>
        </w:tc>
      </w:tr>
      <w:tr w14:paraId="0C552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33" w:type="pct"/>
            <w:tcBorders>
              <w:top w:val="single" w:color="auto" w:sz="4" w:space="0"/>
              <w:left w:val="single" w:color="auto" w:sz="4" w:space="0"/>
              <w:right w:val="single" w:color="auto" w:sz="4" w:space="0"/>
            </w:tcBorders>
            <w:noWrap w:val="0"/>
            <w:vAlign w:val="center"/>
          </w:tcPr>
          <w:p w14:paraId="027484E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w:t>
            </w:r>
          </w:p>
        </w:tc>
        <w:tc>
          <w:tcPr>
            <w:tcW w:w="1353" w:type="pct"/>
            <w:gridSpan w:val="2"/>
            <w:tcBorders>
              <w:top w:val="single" w:color="auto" w:sz="4" w:space="0"/>
              <w:left w:val="single" w:color="auto" w:sz="4" w:space="0"/>
              <w:right w:val="single" w:color="auto" w:sz="4" w:space="0"/>
            </w:tcBorders>
            <w:noWrap w:val="0"/>
            <w:vAlign w:val="center"/>
          </w:tcPr>
          <w:p w14:paraId="21F823EC">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矿部生活区</w:t>
            </w:r>
          </w:p>
        </w:tc>
        <w:tc>
          <w:tcPr>
            <w:tcW w:w="675" w:type="pct"/>
            <w:tcBorders>
              <w:top w:val="single" w:color="auto" w:sz="4" w:space="0"/>
              <w:left w:val="single" w:color="auto" w:sz="4" w:space="0"/>
              <w:bottom w:val="single" w:color="auto" w:sz="4" w:space="0"/>
              <w:right w:val="single" w:color="auto" w:sz="4" w:space="0"/>
            </w:tcBorders>
            <w:noWrap w:val="0"/>
            <w:vAlign w:val="center"/>
          </w:tcPr>
          <w:p w14:paraId="487DF2C1">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0.29</w:t>
            </w:r>
          </w:p>
        </w:tc>
        <w:tc>
          <w:tcPr>
            <w:tcW w:w="676" w:type="pct"/>
            <w:tcBorders>
              <w:top w:val="single" w:color="auto" w:sz="4" w:space="0"/>
              <w:left w:val="single" w:color="auto" w:sz="4" w:space="0"/>
              <w:bottom w:val="single" w:color="auto" w:sz="4" w:space="0"/>
              <w:right w:val="single" w:color="auto" w:sz="4" w:space="0"/>
            </w:tcBorders>
            <w:noWrap w:val="0"/>
            <w:vAlign w:val="center"/>
          </w:tcPr>
          <w:p w14:paraId="117EA4A9">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0</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7F468DC1">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0.29</w:t>
            </w:r>
          </w:p>
        </w:tc>
        <w:tc>
          <w:tcPr>
            <w:tcW w:w="719" w:type="pct"/>
            <w:tcBorders>
              <w:top w:val="single" w:color="auto" w:sz="4" w:space="0"/>
              <w:left w:val="single" w:color="auto" w:sz="4" w:space="0"/>
              <w:bottom w:val="single" w:color="auto" w:sz="4" w:space="0"/>
              <w:right w:val="single" w:color="auto" w:sz="4" w:space="0"/>
            </w:tcBorders>
            <w:noWrap w:val="0"/>
            <w:vAlign w:val="center"/>
          </w:tcPr>
          <w:p w14:paraId="5AD8186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0.23</w:t>
            </w:r>
          </w:p>
        </w:tc>
        <w:tc>
          <w:tcPr>
            <w:tcW w:w="719" w:type="pct"/>
            <w:tcBorders>
              <w:top w:val="single" w:color="auto" w:sz="4" w:space="0"/>
              <w:left w:val="single" w:color="auto" w:sz="4" w:space="0"/>
              <w:bottom w:val="single" w:color="auto" w:sz="4" w:space="0"/>
              <w:right w:val="single" w:color="auto" w:sz="4" w:space="0"/>
            </w:tcBorders>
            <w:noWrap w:val="0"/>
            <w:vAlign w:val="center"/>
          </w:tcPr>
          <w:p w14:paraId="6CDE775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0.667</w:t>
            </w:r>
          </w:p>
        </w:tc>
      </w:tr>
      <w:tr w14:paraId="75D3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33" w:type="pct"/>
            <w:tcBorders>
              <w:top w:val="single" w:color="auto" w:sz="4" w:space="0"/>
              <w:left w:val="single" w:color="auto" w:sz="4" w:space="0"/>
              <w:right w:val="single" w:color="auto" w:sz="4" w:space="0"/>
            </w:tcBorders>
            <w:noWrap w:val="0"/>
            <w:vAlign w:val="center"/>
          </w:tcPr>
          <w:p w14:paraId="5BF53C7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w:t>
            </w:r>
          </w:p>
        </w:tc>
        <w:tc>
          <w:tcPr>
            <w:tcW w:w="1353" w:type="pct"/>
            <w:gridSpan w:val="2"/>
            <w:tcBorders>
              <w:top w:val="single" w:color="auto" w:sz="4" w:space="0"/>
              <w:left w:val="single" w:color="auto" w:sz="4" w:space="0"/>
              <w:right w:val="single" w:color="auto" w:sz="4" w:space="0"/>
            </w:tcBorders>
            <w:noWrap w:val="0"/>
            <w:vAlign w:val="center"/>
          </w:tcPr>
          <w:p w14:paraId="4F23E1A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矿石转运场</w:t>
            </w:r>
          </w:p>
        </w:tc>
        <w:tc>
          <w:tcPr>
            <w:tcW w:w="675" w:type="pct"/>
            <w:tcBorders>
              <w:top w:val="single" w:color="auto" w:sz="4" w:space="0"/>
              <w:left w:val="single" w:color="auto" w:sz="4" w:space="0"/>
              <w:bottom w:val="single" w:color="auto" w:sz="4" w:space="0"/>
              <w:right w:val="single" w:color="auto" w:sz="4" w:space="0"/>
            </w:tcBorders>
            <w:noWrap w:val="0"/>
            <w:vAlign w:val="center"/>
          </w:tcPr>
          <w:p w14:paraId="1D158A9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0.52</w:t>
            </w:r>
          </w:p>
        </w:tc>
        <w:tc>
          <w:tcPr>
            <w:tcW w:w="676" w:type="pct"/>
            <w:tcBorders>
              <w:top w:val="single" w:color="auto" w:sz="4" w:space="0"/>
              <w:left w:val="single" w:color="auto" w:sz="4" w:space="0"/>
              <w:bottom w:val="single" w:color="auto" w:sz="4" w:space="0"/>
              <w:right w:val="single" w:color="auto" w:sz="4" w:space="0"/>
            </w:tcBorders>
            <w:noWrap w:val="0"/>
            <w:vAlign w:val="center"/>
          </w:tcPr>
          <w:p w14:paraId="1AE835B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1B4B0BF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0.52</w:t>
            </w:r>
          </w:p>
        </w:tc>
        <w:tc>
          <w:tcPr>
            <w:tcW w:w="71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0D94FED">
            <w:pPr>
              <w:spacing w:line="300" w:lineRule="exact"/>
              <w:jc w:val="center"/>
              <w:rPr>
                <w:rFonts w:hint="default" w:ascii="Times New Roman" w:hAnsi="Times New Roman" w:eastAsia="华文中宋" w:cs="Times New Roman"/>
                <w:kern w:val="2"/>
                <w:sz w:val="21"/>
                <w:szCs w:val="21"/>
                <w:lang w:val="en-US" w:eastAsia="zh-CN" w:bidi="ar-SA"/>
              </w:rPr>
            </w:pPr>
            <w:r>
              <w:rPr>
                <w:rFonts w:hint="eastAsia" w:ascii="Times New Roman" w:hAnsi="Times New Roman" w:eastAsia="华文中宋" w:cs="Times New Roman"/>
                <w:szCs w:val="21"/>
                <w:lang w:val="en-US" w:eastAsia="zh-CN"/>
              </w:rPr>
              <w:t>0.23</w:t>
            </w:r>
          </w:p>
        </w:tc>
        <w:tc>
          <w:tcPr>
            <w:tcW w:w="719" w:type="pct"/>
            <w:tcBorders>
              <w:top w:val="single" w:color="auto" w:sz="4" w:space="0"/>
              <w:left w:val="single" w:color="auto" w:sz="4" w:space="0"/>
              <w:bottom w:val="single" w:color="auto" w:sz="4" w:space="0"/>
              <w:right w:val="single" w:color="auto" w:sz="4" w:space="0"/>
            </w:tcBorders>
            <w:noWrap w:val="0"/>
            <w:vAlign w:val="center"/>
          </w:tcPr>
          <w:p w14:paraId="7B39020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1.196</w:t>
            </w:r>
          </w:p>
        </w:tc>
      </w:tr>
      <w:tr w14:paraId="6992E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33" w:type="pct"/>
            <w:tcBorders>
              <w:top w:val="single" w:color="auto" w:sz="4" w:space="0"/>
              <w:left w:val="single" w:color="auto" w:sz="4" w:space="0"/>
              <w:right w:val="single" w:color="auto" w:sz="4" w:space="0"/>
            </w:tcBorders>
            <w:noWrap w:val="0"/>
            <w:vAlign w:val="center"/>
          </w:tcPr>
          <w:p w14:paraId="03FAC97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w:t>
            </w:r>
          </w:p>
        </w:tc>
        <w:tc>
          <w:tcPr>
            <w:tcW w:w="1353" w:type="pct"/>
            <w:gridSpan w:val="2"/>
            <w:tcBorders>
              <w:top w:val="single" w:color="auto" w:sz="4" w:space="0"/>
              <w:left w:val="single" w:color="auto" w:sz="4" w:space="0"/>
              <w:right w:val="single" w:color="auto" w:sz="4" w:space="0"/>
            </w:tcBorders>
            <w:noWrap w:val="0"/>
            <w:vAlign w:val="center"/>
          </w:tcPr>
          <w:p w14:paraId="1A77958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表土堆放场</w:t>
            </w:r>
          </w:p>
        </w:tc>
        <w:tc>
          <w:tcPr>
            <w:tcW w:w="675" w:type="pct"/>
            <w:tcBorders>
              <w:top w:val="single" w:color="auto" w:sz="4" w:space="0"/>
              <w:left w:val="single" w:color="auto" w:sz="4" w:space="0"/>
              <w:bottom w:val="single" w:color="auto" w:sz="4" w:space="0"/>
              <w:right w:val="single" w:color="auto" w:sz="4" w:space="0"/>
            </w:tcBorders>
            <w:noWrap w:val="0"/>
            <w:vAlign w:val="center"/>
          </w:tcPr>
          <w:p w14:paraId="4A41D7B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0.80</w:t>
            </w:r>
          </w:p>
        </w:tc>
        <w:tc>
          <w:tcPr>
            <w:tcW w:w="676" w:type="pct"/>
            <w:tcBorders>
              <w:top w:val="single" w:color="auto" w:sz="4" w:space="0"/>
              <w:left w:val="single" w:color="auto" w:sz="4" w:space="0"/>
              <w:bottom w:val="single" w:color="auto" w:sz="4" w:space="0"/>
              <w:right w:val="single" w:color="auto" w:sz="4" w:space="0"/>
            </w:tcBorders>
            <w:noWrap w:val="0"/>
            <w:vAlign w:val="center"/>
          </w:tcPr>
          <w:p w14:paraId="0C898DF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6546F3E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0.80</w:t>
            </w:r>
          </w:p>
        </w:tc>
        <w:tc>
          <w:tcPr>
            <w:tcW w:w="71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81A9199">
            <w:pPr>
              <w:spacing w:line="300" w:lineRule="exact"/>
              <w:jc w:val="center"/>
              <w:rPr>
                <w:rFonts w:hint="default" w:ascii="Times New Roman" w:hAnsi="Times New Roman" w:eastAsia="华文中宋" w:cs="Times New Roman"/>
                <w:kern w:val="2"/>
                <w:sz w:val="21"/>
                <w:szCs w:val="21"/>
                <w:lang w:val="en-US" w:eastAsia="zh-CN" w:bidi="ar-SA"/>
              </w:rPr>
            </w:pPr>
            <w:r>
              <w:rPr>
                <w:rFonts w:hint="eastAsia" w:ascii="Times New Roman" w:hAnsi="Times New Roman" w:eastAsia="华文中宋" w:cs="Times New Roman"/>
                <w:szCs w:val="21"/>
                <w:lang w:val="en-US" w:eastAsia="zh-CN"/>
              </w:rPr>
              <w:t>0.23</w:t>
            </w:r>
          </w:p>
        </w:tc>
        <w:tc>
          <w:tcPr>
            <w:tcW w:w="719" w:type="pct"/>
            <w:tcBorders>
              <w:top w:val="single" w:color="auto" w:sz="4" w:space="0"/>
              <w:left w:val="single" w:color="auto" w:sz="4" w:space="0"/>
              <w:bottom w:val="single" w:color="auto" w:sz="4" w:space="0"/>
              <w:right w:val="single" w:color="auto" w:sz="4" w:space="0"/>
            </w:tcBorders>
            <w:noWrap w:val="0"/>
            <w:vAlign w:val="center"/>
          </w:tcPr>
          <w:p w14:paraId="6ADE674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1.86</w:t>
            </w:r>
          </w:p>
        </w:tc>
      </w:tr>
      <w:tr w14:paraId="2CB18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33" w:type="pct"/>
            <w:tcBorders>
              <w:top w:val="single" w:color="auto" w:sz="4" w:space="0"/>
              <w:left w:val="single" w:color="auto" w:sz="4" w:space="0"/>
              <w:right w:val="single" w:color="auto" w:sz="4" w:space="0"/>
            </w:tcBorders>
            <w:noWrap w:val="0"/>
            <w:vAlign w:val="center"/>
          </w:tcPr>
          <w:p w14:paraId="5A0FB75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w:t>
            </w:r>
          </w:p>
        </w:tc>
        <w:tc>
          <w:tcPr>
            <w:tcW w:w="1353" w:type="pct"/>
            <w:gridSpan w:val="2"/>
            <w:tcBorders>
              <w:top w:val="single" w:color="auto" w:sz="4" w:space="0"/>
              <w:left w:val="single" w:color="auto" w:sz="4" w:space="0"/>
              <w:right w:val="single" w:color="auto" w:sz="4" w:space="0"/>
            </w:tcBorders>
            <w:noWrap w:val="0"/>
            <w:vAlign w:val="center"/>
          </w:tcPr>
          <w:p w14:paraId="79DCEA1A">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矿</w:t>
            </w:r>
            <w:r>
              <w:rPr>
                <w:rFonts w:hint="eastAsia" w:ascii="Times New Roman" w:hAnsi="Times New Roman" w:eastAsia="华文中宋" w:cs="Times New Roman"/>
                <w:szCs w:val="21"/>
                <w:highlight w:val="none"/>
                <w:lang w:val="en-US" w:eastAsia="zh-CN"/>
              </w:rPr>
              <w:t>区内道路</w:t>
            </w:r>
          </w:p>
        </w:tc>
        <w:tc>
          <w:tcPr>
            <w:tcW w:w="675" w:type="pct"/>
            <w:tcBorders>
              <w:top w:val="single" w:color="auto" w:sz="4" w:space="0"/>
              <w:left w:val="single" w:color="auto" w:sz="4" w:space="0"/>
              <w:bottom w:val="single" w:color="auto" w:sz="4" w:space="0"/>
              <w:right w:val="single" w:color="auto" w:sz="4" w:space="0"/>
            </w:tcBorders>
            <w:noWrap w:val="0"/>
            <w:vAlign w:val="center"/>
          </w:tcPr>
          <w:p w14:paraId="5B05D133">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1.02</w:t>
            </w:r>
          </w:p>
        </w:tc>
        <w:tc>
          <w:tcPr>
            <w:tcW w:w="676" w:type="pct"/>
            <w:tcBorders>
              <w:top w:val="single" w:color="auto" w:sz="4" w:space="0"/>
              <w:left w:val="single" w:color="auto" w:sz="4" w:space="0"/>
              <w:bottom w:val="single" w:color="auto" w:sz="4" w:space="0"/>
              <w:right w:val="single" w:color="auto" w:sz="4" w:space="0"/>
            </w:tcBorders>
            <w:noWrap w:val="0"/>
            <w:vAlign w:val="center"/>
          </w:tcPr>
          <w:p w14:paraId="12A56A9A">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4.918</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048714C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5.938</w:t>
            </w:r>
          </w:p>
        </w:tc>
        <w:tc>
          <w:tcPr>
            <w:tcW w:w="71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A32AE95">
            <w:pPr>
              <w:spacing w:line="300" w:lineRule="exact"/>
              <w:jc w:val="center"/>
              <w:rPr>
                <w:rFonts w:hint="default" w:ascii="Times New Roman" w:hAnsi="Times New Roman" w:eastAsia="华文中宋" w:cs="Times New Roman"/>
                <w:kern w:val="2"/>
                <w:sz w:val="21"/>
                <w:szCs w:val="21"/>
                <w:lang w:val="en-US" w:eastAsia="zh-CN" w:bidi="ar-SA"/>
              </w:rPr>
            </w:pPr>
            <w:r>
              <w:rPr>
                <w:rFonts w:hint="eastAsia" w:ascii="Times New Roman" w:hAnsi="Times New Roman" w:eastAsia="华文中宋" w:cs="Times New Roman"/>
                <w:szCs w:val="21"/>
                <w:lang w:val="en-US" w:eastAsia="zh-CN"/>
              </w:rPr>
              <w:t>0.23</w:t>
            </w:r>
          </w:p>
        </w:tc>
        <w:tc>
          <w:tcPr>
            <w:tcW w:w="719" w:type="pct"/>
            <w:tcBorders>
              <w:top w:val="single" w:color="auto" w:sz="4" w:space="0"/>
              <w:left w:val="single" w:color="auto" w:sz="4" w:space="0"/>
              <w:bottom w:val="single" w:color="auto" w:sz="4" w:space="0"/>
              <w:right w:val="single" w:color="auto" w:sz="4" w:space="0"/>
            </w:tcBorders>
            <w:noWrap w:val="0"/>
            <w:vAlign w:val="center"/>
          </w:tcPr>
          <w:p w14:paraId="796934F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13.657</w:t>
            </w:r>
          </w:p>
        </w:tc>
      </w:tr>
      <w:tr w14:paraId="5EF10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1786" w:type="pct"/>
            <w:gridSpan w:val="3"/>
            <w:tcBorders>
              <w:top w:val="single" w:color="auto" w:sz="4" w:space="0"/>
              <w:left w:val="single" w:color="auto" w:sz="4" w:space="0"/>
              <w:right w:val="single" w:color="auto" w:sz="4" w:space="0"/>
            </w:tcBorders>
            <w:noWrap w:val="0"/>
            <w:vAlign w:val="center"/>
          </w:tcPr>
          <w:p w14:paraId="156FDA63">
            <w:pPr>
              <w:spacing w:line="300" w:lineRule="exact"/>
              <w:jc w:val="center"/>
              <w:rPr>
                <w:rFonts w:hint="default" w:ascii="Times New Roman" w:hAnsi="Times New Roman" w:eastAsia="华文中宋" w:cs="Times New Roman"/>
                <w:szCs w:val="21"/>
                <w:highlight w:val="none"/>
                <w:lang w:val="en-US" w:eastAsia="zh-CN"/>
              </w:rPr>
            </w:pPr>
            <w:r>
              <w:rPr>
                <w:rFonts w:hint="default" w:ascii="Times New Roman" w:hAnsi="Times New Roman" w:eastAsia="华文中宋" w:cs="Times New Roman"/>
                <w:szCs w:val="21"/>
                <w:highlight w:val="none"/>
                <w:lang w:val="en-US" w:eastAsia="zh-CN"/>
              </w:rPr>
              <w:t>总计</w:t>
            </w:r>
          </w:p>
        </w:tc>
        <w:tc>
          <w:tcPr>
            <w:tcW w:w="675" w:type="pct"/>
            <w:tcBorders>
              <w:top w:val="single" w:color="auto" w:sz="4" w:space="0"/>
              <w:left w:val="single" w:color="auto" w:sz="4" w:space="0"/>
              <w:bottom w:val="single" w:color="auto" w:sz="4" w:space="0"/>
              <w:right w:val="single" w:color="auto" w:sz="4" w:space="0"/>
            </w:tcBorders>
            <w:noWrap w:val="0"/>
            <w:vAlign w:val="center"/>
          </w:tcPr>
          <w:p w14:paraId="5F757BE0">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20.31</w:t>
            </w:r>
          </w:p>
        </w:tc>
        <w:tc>
          <w:tcPr>
            <w:tcW w:w="676" w:type="pct"/>
            <w:tcBorders>
              <w:top w:val="single" w:color="auto" w:sz="4" w:space="0"/>
              <w:left w:val="single" w:color="auto" w:sz="4" w:space="0"/>
              <w:bottom w:val="single" w:color="auto" w:sz="4" w:space="0"/>
              <w:right w:val="single" w:color="auto" w:sz="4" w:space="0"/>
            </w:tcBorders>
            <w:noWrap w:val="0"/>
            <w:vAlign w:val="center"/>
          </w:tcPr>
          <w:p w14:paraId="089EC25F">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4.918</w:t>
            </w:r>
          </w:p>
        </w:tc>
        <w:tc>
          <w:tcPr>
            <w:tcW w:w="422" w:type="pct"/>
            <w:tcBorders>
              <w:top w:val="single" w:color="auto" w:sz="4" w:space="0"/>
              <w:left w:val="single" w:color="auto" w:sz="4" w:space="0"/>
              <w:bottom w:val="single" w:color="auto" w:sz="4" w:space="0"/>
              <w:right w:val="single" w:color="auto" w:sz="4" w:space="0"/>
            </w:tcBorders>
            <w:noWrap w:val="0"/>
            <w:vAlign w:val="center"/>
          </w:tcPr>
          <w:p w14:paraId="1FD03939">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25.228</w:t>
            </w:r>
          </w:p>
        </w:tc>
        <w:tc>
          <w:tcPr>
            <w:tcW w:w="719" w:type="pct"/>
            <w:tcBorders>
              <w:top w:val="single" w:color="auto" w:sz="4" w:space="0"/>
              <w:left w:val="single" w:color="auto" w:sz="4" w:space="0"/>
              <w:bottom w:val="single" w:color="auto" w:sz="4" w:space="0"/>
              <w:right w:val="single" w:color="auto" w:sz="4" w:space="0"/>
            </w:tcBorders>
            <w:noWrap w:val="0"/>
            <w:vAlign w:val="center"/>
          </w:tcPr>
          <w:p w14:paraId="1044751B">
            <w:pPr>
              <w:spacing w:line="300" w:lineRule="exact"/>
              <w:jc w:val="center"/>
              <w:rPr>
                <w:rFonts w:hint="default" w:ascii="Times New Roman" w:hAnsi="Times New Roman" w:eastAsia="华文中宋" w:cs="Times New Roman"/>
                <w:szCs w:val="21"/>
                <w:highlight w:val="none"/>
                <w:lang w:val="en-US" w:eastAsia="zh-CN"/>
              </w:rPr>
            </w:pPr>
          </w:p>
        </w:tc>
        <w:tc>
          <w:tcPr>
            <w:tcW w:w="719" w:type="pct"/>
            <w:tcBorders>
              <w:top w:val="single" w:color="auto" w:sz="4" w:space="0"/>
              <w:left w:val="single" w:color="auto" w:sz="4" w:space="0"/>
              <w:bottom w:val="single" w:color="auto" w:sz="4" w:space="0"/>
              <w:right w:val="single" w:color="auto" w:sz="4" w:space="0"/>
            </w:tcBorders>
            <w:noWrap w:val="0"/>
            <w:vAlign w:val="center"/>
          </w:tcPr>
          <w:p w14:paraId="39989808">
            <w:pPr>
              <w:spacing w:line="300" w:lineRule="exact"/>
              <w:jc w:val="center"/>
              <w:rPr>
                <w:rFonts w:hint="default" w:ascii="Times New Roman" w:hAnsi="Times New Roman" w:eastAsia="华文中宋" w:cs="Times New Roman"/>
                <w:szCs w:val="21"/>
                <w:highlight w:val="none"/>
                <w:lang w:val="en-US" w:eastAsia="zh-CN"/>
              </w:rPr>
            </w:pPr>
            <w:r>
              <w:rPr>
                <w:rFonts w:hint="eastAsia" w:ascii="Times New Roman" w:hAnsi="Times New Roman" w:eastAsia="华文中宋" w:cs="Times New Roman"/>
                <w:szCs w:val="21"/>
                <w:highlight w:val="none"/>
                <w:lang w:val="en-US" w:eastAsia="zh-CN"/>
              </w:rPr>
              <w:t>42.024</w:t>
            </w:r>
          </w:p>
        </w:tc>
      </w:tr>
    </w:tbl>
    <w:p w14:paraId="2AF93C67">
      <w:pPr>
        <w:pStyle w:val="24"/>
        <w:snapToGrid w:val="0"/>
        <w:ind w:left="0" w:leftChars="0" w:firstLine="480" w:firstLineChars="20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项目占地主要为天然牧草地。但矿区所占地范围内植被覆盖率较低，群落结构十分简单，植物种类</w:t>
      </w:r>
      <w:r>
        <w:rPr>
          <w:rFonts w:hint="eastAsia" w:ascii="Times New Roman" w:hAnsi="Times New Roman" w:eastAsia="华文中宋" w:cs="Times New Roman"/>
          <w:color w:val="auto"/>
          <w:lang w:val="en-US" w:eastAsia="zh-CN"/>
        </w:rPr>
        <w:t>相对单一，垫状驼绒藜广泛分布在占地范围内</w:t>
      </w:r>
      <w:r>
        <w:rPr>
          <w:rFonts w:hint="default" w:ascii="Times New Roman" w:hAnsi="Times New Roman" w:eastAsia="华文中宋" w:cs="Times New Roman"/>
          <w:color w:val="auto"/>
          <w:lang w:val="en-US" w:eastAsia="zh-CN"/>
        </w:rPr>
        <w:t>，高度约2～5cm。</w:t>
      </w:r>
      <w:r>
        <w:rPr>
          <w:rFonts w:hint="eastAsia" w:ascii="Times New Roman" w:hAnsi="Times New Roman" w:eastAsia="华文中宋" w:cs="Times New Roman"/>
          <w:color w:val="auto"/>
          <w:lang w:val="en-US" w:eastAsia="zh-CN"/>
        </w:rPr>
        <w:t>绝大部分区域</w:t>
      </w:r>
      <w:r>
        <w:rPr>
          <w:rFonts w:hint="default" w:ascii="Times New Roman" w:hAnsi="Times New Roman" w:eastAsia="华文中宋" w:cs="Times New Roman"/>
          <w:color w:val="auto"/>
          <w:lang w:val="en-US" w:eastAsia="zh-CN"/>
        </w:rPr>
        <w:t>植被覆盖度</w:t>
      </w:r>
      <w:r>
        <w:rPr>
          <w:rFonts w:hint="eastAsia" w:ascii="Times New Roman" w:hAnsi="Times New Roman" w:eastAsia="华文中宋" w:cs="Times New Roman"/>
          <w:color w:val="auto"/>
          <w:lang w:val="en-US" w:eastAsia="zh-CN"/>
        </w:rPr>
        <w:t>在10%以下，少部分区域植被覆盖度达到10%</w:t>
      </w:r>
      <w:r>
        <w:rPr>
          <w:rFonts w:hint="default" w:ascii="Times New Roman" w:hAnsi="Times New Roman" w:eastAsia="华文中宋" w:cs="Times New Roman"/>
          <w:color w:val="auto"/>
          <w:lang w:val="en-US" w:eastAsia="zh-CN"/>
        </w:rPr>
        <w:t>～</w:t>
      </w:r>
      <w:r>
        <w:rPr>
          <w:rFonts w:hint="eastAsia" w:ascii="Times New Roman" w:hAnsi="Times New Roman" w:eastAsia="华文中宋" w:cs="Times New Roman"/>
          <w:color w:val="auto"/>
          <w:lang w:val="en-US" w:eastAsia="zh-CN"/>
        </w:rPr>
        <w:t>20%</w:t>
      </w:r>
      <w:r>
        <w:rPr>
          <w:rFonts w:hint="default" w:ascii="Times New Roman" w:hAnsi="Times New Roman" w:eastAsia="华文中宋" w:cs="Times New Roman"/>
          <w:color w:val="auto"/>
          <w:lang w:val="en-US" w:eastAsia="zh-CN"/>
        </w:rPr>
        <w:t>。人类干扰使人工生态系统代替了</w:t>
      </w:r>
      <w:r>
        <w:rPr>
          <w:rFonts w:hint="eastAsia" w:ascii="Times New Roman" w:hAnsi="Times New Roman" w:eastAsia="华文中宋" w:cs="Times New Roman"/>
          <w:color w:val="auto"/>
          <w:lang w:val="en-US" w:eastAsia="zh-CN"/>
        </w:rPr>
        <w:t>原有</w:t>
      </w:r>
      <w:r>
        <w:rPr>
          <w:rFonts w:hint="default" w:ascii="Times New Roman" w:hAnsi="Times New Roman" w:eastAsia="华文中宋" w:cs="Times New Roman"/>
          <w:color w:val="auto"/>
          <w:lang w:val="en-US" w:eastAsia="zh-CN"/>
        </w:rPr>
        <w:t>生态系统，系统改变不会导致物种多样性发生变化，另矿区采取</w:t>
      </w:r>
      <w:r>
        <w:rPr>
          <w:rFonts w:hint="eastAsia" w:ascii="Times New Roman" w:hAnsi="Times New Roman" w:eastAsia="华文中宋" w:cs="Times New Roman"/>
          <w:color w:val="auto"/>
          <w:lang w:val="en-US" w:eastAsia="zh-CN"/>
        </w:rPr>
        <w:t>“边开采，边复垦”</w:t>
      </w:r>
      <w:r>
        <w:rPr>
          <w:rFonts w:hint="default" w:ascii="Times New Roman" w:hAnsi="Times New Roman" w:eastAsia="华文中宋" w:cs="Times New Roman"/>
          <w:color w:val="auto"/>
          <w:lang w:val="en-US" w:eastAsia="zh-CN"/>
        </w:rPr>
        <w:t>的复垦措施，矿区内复垦植被主要与原有植被类型相同</w:t>
      </w:r>
      <w:r>
        <w:rPr>
          <w:rFonts w:hint="eastAsia" w:ascii="Times New Roman" w:hAnsi="Times New Roman" w:cs="Times New Roman"/>
          <w:color w:val="auto"/>
          <w:lang w:val="en-US" w:eastAsia="zh-CN"/>
        </w:rPr>
        <w:t>的</w:t>
      </w:r>
      <w:r>
        <w:rPr>
          <w:rFonts w:hint="default" w:ascii="Times New Roman" w:hAnsi="Times New Roman" w:eastAsia="华文中宋" w:cs="Times New Roman"/>
          <w:color w:val="auto"/>
          <w:lang w:val="en-US" w:eastAsia="zh-CN"/>
        </w:rPr>
        <w:t>垫状驼绒藜植被。</w:t>
      </w:r>
    </w:p>
    <w:p w14:paraId="7754BB80">
      <w:pPr>
        <w:pStyle w:val="24"/>
        <w:snapToGrid w:val="0"/>
        <w:ind w:left="0" w:leftChars="0" w:firstLine="480" w:firstLineChars="20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从对植物种类的影响来看，项目所破坏和影响的植物均为广布种和常见种，且分布较均匀。故本工程的实施不会造成某一植物物种的消失，本工程后期开展植被恢复，将采用本地物种，不会引用外来物种，不存在引入外来物种途径。随着采剥坑不断扩大，植被破坏的面积增加，从而对其周围区域的植被产生影响，同时，影响原有生态系统的稳定性，从而导致其生态功能有所下降。</w:t>
      </w:r>
    </w:p>
    <w:p w14:paraId="02E82B6A">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采矿剥离废石全部直接回填已采区，废石堆场工程结束后，对废石堆场进行生态综合整治及植被恢复，整治后其对生态系统的影响将减缓。随着复垦及水土保持工程的开展，人工植物逐渐生长，使得植被覆盖度有所提高，使采掘场的植物生存环境逐渐变好，从而使原来被影响或破坏的植被也逐渐得到恢复。随着废石堆场、露天采场剥离的结束，及时进行植被的恢复、重建工作，使整个采掘场对生态的影响减缓到最低程度。</w:t>
      </w:r>
    </w:p>
    <w:p w14:paraId="0AB8ABF6">
      <w:pPr>
        <w:pStyle w:val="24"/>
        <w:snapToGrid w:val="0"/>
        <w:ind w:left="0" w:leftChars="0" w:firstLine="0" w:firstLineChars="0"/>
        <w:jc w:val="left"/>
        <w:rPr>
          <w:rFonts w:hint="default" w:ascii="Times New Roman" w:hAnsi="Times New Roman" w:eastAsia="华文中宋" w:cs="Times New Roman"/>
          <w:b/>
          <w:bCs/>
          <w:color w:val="auto"/>
          <w:lang w:val="en-US" w:eastAsia="zh-CN"/>
        </w:rPr>
      </w:pPr>
      <w:r>
        <w:rPr>
          <w:rFonts w:hint="eastAsia" w:ascii="Times New Roman" w:hAnsi="Times New Roman" w:cs="Times New Roman"/>
          <w:b/>
          <w:bCs/>
          <w:color w:val="auto"/>
          <w:lang w:val="en-US" w:eastAsia="zh-CN"/>
        </w:rPr>
        <w:t>5.2.7.2</w:t>
      </w:r>
      <w:r>
        <w:rPr>
          <w:rFonts w:hint="default" w:ascii="Times New Roman" w:hAnsi="Times New Roman" w:eastAsia="华文中宋" w:cs="Times New Roman"/>
          <w:b/>
          <w:bCs/>
          <w:color w:val="auto"/>
          <w:lang w:val="en-US" w:eastAsia="zh-CN"/>
        </w:rPr>
        <w:t>对土地利用的影响分析</w:t>
      </w:r>
    </w:p>
    <w:p w14:paraId="3EE3FB44">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（1）</w:t>
      </w:r>
      <w:r>
        <w:rPr>
          <w:rFonts w:hint="default" w:ascii="Times New Roman" w:hAnsi="Times New Roman" w:eastAsia="华文中宋" w:cs="Times New Roman"/>
          <w:color w:val="auto"/>
          <w:lang w:val="en-US" w:eastAsia="zh-CN"/>
        </w:rPr>
        <w:t>土地利用结构与功能的变化</w:t>
      </w:r>
    </w:p>
    <w:p w14:paraId="13B88787">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项目运营期对生态最直接的影响即占地影响，新增这部分土地由</w:t>
      </w:r>
      <w:r>
        <w:rPr>
          <w:rFonts w:hint="eastAsia" w:ascii="Times New Roman" w:hAnsi="Times New Roman" w:cs="Times New Roman"/>
          <w:color w:val="auto"/>
          <w:lang w:val="en-US" w:eastAsia="zh-CN"/>
        </w:rPr>
        <w:t>天然牧草地</w:t>
      </w:r>
      <w:r>
        <w:rPr>
          <w:rFonts w:hint="default" w:ascii="Times New Roman" w:hAnsi="Times New Roman" w:eastAsia="华文中宋" w:cs="Times New Roman"/>
          <w:color w:val="auto"/>
          <w:lang w:val="en-US" w:eastAsia="zh-CN"/>
        </w:rPr>
        <w:t>变为了工矿用地，土地利用性质发生了改变，使原有生态服务功能消失，但同时土地利用价值也得到提高。使原来的地表植被资源被破坏清除，少了草地面积，增加了项目区的水土流失量，采掘结束后需恢复为相应的草地。</w:t>
      </w:r>
    </w:p>
    <w:p w14:paraId="03F625DE">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（2）</w:t>
      </w:r>
      <w:r>
        <w:rPr>
          <w:rFonts w:hint="default" w:ascii="Times New Roman" w:hAnsi="Times New Roman" w:eastAsia="华文中宋" w:cs="Times New Roman"/>
          <w:color w:val="auto"/>
          <w:lang w:val="en-US" w:eastAsia="zh-CN"/>
        </w:rPr>
        <w:t>矿区开采对区域地形、地貌的影响</w:t>
      </w:r>
    </w:p>
    <w:p w14:paraId="67A4EDDC">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露天开采过程使占地的地形、地貌发生变化。这种形态上的变化，对区域性环境将产生一定的影响。露天采坑后形成的独特地貌格局，对局部小气候也将产生影响；废石堆场堆积松散，在无植被覆盖时，极易遭受风蚀和水蚀，威胁周围的草场。因此开采结束后进行土地复垦种草，进行绿化，既可取得一定的经济效益，又能起到防治水土流失、美化环境的社会效益。</w:t>
      </w:r>
    </w:p>
    <w:p w14:paraId="3B838E9D">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项目运营期主要占地类型为低覆盖度草地，运营期破坏原有土地利用类型，转变为采矿用地，随着矿区的开采，采矿用地逐渐恢复为草地，对土地利用类型影响较小。</w:t>
      </w:r>
    </w:p>
    <w:p w14:paraId="6255E3FB">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总体上来看，工程占地在一定程度上影响地表植被生长，使部分土地失去了原有的生物生产功能和生态功能，土地利用类型转变为采矿用地。项目占地面积比例很小，对区域土地利用影响不大，通过土地复垦等措施可以恢复一定面积的生态植被，因此对区域生态环境不会造成较大影响。</w:t>
      </w:r>
    </w:p>
    <w:p w14:paraId="73035ADF">
      <w:pPr>
        <w:pStyle w:val="24"/>
        <w:snapToGrid w:val="0"/>
        <w:ind w:left="0" w:leftChars="0" w:firstLine="0" w:firstLineChars="0"/>
        <w:jc w:val="left"/>
        <w:rPr>
          <w:rFonts w:hint="default" w:ascii="Times New Roman" w:hAnsi="Times New Roman" w:eastAsia="华文中宋" w:cs="Times New Roman"/>
          <w:b/>
          <w:bCs/>
          <w:color w:val="auto"/>
          <w:lang w:val="en-US" w:eastAsia="zh-CN"/>
        </w:rPr>
      </w:pPr>
      <w:r>
        <w:rPr>
          <w:rFonts w:hint="eastAsia" w:ascii="Times New Roman" w:hAnsi="Times New Roman" w:cs="Times New Roman"/>
          <w:b/>
          <w:bCs/>
          <w:color w:val="auto"/>
          <w:lang w:val="en-US" w:eastAsia="zh-CN"/>
        </w:rPr>
        <w:t>5.2.7.3</w:t>
      </w:r>
      <w:r>
        <w:rPr>
          <w:rFonts w:hint="default" w:ascii="Times New Roman" w:hAnsi="Times New Roman" w:eastAsia="华文中宋" w:cs="Times New Roman"/>
          <w:b/>
          <w:bCs/>
          <w:color w:val="auto"/>
          <w:lang w:val="en-US" w:eastAsia="zh-CN"/>
        </w:rPr>
        <w:t>对土壤环境的影响分析</w:t>
      </w:r>
    </w:p>
    <w:p w14:paraId="7112A4FD">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（1）</w:t>
      </w:r>
      <w:r>
        <w:rPr>
          <w:rFonts w:hint="default" w:ascii="Times New Roman" w:hAnsi="Times New Roman" w:eastAsia="华文中宋" w:cs="Times New Roman"/>
          <w:color w:val="auto"/>
          <w:lang w:val="en-US" w:eastAsia="zh-CN"/>
        </w:rPr>
        <w:t>土壤理化性状的影响</w:t>
      </w:r>
    </w:p>
    <w:p w14:paraId="784D7B5A">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建设期矿区建设破坏大面积的表层土，地表扰动之后，使得地表土壤结构变化，原有地表土层遭到扰动和破坏，上下土层混合，土壤肥力降低，致使地表极易发生风力刨蚀，表土层被搬运，土壤环境破坏</w:t>
      </w:r>
      <w:r>
        <w:rPr>
          <w:rFonts w:hint="eastAsia" w:ascii="Times New Roman" w:hAnsi="Times New Roman" w:cs="Times New Roman"/>
          <w:color w:val="auto"/>
          <w:lang w:val="en-US" w:eastAsia="zh-CN"/>
        </w:rPr>
        <w:t>。</w:t>
      </w:r>
    </w:p>
    <w:p w14:paraId="73C25420">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（2）</w:t>
      </w:r>
      <w:r>
        <w:rPr>
          <w:rFonts w:hint="default" w:ascii="Times New Roman" w:hAnsi="Times New Roman" w:eastAsia="华文中宋" w:cs="Times New Roman"/>
          <w:color w:val="auto"/>
          <w:lang w:val="en-US" w:eastAsia="zh-CN"/>
        </w:rPr>
        <w:t>土壤侵蚀因素分析</w:t>
      </w:r>
    </w:p>
    <w:p w14:paraId="31837771">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根据开采项目的建设特点，土壤侵蚀因素主要包括以下几点：</w:t>
      </w:r>
    </w:p>
    <w:p w14:paraId="672A73D1">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①荒草地植被受到扰动和破坏</w:t>
      </w:r>
    </w:p>
    <w:p w14:paraId="2A07A92C">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在表土剥离、场地平整、矿区道路、废砂石堆场占地、场外截水沟等过程中，破坏了地表原有的草地植被，形成了片状、条带状的裸露面，植被对土壤的覆盖保护作用和根系固土作用丧失殆尽。</w:t>
      </w:r>
    </w:p>
    <w:p w14:paraId="007B8B44">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②土体表层松散性加大</w:t>
      </w:r>
    </w:p>
    <w:p w14:paraId="74D5BDAA">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锑铅矿开采过程破坏大面积的地表土壤，废石场排土，大量的松散表土发生运移和重新堆积，植被被损坏，使得地表土壤结构变化，上下土层混合，土壤水分大量散失，土体的机械组成混杂不一，丧失了原地表土壤的抗蚀力。形成新的矿山土壤类型，地表无植被覆盖，土壤肥力降低，极易发生土壤侵蚀。</w:t>
      </w:r>
    </w:p>
    <w:p w14:paraId="3359C713">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③地形、地貌的变化</w:t>
      </w:r>
    </w:p>
    <w:p w14:paraId="7C5E2935">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废砂石堆场随着排土量增多，逐渐形成了占地面积较大和高度较高的人工堆垫地貌，雨季改变了水流的流向，增加了发生水蚀侵蚀的可能。</w:t>
      </w:r>
    </w:p>
    <w:p w14:paraId="56CF5527">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剥离物质地不均匀、各区段排弃高度不相同，导致受力不均匀，可在废石场平台形成沉陷、裂缝；废石场排水系统不健全，超渗产流，可形成平台面蚀、坡面沟蚀；在排水不畅的情况下，在平台低洼处积水，形成陷穴。</w:t>
      </w:r>
    </w:p>
    <w:p w14:paraId="5EB44506">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④土壤侵蚀影响评价</w:t>
      </w:r>
    </w:p>
    <w:p w14:paraId="5C9151E1">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根据评价区气候特征、地形条件以及工程的建设特点，开采项目新增土壤侵蚀特征主要表现为：</w:t>
      </w:r>
      <w:r>
        <w:rPr>
          <w:rFonts w:hint="eastAsia" w:ascii="Times New Roman" w:hAnsi="Times New Roman" w:cs="Times New Roman"/>
          <w:color w:val="auto"/>
          <w:lang w:val="en-US" w:eastAsia="zh-CN"/>
        </w:rPr>
        <w:t>1.</w:t>
      </w:r>
      <w:r>
        <w:rPr>
          <w:rFonts w:hint="default" w:ascii="Times New Roman" w:hAnsi="Times New Roman" w:eastAsia="华文中宋" w:cs="Times New Roman"/>
          <w:color w:val="auto"/>
          <w:lang w:val="en-US" w:eastAsia="zh-CN"/>
        </w:rPr>
        <w:t>不同功能区土壤侵蚀强度存在着显著的差异；</w:t>
      </w:r>
      <w:r>
        <w:rPr>
          <w:rFonts w:hint="eastAsia" w:ascii="Times New Roman" w:hAnsi="Times New Roman" w:cs="Times New Roman"/>
          <w:color w:val="auto"/>
          <w:lang w:val="en-US" w:eastAsia="zh-CN"/>
        </w:rPr>
        <w:t>2.</w:t>
      </w:r>
      <w:r>
        <w:rPr>
          <w:rFonts w:hint="default" w:ascii="Times New Roman" w:hAnsi="Times New Roman" w:eastAsia="华文中宋" w:cs="Times New Roman"/>
          <w:color w:val="auto"/>
          <w:lang w:val="en-US" w:eastAsia="zh-CN"/>
        </w:rPr>
        <w:t>呈片状集中分布或线型带状分布；</w:t>
      </w:r>
      <w:r>
        <w:rPr>
          <w:rFonts w:hint="eastAsia" w:ascii="Times New Roman" w:hAnsi="Times New Roman" w:cs="Times New Roman"/>
          <w:color w:val="auto"/>
          <w:lang w:val="en-US" w:eastAsia="zh-CN"/>
        </w:rPr>
        <w:t>3.</w:t>
      </w:r>
      <w:r>
        <w:rPr>
          <w:rFonts w:hint="default" w:ascii="Times New Roman" w:hAnsi="Times New Roman" w:eastAsia="华文中宋" w:cs="Times New Roman"/>
          <w:color w:val="auto"/>
          <w:lang w:val="en-US" w:eastAsia="zh-CN"/>
        </w:rPr>
        <w:t>水土流失强度高，但时间短，范围小，易人为控制；废石场排弃物质不均，水蚀、风蚀兼而有之。</w:t>
      </w:r>
    </w:p>
    <w:p w14:paraId="26D89105">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项目运营过程中随着土地复垦、生态恢复工程的实施，土壤侵蚀过程将得到有效控制，随着生态环境的改善，最终会使原来的土壤侵蚀得到根本遏制。</w:t>
      </w:r>
    </w:p>
    <w:p w14:paraId="48C3C2FB">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总之，矿区的开发建设活动不可避免地将破坏原有自然植被和土地资源，采掘场的开挖破坏、废石场的征占、附属建筑物以及公路运输系统的建设将新增大量的水土流失，导致水土流失危害程度显著增强，矿区生态环境恶化。但是矿区生产期间和服务期满后都将不断</w:t>
      </w:r>
      <w:r>
        <w:rPr>
          <w:rFonts w:hint="eastAsia" w:ascii="Times New Roman" w:hAnsi="Times New Roman" w:eastAsia="华文中宋" w:cs="Times New Roman"/>
          <w:color w:val="auto"/>
          <w:lang w:val="en-US" w:eastAsia="zh-CN"/>
        </w:rPr>
        <w:t>地</w:t>
      </w:r>
      <w:r>
        <w:rPr>
          <w:rFonts w:hint="default" w:ascii="Times New Roman" w:hAnsi="Times New Roman" w:eastAsia="华文中宋" w:cs="Times New Roman"/>
          <w:color w:val="auto"/>
          <w:lang w:val="en-US" w:eastAsia="zh-CN"/>
        </w:rPr>
        <w:t>进行生态建设、水土保持和土地复垦生态建设工作后，土壤侵蚀将会大为减少，水土流失得到控制</w:t>
      </w:r>
    </w:p>
    <w:p w14:paraId="3DE413D3">
      <w:pPr>
        <w:pStyle w:val="24"/>
        <w:snapToGrid w:val="0"/>
        <w:ind w:left="0" w:leftChars="0" w:firstLine="0" w:firstLineChars="0"/>
        <w:jc w:val="left"/>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5.2.7.4</w:t>
      </w:r>
      <w:r>
        <w:rPr>
          <w:rFonts w:hint="default" w:ascii="Times New Roman" w:hAnsi="Times New Roman" w:cs="Times New Roman"/>
          <w:b/>
          <w:bCs/>
          <w:color w:val="auto"/>
          <w:lang w:val="en-US" w:eastAsia="zh-CN"/>
        </w:rPr>
        <w:t>剥离影响分析</w:t>
      </w:r>
    </w:p>
    <w:p w14:paraId="641B7D54">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地表剥离主要为开采工程对土地资源的破坏，具体表现为露天采场的直接挖损、废石堆场压占土地等。挖损是对原地表形态、地质层组、生物种群的直接破坏，致使原土地不复存在；压占是挖损过程中产生的废弃岩土堆于原土地上造成原地貌功能的丧失；挖损和压占等工程活动导致了区域原先处于相对稳定的系统受到干扰，使区域内的土地资源、植被覆盖度、地形地貌、土壤保水保肥能力等生态因子发生相应的变化；占用使原有的土地利用类型变为建筑、运输道路、排土道路等。</w:t>
      </w:r>
    </w:p>
    <w:p w14:paraId="7A1C1A94">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地表剥离将引起矿区一定范围内土壤质地结构的改变，加大土壤的导水性，使土壤水分和养分大大流失，从而降低土壤肥力，直接影响上覆下垫面中的植被，对植被生长构成威胁，使得矿区土地及其临近地区的生物生存条件遭到破坏，生物量减少，生态系统结构受损，功能及稳定性下降，进而引发矿区水土流失和加大土地沙漠化程度。对作为景观载体的土地资源的直观、大量的破坏，也将不可避免地导致矿区原生态系统景观产生改变，如矿区地形地貌大面积破坏，植被退化或消失等。</w:t>
      </w:r>
    </w:p>
    <w:p w14:paraId="497E0BF9">
      <w:pPr>
        <w:pStyle w:val="24"/>
        <w:snapToGrid w:val="0"/>
        <w:ind w:left="0" w:leftChars="0" w:firstLine="0" w:firstLineChars="0"/>
        <w:jc w:val="left"/>
        <w:rPr>
          <w:rFonts w:hint="default" w:ascii="Times New Roman" w:hAnsi="Times New Roman" w:eastAsia="华文中宋" w:cs="Times New Roman"/>
          <w:b/>
          <w:bCs/>
          <w:color w:val="auto"/>
          <w:lang w:val="en-US" w:eastAsia="zh-CN"/>
        </w:rPr>
      </w:pPr>
      <w:r>
        <w:rPr>
          <w:rFonts w:hint="eastAsia" w:ascii="Times New Roman" w:hAnsi="Times New Roman" w:cs="Times New Roman"/>
          <w:b/>
          <w:bCs/>
          <w:color w:val="auto"/>
          <w:lang w:val="en-US" w:eastAsia="zh-CN"/>
        </w:rPr>
        <w:t>5.2.7.5</w:t>
      </w:r>
      <w:r>
        <w:rPr>
          <w:rFonts w:hint="default" w:ascii="Times New Roman" w:hAnsi="Times New Roman" w:eastAsia="华文中宋" w:cs="Times New Roman"/>
          <w:b/>
          <w:bCs/>
          <w:color w:val="auto"/>
          <w:lang w:val="en-US" w:eastAsia="zh-CN"/>
        </w:rPr>
        <w:t>动物及动物多样性影响分析</w:t>
      </w:r>
    </w:p>
    <w:p w14:paraId="732ABDB8">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根据现状调查结果</w:t>
      </w:r>
      <w:r>
        <w:rPr>
          <w:rFonts w:hint="eastAsia" w:ascii="Times New Roman" w:hAnsi="Times New Roman" w:cs="Times New Roman"/>
          <w:color w:val="auto"/>
          <w:lang w:val="en-US" w:eastAsia="zh-CN"/>
        </w:rPr>
        <w:t>及历史资料</w:t>
      </w:r>
      <w:r>
        <w:rPr>
          <w:rFonts w:hint="default" w:ascii="Times New Roman" w:hAnsi="Times New Roman" w:eastAsia="华文中宋" w:cs="Times New Roman"/>
          <w:color w:val="auto"/>
          <w:lang w:val="en-US" w:eastAsia="zh-CN"/>
        </w:rPr>
        <w:t>，本项目区域主要野生动物为</w:t>
      </w:r>
      <w:r>
        <w:rPr>
          <w:rFonts w:hint="eastAsia" w:ascii="Times New Roman" w:hAnsi="Times New Roman" w:cs="Times New Roman"/>
          <w:color w:val="auto"/>
          <w:lang w:val="en-US" w:eastAsia="zh-CN"/>
        </w:rPr>
        <w:t>哺乳类动</w:t>
      </w:r>
      <w:r>
        <w:rPr>
          <w:rFonts w:hint="default" w:ascii="Times New Roman" w:hAnsi="Times New Roman" w:eastAsia="华文中宋" w:cs="Times New Roman"/>
          <w:color w:val="auto"/>
          <w:lang w:val="en-US" w:eastAsia="zh-CN"/>
        </w:rPr>
        <w:t>物，在项目区没有发现大型野生动物及国家级保护动物，也没有鸟类等野生动物保护区，故施工建设将干扰和影响</w:t>
      </w:r>
      <w:r>
        <w:rPr>
          <w:rFonts w:hint="eastAsia" w:ascii="Times New Roman" w:hAnsi="Times New Roman" w:cs="Times New Roman"/>
          <w:color w:val="auto"/>
          <w:lang w:val="en-US" w:eastAsia="zh-CN"/>
        </w:rPr>
        <w:t>哺乳类</w:t>
      </w:r>
      <w:r>
        <w:rPr>
          <w:rFonts w:hint="default" w:ascii="Times New Roman" w:hAnsi="Times New Roman" w:eastAsia="华文中宋" w:cs="Times New Roman"/>
          <w:color w:val="auto"/>
          <w:lang w:val="en-US" w:eastAsia="zh-CN"/>
        </w:rPr>
        <w:t>动物的栖息活动区，将影响</w:t>
      </w:r>
      <w:r>
        <w:rPr>
          <w:rFonts w:hint="eastAsia" w:ascii="Times New Roman" w:hAnsi="Times New Roman" w:cs="Times New Roman"/>
          <w:color w:val="auto"/>
          <w:lang w:val="en-US" w:eastAsia="zh-CN"/>
        </w:rPr>
        <w:t>哺乳类</w:t>
      </w:r>
      <w:r>
        <w:rPr>
          <w:rFonts w:hint="default" w:ascii="Times New Roman" w:hAnsi="Times New Roman" w:eastAsia="华文中宋" w:cs="Times New Roman"/>
          <w:color w:val="auto"/>
          <w:lang w:val="en-US" w:eastAsia="zh-CN"/>
        </w:rPr>
        <w:t>在项目区的分布和数量，对生物多样性影响较小。</w:t>
      </w:r>
    </w:p>
    <w:p w14:paraId="7C3111D7">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通过加强对施工人员的管理，</w:t>
      </w:r>
      <w:r>
        <w:rPr>
          <w:rFonts w:hint="eastAsia" w:ascii="Times New Roman" w:hAnsi="Times New Roman" w:cs="Times New Roman"/>
          <w:color w:val="auto"/>
          <w:lang w:val="en-US" w:eastAsia="zh-CN"/>
        </w:rPr>
        <w:t>滥捕</w:t>
      </w:r>
      <w:r>
        <w:rPr>
          <w:rFonts w:hint="default" w:ascii="Times New Roman" w:hAnsi="Times New Roman" w:eastAsia="华文中宋" w:cs="Times New Roman"/>
          <w:color w:val="auto"/>
          <w:lang w:val="en-US" w:eastAsia="zh-CN"/>
        </w:rPr>
        <w:t>乱猎行为可以杜绝，项目的施工建设不会使评价区野生动物物种数发生较大变化，种群数量也不会发生明显改变。在营运期，随着厂区种植绿植等人工生态系统的建设，会给鸟类栖息与生存提供有利条件。因此，要加强其人工生态系统的建设，通过种草提高厂区及周围区域的植物覆盖率。</w:t>
      </w:r>
    </w:p>
    <w:p w14:paraId="30105F66">
      <w:pPr>
        <w:pStyle w:val="24"/>
        <w:snapToGrid w:val="0"/>
        <w:ind w:left="0" w:leftChars="0" w:firstLine="0" w:firstLineChars="0"/>
        <w:jc w:val="left"/>
        <w:rPr>
          <w:rFonts w:hint="default" w:ascii="Times New Roman" w:hAnsi="Times New Roman" w:eastAsia="华文中宋" w:cs="Times New Roman"/>
          <w:b/>
          <w:bCs/>
          <w:color w:val="auto"/>
          <w:lang w:val="en-US" w:eastAsia="zh-CN"/>
        </w:rPr>
      </w:pPr>
      <w:r>
        <w:rPr>
          <w:rFonts w:hint="eastAsia" w:ascii="Times New Roman" w:hAnsi="Times New Roman" w:cs="Times New Roman"/>
          <w:b/>
          <w:bCs/>
          <w:color w:val="auto"/>
          <w:lang w:val="en-US" w:eastAsia="zh-CN"/>
        </w:rPr>
        <w:t>5.2.7.6</w:t>
      </w:r>
      <w:r>
        <w:rPr>
          <w:rFonts w:hint="default" w:ascii="Times New Roman" w:hAnsi="Times New Roman" w:eastAsia="华文中宋" w:cs="Times New Roman"/>
          <w:b/>
          <w:bCs/>
          <w:color w:val="auto"/>
          <w:lang w:val="en-US" w:eastAsia="zh-CN"/>
        </w:rPr>
        <w:t>评价区生态系统完整性影响分析</w:t>
      </w:r>
    </w:p>
    <w:p w14:paraId="01B3FFEE">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（1）</w:t>
      </w:r>
      <w:r>
        <w:rPr>
          <w:rFonts w:hint="default" w:ascii="Times New Roman" w:hAnsi="Times New Roman" w:eastAsia="华文中宋" w:cs="Times New Roman"/>
          <w:color w:val="auto"/>
          <w:lang w:val="en-US" w:eastAsia="zh-CN"/>
        </w:rPr>
        <w:t>生态系统结构</w:t>
      </w:r>
    </w:p>
    <w:p w14:paraId="104CB178">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评价区生态系统组成主要为</w:t>
      </w:r>
      <w:r>
        <w:rPr>
          <w:rFonts w:hint="eastAsia" w:ascii="Times New Roman" w:hAnsi="Times New Roman" w:cs="Times New Roman"/>
          <w:color w:val="auto"/>
          <w:lang w:val="en-US" w:eastAsia="zh-CN"/>
        </w:rPr>
        <w:t>稀疏草地</w:t>
      </w:r>
      <w:r>
        <w:rPr>
          <w:rFonts w:hint="default" w:ascii="Times New Roman" w:hAnsi="Times New Roman" w:eastAsia="华文中宋" w:cs="Times New Roman"/>
          <w:color w:val="auto"/>
          <w:lang w:val="en-US" w:eastAsia="zh-CN"/>
        </w:rPr>
        <w:t>生态系统，</w:t>
      </w:r>
      <w:r>
        <w:rPr>
          <w:rFonts w:hint="eastAsia" w:ascii="Times New Roman" w:hAnsi="Times New Roman" w:cs="Times New Roman"/>
          <w:color w:val="auto"/>
          <w:lang w:val="en-US" w:eastAsia="zh-CN"/>
        </w:rPr>
        <w:t>本项目稀疏草地</w:t>
      </w:r>
      <w:r>
        <w:rPr>
          <w:rFonts w:hint="default" w:ascii="Times New Roman" w:hAnsi="Times New Roman" w:eastAsia="华文中宋" w:cs="Times New Roman"/>
          <w:color w:val="auto"/>
          <w:lang w:val="en-US" w:eastAsia="zh-CN"/>
        </w:rPr>
        <w:t>生态系统群落结构组成较为简单，主要为</w:t>
      </w:r>
      <w:r>
        <w:rPr>
          <w:rFonts w:hint="eastAsia" w:ascii="Times New Roman" w:hAnsi="Times New Roman" w:cs="Times New Roman"/>
          <w:color w:val="auto"/>
          <w:lang w:val="en-US" w:eastAsia="zh-CN"/>
        </w:rPr>
        <w:t>垫状驼绒藜</w:t>
      </w:r>
      <w:r>
        <w:rPr>
          <w:rFonts w:hint="default" w:ascii="Times New Roman" w:hAnsi="Times New Roman" w:eastAsia="华文中宋" w:cs="Times New Roman"/>
          <w:color w:val="auto"/>
          <w:lang w:val="en-US" w:eastAsia="zh-CN"/>
        </w:rPr>
        <w:t>。</w:t>
      </w:r>
    </w:p>
    <w:p w14:paraId="194A2D05">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（2）</w:t>
      </w:r>
      <w:r>
        <w:rPr>
          <w:rFonts w:hint="default" w:ascii="Times New Roman" w:hAnsi="Times New Roman" w:eastAsia="华文中宋" w:cs="Times New Roman"/>
          <w:color w:val="auto"/>
          <w:lang w:val="en-US" w:eastAsia="zh-CN"/>
        </w:rPr>
        <w:t>矿区建设对原生态系统完整性影响分析</w:t>
      </w:r>
    </w:p>
    <w:p w14:paraId="7E40682D">
      <w:pPr>
        <w:pStyle w:val="24"/>
        <w:snapToGrid w:val="0"/>
        <w:ind w:left="0" w:leftChars="0" w:firstLine="480" w:firstLineChars="20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项目实施后，原有地貌将发生较大的变化。采取生态恢复和重建措施后，矿区原有的自然生态系统发生较大变化，随着开采建设，在废石场区域开展生态重建工程，将形成新的人工生态系统，代替原来的自然生态系统，使生态系统的组成和结构发生了一定的变化。原来处于相对稳定的自然生态系统结构，被人工生态系统和自然恢复的生态系统代替，生态系统更加趋于多样。</w:t>
      </w:r>
    </w:p>
    <w:p w14:paraId="0F2A6DD4">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运营期建设项目通过时间或空间的累积作用方式造成生境破碎化、生态系统退化、植被类型减少、生物多样性下降等。</w:t>
      </w:r>
    </w:p>
    <w:p w14:paraId="4EC2D093">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项目运营期主要占用生态系统主要为</w:t>
      </w:r>
      <w:r>
        <w:rPr>
          <w:rFonts w:hint="eastAsia" w:ascii="Times New Roman" w:hAnsi="Times New Roman" w:cs="Times New Roman"/>
          <w:color w:val="auto"/>
          <w:lang w:val="en-US" w:eastAsia="zh-CN"/>
        </w:rPr>
        <w:t>稀疏草地生态系统</w:t>
      </w:r>
      <w:r>
        <w:rPr>
          <w:rFonts w:hint="default" w:ascii="Times New Roman" w:hAnsi="Times New Roman" w:eastAsia="华文中宋" w:cs="Times New Roman"/>
          <w:color w:val="auto"/>
          <w:lang w:val="en-US" w:eastAsia="zh-CN"/>
        </w:rPr>
        <w:t>，占用比例均较小，运营期转变为工矿交通系统。随着矿区的开采</w:t>
      </w:r>
      <w:r>
        <w:rPr>
          <w:rFonts w:hint="eastAsia" w:ascii="Times New Roman" w:hAnsi="Times New Roman" w:cs="Times New Roman"/>
          <w:color w:val="auto"/>
          <w:lang w:val="en-US" w:eastAsia="zh-CN"/>
        </w:rPr>
        <w:t>结束</w:t>
      </w:r>
      <w:r>
        <w:rPr>
          <w:rFonts w:hint="default" w:ascii="Times New Roman" w:hAnsi="Times New Roman" w:eastAsia="华文中宋" w:cs="Times New Roman"/>
          <w:color w:val="auto"/>
          <w:lang w:val="en-US" w:eastAsia="zh-CN"/>
        </w:rPr>
        <w:t>，占用生态系统逐渐恢复，不会造成植被类型的减少；开采前期造成植被盖度下降，后期随着复垦及植被恢复，区域植被覆盖度将有所提升；复垦期项目所在地的生境从运营期的破碎化逐渐恢复成完整化，同时生物多样性与之伴随恢复。</w:t>
      </w:r>
    </w:p>
    <w:p w14:paraId="7826CC0F">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整体来看，评价区和</w:t>
      </w:r>
      <w:r>
        <w:rPr>
          <w:rFonts w:hint="eastAsia" w:ascii="Times New Roman" w:hAnsi="Times New Roman" w:cs="Times New Roman"/>
          <w:color w:val="auto"/>
          <w:lang w:val="en-US" w:eastAsia="zh-CN"/>
        </w:rPr>
        <w:t>矿区</w:t>
      </w:r>
      <w:r>
        <w:rPr>
          <w:rFonts w:hint="default" w:ascii="Times New Roman" w:hAnsi="Times New Roman" w:eastAsia="华文中宋" w:cs="Times New Roman"/>
          <w:color w:val="auto"/>
          <w:lang w:val="en-US" w:eastAsia="zh-CN"/>
        </w:rPr>
        <w:t>生态系统变化不大，对区域生态系统完整性、稳定性影响较小。</w:t>
      </w:r>
    </w:p>
    <w:p w14:paraId="03434B6A">
      <w:pPr>
        <w:pStyle w:val="24"/>
        <w:snapToGrid w:val="0"/>
        <w:ind w:left="0" w:leftChars="0" w:firstLine="0" w:firstLineChars="0"/>
        <w:jc w:val="left"/>
        <w:rPr>
          <w:rFonts w:hint="default" w:ascii="Times New Roman" w:hAnsi="Times New Roman" w:eastAsia="华文中宋" w:cs="Times New Roman"/>
          <w:b/>
          <w:bCs/>
          <w:color w:val="auto"/>
          <w:lang w:val="en-US" w:eastAsia="zh-CN"/>
        </w:rPr>
      </w:pPr>
      <w:r>
        <w:rPr>
          <w:rFonts w:hint="eastAsia" w:ascii="Times New Roman" w:hAnsi="Times New Roman" w:cs="Times New Roman"/>
          <w:b/>
          <w:bCs/>
          <w:color w:val="auto"/>
          <w:lang w:val="en-US" w:eastAsia="zh-CN"/>
        </w:rPr>
        <w:t>5.2.7.7</w:t>
      </w:r>
      <w:r>
        <w:rPr>
          <w:rFonts w:hint="default" w:ascii="Times New Roman" w:hAnsi="Times New Roman" w:eastAsia="华文中宋" w:cs="Times New Roman"/>
          <w:b/>
          <w:bCs/>
          <w:color w:val="auto"/>
          <w:lang w:val="en-US" w:eastAsia="zh-CN"/>
        </w:rPr>
        <w:t>服务期满后生态环境影响分析</w:t>
      </w:r>
    </w:p>
    <w:p w14:paraId="2E7D3D0D">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在矿山营运期间建设单位需按水保、矿山生态综合治理、土地复垦和环评的要求，对各工程区域采取工程措施及</w:t>
      </w:r>
      <w:r>
        <w:rPr>
          <w:rFonts w:hint="eastAsia" w:ascii="Times New Roman" w:hAnsi="Times New Roman" w:eastAsia="华文中宋" w:cs="Times New Roman"/>
          <w:color w:val="auto"/>
          <w:lang w:val="en-US" w:eastAsia="zh-CN"/>
        </w:rPr>
        <w:t>治污</w:t>
      </w:r>
      <w:r>
        <w:rPr>
          <w:rFonts w:hint="default" w:ascii="Times New Roman" w:hAnsi="Times New Roman" w:eastAsia="华文中宋" w:cs="Times New Roman"/>
          <w:color w:val="auto"/>
          <w:lang w:val="en-US" w:eastAsia="zh-CN"/>
        </w:rPr>
        <w:t>措施，对营运期所造成的生态破坏进行恢复，使水土流失得到有效控制，各产尘点的产尘量及影响会大大降低。</w:t>
      </w:r>
    </w:p>
    <w:p w14:paraId="28843476">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服务期满后拆除各场地的设备设施及建构筑物，仍需对采矿区、废石场等工程区域覆土恢复植被。一是恢复植被时需要土壤，取土会带来新的生态问题，可能引发新的水土流失，形成新的扬尘污染源。因此在恢复植被时须严格按有关部门设计要求进行取土，减少生态破坏；二是项目各场地服务期满后地表裸露面的植被尚未完全恢复，会产生一定的水土流失。</w:t>
      </w:r>
    </w:p>
    <w:p w14:paraId="465B1683">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综上所述，本项目闭矿后按要求实施了上述措施后，对环境的影响很小。</w:t>
      </w:r>
    </w:p>
    <w:p w14:paraId="11F67B3F">
      <w:pPr>
        <w:adjustRightInd w:val="0"/>
        <w:snapToGrid w:val="0"/>
        <w:spacing w:before="250" w:beforeLines="50"/>
        <w:ind w:firstLine="422" w:firstLineChars="200"/>
        <w:jc w:val="center"/>
        <w:rPr>
          <w:rFonts w:hint="default" w:ascii="Times New Roman" w:hAnsi="Times New Roman" w:eastAsia="华文中宋" w:cs="Times New Roman"/>
          <w:b/>
          <w:szCs w:val="21"/>
          <w:lang w:val="de-DE" w:eastAsia="zh-CN"/>
        </w:rPr>
      </w:pPr>
      <w:r>
        <w:rPr>
          <w:rFonts w:hint="default" w:ascii="Times New Roman" w:hAnsi="Times New Roman" w:eastAsia="华文中宋" w:cs="Times New Roman"/>
          <w:b/>
          <w:szCs w:val="21"/>
          <w:lang w:val="de-DE" w:eastAsia="zh-CN"/>
        </w:rPr>
        <w:t>表</w:t>
      </w:r>
      <w:r>
        <w:rPr>
          <w:rFonts w:hint="default" w:ascii="Times New Roman" w:hAnsi="Times New Roman" w:eastAsia="华文中宋" w:cs="Times New Roman"/>
          <w:b/>
          <w:szCs w:val="21"/>
          <w:lang w:val="en-US" w:eastAsia="zh-CN"/>
        </w:rPr>
        <w:t>5.2-3</w:t>
      </w:r>
      <w:r>
        <w:rPr>
          <w:rFonts w:hint="eastAsia" w:ascii="Times New Roman" w:hAnsi="Times New Roman" w:eastAsia="华文中宋" w:cs="Times New Roman"/>
          <w:b/>
          <w:szCs w:val="21"/>
          <w:lang w:val="en-US" w:eastAsia="zh-CN"/>
        </w:rPr>
        <w:t>5</w:t>
      </w:r>
      <w:r>
        <w:rPr>
          <w:rFonts w:hint="default" w:ascii="Times New Roman" w:hAnsi="Times New Roman" w:eastAsia="华文中宋" w:cs="Times New Roman"/>
          <w:b/>
          <w:szCs w:val="21"/>
          <w:lang w:val="en-US" w:eastAsia="zh-CN"/>
        </w:rPr>
        <w:t xml:space="preserve">  </w:t>
      </w:r>
      <w:r>
        <w:rPr>
          <w:rFonts w:hint="default" w:ascii="Times New Roman" w:hAnsi="Times New Roman" w:eastAsia="华文中宋" w:cs="Times New Roman"/>
          <w:b/>
          <w:szCs w:val="21"/>
          <w:lang w:val="de-DE" w:eastAsia="zh-CN"/>
        </w:rPr>
        <w:t>生态影响评价自查表</w:t>
      </w:r>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0" w:type="dxa"/>
          <w:bottom w:w="0" w:type="dxa"/>
          <w:right w:w="0" w:type="dxa"/>
        </w:tblCellMar>
      </w:tblPr>
      <w:tblGrid>
        <w:gridCol w:w="745"/>
        <w:gridCol w:w="1232"/>
        <w:gridCol w:w="6337"/>
      </w:tblGrid>
      <w:tr w14:paraId="5AC581E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c>
          <w:tcPr>
            <w:tcW w:w="1189" w:type="pct"/>
            <w:gridSpan w:val="2"/>
            <w:tcBorders>
              <w:tl2br w:val="nil"/>
              <w:tr2bl w:val="nil"/>
            </w:tcBorders>
            <w:noWrap w:val="0"/>
            <w:vAlign w:val="center"/>
          </w:tcPr>
          <w:p w14:paraId="1A3F417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工作内容</w:t>
            </w:r>
          </w:p>
        </w:tc>
        <w:tc>
          <w:tcPr>
            <w:tcW w:w="3810" w:type="pct"/>
            <w:tcBorders>
              <w:tl2br w:val="nil"/>
              <w:tr2bl w:val="nil"/>
            </w:tcBorders>
            <w:noWrap w:val="0"/>
            <w:vAlign w:val="center"/>
          </w:tcPr>
          <w:p w14:paraId="3CBA850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自查项目</w:t>
            </w:r>
          </w:p>
        </w:tc>
      </w:tr>
      <w:tr w14:paraId="6E596FB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c>
          <w:tcPr>
            <w:tcW w:w="448" w:type="pct"/>
            <w:vMerge w:val="restart"/>
            <w:tcBorders>
              <w:tl2br w:val="nil"/>
              <w:tr2bl w:val="nil"/>
            </w:tcBorders>
            <w:noWrap w:val="0"/>
            <w:vAlign w:val="center"/>
          </w:tcPr>
          <w:p w14:paraId="3E900D8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生态影响识别</w:t>
            </w:r>
          </w:p>
        </w:tc>
        <w:tc>
          <w:tcPr>
            <w:tcW w:w="741" w:type="pct"/>
            <w:tcBorders>
              <w:tl2br w:val="nil"/>
              <w:tr2bl w:val="nil"/>
            </w:tcBorders>
            <w:noWrap w:val="0"/>
            <w:vAlign w:val="center"/>
          </w:tcPr>
          <w:p w14:paraId="55A13C4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生态保护目标</w:t>
            </w:r>
          </w:p>
        </w:tc>
        <w:tc>
          <w:tcPr>
            <w:tcW w:w="3810" w:type="pct"/>
            <w:tcBorders>
              <w:tl2br w:val="nil"/>
              <w:tr2bl w:val="nil"/>
            </w:tcBorders>
            <w:noWrap w:val="0"/>
            <w:vAlign w:val="center"/>
          </w:tcPr>
          <w:p w14:paraId="29738A2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重要物种□；国家公园□；自然保护区□；自然公园□；世界自然遗产□；生态保护红线□；重要生境□；其他具有重要生态功能、对保护生物多样性具有重要意义的区域□；其他</w:t>
            </w:r>
            <w:r>
              <w:rPr>
                <w:rFonts w:hint="default" w:ascii="Times New Roman" w:hAnsi="Times New Roman" w:eastAsia="华文中宋" w:cs="Times New Roman"/>
                <w:szCs w:val="21"/>
                <w:lang w:val="en-US" w:eastAsia="zh-CN"/>
              </w:rPr>
              <w:sym w:font="Wingdings 2" w:char="0052"/>
            </w:r>
          </w:p>
        </w:tc>
      </w:tr>
      <w:tr w14:paraId="6BF73E9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c>
          <w:tcPr>
            <w:tcW w:w="448" w:type="pct"/>
            <w:vMerge w:val="continue"/>
            <w:tcBorders>
              <w:tl2br w:val="nil"/>
              <w:tr2bl w:val="nil"/>
            </w:tcBorders>
            <w:noWrap w:val="0"/>
            <w:vAlign w:val="center"/>
          </w:tcPr>
          <w:p w14:paraId="7CE657C7">
            <w:pPr>
              <w:spacing w:line="300" w:lineRule="exact"/>
              <w:jc w:val="center"/>
              <w:rPr>
                <w:rFonts w:hint="default" w:ascii="Times New Roman" w:hAnsi="Times New Roman" w:eastAsia="华文中宋" w:cs="Times New Roman"/>
                <w:szCs w:val="21"/>
                <w:lang w:val="en-US" w:eastAsia="zh-CN"/>
              </w:rPr>
            </w:pPr>
          </w:p>
        </w:tc>
        <w:tc>
          <w:tcPr>
            <w:tcW w:w="741" w:type="pct"/>
            <w:tcBorders>
              <w:tl2br w:val="nil"/>
              <w:tr2bl w:val="nil"/>
            </w:tcBorders>
            <w:noWrap w:val="0"/>
            <w:vAlign w:val="center"/>
          </w:tcPr>
          <w:p w14:paraId="189CA2A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影响方式</w:t>
            </w:r>
          </w:p>
        </w:tc>
        <w:tc>
          <w:tcPr>
            <w:tcW w:w="3810" w:type="pct"/>
            <w:tcBorders>
              <w:tl2br w:val="nil"/>
              <w:tr2bl w:val="nil"/>
            </w:tcBorders>
            <w:noWrap w:val="0"/>
            <w:vAlign w:val="center"/>
          </w:tcPr>
          <w:p w14:paraId="7BE4EE4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工程占用☑；施工活动干扰☑；改变环境条件□；其他□</w:t>
            </w:r>
          </w:p>
        </w:tc>
      </w:tr>
      <w:tr w14:paraId="4DBDA0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c>
          <w:tcPr>
            <w:tcW w:w="448" w:type="pct"/>
            <w:vMerge w:val="continue"/>
            <w:tcBorders>
              <w:tl2br w:val="nil"/>
              <w:tr2bl w:val="nil"/>
            </w:tcBorders>
            <w:noWrap w:val="0"/>
            <w:vAlign w:val="center"/>
          </w:tcPr>
          <w:p w14:paraId="44699DD0">
            <w:pPr>
              <w:spacing w:line="300" w:lineRule="exact"/>
              <w:jc w:val="center"/>
              <w:rPr>
                <w:rFonts w:hint="default" w:ascii="Times New Roman" w:hAnsi="Times New Roman" w:eastAsia="华文中宋" w:cs="Times New Roman"/>
                <w:szCs w:val="21"/>
                <w:lang w:val="en-US" w:eastAsia="zh-CN"/>
              </w:rPr>
            </w:pPr>
          </w:p>
        </w:tc>
        <w:tc>
          <w:tcPr>
            <w:tcW w:w="741" w:type="pct"/>
            <w:tcBorders>
              <w:tl2br w:val="nil"/>
              <w:tr2bl w:val="nil"/>
            </w:tcBorders>
            <w:noWrap w:val="0"/>
            <w:vAlign w:val="center"/>
          </w:tcPr>
          <w:p w14:paraId="3479C87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评价因子</w:t>
            </w:r>
          </w:p>
        </w:tc>
        <w:tc>
          <w:tcPr>
            <w:tcW w:w="3810" w:type="pct"/>
            <w:tcBorders>
              <w:tl2br w:val="nil"/>
              <w:tr2bl w:val="nil"/>
            </w:tcBorders>
            <w:noWrap w:val="0"/>
            <w:vAlign w:val="center"/>
          </w:tcPr>
          <w:p w14:paraId="0D2D4B07">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物种☑（）</w:t>
            </w:r>
          </w:p>
          <w:p w14:paraId="2856C9D6">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生境☑（）</w:t>
            </w:r>
          </w:p>
          <w:p w14:paraId="7A7D6496">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生物群落☑（）</w:t>
            </w:r>
          </w:p>
          <w:p w14:paraId="1E18A3BE">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生态系统☑（）</w:t>
            </w:r>
          </w:p>
          <w:p w14:paraId="6CE477E6">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生物多样性☑（）</w:t>
            </w:r>
          </w:p>
          <w:p w14:paraId="69396842">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生态敏感区□（）</w:t>
            </w:r>
          </w:p>
          <w:p w14:paraId="228DF676">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自然景观☑（）</w:t>
            </w:r>
          </w:p>
          <w:p w14:paraId="4917545F">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自然遗迹□（）</w:t>
            </w:r>
          </w:p>
          <w:p w14:paraId="70B53717">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其他☑（）</w:t>
            </w:r>
          </w:p>
        </w:tc>
      </w:tr>
      <w:tr w14:paraId="4C36687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71" w:hRule="atLeast"/>
        </w:trPr>
        <w:tc>
          <w:tcPr>
            <w:tcW w:w="1189" w:type="pct"/>
            <w:gridSpan w:val="2"/>
            <w:tcBorders>
              <w:tl2br w:val="nil"/>
              <w:tr2bl w:val="nil"/>
            </w:tcBorders>
            <w:noWrap w:val="0"/>
            <w:vAlign w:val="center"/>
          </w:tcPr>
          <w:p w14:paraId="125325A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评价等级</w:t>
            </w:r>
          </w:p>
        </w:tc>
        <w:tc>
          <w:tcPr>
            <w:tcW w:w="3810" w:type="pct"/>
            <w:tcBorders>
              <w:tl2br w:val="nil"/>
              <w:tr2bl w:val="nil"/>
            </w:tcBorders>
            <w:noWrap w:val="0"/>
            <w:vAlign w:val="center"/>
          </w:tcPr>
          <w:p w14:paraId="7D1359C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一级□二级</w:t>
            </w:r>
            <w:r>
              <w:rPr>
                <w:rFonts w:hint="default" w:ascii="Times New Roman" w:hAnsi="Times New Roman" w:eastAsia="华文中宋" w:cs="Times New Roman"/>
                <w:szCs w:val="21"/>
                <w:lang w:val="en-US" w:eastAsia="zh-CN"/>
              </w:rPr>
              <w:sym w:font="Wingdings 2" w:char="0052"/>
            </w:r>
            <w:r>
              <w:rPr>
                <w:rFonts w:hint="default" w:ascii="Times New Roman" w:hAnsi="Times New Roman" w:eastAsia="华文中宋" w:cs="Times New Roman"/>
                <w:szCs w:val="21"/>
                <w:lang w:val="en-US" w:eastAsia="zh-CN"/>
              </w:rPr>
              <w:t>三级□生态影响简单分析□</w:t>
            </w:r>
          </w:p>
        </w:tc>
      </w:tr>
      <w:tr w14:paraId="494AC82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71" w:hRule="atLeast"/>
        </w:trPr>
        <w:tc>
          <w:tcPr>
            <w:tcW w:w="1189" w:type="pct"/>
            <w:gridSpan w:val="2"/>
            <w:tcBorders>
              <w:tl2br w:val="nil"/>
              <w:tr2bl w:val="nil"/>
            </w:tcBorders>
            <w:noWrap w:val="0"/>
            <w:vAlign w:val="center"/>
          </w:tcPr>
          <w:p w14:paraId="42709CF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评价范围</w:t>
            </w:r>
          </w:p>
        </w:tc>
        <w:tc>
          <w:tcPr>
            <w:tcW w:w="3810" w:type="pct"/>
            <w:tcBorders>
              <w:tl2br w:val="nil"/>
              <w:tr2bl w:val="nil"/>
            </w:tcBorders>
            <w:noWrap w:val="0"/>
            <w:vAlign w:val="center"/>
          </w:tcPr>
          <w:p w14:paraId="48B0BAB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highlight w:val="none"/>
                <w:lang w:val="en-US" w:eastAsia="zh-CN"/>
              </w:rPr>
              <w:t>陆域面积：（</w:t>
            </w:r>
            <w:r>
              <w:rPr>
                <w:rFonts w:hint="eastAsia" w:ascii="Times New Roman" w:hAnsi="Times New Roman" w:eastAsia="华文中宋" w:cs="Times New Roman"/>
                <w:szCs w:val="21"/>
                <w:highlight w:val="none"/>
                <w:lang w:val="en-US" w:eastAsia="zh-CN"/>
              </w:rPr>
              <w:t>32.053</w:t>
            </w:r>
            <w:r>
              <w:rPr>
                <w:rFonts w:hint="default" w:ascii="Times New Roman" w:hAnsi="Times New Roman" w:eastAsia="华文中宋" w:cs="Times New Roman"/>
                <w:szCs w:val="21"/>
                <w:highlight w:val="none"/>
                <w:lang w:val="en-US" w:eastAsia="zh-CN"/>
              </w:rPr>
              <w:t>）km</w:t>
            </w:r>
            <w:r>
              <w:rPr>
                <w:rFonts w:hint="default" w:ascii="Times New Roman" w:hAnsi="Times New Roman" w:eastAsia="华文中宋" w:cs="Times New Roman"/>
                <w:szCs w:val="21"/>
                <w:highlight w:val="none"/>
                <w:vertAlign w:val="superscript"/>
                <w:lang w:val="en-US" w:eastAsia="zh-CN"/>
              </w:rPr>
              <w:t>2</w:t>
            </w:r>
            <w:r>
              <w:rPr>
                <w:rFonts w:hint="default" w:ascii="Times New Roman" w:hAnsi="Times New Roman" w:eastAsia="华文中宋" w:cs="Times New Roman"/>
                <w:szCs w:val="21"/>
                <w:highlight w:val="none"/>
                <w:lang w:val="en-US" w:eastAsia="zh-CN"/>
              </w:rPr>
              <w:t>；水域面积：（）km</w:t>
            </w:r>
            <w:r>
              <w:rPr>
                <w:rFonts w:hint="default" w:ascii="Times New Roman" w:hAnsi="Times New Roman" w:eastAsia="华文中宋" w:cs="Times New Roman"/>
                <w:szCs w:val="21"/>
                <w:highlight w:val="none"/>
                <w:vertAlign w:val="superscript"/>
                <w:lang w:val="en-US" w:eastAsia="zh-CN"/>
              </w:rPr>
              <w:t>2</w:t>
            </w:r>
          </w:p>
        </w:tc>
      </w:tr>
      <w:tr w14:paraId="0AE8942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c>
          <w:tcPr>
            <w:tcW w:w="448" w:type="pct"/>
            <w:vMerge w:val="restart"/>
            <w:tcBorders>
              <w:tl2br w:val="nil"/>
              <w:tr2bl w:val="nil"/>
            </w:tcBorders>
            <w:noWrap w:val="0"/>
            <w:vAlign w:val="center"/>
          </w:tcPr>
          <w:p w14:paraId="03D2A76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生态现状调查与评价</w:t>
            </w:r>
          </w:p>
        </w:tc>
        <w:tc>
          <w:tcPr>
            <w:tcW w:w="741" w:type="pct"/>
            <w:tcBorders>
              <w:tl2br w:val="nil"/>
              <w:tr2bl w:val="nil"/>
            </w:tcBorders>
            <w:noWrap w:val="0"/>
            <w:vAlign w:val="center"/>
          </w:tcPr>
          <w:p w14:paraId="240BB38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调查方法</w:t>
            </w:r>
          </w:p>
        </w:tc>
        <w:tc>
          <w:tcPr>
            <w:tcW w:w="3810" w:type="pct"/>
            <w:tcBorders>
              <w:tl2br w:val="nil"/>
              <w:tr2bl w:val="nil"/>
            </w:tcBorders>
            <w:noWrap w:val="0"/>
            <w:vAlign w:val="center"/>
          </w:tcPr>
          <w:p w14:paraId="7FDF9A4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资料收集</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；遥感调查</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；调查样方、样线☑；调查点位、断面□；专家和公众咨询法□；其他□</w:t>
            </w:r>
          </w:p>
        </w:tc>
      </w:tr>
      <w:tr w14:paraId="5A4BECA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c>
          <w:tcPr>
            <w:tcW w:w="448" w:type="pct"/>
            <w:vMerge w:val="continue"/>
            <w:tcBorders>
              <w:tl2br w:val="nil"/>
              <w:tr2bl w:val="nil"/>
            </w:tcBorders>
            <w:noWrap w:val="0"/>
            <w:vAlign w:val="center"/>
          </w:tcPr>
          <w:p w14:paraId="3958FA25">
            <w:pPr>
              <w:spacing w:line="300" w:lineRule="exact"/>
              <w:jc w:val="center"/>
              <w:rPr>
                <w:rFonts w:hint="default" w:ascii="Times New Roman" w:hAnsi="Times New Roman" w:eastAsia="华文中宋" w:cs="Times New Roman"/>
                <w:szCs w:val="21"/>
                <w:lang w:val="en-US" w:eastAsia="zh-CN"/>
              </w:rPr>
            </w:pPr>
          </w:p>
        </w:tc>
        <w:tc>
          <w:tcPr>
            <w:tcW w:w="741" w:type="pct"/>
            <w:tcBorders>
              <w:tl2br w:val="nil"/>
              <w:tr2bl w:val="nil"/>
            </w:tcBorders>
            <w:noWrap w:val="0"/>
            <w:vAlign w:val="center"/>
          </w:tcPr>
          <w:p w14:paraId="369C2BB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调查时间</w:t>
            </w:r>
          </w:p>
        </w:tc>
        <w:tc>
          <w:tcPr>
            <w:tcW w:w="3810" w:type="pct"/>
            <w:tcBorders>
              <w:tl2br w:val="nil"/>
              <w:tr2bl w:val="nil"/>
            </w:tcBorders>
            <w:noWrap w:val="0"/>
            <w:vAlign w:val="center"/>
          </w:tcPr>
          <w:p w14:paraId="1EF66BF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春季</w:t>
            </w:r>
            <w:r>
              <w:rPr>
                <w:rFonts w:hint="default" w:ascii="Times New Roman" w:hAnsi="Times New Roman" w:eastAsia="华文中宋" w:cs="Times New Roman"/>
                <w:szCs w:val="21"/>
                <w:lang w:val="en-US" w:eastAsia="zh-CN"/>
              </w:rPr>
              <w:sym w:font="Wingdings 2" w:char="00A3"/>
            </w:r>
            <w:r>
              <w:rPr>
                <w:rFonts w:hint="default" w:ascii="Times New Roman" w:hAnsi="Times New Roman" w:eastAsia="华文中宋" w:cs="Times New Roman"/>
                <w:szCs w:val="21"/>
                <w:lang w:val="en-US" w:eastAsia="zh-CN"/>
              </w:rPr>
              <w:t>；夏季☑；秋季□；冬季□</w:t>
            </w:r>
          </w:p>
          <w:p w14:paraId="52C3717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丰水期□；枯水期□；平水期□</w:t>
            </w:r>
          </w:p>
        </w:tc>
      </w:tr>
      <w:tr w14:paraId="267B480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c>
          <w:tcPr>
            <w:tcW w:w="448" w:type="pct"/>
            <w:vMerge w:val="continue"/>
            <w:tcBorders>
              <w:tl2br w:val="nil"/>
              <w:tr2bl w:val="nil"/>
            </w:tcBorders>
            <w:noWrap w:val="0"/>
            <w:vAlign w:val="center"/>
          </w:tcPr>
          <w:p w14:paraId="276E1CDF">
            <w:pPr>
              <w:spacing w:line="300" w:lineRule="exact"/>
              <w:jc w:val="center"/>
              <w:rPr>
                <w:rFonts w:hint="default" w:ascii="Times New Roman" w:hAnsi="Times New Roman" w:eastAsia="华文中宋" w:cs="Times New Roman"/>
                <w:szCs w:val="21"/>
                <w:lang w:val="en-US" w:eastAsia="zh-CN"/>
              </w:rPr>
            </w:pPr>
          </w:p>
        </w:tc>
        <w:tc>
          <w:tcPr>
            <w:tcW w:w="741" w:type="pct"/>
            <w:tcBorders>
              <w:tl2br w:val="nil"/>
              <w:tr2bl w:val="nil"/>
            </w:tcBorders>
            <w:noWrap w:val="0"/>
            <w:vAlign w:val="center"/>
          </w:tcPr>
          <w:p w14:paraId="748FED4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所在区域的生态问题</w:t>
            </w:r>
          </w:p>
        </w:tc>
        <w:tc>
          <w:tcPr>
            <w:tcW w:w="3810" w:type="pct"/>
            <w:tcBorders>
              <w:tl2br w:val="nil"/>
              <w:tr2bl w:val="nil"/>
            </w:tcBorders>
            <w:noWrap w:val="0"/>
            <w:vAlign w:val="center"/>
          </w:tcPr>
          <w:p w14:paraId="1ECE22D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水土流失☑；沙漠化□；石漠化□；盐渍化□；生物入侵□；污染危害□；其他□</w:t>
            </w:r>
          </w:p>
        </w:tc>
      </w:tr>
      <w:tr w14:paraId="2B44D38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c>
          <w:tcPr>
            <w:tcW w:w="448" w:type="pct"/>
            <w:vMerge w:val="continue"/>
            <w:tcBorders>
              <w:tl2br w:val="nil"/>
              <w:tr2bl w:val="nil"/>
            </w:tcBorders>
            <w:noWrap w:val="0"/>
            <w:vAlign w:val="center"/>
          </w:tcPr>
          <w:p w14:paraId="1C723842">
            <w:pPr>
              <w:spacing w:line="300" w:lineRule="exact"/>
              <w:jc w:val="center"/>
              <w:rPr>
                <w:rFonts w:hint="default" w:ascii="Times New Roman" w:hAnsi="Times New Roman" w:eastAsia="华文中宋" w:cs="Times New Roman"/>
                <w:szCs w:val="21"/>
                <w:lang w:val="en-US" w:eastAsia="zh-CN"/>
              </w:rPr>
            </w:pPr>
          </w:p>
        </w:tc>
        <w:tc>
          <w:tcPr>
            <w:tcW w:w="741" w:type="pct"/>
            <w:tcBorders>
              <w:tl2br w:val="nil"/>
              <w:tr2bl w:val="nil"/>
            </w:tcBorders>
            <w:noWrap w:val="0"/>
            <w:vAlign w:val="center"/>
          </w:tcPr>
          <w:p w14:paraId="39FDEBA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评价内容</w:t>
            </w:r>
          </w:p>
        </w:tc>
        <w:tc>
          <w:tcPr>
            <w:tcW w:w="3810" w:type="pct"/>
            <w:tcBorders>
              <w:tl2br w:val="nil"/>
              <w:tr2bl w:val="nil"/>
            </w:tcBorders>
            <w:noWrap w:val="0"/>
            <w:vAlign w:val="center"/>
          </w:tcPr>
          <w:p w14:paraId="07D25F1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植被/植物群落☑；土地利用☑；生态系统☑；生物多样性□；重要物种□；生态敏感区□；其他□</w:t>
            </w:r>
          </w:p>
        </w:tc>
      </w:tr>
      <w:tr w14:paraId="19BAFB4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c>
          <w:tcPr>
            <w:tcW w:w="448" w:type="pct"/>
            <w:vMerge w:val="restart"/>
            <w:tcBorders>
              <w:tl2br w:val="nil"/>
              <w:tr2bl w:val="nil"/>
            </w:tcBorders>
            <w:noWrap w:val="0"/>
            <w:vAlign w:val="center"/>
          </w:tcPr>
          <w:p w14:paraId="6F8ED8C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生态影响预测与评价</w:t>
            </w:r>
          </w:p>
        </w:tc>
        <w:tc>
          <w:tcPr>
            <w:tcW w:w="741" w:type="pct"/>
            <w:tcBorders>
              <w:tl2br w:val="nil"/>
              <w:tr2bl w:val="nil"/>
            </w:tcBorders>
            <w:noWrap w:val="0"/>
            <w:vAlign w:val="center"/>
          </w:tcPr>
          <w:p w14:paraId="473DF1D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评价方法</w:t>
            </w:r>
          </w:p>
        </w:tc>
        <w:tc>
          <w:tcPr>
            <w:tcW w:w="3810" w:type="pct"/>
            <w:tcBorders>
              <w:tl2br w:val="nil"/>
              <w:tr2bl w:val="nil"/>
            </w:tcBorders>
            <w:noWrap w:val="0"/>
            <w:vAlign w:val="center"/>
          </w:tcPr>
          <w:p w14:paraId="16C21BF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定性</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；定性和定量</w:t>
            </w:r>
            <w:r>
              <w:rPr>
                <w:rFonts w:hint="eastAsia" w:ascii="Times New Roman" w:hAnsi="Times New Roman" w:eastAsia="华文中宋" w:cs="Times New Roman"/>
                <w:szCs w:val="21"/>
                <w:lang w:val="en-US" w:eastAsia="zh-CN"/>
              </w:rPr>
              <w:t>☑</w:t>
            </w:r>
          </w:p>
        </w:tc>
      </w:tr>
      <w:tr w14:paraId="6FDABFB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c>
          <w:tcPr>
            <w:tcW w:w="448" w:type="pct"/>
            <w:vMerge w:val="continue"/>
            <w:tcBorders>
              <w:tl2br w:val="nil"/>
              <w:tr2bl w:val="nil"/>
            </w:tcBorders>
            <w:noWrap w:val="0"/>
            <w:vAlign w:val="center"/>
          </w:tcPr>
          <w:p w14:paraId="328B67CD">
            <w:pPr>
              <w:spacing w:line="300" w:lineRule="exact"/>
              <w:jc w:val="center"/>
              <w:rPr>
                <w:rFonts w:hint="default" w:ascii="Times New Roman" w:hAnsi="Times New Roman" w:eastAsia="华文中宋" w:cs="Times New Roman"/>
                <w:szCs w:val="21"/>
                <w:lang w:val="en-US" w:eastAsia="zh-CN"/>
              </w:rPr>
            </w:pPr>
          </w:p>
        </w:tc>
        <w:tc>
          <w:tcPr>
            <w:tcW w:w="741" w:type="pct"/>
            <w:tcBorders>
              <w:tl2br w:val="nil"/>
              <w:tr2bl w:val="nil"/>
            </w:tcBorders>
            <w:noWrap w:val="0"/>
            <w:vAlign w:val="center"/>
          </w:tcPr>
          <w:p w14:paraId="0E058AA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评价内容</w:t>
            </w:r>
          </w:p>
        </w:tc>
        <w:tc>
          <w:tcPr>
            <w:tcW w:w="3810" w:type="pct"/>
            <w:tcBorders>
              <w:tl2br w:val="nil"/>
              <w:tr2bl w:val="nil"/>
            </w:tcBorders>
            <w:noWrap w:val="0"/>
            <w:vAlign w:val="center"/>
          </w:tcPr>
          <w:p w14:paraId="67D2B6C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植被/植物群落☑；土地利用☑；生态系统☑；生物多样性□；重要物种□；生态敏感区□；生物入侵风险□；其他□</w:t>
            </w:r>
          </w:p>
        </w:tc>
      </w:tr>
      <w:tr w14:paraId="133BEA8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c>
          <w:tcPr>
            <w:tcW w:w="448" w:type="pct"/>
            <w:vMerge w:val="restart"/>
            <w:tcBorders>
              <w:tl2br w:val="nil"/>
              <w:tr2bl w:val="nil"/>
            </w:tcBorders>
            <w:noWrap w:val="0"/>
            <w:vAlign w:val="center"/>
          </w:tcPr>
          <w:p w14:paraId="2B6860D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生态保护对策措施</w:t>
            </w:r>
          </w:p>
        </w:tc>
        <w:tc>
          <w:tcPr>
            <w:tcW w:w="741" w:type="pct"/>
            <w:tcBorders>
              <w:tl2br w:val="nil"/>
              <w:tr2bl w:val="nil"/>
            </w:tcBorders>
            <w:noWrap w:val="0"/>
            <w:vAlign w:val="center"/>
          </w:tcPr>
          <w:p w14:paraId="21A87C6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对策措施</w:t>
            </w:r>
          </w:p>
        </w:tc>
        <w:tc>
          <w:tcPr>
            <w:tcW w:w="3810" w:type="pct"/>
            <w:tcBorders>
              <w:tl2br w:val="nil"/>
              <w:tr2bl w:val="nil"/>
            </w:tcBorders>
            <w:noWrap w:val="0"/>
            <w:vAlign w:val="center"/>
          </w:tcPr>
          <w:p w14:paraId="68A1A93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避让☑；减缓□；生态修复☑；生态补偿□；科研□；其他□</w:t>
            </w:r>
          </w:p>
        </w:tc>
      </w:tr>
      <w:tr w14:paraId="4CD35F1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c>
          <w:tcPr>
            <w:tcW w:w="448" w:type="pct"/>
            <w:vMerge w:val="continue"/>
            <w:tcBorders>
              <w:tl2br w:val="nil"/>
              <w:tr2bl w:val="nil"/>
            </w:tcBorders>
            <w:noWrap w:val="0"/>
            <w:vAlign w:val="center"/>
          </w:tcPr>
          <w:p w14:paraId="54692C4C">
            <w:pPr>
              <w:spacing w:line="300" w:lineRule="exact"/>
              <w:jc w:val="center"/>
              <w:rPr>
                <w:rFonts w:hint="default" w:ascii="Times New Roman" w:hAnsi="Times New Roman" w:eastAsia="华文中宋" w:cs="Times New Roman"/>
                <w:szCs w:val="21"/>
                <w:lang w:val="en-US" w:eastAsia="zh-CN"/>
              </w:rPr>
            </w:pPr>
          </w:p>
        </w:tc>
        <w:tc>
          <w:tcPr>
            <w:tcW w:w="741" w:type="pct"/>
            <w:tcBorders>
              <w:tl2br w:val="nil"/>
              <w:tr2bl w:val="nil"/>
            </w:tcBorders>
            <w:noWrap w:val="0"/>
            <w:vAlign w:val="center"/>
          </w:tcPr>
          <w:p w14:paraId="01B983D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生态监测计划</w:t>
            </w:r>
          </w:p>
        </w:tc>
        <w:tc>
          <w:tcPr>
            <w:tcW w:w="3810" w:type="pct"/>
            <w:tcBorders>
              <w:tl2br w:val="nil"/>
              <w:tr2bl w:val="nil"/>
            </w:tcBorders>
            <w:noWrap w:val="0"/>
            <w:vAlign w:val="center"/>
          </w:tcPr>
          <w:p w14:paraId="7B4B3F1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全生命周期☑；长期跟踪□；常规□；无□</w:t>
            </w:r>
          </w:p>
        </w:tc>
      </w:tr>
      <w:tr w14:paraId="2C2288B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c>
          <w:tcPr>
            <w:tcW w:w="448" w:type="pct"/>
            <w:vMerge w:val="continue"/>
            <w:tcBorders>
              <w:tl2br w:val="nil"/>
              <w:tr2bl w:val="nil"/>
            </w:tcBorders>
            <w:noWrap w:val="0"/>
            <w:vAlign w:val="center"/>
          </w:tcPr>
          <w:p w14:paraId="7F393F3E">
            <w:pPr>
              <w:spacing w:line="300" w:lineRule="exact"/>
              <w:jc w:val="center"/>
              <w:rPr>
                <w:rFonts w:hint="default" w:ascii="Times New Roman" w:hAnsi="Times New Roman" w:eastAsia="华文中宋" w:cs="Times New Roman"/>
                <w:szCs w:val="21"/>
                <w:lang w:val="en-US" w:eastAsia="zh-CN"/>
              </w:rPr>
            </w:pPr>
          </w:p>
        </w:tc>
        <w:tc>
          <w:tcPr>
            <w:tcW w:w="741" w:type="pct"/>
            <w:tcBorders>
              <w:tl2br w:val="nil"/>
              <w:tr2bl w:val="nil"/>
            </w:tcBorders>
            <w:noWrap w:val="0"/>
            <w:vAlign w:val="center"/>
          </w:tcPr>
          <w:p w14:paraId="33B1907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环境管理</w:t>
            </w:r>
          </w:p>
        </w:tc>
        <w:tc>
          <w:tcPr>
            <w:tcW w:w="3810" w:type="pct"/>
            <w:tcBorders>
              <w:tl2br w:val="nil"/>
              <w:tr2bl w:val="nil"/>
            </w:tcBorders>
            <w:noWrap w:val="0"/>
            <w:vAlign w:val="center"/>
          </w:tcPr>
          <w:p w14:paraId="061FC67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环境监理</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；环境影响后评价□；其他□</w:t>
            </w:r>
          </w:p>
        </w:tc>
      </w:tr>
      <w:tr w14:paraId="48A09B0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c>
          <w:tcPr>
            <w:tcW w:w="448" w:type="pct"/>
            <w:tcBorders>
              <w:tl2br w:val="nil"/>
              <w:tr2bl w:val="nil"/>
            </w:tcBorders>
            <w:noWrap w:val="0"/>
            <w:vAlign w:val="center"/>
          </w:tcPr>
          <w:p w14:paraId="4115A8A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评价结论</w:t>
            </w:r>
          </w:p>
        </w:tc>
        <w:tc>
          <w:tcPr>
            <w:tcW w:w="741" w:type="pct"/>
            <w:tcBorders>
              <w:tl2br w:val="nil"/>
              <w:tr2bl w:val="nil"/>
            </w:tcBorders>
            <w:noWrap w:val="0"/>
            <w:vAlign w:val="center"/>
          </w:tcPr>
          <w:p w14:paraId="6E9AACB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生态影响</w:t>
            </w:r>
          </w:p>
        </w:tc>
        <w:tc>
          <w:tcPr>
            <w:tcW w:w="3810" w:type="pct"/>
            <w:tcBorders>
              <w:tl2br w:val="nil"/>
              <w:tr2bl w:val="nil"/>
            </w:tcBorders>
            <w:noWrap w:val="0"/>
            <w:vAlign w:val="center"/>
          </w:tcPr>
          <w:p w14:paraId="198CEED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可行☑；不可行□</w:t>
            </w:r>
          </w:p>
        </w:tc>
      </w:tr>
      <w:tr w14:paraId="3149E34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c>
          <w:tcPr>
            <w:tcW w:w="5000" w:type="pct"/>
            <w:gridSpan w:val="3"/>
            <w:tcBorders>
              <w:tl2br w:val="nil"/>
              <w:tr2bl w:val="nil"/>
            </w:tcBorders>
            <w:noWrap w:val="0"/>
            <w:vAlign w:val="center"/>
          </w:tcPr>
          <w:p w14:paraId="555FB41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注：“□”为勾选项，可√；“（）”为内容填写项。</w:t>
            </w:r>
          </w:p>
        </w:tc>
      </w:tr>
    </w:tbl>
    <w:p w14:paraId="57749527">
      <w:pPr>
        <w:pStyle w:val="4"/>
        <w:spacing w:before="120" w:after="120" w:line="500" w:lineRule="exact"/>
        <w:rPr>
          <w:rFonts w:hint="default" w:ascii="Times New Roman" w:hAnsi="Times New Roman" w:eastAsia="华文中宋" w:cs="Times New Roman"/>
          <w:kern w:val="0"/>
          <w:sz w:val="24"/>
          <w:szCs w:val="24"/>
          <w:lang w:val="en-US" w:eastAsia="zh-CN"/>
        </w:rPr>
      </w:pPr>
      <w:bookmarkStart w:id="190" w:name="_Toc11463"/>
      <w:r>
        <w:rPr>
          <w:rFonts w:hint="default" w:ascii="Times New Roman" w:hAnsi="Times New Roman" w:eastAsia="华文中宋" w:cs="Times New Roman"/>
          <w:kern w:val="0"/>
          <w:sz w:val="24"/>
          <w:szCs w:val="24"/>
          <w:lang w:val="en-US" w:eastAsia="zh-CN"/>
        </w:rPr>
        <w:t>5.2.8环境风险评价</w:t>
      </w:r>
      <w:bookmarkEnd w:id="190"/>
    </w:p>
    <w:p w14:paraId="63A6CD5B">
      <w:pPr>
        <w:pStyle w:val="24"/>
        <w:snapToGrid w:val="0"/>
        <w:ind w:left="0" w:leftChars="0" w:firstLine="0" w:firstLineChars="0"/>
        <w:jc w:val="left"/>
        <w:rPr>
          <w:rFonts w:hint="default" w:ascii="Times New Roman" w:hAnsi="Times New Roman" w:eastAsia="华文中宋" w:cs="Times New Roman"/>
          <w:b/>
          <w:bCs/>
          <w:color w:val="auto"/>
          <w:lang w:val="en-US" w:eastAsia="zh-CN"/>
        </w:rPr>
      </w:pPr>
      <w:r>
        <w:rPr>
          <w:rFonts w:hint="eastAsia" w:ascii="Times New Roman" w:hAnsi="Times New Roman" w:cs="Times New Roman"/>
          <w:b/>
          <w:bCs/>
          <w:color w:val="auto"/>
          <w:lang w:val="en-US" w:eastAsia="zh-CN"/>
        </w:rPr>
        <w:t>5.2.8.1</w:t>
      </w:r>
      <w:r>
        <w:rPr>
          <w:rFonts w:hint="default" w:ascii="Times New Roman" w:hAnsi="Times New Roman" w:eastAsia="华文中宋" w:cs="Times New Roman"/>
          <w:b/>
          <w:bCs/>
          <w:color w:val="auto"/>
          <w:lang w:val="en-US" w:eastAsia="zh-CN"/>
        </w:rPr>
        <w:t>评价依据</w:t>
      </w:r>
    </w:p>
    <w:p w14:paraId="639FF143">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（1）</w:t>
      </w:r>
      <w:r>
        <w:rPr>
          <w:rFonts w:hint="default" w:ascii="Times New Roman" w:hAnsi="Times New Roman" w:eastAsia="华文中宋" w:cs="Times New Roman"/>
          <w:color w:val="auto"/>
          <w:lang w:val="en-US" w:eastAsia="zh-CN"/>
        </w:rPr>
        <w:t>风险调查</w:t>
      </w:r>
    </w:p>
    <w:p w14:paraId="6C1874DF">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按照《建设项目环境风险评价技术导则》（HJ169-2018）的要求，环境风险评价应以突发性事故导致的危险物质环境急性损害防控为目标，对建设项目的环境风险进行分析、预测和评估，提出环境风险预防、控制、减缓措施，明确环境风险监控及应急要求，为建设项目环境风险防控提供科学依据。</w:t>
      </w:r>
    </w:p>
    <w:p w14:paraId="1381CECF">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根据《建设项目环境风险评价技术导则》（HJ169-2018）的要求，本项目运行过程中涉及的危险物质为矿物质油（润滑油），则本项目此次环境风险评价针对柴油和矿物质油泄</w:t>
      </w:r>
      <w:r>
        <w:rPr>
          <w:rFonts w:hint="eastAsia" w:ascii="Times New Roman" w:hAnsi="Times New Roman" w:cs="Times New Roman"/>
          <w:color w:val="auto"/>
          <w:lang w:val="en-US" w:eastAsia="zh-CN"/>
        </w:rPr>
        <w:t>漏</w:t>
      </w:r>
      <w:r>
        <w:rPr>
          <w:rFonts w:hint="default" w:ascii="Times New Roman" w:hAnsi="Times New Roman" w:eastAsia="华文中宋" w:cs="Times New Roman"/>
          <w:color w:val="auto"/>
          <w:lang w:val="en-US" w:eastAsia="zh-CN"/>
        </w:rPr>
        <w:t>等环境风险事故的环境影响进行。</w:t>
      </w:r>
    </w:p>
    <w:p w14:paraId="32160322">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项目所涉及的主要危险化学品的理化性质见表5.2-</w:t>
      </w:r>
      <w:r>
        <w:rPr>
          <w:rFonts w:hint="eastAsia" w:ascii="Times New Roman" w:hAnsi="Times New Roman" w:cs="Times New Roman"/>
          <w:color w:val="auto"/>
          <w:lang w:val="en-US" w:eastAsia="zh-CN"/>
        </w:rPr>
        <w:t>36</w:t>
      </w:r>
      <w:r>
        <w:rPr>
          <w:rFonts w:hint="default" w:ascii="Times New Roman" w:hAnsi="Times New Roman" w:eastAsia="华文中宋" w:cs="Times New Roman"/>
          <w:color w:val="auto"/>
          <w:lang w:val="en-US" w:eastAsia="zh-CN"/>
        </w:rPr>
        <w:t>。</w:t>
      </w:r>
    </w:p>
    <w:p w14:paraId="494D4406">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表5.2-</w:t>
      </w:r>
      <w:r>
        <w:rPr>
          <w:rFonts w:hint="eastAsia" w:ascii="Times New Roman" w:hAnsi="Times New Roman" w:eastAsia="华文中宋" w:cs="Times New Roman"/>
          <w:b/>
          <w:szCs w:val="21"/>
          <w:lang w:val="en-US" w:eastAsia="zh-CN"/>
        </w:rPr>
        <w:t>36</w:t>
      </w:r>
      <w:r>
        <w:rPr>
          <w:rFonts w:hint="default" w:ascii="Times New Roman" w:hAnsi="Times New Roman" w:eastAsia="华文中宋" w:cs="Times New Roman"/>
          <w:b/>
          <w:szCs w:val="21"/>
          <w:lang w:val="en-US" w:eastAsia="zh-CN"/>
        </w:rPr>
        <w:t xml:space="preserve">  润滑油的理化性质及危险特性表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0" w:type="dxa"/>
          <w:bottom w:w="0" w:type="dxa"/>
          <w:right w:w="0" w:type="dxa"/>
        </w:tblCellMar>
      </w:tblPr>
      <w:tblGrid>
        <w:gridCol w:w="657"/>
        <w:gridCol w:w="1303"/>
        <w:gridCol w:w="948"/>
        <w:gridCol w:w="668"/>
        <w:gridCol w:w="938"/>
        <w:gridCol w:w="1046"/>
        <w:gridCol w:w="155"/>
        <w:gridCol w:w="1338"/>
        <w:gridCol w:w="1260"/>
      </w:tblGrid>
      <w:tr w14:paraId="6DEC0DB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5" w:type="pct"/>
            <w:vMerge w:val="restart"/>
            <w:tcBorders>
              <w:tl2br w:val="nil"/>
              <w:tr2bl w:val="nil"/>
            </w:tcBorders>
            <w:noWrap w:val="0"/>
            <w:vAlign w:val="center"/>
          </w:tcPr>
          <w:p w14:paraId="720A1940">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标识</w:t>
            </w:r>
          </w:p>
        </w:tc>
        <w:tc>
          <w:tcPr>
            <w:tcW w:w="784" w:type="pct"/>
            <w:tcBorders>
              <w:tl2br w:val="nil"/>
              <w:tr2bl w:val="nil"/>
            </w:tcBorders>
            <w:noWrap w:val="0"/>
            <w:vAlign w:val="center"/>
          </w:tcPr>
          <w:p w14:paraId="646B7E8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中文名</w:t>
            </w:r>
          </w:p>
        </w:tc>
        <w:tc>
          <w:tcPr>
            <w:tcW w:w="570" w:type="pct"/>
            <w:tcBorders>
              <w:tl2br w:val="nil"/>
              <w:tr2bl w:val="nil"/>
            </w:tcBorders>
            <w:noWrap w:val="0"/>
            <w:vAlign w:val="center"/>
          </w:tcPr>
          <w:p w14:paraId="4298625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矿物油；润滑油</w:t>
            </w:r>
          </w:p>
        </w:tc>
        <w:tc>
          <w:tcPr>
            <w:tcW w:w="402" w:type="pct"/>
            <w:tcBorders>
              <w:tl2br w:val="nil"/>
              <w:tr2bl w:val="nil"/>
            </w:tcBorders>
            <w:noWrap w:val="0"/>
            <w:vAlign w:val="center"/>
          </w:tcPr>
          <w:p w14:paraId="61531807">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英文名</w:t>
            </w:r>
          </w:p>
        </w:tc>
        <w:tc>
          <w:tcPr>
            <w:tcW w:w="1193" w:type="pct"/>
            <w:gridSpan w:val="2"/>
            <w:tcBorders>
              <w:tl2br w:val="nil"/>
              <w:tr2bl w:val="nil"/>
            </w:tcBorders>
            <w:noWrap w:val="0"/>
            <w:vAlign w:val="center"/>
          </w:tcPr>
          <w:p w14:paraId="799D49C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lubricatingoil</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Lubeoil</w:t>
            </w:r>
          </w:p>
        </w:tc>
        <w:tc>
          <w:tcPr>
            <w:tcW w:w="896" w:type="pct"/>
            <w:gridSpan w:val="2"/>
            <w:tcBorders>
              <w:tl2br w:val="nil"/>
              <w:tr2bl w:val="nil"/>
            </w:tcBorders>
            <w:noWrap w:val="0"/>
            <w:vAlign w:val="center"/>
          </w:tcPr>
          <w:p w14:paraId="6FED6E0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危险货物编号</w:t>
            </w:r>
          </w:p>
        </w:tc>
        <w:tc>
          <w:tcPr>
            <w:tcW w:w="756" w:type="pct"/>
            <w:tcBorders>
              <w:tl2br w:val="nil"/>
              <w:tr2bl w:val="nil"/>
            </w:tcBorders>
            <w:noWrap w:val="0"/>
            <w:vAlign w:val="center"/>
          </w:tcPr>
          <w:p w14:paraId="2390B92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w:t>
            </w:r>
          </w:p>
        </w:tc>
      </w:tr>
      <w:tr w14:paraId="3DD0D4E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5" w:type="pct"/>
            <w:vMerge w:val="continue"/>
            <w:tcBorders>
              <w:tl2br w:val="nil"/>
              <w:tr2bl w:val="nil"/>
            </w:tcBorders>
            <w:noWrap w:val="0"/>
            <w:vAlign w:val="center"/>
          </w:tcPr>
          <w:p w14:paraId="3E7479FA">
            <w:pPr>
              <w:spacing w:line="300" w:lineRule="exact"/>
              <w:jc w:val="center"/>
              <w:rPr>
                <w:rFonts w:hint="default" w:ascii="Times New Roman" w:hAnsi="Times New Roman" w:eastAsia="华文中宋" w:cs="Times New Roman"/>
                <w:szCs w:val="21"/>
              </w:rPr>
            </w:pPr>
          </w:p>
        </w:tc>
        <w:tc>
          <w:tcPr>
            <w:tcW w:w="784" w:type="pct"/>
            <w:tcBorders>
              <w:tl2br w:val="nil"/>
              <w:tr2bl w:val="nil"/>
            </w:tcBorders>
            <w:noWrap w:val="0"/>
            <w:vAlign w:val="center"/>
          </w:tcPr>
          <w:p w14:paraId="51C93FC3">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分子式</w:t>
            </w:r>
          </w:p>
        </w:tc>
        <w:tc>
          <w:tcPr>
            <w:tcW w:w="570" w:type="pct"/>
            <w:tcBorders>
              <w:tl2br w:val="nil"/>
              <w:tr2bl w:val="nil"/>
            </w:tcBorders>
            <w:noWrap w:val="0"/>
            <w:vAlign w:val="center"/>
          </w:tcPr>
          <w:p w14:paraId="71B4CD3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w:t>
            </w:r>
          </w:p>
        </w:tc>
        <w:tc>
          <w:tcPr>
            <w:tcW w:w="402" w:type="pct"/>
            <w:tcBorders>
              <w:tl2br w:val="nil"/>
              <w:tr2bl w:val="nil"/>
            </w:tcBorders>
            <w:noWrap w:val="0"/>
            <w:vAlign w:val="center"/>
          </w:tcPr>
          <w:p w14:paraId="41F17CE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分子量</w:t>
            </w:r>
          </w:p>
        </w:tc>
        <w:tc>
          <w:tcPr>
            <w:tcW w:w="1193" w:type="pct"/>
            <w:gridSpan w:val="2"/>
            <w:tcBorders>
              <w:tl2br w:val="nil"/>
              <w:tr2bl w:val="nil"/>
            </w:tcBorders>
            <w:noWrap w:val="0"/>
            <w:vAlign w:val="center"/>
          </w:tcPr>
          <w:p w14:paraId="5BB8E93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230</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500</w:t>
            </w:r>
          </w:p>
        </w:tc>
        <w:tc>
          <w:tcPr>
            <w:tcW w:w="896" w:type="pct"/>
            <w:gridSpan w:val="2"/>
            <w:tcBorders>
              <w:tl2br w:val="nil"/>
              <w:tr2bl w:val="nil"/>
            </w:tcBorders>
            <w:noWrap w:val="0"/>
            <w:vAlign w:val="center"/>
          </w:tcPr>
          <w:p w14:paraId="797CF18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CAS编号</w:t>
            </w:r>
          </w:p>
        </w:tc>
        <w:tc>
          <w:tcPr>
            <w:tcW w:w="756" w:type="pct"/>
            <w:tcBorders>
              <w:tl2br w:val="nil"/>
              <w:tr2bl w:val="nil"/>
            </w:tcBorders>
            <w:noWrap w:val="0"/>
            <w:vAlign w:val="center"/>
          </w:tcPr>
          <w:p w14:paraId="6E4C5023">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w:t>
            </w:r>
          </w:p>
        </w:tc>
      </w:tr>
      <w:tr w14:paraId="21648B6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5" w:type="pct"/>
            <w:vMerge w:val="continue"/>
            <w:tcBorders>
              <w:tl2br w:val="nil"/>
              <w:tr2bl w:val="nil"/>
            </w:tcBorders>
            <w:noWrap w:val="0"/>
            <w:vAlign w:val="center"/>
          </w:tcPr>
          <w:p w14:paraId="685D4EB2">
            <w:pPr>
              <w:spacing w:line="300" w:lineRule="exact"/>
              <w:jc w:val="center"/>
              <w:rPr>
                <w:rFonts w:hint="default" w:ascii="Times New Roman" w:hAnsi="Times New Roman" w:eastAsia="华文中宋" w:cs="Times New Roman"/>
                <w:szCs w:val="21"/>
              </w:rPr>
            </w:pPr>
          </w:p>
        </w:tc>
        <w:tc>
          <w:tcPr>
            <w:tcW w:w="784" w:type="pct"/>
            <w:tcBorders>
              <w:tl2br w:val="nil"/>
              <w:tr2bl w:val="nil"/>
            </w:tcBorders>
            <w:noWrap w:val="0"/>
            <w:vAlign w:val="center"/>
          </w:tcPr>
          <w:p w14:paraId="0792B88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危险类别</w:t>
            </w:r>
          </w:p>
        </w:tc>
        <w:tc>
          <w:tcPr>
            <w:tcW w:w="3820" w:type="pct"/>
            <w:gridSpan w:val="7"/>
            <w:tcBorders>
              <w:tl2br w:val="nil"/>
              <w:tr2bl w:val="nil"/>
            </w:tcBorders>
            <w:noWrap w:val="0"/>
            <w:vAlign w:val="center"/>
          </w:tcPr>
          <w:p w14:paraId="2D9D452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w:t>
            </w:r>
          </w:p>
        </w:tc>
      </w:tr>
      <w:tr w14:paraId="27A15DA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5" w:type="pct"/>
            <w:vMerge w:val="restart"/>
            <w:tcBorders>
              <w:tl2br w:val="nil"/>
              <w:tr2bl w:val="nil"/>
            </w:tcBorders>
            <w:noWrap w:val="0"/>
            <w:vAlign w:val="center"/>
          </w:tcPr>
          <w:p w14:paraId="3220EEC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理化性质</w:t>
            </w:r>
          </w:p>
        </w:tc>
        <w:tc>
          <w:tcPr>
            <w:tcW w:w="784" w:type="pct"/>
            <w:tcBorders>
              <w:tl2br w:val="nil"/>
              <w:tr2bl w:val="nil"/>
            </w:tcBorders>
            <w:noWrap w:val="0"/>
            <w:vAlign w:val="center"/>
          </w:tcPr>
          <w:p w14:paraId="460E5550">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性状</w:t>
            </w:r>
          </w:p>
        </w:tc>
        <w:tc>
          <w:tcPr>
            <w:tcW w:w="3820" w:type="pct"/>
            <w:gridSpan w:val="7"/>
            <w:tcBorders>
              <w:tl2br w:val="nil"/>
              <w:tr2bl w:val="nil"/>
            </w:tcBorders>
            <w:noWrap w:val="0"/>
            <w:vAlign w:val="center"/>
          </w:tcPr>
          <w:p w14:paraId="3DB3138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油状液体，淡黄色至褐色，无气味或略带异味。</w:t>
            </w:r>
          </w:p>
        </w:tc>
      </w:tr>
      <w:tr w14:paraId="3C8DBBF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5" w:type="pct"/>
            <w:vMerge w:val="continue"/>
            <w:tcBorders>
              <w:tl2br w:val="nil"/>
              <w:tr2bl w:val="nil"/>
            </w:tcBorders>
            <w:noWrap w:val="0"/>
            <w:vAlign w:val="center"/>
          </w:tcPr>
          <w:p w14:paraId="2A91FD8A">
            <w:pPr>
              <w:spacing w:line="300" w:lineRule="exact"/>
              <w:jc w:val="center"/>
              <w:rPr>
                <w:rFonts w:hint="default" w:ascii="Times New Roman" w:hAnsi="Times New Roman" w:eastAsia="华文中宋" w:cs="Times New Roman"/>
                <w:szCs w:val="21"/>
              </w:rPr>
            </w:pPr>
          </w:p>
        </w:tc>
        <w:tc>
          <w:tcPr>
            <w:tcW w:w="784" w:type="pct"/>
            <w:tcBorders>
              <w:tl2br w:val="nil"/>
              <w:tr2bl w:val="nil"/>
            </w:tcBorders>
            <w:noWrap w:val="0"/>
            <w:vAlign w:val="center"/>
          </w:tcPr>
          <w:p w14:paraId="7EEC32C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熔点（℃）</w:t>
            </w:r>
          </w:p>
        </w:tc>
        <w:tc>
          <w:tcPr>
            <w:tcW w:w="1536" w:type="pct"/>
            <w:gridSpan w:val="3"/>
            <w:tcBorders>
              <w:tl2br w:val="nil"/>
              <w:tr2bl w:val="nil"/>
            </w:tcBorders>
            <w:noWrap w:val="0"/>
            <w:vAlign w:val="center"/>
          </w:tcPr>
          <w:p w14:paraId="36C169B3">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w:t>
            </w:r>
          </w:p>
        </w:tc>
        <w:tc>
          <w:tcPr>
            <w:tcW w:w="1527" w:type="pct"/>
            <w:gridSpan w:val="3"/>
            <w:tcBorders>
              <w:tl2br w:val="nil"/>
              <w:tr2bl w:val="nil"/>
            </w:tcBorders>
            <w:noWrap w:val="0"/>
            <w:vAlign w:val="center"/>
          </w:tcPr>
          <w:p w14:paraId="46CF209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临界压力（Mpa）</w:t>
            </w:r>
          </w:p>
        </w:tc>
        <w:tc>
          <w:tcPr>
            <w:tcW w:w="756" w:type="pct"/>
            <w:tcBorders>
              <w:tl2br w:val="nil"/>
              <w:tr2bl w:val="nil"/>
            </w:tcBorders>
            <w:noWrap w:val="0"/>
            <w:vAlign w:val="center"/>
          </w:tcPr>
          <w:p w14:paraId="21508CB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w:t>
            </w:r>
          </w:p>
        </w:tc>
      </w:tr>
      <w:tr w14:paraId="7C43D57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5" w:type="pct"/>
            <w:vMerge w:val="continue"/>
            <w:tcBorders>
              <w:tl2br w:val="nil"/>
              <w:tr2bl w:val="nil"/>
            </w:tcBorders>
            <w:noWrap w:val="0"/>
            <w:vAlign w:val="center"/>
          </w:tcPr>
          <w:p w14:paraId="7320F9B8">
            <w:pPr>
              <w:spacing w:line="300" w:lineRule="exact"/>
              <w:jc w:val="center"/>
              <w:rPr>
                <w:rFonts w:hint="default" w:ascii="Times New Roman" w:hAnsi="Times New Roman" w:eastAsia="华文中宋" w:cs="Times New Roman"/>
                <w:szCs w:val="21"/>
              </w:rPr>
            </w:pPr>
          </w:p>
        </w:tc>
        <w:tc>
          <w:tcPr>
            <w:tcW w:w="784" w:type="pct"/>
            <w:tcBorders>
              <w:tl2br w:val="nil"/>
              <w:tr2bl w:val="nil"/>
            </w:tcBorders>
            <w:noWrap w:val="0"/>
            <w:vAlign w:val="center"/>
          </w:tcPr>
          <w:p w14:paraId="2D88C16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沸点（℃）</w:t>
            </w:r>
          </w:p>
        </w:tc>
        <w:tc>
          <w:tcPr>
            <w:tcW w:w="1536" w:type="pct"/>
            <w:gridSpan w:val="3"/>
            <w:tcBorders>
              <w:tl2br w:val="nil"/>
              <w:tr2bl w:val="nil"/>
            </w:tcBorders>
            <w:noWrap w:val="0"/>
            <w:vAlign w:val="center"/>
          </w:tcPr>
          <w:p w14:paraId="284472F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w:t>
            </w:r>
          </w:p>
        </w:tc>
        <w:tc>
          <w:tcPr>
            <w:tcW w:w="1527" w:type="pct"/>
            <w:gridSpan w:val="3"/>
            <w:tcBorders>
              <w:tl2br w:val="nil"/>
              <w:tr2bl w:val="nil"/>
            </w:tcBorders>
            <w:noWrap w:val="0"/>
            <w:vAlign w:val="center"/>
          </w:tcPr>
          <w:p w14:paraId="74E32C3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相对密度（水＝1）</w:t>
            </w:r>
          </w:p>
        </w:tc>
        <w:tc>
          <w:tcPr>
            <w:tcW w:w="756" w:type="pct"/>
            <w:tcBorders>
              <w:tl2br w:val="nil"/>
              <w:tr2bl w:val="nil"/>
            </w:tcBorders>
            <w:noWrap w:val="0"/>
            <w:vAlign w:val="center"/>
          </w:tcPr>
          <w:p w14:paraId="41C34BA3">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eastAsia="zh-CN"/>
              </w:rPr>
              <w:t>&lt;</w:t>
            </w:r>
            <w:r>
              <w:rPr>
                <w:rFonts w:hint="default" w:ascii="Times New Roman" w:hAnsi="Times New Roman" w:eastAsia="华文中宋" w:cs="Times New Roman"/>
                <w:szCs w:val="21"/>
              </w:rPr>
              <w:t>1</w:t>
            </w:r>
          </w:p>
        </w:tc>
      </w:tr>
      <w:tr w14:paraId="2C45F24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5" w:type="pct"/>
            <w:vMerge w:val="continue"/>
            <w:tcBorders>
              <w:tl2br w:val="nil"/>
              <w:tr2bl w:val="nil"/>
            </w:tcBorders>
            <w:noWrap w:val="0"/>
            <w:vAlign w:val="center"/>
          </w:tcPr>
          <w:p w14:paraId="4F53B5E6">
            <w:pPr>
              <w:spacing w:line="300" w:lineRule="exact"/>
              <w:jc w:val="center"/>
              <w:rPr>
                <w:rFonts w:hint="default" w:ascii="Times New Roman" w:hAnsi="Times New Roman" w:eastAsia="华文中宋" w:cs="Times New Roman"/>
                <w:szCs w:val="21"/>
              </w:rPr>
            </w:pPr>
          </w:p>
        </w:tc>
        <w:tc>
          <w:tcPr>
            <w:tcW w:w="784" w:type="pct"/>
            <w:tcBorders>
              <w:tl2br w:val="nil"/>
              <w:tr2bl w:val="nil"/>
            </w:tcBorders>
            <w:noWrap w:val="0"/>
            <w:vAlign w:val="center"/>
          </w:tcPr>
          <w:p w14:paraId="2ED803FF">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饱和蒸汽压</w:t>
            </w:r>
          </w:p>
          <w:p w14:paraId="418B687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kpa</w:t>
            </w:r>
            <w:r>
              <w:rPr>
                <w:rFonts w:hint="default" w:ascii="Times New Roman" w:hAnsi="Times New Roman" w:eastAsia="华文中宋" w:cs="Times New Roman"/>
                <w:szCs w:val="21"/>
                <w:lang w:eastAsia="zh-CN"/>
              </w:rPr>
              <w:t>)</w:t>
            </w:r>
          </w:p>
        </w:tc>
        <w:tc>
          <w:tcPr>
            <w:tcW w:w="1536" w:type="pct"/>
            <w:gridSpan w:val="3"/>
            <w:tcBorders>
              <w:tl2br w:val="nil"/>
              <w:tr2bl w:val="nil"/>
            </w:tcBorders>
            <w:noWrap w:val="0"/>
            <w:vAlign w:val="center"/>
          </w:tcPr>
          <w:p w14:paraId="4DE0398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w:t>
            </w:r>
          </w:p>
        </w:tc>
        <w:tc>
          <w:tcPr>
            <w:tcW w:w="1527" w:type="pct"/>
            <w:gridSpan w:val="3"/>
            <w:tcBorders>
              <w:tl2br w:val="nil"/>
              <w:tr2bl w:val="nil"/>
            </w:tcBorders>
            <w:noWrap w:val="0"/>
            <w:vAlign w:val="center"/>
          </w:tcPr>
          <w:p w14:paraId="7889C077">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相对密度（空气＝1）</w:t>
            </w:r>
          </w:p>
        </w:tc>
        <w:tc>
          <w:tcPr>
            <w:tcW w:w="756" w:type="pct"/>
            <w:tcBorders>
              <w:tl2br w:val="nil"/>
              <w:tr2bl w:val="nil"/>
            </w:tcBorders>
            <w:noWrap w:val="0"/>
            <w:vAlign w:val="center"/>
          </w:tcPr>
          <w:p w14:paraId="3A4FFD8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w:t>
            </w:r>
          </w:p>
        </w:tc>
      </w:tr>
      <w:tr w14:paraId="3F4D03E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5" w:type="pct"/>
            <w:vMerge w:val="continue"/>
            <w:tcBorders>
              <w:tl2br w:val="nil"/>
              <w:tr2bl w:val="nil"/>
            </w:tcBorders>
            <w:noWrap w:val="0"/>
            <w:vAlign w:val="center"/>
          </w:tcPr>
          <w:p w14:paraId="64B55B6D">
            <w:pPr>
              <w:spacing w:line="300" w:lineRule="exact"/>
              <w:jc w:val="center"/>
              <w:rPr>
                <w:rFonts w:hint="default" w:ascii="Times New Roman" w:hAnsi="Times New Roman" w:eastAsia="华文中宋" w:cs="Times New Roman"/>
                <w:szCs w:val="21"/>
              </w:rPr>
            </w:pPr>
          </w:p>
        </w:tc>
        <w:tc>
          <w:tcPr>
            <w:tcW w:w="784" w:type="pct"/>
            <w:tcBorders>
              <w:tl2br w:val="nil"/>
              <w:tr2bl w:val="nil"/>
            </w:tcBorders>
            <w:noWrap w:val="0"/>
            <w:vAlign w:val="center"/>
          </w:tcPr>
          <w:p w14:paraId="400A42A7">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临界温度（℃）</w:t>
            </w:r>
          </w:p>
        </w:tc>
        <w:tc>
          <w:tcPr>
            <w:tcW w:w="1536" w:type="pct"/>
            <w:gridSpan w:val="3"/>
            <w:tcBorders>
              <w:tl2br w:val="nil"/>
              <w:tr2bl w:val="nil"/>
            </w:tcBorders>
            <w:noWrap w:val="0"/>
            <w:vAlign w:val="center"/>
          </w:tcPr>
          <w:p w14:paraId="10996D4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w:t>
            </w:r>
          </w:p>
        </w:tc>
        <w:tc>
          <w:tcPr>
            <w:tcW w:w="1527" w:type="pct"/>
            <w:gridSpan w:val="3"/>
            <w:tcBorders>
              <w:tl2br w:val="nil"/>
              <w:tr2bl w:val="nil"/>
            </w:tcBorders>
            <w:noWrap w:val="0"/>
            <w:vAlign w:val="center"/>
          </w:tcPr>
          <w:p w14:paraId="115E543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燃烧热（KJ·mol-1）</w:t>
            </w:r>
          </w:p>
        </w:tc>
        <w:tc>
          <w:tcPr>
            <w:tcW w:w="756" w:type="pct"/>
            <w:tcBorders>
              <w:tl2br w:val="nil"/>
              <w:tr2bl w:val="nil"/>
            </w:tcBorders>
            <w:noWrap w:val="0"/>
            <w:vAlign w:val="center"/>
          </w:tcPr>
          <w:p w14:paraId="5E45554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w:t>
            </w:r>
          </w:p>
        </w:tc>
      </w:tr>
      <w:tr w14:paraId="51C555F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5" w:type="pct"/>
            <w:vMerge w:val="continue"/>
            <w:tcBorders>
              <w:tl2br w:val="nil"/>
              <w:tr2bl w:val="nil"/>
            </w:tcBorders>
            <w:noWrap w:val="0"/>
            <w:vAlign w:val="center"/>
          </w:tcPr>
          <w:p w14:paraId="174F9352">
            <w:pPr>
              <w:spacing w:line="300" w:lineRule="exact"/>
              <w:jc w:val="center"/>
              <w:rPr>
                <w:rFonts w:hint="default" w:ascii="Times New Roman" w:hAnsi="Times New Roman" w:eastAsia="华文中宋" w:cs="Times New Roman"/>
                <w:szCs w:val="21"/>
              </w:rPr>
            </w:pPr>
          </w:p>
        </w:tc>
        <w:tc>
          <w:tcPr>
            <w:tcW w:w="784" w:type="pct"/>
            <w:tcBorders>
              <w:tl2br w:val="nil"/>
              <w:tr2bl w:val="nil"/>
            </w:tcBorders>
            <w:noWrap w:val="0"/>
            <w:vAlign w:val="center"/>
          </w:tcPr>
          <w:p w14:paraId="382C592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溶解性</w:t>
            </w:r>
          </w:p>
        </w:tc>
        <w:tc>
          <w:tcPr>
            <w:tcW w:w="3820" w:type="pct"/>
            <w:gridSpan w:val="7"/>
            <w:tcBorders>
              <w:tl2br w:val="nil"/>
              <w:tr2bl w:val="nil"/>
            </w:tcBorders>
            <w:noWrap w:val="0"/>
            <w:vAlign w:val="center"/>
          </w:tcPr>
          <w:p w14:paraId="44378817">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不溶于水</w:t>
            </w:r>
          </w:p>
        </w:tc>
      </w:tr>
      <w:tr w14:paraId="09565B7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5" w:type="pct"/>
            <w:vMerge w:val="restart"/>
            <w:tcBorders>
              <w:tl2br w:val="nil"/>
              <w:tr2bl w:val="nil"/>
            </w:tcBorders>
            <w:noWrap w:val="0"/>
            <w:vAlign w:val="center"/>
          </w:tcPr>
          <w:p w14:paraId="5FF12DB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燃烧爆炸危险性</w:t>
            </w:r>
          </w:p>
        </w:tc>
        <w:tc>
          <w:tcPr>
            <w:tcW w:w="784" w:type="pct"/>
            <w:tcBorders>
              <w:tl2br w:val="nil"/>
              <w:tr2bl w:val="nil"/>
            </w:tcBorders>
            <w:noWrap w:val="0"/>
            <w:vAlign w:val="center"/>
          </w:tcPr>
          <w:p w14:paraId="636A04E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燃烧性</w:t>
            </w:r>
          </w:p>
        </w:tc>
        <w:tc>
          <w:tcPr>
            <w:tcW w:w="1536" w:type="pct"/>
            <w:gridSpan w:val="3"/>
            <w:tcBorders>
              <w:tl2br w:val="nil"/>
              <w:tr2bl w:val="nil"/>
            </w:tcBorders>
            <w:noWrap w:val="0"/>
            <w:vAlign w:val="center"/>
          </w:tcPr>
          <w:p w14:paraId="7E4B06E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可燃</w:t>
            </w:r>
          </w:p>
        </w:tc>
        <w:tc>
          <w:tcPr>
            <w:tcW w:w="1527" w:type="pct"/>
            <w:gridSpan w:val="3"/>
            <w:tcBorders>
              <w:tl2br w:val="nil"/>
              <w:tr2bl w:val="nil"/>
            </w:tcBorders>
            <w:noWrap w:val="0"/>
            <w:vAlign w:val="center"/>
          </w:tcPr>
          <w:p w14:paraId="44DF8CC0">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闪点（℃）</w:t>
            </w:r>
          </w:p>
        </w:tc>
        <w:tc>
          <w:tcPr>
            <w:tcW w:w="756" w:type="pct"/>
            <w:tcBorders>
              <w:tl2br w:val="nil"/>
              <w:tr2bl w:val="nil"/>
            </w:tcBorders>
            <w:noWrap w:val="0"/>
            <w:vAlign w:val="center"/>
          </w:tcPr>
          <w:p w14:paraId="48D5B55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76</w:t>
            </w:r>
          </w:p>
        </w:tc>
      </w:tr>
      <w:tr w14:paraId="53D313D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5" w:type="pct"/>
            <w:vMerge w:val="continue"/>
            <w:tcBorders>
              <w:tl2br w:val="nil"/>
              <w:tr2bl w:val="nil"/>
            </w:tcBorders>
            <w:noWrap w:val="0"/>
            <w:vAlign w:val="center"/>
          </w:tcPr>
          <w:p w14:paraId="44107E0D">
            <w:pPr>
              <w:spacing w:line="300" w:lineRule="exact"/>
              <w:jc w:val="center"/>
              <w:rPr>
                <w:rFonts w:hint="default" w:ascii="Times New Roman" w:hAnsi="Times New Roman" w:eastAsia="华文中宋" w:cs="Times New Roman"/>
                <w:szCs w:val="21"/>
              </w:rPr>
            </w:pPr>
          </w:p>
        </w:tc>
        <w:tc>
          <w:tcPr>
            <w:tcW w:w="784" w:type="pct"/>
            <w:tcBorders>
              <w:tl2br w:val="nil"/>
              <w:tr2bl w:val="nil"/>
            </w:tcBorders>
            <w:noWrap w:val="0"/>
            <w:vAlign w:val="center"/>
          </w:tcPr>
          <w:p w14:paraId="2D865143">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爆炸极限（％）</w:t>
            </w:r>
          </w:p>
        </w:tc>
        <w:tc>
          <w:tcPr>
            <w:tcW w:w="1536" w:type="pct"/>
            <w:gridSpan w:val="3"/>
            <w:tcBorders>
              <w:tl2br w:val="nil"/>
              <w:tr2bl w:val="nil"/>
            </w:tcBorders>
            <w:noWrap w:val="0"/>
            <w:vAlign w:val="center"/>
          </w:tcPr>
          <w:p w14:paraId="12ED451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无资料</w:t>
            </w:r>
          </w:p>
        </w:tc>
        <w:tc>
          <w:tcPr>
            <w:tcW w:w="1527" w:type="pct"/>
            <w:gridSpan w:val="3"/>
            <w:tcBorders>
              <w:tl2br w:val="nil"/>
              <w:tr2bl w:val="nil"/>
            </w:tcBorders>
            <w:noWrap w:val="0"/>
            <w:vAlign w:val="center"/>
          </w:tcPr>
          <w:p w14:paraId="301965A3">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最小点火能（MJ）</w:t>
            </w:r>
          </w:p>
        </w:tc>
        <w:tc>
          <w:tcPr>
            <w:tcW w:w="756" w:type="pct"/>
            <w:tcBorders>
              <w:tl2br w:val="nil"/>
              <w:tr2bl w:val="nil"/>
            </w:tcBorders>
            <w:noWrap w:val="0"/>
            <w:vAlign w:val="center"/>
          </w:tcPr>
          <w:p w14:paraId="3A6D820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w:t>
            </w:r>
          </w:p>
        </w:tc>
      </w:tr>
      <w:tr w14:paraId="4AB31E6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5" w:type="pct"/>
            <w:vMerge w:val="continue"/>
            <w:tcBorders>
              <w:tl2br w:val="nil"/>
              <w:tr2bl w:val="nil"/>
            </w:tcBorders>
            <w:noWrap w:val="0"/>
            <w:vAlign w:val="center"/>
          </w:tcPr>
          <w:p w14:paraId="7C3D5A8B">
            <w:pPr>
              <w:spacing w:line="300" w:lineRule="exact"/>
              <w:jc w:val="center"/>
              <w:rPr>
                <w:rFonts w:hint="default" w:ascii="Times New Roman" w:hAnsi="Times New Roman" w:eastAsia="华文中宋" w:cs="Times New Roman"/>
                <w:szCs w:val="21"/>
              </w:rPr>
            </w:pPr>
          </w:p>
        </w:tc>
        <w:tc>
          <w:tcPr>
            <w:tcW w:w="784" w:type="pct"/>
            <w:tcBorders>
              <w:tl2br w:val="nil"/>
              <w:tr2bl w:val="nil"/>
            </w:tcBorders>
            <w:noWrap w:val="0"/>
            <w:vAlign w:val="center"/>
          </w:tcPr>
          <w:p w14:paraId="6DC24E5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引燃温度（℃）</w:t>
            </w:r>
          </w:p>
        </w:tc>
        <w:tc>
          <w:tcPr>
            <w:tcW w:w="1536" w:type="pct"/>
            <w:gridSpan w:val="3"/>
            <w:tcBorders>
              <w:tl2br w:val="nil"/>
              <w:tr2bl w:val="nil"/>
            </w:tcBorders>
            <w:noWrap w:val="0"/>
            <w:vAlign w:val="center"/>
          </w:tcPr>
          <w:p w14:paraId="66A9421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248</w:t>
            </w:r>
          </w:p>
        </w:tc>
        <w:tc>
          <w:tcPr>
            <w:tcW w:w="1527" w:type="pct"/>
            <w:gridSpan w:val="3"/>
            <w:tcBorders>
              <w:tl2br w:val="nil"/>
              <w:tr2bl w:val="nil"/>
            </w:tcBorders>
            <w:noWrap w:val="0"/>
            <w:vAlign w:val="center"/>
          </w:tcPr>
          <w:p w14:paraId="70850C2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最大爆炸压力（Mpa）</w:t>
            </w:r>
          </w:p>
        </w:tc>
        <w:tc>
          <w:tcPr>
            <w:tcW w:w="756" w:type="pct"/>
            <w:tcBorders>
              <w:tl2br w:val="nil"/>
              <w:tr2bl w:val="nil"/>
            </w:tcBorders>
            <w:noWrap w:val="0"/>
            <w:vAlign w:val="center"/>
          </w:tcPr>
          <w:p w14:paraId="07743951">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w:t>
            </w:r>
          </w:p>
        </w:tc>
      </w:tr>
      <w:tr w14:paraId="37BB6B0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5" w:type="pct"/>
            <w:vMerge w:val="continue"/>
            <w:tcBorders>
              <w:tl2br w:val="nil"/>
              <w:tr2bl w:val="nil"/>
            </w:tcBorders>
            <w:noWrap w:val="0"/>
            <w:vAlign w:val="center"/>
          </w:tcPr>
          <w:p w14:paraId="40B9A326">
            <w:pPr>
              <w:spacing w:line="300" w:lineRule="exact"/>
              <w:jc w:val="center"/>
              <w:rPr>
                <w:rFonts w:hint="default" w:ascii="Times New Roman" w:hAnsi="Times New Roman" w:eastAsia="华文中宋" w:cs="Times New Roman"/>
                <w:szCs w:val="21"/>
              </w:rPr>
            </w:pPr>
          </w:p>
        </w:tc>
        <w:tc>
          <w:tcPr>
            <w:tcW w:w="784" w:type="pct"/>
            <w:tcBorders>
              <w:tl2br w:val="nil"/>
              <w:tr2bl w:val="nil"/>
            </w:tcBorders>
            <w:noWrap w:val="0"/>
            <w:vAlign w:val="center"/>
          </w:tcPr>
          <w:p w14:paraId="207719F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危险特性</w:t>
            </w:r>
          </w:p>
        </w:tc>
        <w:tc>
          <w:tcPr>
            <w:tcW w:w="3820" w:type="pct"/>
            <w:gridSpan w:val="7"/>
            <w:tcBorders>
              <w:tl2br w:val="nil"/>
              <w:tr2bl w:val="nil"/>
            </w:tcBorders>
            <w:noWrap w:val="0"/>
            <w:vAlign w:val="center"/>
          </w:tcPr>
          <w:p w14:paraId="66F8CF5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遇明火、高热可燃。</w:t>
            </w:r>
          </w:p>
        </w:tc>
      </w:tr>
      <w:tr w14:paraId="79C9B3E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5" w:type="pct"/>
            <w:vMerge w:val="continue"/>
            <w:tcBorders>
              <w:tl2br w:val="nil"/>
              <w:tr2bl w:val="nil"/>
            </w:tcBorders>
            <w:noWrap w:val="0"/>
            <w:vAlign w:val="center"/>
          </w:tcPr>
          <w:p w14:paraId="7B3ED43C">
            <w:pPr>
              <w:spacing w:line="300" w:lineRule="exact"/>
              <w:jc w:val="center"/>
              <w:rPr>
                <w:rFonts w:hint="default" w:ascii="Times New Roman" w:hAnsi="Times New Roman" w:eastAsia="华文中宋" w:cs="Times New Roman"/>
                <w:szCs w:val="21"/>
              </w:rPr>
            </w:pPr>
          </w:p>
        </w:tc>
        <w:tc>
          <w:tcPr>
            <w:tcW w:w="784" w:type="pct"/>
            <w:tcBorders>
              <w:tl2br w:val="nil"/>
              <w:tr2bl w:val="nil"/>
            </w:tcBorders>
            <w:noWrap w:val="0"/>
            <w:vAlign w:val="center"/>
          </w:tcPr>
          <w:p w14:paraId="3E6F4BD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灭火方法</w:t>
            </w:r>
          </w:p>
        </w:tc>
        <w:tc>
          <w:tcPr>
            <w:tcW w:w="3820" w:type="pct"/>
            <w:gridSpan w:val="7"/>
            <w:tcBorders>
              <w:tl2br w:val="nil"/>
              <w:tr2bl w:val="nil"/>
            </w:tcBorders>
            <w:noWrap w:val="0"/>
            <w:vAlign w:val="center"/>
          </w:tcPr>
          <w:p w14:paraId="7FD4174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消防人员须佩戴防毒面具、穿全身消防服，在上风向灭火。尽可能将容器从火场移至空旷处。喷水保持火场容器冷却，直至灭火结束。处在火场中的容器若已变色或从安全泄压装置中产生声音，必须马上撤离。灭火剂：雾状水、泡沫、干粉、二氧化碳、砂土。</w:t>
            </w:r>
          </w:p>
        </w:tc>
      </w:tr>
      <w:tr w14:paraId="2EAF5AC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5" w:type="pct"/>
            <w:vMerge w:val="continue"/>
            <w:tcBorders>
              <w:tl2br w:val="nil"/>
              <w:tr2bl w:val="nil"/>
            </w:tcBorders>
            <w:noWrap w:val="0"/>
            <w:vAlign w:val="center"/>
          </w:tcPr>
          <w:p w14:paraId="272B4775">
            <w:pPr>
              <w:spacing w:line="300" w:lineRule="exact"/>
              <w:jc w:val="center"/>
              <w:rPr>
                <w:rFonts w:hint="default" w:ascii="Times New Roman" w:hAnsi="Times New Roman" w:eastAsia="华文中宋" w:cs="Times New Roman"/>
                <w:szCs w:val="21"/>
              </w:rPr>
            </w:pPr>
          </w:p>
        </w:tc>
        <w:tc>
          <w:tcPr>
            <w:tcW w:w="784" w:type="pct"/>
            <w:tcBorders>
              <w:tl2br w:val="nil"/>
              <w:tr2bl w:val="nil"/>
            </w:tcBorders>
            <w:noWrap w:val="0"/>
            <w:vAlign w:val="center"/>
          </w:tcPr>
          <w:p w14:paraId="34634B5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禁忌物</w:t>
            </w:r>
          </w:p>
        </w:tc>
        <w:tc>
          <w:tcPr>
            <w:tcW w:w="2258" w:type="pct"/>
            <w:gridSpan w:val="5"/>
            <w:tcBorders>
              <w:tl2br w:val="nil"/>
              <w:tr2bl w:val="nil"/>
            </w:tcBorders>
            <w:noWrap w:val="0"/>
            <w:vAlign w:val="center"/>
          </w:tcPr>
          <w:p w14:paraId="2E1F66F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w:t>
            </w:r>
          </w:p>
        </w:tc>
        <w:tc>
          <w:tcPr>
            <w:tcW w:w="804" w:type="pct"/>
            <w:tcBorders>
              <w:tl2br w:val="nil"/>
              <w:tr2bl w:val="nil"/>
            </w:tcBorders>
            <w:noWrap w:val="0"/>
            <w:vAlign w:val="center"/>
          </w:tcPr>
          <w:p w14:paraId="750DD3D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稳定性</w:t>
            </w:r>
          </w:p>
        </w:tc>
        <w:tc>
          <w:tcPr>
            <w:tcW w:w="756" w:type="pct"/>
            <w:tcBorders>
              <w:tl2br w:val="nil"/>
              <w:tr2bl w:val="nil"/>
            </w:tcBorders>
            <w:noWrap w:val="0"/>
            <w:vAlign w:val="center"/>
          </w:tcPr>
          <w:p w14:paraId="35A2EB0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稳定</w:t>
            </w:r>
          </w:p>
        </w:tc>
      </w:tr>
      <w:tr w14:paraId="1700134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5" w:type="pct"/>
            <w:vMerge w:val="continue"/>
            <w:tcBorders>
              <w:tl2br w:val="nil"/>
              <w:tr2bl w:val="nil"/>
            </w:tcBorders>
            <w:noWrap w:val="0"/>
            <w:vAlign w:val="center"/>
          </w:tcPr>
          <w:p w14:paraId="6A9E3986">
            <w:pPr>
              <w:spacing w:line="300" w:lineRule="exact"/>
              <w:jc w:val="center"/>
              <w:rPr>
                <w:rFonts w:hint="default" w:ascii="Times New Roman" w:hAnsi="Times New Roman" w:eastAsia="华文中宋" w:cs="Times New Roman"/>
                <w:szCs w:val="21"/>
              </w:rPr>
            </w:pPr>
          </w:p>
        </w:tc>
        <w:tc>
          <w:tcPr>
            <w:tcW w:w="784" w:type="pct"/>
            <w:tcBorders>
              <w:tl2br w:val="nil"/>
              <w:tr2bl w:val="nil"/>
            </w:tcBorders>
            <w:noWrap w:val="0"/>
            <w:vAlign w:val="center"/>
          </w:tcPr>
          <w:p w14:paraId="224A0FE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燃烧产物</w:t>
            </w:r>
          </w:p>
        </w:tc>
        <w:tc>
          <w:tcPr>
            <w:tcW w:w="2258" w:type="pct"/>
            <w:gridSpan w:val="5"/>
            <w:tcBorders>
              <w:tl2br w:val="nil"/>
              <w:tr2bl w:val="nil"/>
            </w:tcBorders>
            <w:noWrap w:val="0"/>
            <w:vAlign w:val="center"/>
          </w:tcPr>
          <w:p w14:paraId="0567AE40">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一氧化碳、二氧化碳</w:t>
            </w:r>
          </w:p>
        </w:tc>
        <w:tc>
          <w:tcPr>
            <w:tcW w:w="804" w:type="pct"/>
            <w:tcBorders>
              <w:tl2br w:val="nil"/>
              <w:tr2bl w:val="nil"/>
            </w:tcBorders>
            <w:noWrap w:val="0"/>
            <w:vAlign w:val="center"/>
          </w:tcPr>
          <w:p w14:paraId="6409C9F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聚合危害</w:t>
            </w:r>
          </w:p>
        </w:tc>
        <w:tc>
          <w:tcPr>
            <w:tcW w:w="756" w:type="pct"/>
            <w:tcBorders>
              <w:tl2br w:val="nil"/>
              <w:tr2bl w:val="nil"/>
            </w:tcBorders>
            <w:noWrap w:val="0"/>
            <w:vAlign w:val="center"/>
          </w:tcPr>
          <w:p w14:paraId="62164AB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不聚合</w:t>
            </w:r>
          </w:p>
        </w:tc>
      </w:tr>
      <w:tr w14:paraId="690D569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5" w:type="pct"/>
            <w:vMerge w:val="restart"/>
            <w:tcBorders>
              <w:tl2br w:val="nil"/>
              <w:tr2bl w:val="nil"/>
            </w:tcBorders>
            <w:noWrap w:val="0"/>
            <w:vAlign w:val="center"/>
          </w:tcPr>
          <w:p w14:paraId="3D304347">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毒性及健康危害</w:t>
            </w:r>
          </w:p>
        </w:tc>
        <w:tc>
          <w:tcPr>
            <w:tcW w:w="784" w:type="pct"/>
            <w:tcBorders>
              <w:tl2br w:val="nil"/>
              <w:tr2bl w:val="nil"/>
            </w:tcBorders>
            <w:noWrap w:val="0"/>
            <w:vAlign w:val="center"/>
          </w:tcPr>
          <w:p w14:paraId="5C9E136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急性毒性</w:t>
            </w:r>
          </w:p>
        </w:tc>
        <w:tc>
          <w:tcPr>
            <w:tcW w:w="3820" w:type="pct"/>
            <w:gridSpan w:val="7"/>
            <w:tcBorders>
              <w:tl2br w:val="nil"/>
              <w:tr2bl w:val="nil"/>
            </w:tcBorders>
            <w:noWrap w:val="0"/>
            <w:vAlign w:val="center"/>
          </w:tcPr>
          <w:p w14:paraId="065B0123">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LD50（mg/kg，大鼠经口）：无资料LC50（mg/kg）：无资料</w:t>
            </w:r>
          </w:p>
        </w:tc>
      </w:tr>
      <w:tr w14:paraId="5892C0C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5" w:type="pct"/>
            <w:vMerge w:val="continue"/>
            <w:tcBorders>
              <w:tl2br w:val="nil"/>
              <w:tr2bl w:val="nil"/>
            </w:tcBorders>
            <w:noWrap w:val="0"/>
            <w:vAlign w:val="center"/>
          </w:tcPr>
          <w:p w14:paraId="67A2D66C">
            <w:pPr>
              <w:spacing w:line="300" w:lineRule="exact"/>
              <w:jc w:val="center"/>
              <w:rPr>
                <w:rFonts w:hint="default" w:ascii="Times New Roman" w:hAnsi="Times New Roman" w:eastAsia="华文中宋" w:cs="Times New Roman"/>
                <w:szCs w:val="21"/>
              </w:rPr>
            </w:pPr>
          </w:p>
        </w:tc>
        <w:tc>
          <w:tcPr>
            <w:tcW w:w="784" w:type="pct"/>
            <w:vMerge w:val="restart"/>
            <w:tcBorders>
              <w:tl2br w:val="nil"/>
              <w:tr2bl w:val="nil"/>
            </w:tcBorders>
            <w:noWrap w:val="0"/>
            <w:vAlign w:val="center"/>
          </w:tcPr>
          <w:p w14:paraId="05DC91C0">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健康危害</w:t>
            </w:r>
          </w:p>
        </w:tc>
        <w:tc>
          <w:tcPr>
            <w:tcW w:w="3820" w:type="pct"/>
            <w:gridSpan w:val="7"/>
            <w:tcBorders>
              <w:tl2br w:val="nil"/>
              <w:tr2bl w:val="nil"/>
            </w:tcBorders>
            <w:noWrap w:val="0"/>
            <w:vAlign w:val="center"/>
          </w:tcPr>
          <w:p w14:paraId="369887A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车间卫生标准：无</w:t>
            </w:r>
          </w:p>
        </w:tc>
      </w:tr>
      <w:tr w14:paraId="605C2F2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5" w:type="pct"/>
            <w:vMerge w:val="continue"/>
            <w:tcBorders>
              <w:tl2br w:val="nil"/>
              <w:tr2bl w:val="nil"/>
            </w:tcBorders>
            <w:noWrap w:val="0"/>
            <w:vAlign w:val="center"/>
          </w:tcPr>
          <w:p w14:paraId="302318FD">
            <w:pPr>
              <w:spacing w:line="300" w:lineRule="exact"/>
              <w:jc w:val="center"/>
              <w:rPr>
                <w:rFonts w:hint="default" w:ascii="Times New Roman" w:hAnsi="Times New Roman" w:eastAsia="华文中宋" w:cs="Times New Roman"/>
                <w:szCs w:val="21"/>
              </w:rPr>
            </w:pPr>
          </w:p>
        </w:tc>
        <w:tc>
          <w:tcPr>
            <w:tcW w:w="784" w:type="pct"/>
            <w:vMerge w:val="continue"/>
            <w:tcBorders>
              <w:tl2br w:val="nil"/>
              <w:tr2bl w:val="nil"/>
            </w:tcBorders>
            <w:noWrap w:val="0"/>
            <w:vAlign w:val="center"/>
          </w:tcPr>
          <w:p w14:paraId="61A7F73E">
            <w:pPr>
              <w:spacing w:line="300" w:lineRule="exact"/>
              <w:jc w:val="center"/>
              <w:rPr>
                <w:rFonts w:hint="default" w:ascii="Times New Roman" w:hAnsi="Times New Roman" w:eastAsia="华文中宋" w:cs="Times New Roman"/>
                <w:szCs w:val="21"/>
              </w:rPr>
            </w:pPr>
          </w:p>
        </w:tc>
        <w:tc>
          <w:tcPr>
            <w:tcW w:w="3820" w:type="pct"/>
            <w:gridSpan w:val="7"/>
            <w:tcBorders>
              <w:tl2br w:val="nil"/>
              <w:tr2bl w:val="nil"/>
            </w:tcBorders>
            <w:noWrap w:val="0"/>
            <w:vAlign w:val="center"/>
          </w:tcPr>
          <w:p w14:paraId="7BDE8FE7">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rPr>
              <w:t>侵入途径：吸入、食入；</w:t>
            </w:r>
          </w:p>
          <w:p w14:paraId="56571E5A">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rPr>
              <w:t>急性吸入，可出现乏力、头晕、头痛、恶心，严重者可引起油脂性肺炎慢接触者，暴露部位可发生油性痤疮和接触性皮炎。可引起神经衰弱综合征，呼吸道和眼</w:t>
            </w:r>
            <w:r>
              <w:rPr>
                <w:rFonts w:hint="default" w:ascii="Times New Roman" w:hAnsi="Times New Roman" w:eastAsia="华文中宋" w:cs="Times New Roman"/>
                <w:szCs w:val="21"/>
                <w:lang w:eastAsia="zh-CN"/>
              </w:rPr>
              <w:t>刺激</w:t>
            </w:r>
            <w:r>
              <w:rPr>
                <w:rFonts w:hint="eastAsia" w:ascii="Times New Roman" w:hAnsi="Times New Roman" w:eastAsia="华文中宋" w:cs="Times New Roman"/>
                <w:szCs w:val="21"/>
                <w:lang w:eastAsia="zh-CN"/>
              </w:rPr>
              <w:t>症状</w:t>
            </w:r>
            <w:r>
              <w:rPr>
                <w:rFonts w:hint="default" w:ascii="Times New Roman" w:hAnsi="Times New Roman" w:eastAsia="华文中宋" w:cs="Times New Roman"/>
                <w:szCs w:val="21"/>
              </w:rPr>
              <w:t>及慢性油脂性肺炎。有资料报道，接触石油润滑油类的工人，有致癌的病例报告。</w:t>
            </w:r>
          </w:p>
        </w:tc>
      </w:tr>
      <w:tr w14:paraId="115DA91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5" w:type="pct"/>
            <w:tcBorders>
              <w:tl2br w:val="nil"/>
              <w:tr2bl w:val="nil"/>
            </w:tcBorders>
            <w:noWrap w:val="0"/>
            <w:vAlign w:val="center"/>
          </w:tcPr>
          <w:p w14:paraId="23499E83">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急救</w:t>
            </w:r>
          </w:p>
        </w:tc>
        <w:tc>
          <w:tcPr>
            <w:tcW w:w="4604" w:type="pct"/>
            <w:gridSpan w:val="8"/>
            <w:tcBorders>
              <w:tl2br w:val="nil"/>
              <w:tr2bl w:val="nil"/>
            </w:tcBorders>
            <w:noWrap w:val="0"/>
            <w:vAlign w:val="center"/>
          </w:tcPr>
          <w:p w14:paraId="66916055">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rPr>
              <w:t>皮肤接触：立即脱去被污染的衣着，用大量清水冲洗；</w:t>
            </w:r>
          </w:p>
          <w:p w14:paraId="4C38DD52">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rPr>
              <w:t>眼睛接触：立即提起眼睑，用大量流动清水或生理盐水冲洗，就医；</w:t>
            </w:r>
          </w:p>
          <w:p w14:paraId="3CD06CA8">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rPr>
              <w:t>吸入：迅速脱离现场至空气新鲜处，保持呼吸道通畅，如呼吸困难，给输氧；如呼吸停止，立即进行人工呼吸，就医；</w:t>
            </w:r>
          </w:p>
          <w:p w14:paraId="3F5F31A1">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rPr>
              <w:t>食入：饮足量温水，催吐，就医。</w:t>
            </w:r>
          </w:p>
        </w:tc>
      </w:tr>
      <w:tr w14:paraId="4F34FD7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5" w:type="pct"/>
            <w:tcBorders>
              <w:tl2br w:val="nil"/>
              <w:tr2bl w:val="nil"/>
            </w:tcBorders>
            <w:noWrap w:val="0"/>
            <w:vAlign w:val="center"/>
          </w:tcPr>
          <w:p w14:paraId="1A68866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防护</w:t>
            </w:r>
          </w:p>
        </w:tc>
        <w:tc>
          <w:tcPr>
            <w:tcW w:w="4604" w:type="pct"/>
            <w:gridSpan w:val="8"/>
            <w:tcBorders>
              <w:tl2br w:val="nil"/>
              <w:tr2bl w:val="nil"/>
            </w:tcBorders>
            <w:noWrap w:val="0"/>
            <w:vAlign w:val="center"/>
          </w:tcPr>
          <w:p w14:paraId="08D94929">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rPr>
              <w:t>工程控制：密闭操作，注意通风；</w:t>
            </w:r>
          </w:p>
          <w:p w14:paraId="40AB49D9">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rPr>
              <w:t>呼吸系统防护：空气中浓度超标时，建议佩戴自吸过滤式防毒面具（半面罩）。紧急事态抢救或撤离时，应该佩戴空气呼吸器。</w:t>
            </w:r>
          </w:p>
          <w:p w14:paraId="3855490C">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rPr>
              <w:t>眼睛防护：戴化学安全防护眼镜。身体防护：穿防毒物渗透工作服；手防护：戴橡胶耐油手套；</w:t>
            </w:r>
          </w:p>
          <w:p w14:paraId="780971CD">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rPr>
              <w:t>其他：工作现场严禁吸烟。避免长期反复接触。</w:t>
            </w:r>
          </w:p>
        </w:tc>
      </w:tr>
      <w:tr w14:paraId="7349F40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5" w:type="pct"/>
            <w:tcBorders>
              <w:tl2br w:val="nil"/>
              <w:tr2bl w:val="nil"/>
            </w:tcBorders>
            <w:noWrap w:val="0"/>
            <w:vAlign w:val="center"/>
          </w:tcPr>
          <w:p w14:paraId="4FE75AF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泄漏处理</w:t>
            </w:r>
          </w:p>
        </w:tc>
        <w:tc>
          <w:tcPr>
            <w:tcW w:w="4604" w:type="pct"/>
            <w:gridSpan w:val="8"/>
            <w:tcBorders>
              <w:tl2br w:val="nil"/>
              <w:tr2bl w:val="nil"/>
            </w:tcBorders>
            <w:noWrap w:val="0"/>
            <w:vAlign w:val="center"/>
          </w:tcPr>
          <w:p w14:paraId="016C6FCF">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rPr>
              <w:t>迅速撤离泄漏污染区人员至安全区，并进行隔离，严格限制出入。切断火源。建议应急处理人员戴自给正压式呼吸器，穿防毒服。尽可能切断泄漏源。防止流入下水道、排洪沟等限制性空间。</w:t>
            </w:r>
          </w:p>
          <w:p w14:paraId="3288E198">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rPr>
              <w:t>小量泄漏：用砂土或</w:t>
            </w:r>
            <w:r>
              <w:rPr>
                <w:rFonts w:hint="eastAsia" w:ascii="Times New Roman" w:hAnsi="Times New Roman" w:eastAsia="华文中宋" w:cs="Times New Roman"/>
                <w:szCs w:val="21"/>
                <w:lang w:eastAsia="zh-CN"/>
              </w:rPr>
              <w:t>其他不</w:t>
            </w:r>
            <w:r>
              <w:rPr>
                <w:rFonts w:hint="default" w:ascii="Times New Roman" w:hAnsi="Times New Roman" w:eastAsia="华文中宋" w:cs="Times New Roman"/>
                <w:szCs w:val="21"/>
              </w:rPr>
              <w:t>燃材料吸附或吸收。大量泄漏：构筑围堤或挖坑收容。用泵转移至槽车或专用收集器内，回收或运至废物处理场所处置。</w:t>
            </w:r>
          </w:p>
        </w:tc>
      </w:tr>
      <w:tr w14:paraId="47090F0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395" w:type="pct"/>
            <w:vMerge w:val="restart"/>
            <w:tcBorders>
              <w:tl2br w:val="nil"/>
              <w:tr2bl w:val="nil"/>
            </w:tcBorders>
            <w:noWrap w:val="0"/>
            <w:vAlign w:val="center"/>
          </w:tcPr>
          <w:p w14:paraId="2F188B9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储运</w:t>
            </w:r>
          </w:p>
        </w:tc>
        <w:tc>
          <w:tcPr>
            <w:tcW w:w="4604" w:type="pct"/>
            <w:gridSpan w:val="8"/>
            <w:tcBorders>
              <w:tl2br w:val="nil"/>
              <w:tr2bl w:val="nil"/>
            </w:tcBorders>
            <w:noWrap w:val="0"/>
            <w:vAlign w:val="top"/>
          </w:tcPr>
          <w:p w14:paraId="48C63C3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储存于阴凉、通风的库房。远离火种、热源。应与氧化剂分开存放，切忌混储。配备相应品种和数量的消防器材。储区应备有泄漏应急处理设备和合适的收容材料。</w:t>
            </w:r>
          </w:p>
        </w:tc>
      </w:tr>
      <w:tr w14:paraId="2865C15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1008" w:hRule="atLeast"/>
          <w:jc w:val="center"/>
        </w:trPr>
        <w:tc>
          <w:tcPr>
            <w:tcW w:w="395" w:type="pct"/>
            <w:vMerge w:val="continue"/>
            <w:tcBorders>
              <w:tl2br w:val="nil"/>
              <w:tr2bl w:val="nil"/>
            </w:tcBorders>
            <w:noWrap w:val="0"/>
            <w:vAlign w:val="top"/>
          </w:tcPr>
          <w:p w14:paraId="371FBA8D">
            <w:pPr>
              <w:spacing w:line="300" w:lineRule="exact"/>
              <w:jc w:val="center"/>
              <w:rPr>
                <w:rFonts w:hint="default" w:ascii="Times New Roman" w:hAnsi="Times New Roman" w:eastAsia="华文中宋" w:cs="Times New Roman"/>
                <w:szCs w:val="21"/>
              </w:rPr>
            </w:pPr>
          </w:p>
        </w:tc>
        <w:tc>
          <w:tcPr>
            <w:tcW w:w="4604" w:type="pct"/>
            <w:gridSpan w:val="8"/>
            <w:tcBorders>
              <w:tl2br w:val="nil"/>
              <w:tr2bl w:val="nil"/>
            </w:tcBorders>
            <w:noWrap w:val="0"/>
            <w:vAlign w:val="top"/>
          </w:tcPr>
          <w:p w14:paraId="256096C8">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rPr>
              <w:t>运输前应先检查包装容器是否完整、密封，运输过程中要确保容器不泄漏、不倒塌、不坠落、不损坏。严禁与氧化剂、食用化学品等混装混运。运输车船必须彻底清洗、消毒否则不得装运</w:t>
            </w:r>
            <w:r>
              <w:rPr>
                <w:rFonts w:hint="default" w:ascii="Times New Roman" w:hAnsi="Times New Roman" w:eastAsia="华文中宋" w:cs="Times New Roman"/>
                <w:szCs w:val="21"/>
                <w:lang w:eastAsia="zh-CN"/>
              </w:rPr>
              <w:t>其他</w:t>
            </w:r>
            <w:r>
              <w:rPr>
                <w:rFonts w:hint="default" w:ascii="Times New Roman" w:hAnsi="Times New Roman" w:eastAsia="华文中宋" w:cs="Times New Roman"/>
                <w:szCs w:val="21"/>
              </w:rPr>
              <w:t>物品。船运时，配装位置应远离卧室、厨房，并与机舱、电源、火源等部位隔离。公路运输时要按规定路线行驶。</w:t>
            </w:r>
          </w:p>
        </w:tc>
      </w:tr>
    </w:tbl>
    <w:p w14:paraId="6AB168F3">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eastAsia" w:ascii="Times New Roman" w:hAnsi="Times New Roman" w:eastAsia="华文中宋" w:cs="Times New Roman"/>
          <w:b/>
          <w:szCs w:val="21"/>
          <w:lang w:val="en-US" w:eastAsia="zh-CN"/>
        </w:rPr>
        <w:t>表5.2-37  柴油理化性质及危险特性一览表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1830"/>
        <w:gridCol w:w="2447"/>
        <w:gridCol w:w="1705"/>
        <w:gridCol w:w="1705"/>
      </w:tblGrid>
      <w:tr w14:paraId="39B58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Align w:val="center"/>
          </w:tcPr>
          <w:p w14:paraId="4325992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品名</w:t>
            </w:r>
          </w:p>
        </w:tc>
        <w:tc>
          <w:tcPr>
            <w:tcW w:w="4277" w:type="dxa"/>
            <w:gridSpan w:val="2"/>
            <w:vAlign w:val="center"/>
          </w:tcPr>
          <w:p w14:paraId="348186F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柴油</w:t>
            </w:r>
          </w:p>
        </w:tc>
        <w:tc>
          <w:tcPr>
            <w:tcW w:w="1705" w:type="dxa"/>
            <w:vAlign w:val="center"/>
          </w:tcPr>
          <w:p w14:paraId="66F07F9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别名</w:t>
            </w:r>
          </w:p>
        </w:tc>
        <w:tc>
          <w:tcPr>
            <w:tcW w:w="1705" w:type="dxa"/>
            <w:vAlign w:val="center"/>
          </w:tcPr>
          <w:p w14:paraId="2BE0774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油渣</w:t>
            </w:r>
          </w:p>
        </w:tc>
      </w:tr>
      <w:tr w14:paraId="7EED6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Merge w:val="restart"/>
            <w:vAlign w:val="center"/>
          </w:tcPr>
          <w:p w14:paraId="0E8949D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理化性质</w:t>
            </w:r>
          </w:p>
        </w:tc>
        <w:tc>
          <w:tcPr>
            <w:tcW w:w="1830" w:type="dxa"/>
            <w:vAlign w:val="center"/>
          </w:tcPr>
          <w:p w14:paraId="47F14FA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闪点</w:t>
            </w:r>
          </w:p>
        </w:tc>
        <w:tc>
          <w:tcPr>
            <w:tcW w:w="2447" w:type="dxa"/>
            <w:vAlign w:val="center"/>
          </w:tcPr>
          <w:p w14:paraId="5C7702E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38℃</w:t>
            </w:r>
          </w:p>
        </w:tc>
        <w:tc>
          <w:tcPr>
            <w:tcW w:w="1705" w:type="dxa"/>
            <w:vAlign w:val="center"/>
          </w:tcPr>
          <w:p w14:paraId="4FD5CD5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沸点</w:t>
            </w:r>
          </w:p>
        </w:tc>
        <w:tc>
          <w:tcPr>
            <w:tcW w:w="1705" w:type="dxa"/>
            <w:vAlign w:val="center"/>
          </w:tcPr>
          <w:p w14:paraId="2AF5A7D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170-390℃</w:t>
            </w:r>
          </w:p>
        </w:tc>
      </w:tr>
      <w:tr w14:paraId="2D8FC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Merge w:val="continue"/>
            <w:vAlign w:val="center"/>
          </w:tcPr>
          <w:p w14:paraId="3BC83D2F">
            <w:pPr>
              <w:spacing w:line="300" w:lineRule="exact"/>
              <w:jc w:val="center"/>
              <w:rPr>
                <w:rFonts w:hint="default" w:ascii="Times New Roman" w:hAnsi="Times New Roman" w:eastAsia="华文中宋" w:cs="Times New Roman"/>
                <w:szCs w:val="21"/>
                <w:lang w:val="en-US" w:eastAsia="zh-CN"/>
              </w:rPr>
            </w:pPr>
          </w:p>
        </w:tc>
        <w:tc>
          <w:tcPr>
            <w:tcW w:w="1830" w:type="dxa"/>
            <w:vAlign w:val="center"/>
          </w:tcPr>
          <w:p w14:paraId="6A83DE3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相对密度（水=1）</w:t>
            </w:r>
          </w:p>
        </w:tc>
        <w:tc>
          <w:tcPr>
            <w:tcW w:w="2447" w:type="dxa"/>
            <w:vAlign w:val="center"/>
          </w:tcPr>
          <w:p w14:paraId="023A72D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0.82-0.846</w:t>
            </w:r>
          </w:p>
        </w:tc>
        <w:tc>
          <w:tcPr>
            <w:tcW w:w="1705" w:type="dxa"/>
            <w:vAlign w:val="center"/>
          </w:tcPr>
          <w:p w14:paraId="0FAED6A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CAS号</w:t>
            </w:r>
          </w:p>
        </w:tc>
        <w:tc>
          <w:tcPr>
            <w:tcW w:w="1705" w:type="dxa"/>
            <w:vAlign w:val="center"/>
          </w:tcPr>
          <w:p w14:paraId="2200CC4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68334-30-5</w:t>
            </w:r>
          </w:p>
        </w:tc>
      </w:tr>
      <w:tr w14:paraId="2B255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Merge w:val="continue"/>
            <w:vAlign w:val="center"/>
          </w:tcPr>
          <w:p w14:paraId="40875C1A">
            <w:pPr>
              <w:spacing w:line="300" w:lineRule="exact"/>
              <w:jc w:val="center"/>
              <w:rPr>
                <w:rFonts w:hint="default" w:ascii="Times New Roman" w:hAnsi="Times New Roman" w:eastAsia="华文中宋" w:cs="Times New Roman"/>
                <w:szCs w:val="21"/>
                <w:lang w:val="en-US" w:eastAsia="zh-CN"/>
              </w:rPr>
            </w:pPr>
          </w:p>
        </w:tc>
        <w:tc>
          <w:tcPr>
            <w:tcW w:w="7687" w:type="dxa"/>
            <w:gridSpan w:val="4"/>
            <w:vAlign w:val="center"/>
          </w:tcPr>
          <w:p w14:paraId="3BD4916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外观性状：有色透明液体</w:t>
            </w:r>
          </w:p>
        </w:tc>
      </w:tr>
      <w:tr w14:paraId="3ACDB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Merge w:val="continue"/>
            <w:vAlign w:val="center"/>
          </w:tcPr>
          <w:p w14:paraId="0EF6E336">
            <w:pPr>
              <w:spacing w:line="300" w:lineRule="exact"/>
              <w:jc w:val="center"/>
              <w:rPr>
                <w:rFonts w:hint="default" w:ascii="Times New Roman" w:hAnsi="Times New Roman" w:eastAsia="华文中宋" w:cs="Times New Roman"/>
                <w:szCs w:val="21"/>
                <w:lang w:val="en-US" w:eastAsia="zh-CN"/>
              </w:rPr>
            </w:pPr>
          </w:p>
        </w:tc>
        <w:tc>
          <w:tcPr>
            <w:tcW w:w="7687" w:type="dxa"/>
            <w:gridSpan w:val="4"/>
            <w:vAlign w:val="center"/>
          </w:tcPr>
          <w:p w14:paraId="0695F951">
            <w:pPr>
              <w:spacing w:line="300" w:lineRule="exact"/>
              <w:jc w:val="both"/>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溶解性：难溶于水，易溶于醇和其他有机溶剂。</w:t>
            </w:r>
          </w:p>
        </w:tc>
      </w:tr>
      <w:tr w14:paraId="1446B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Align w:val="center"/>
          </w:tcPr>
          <w:p w14:paraId="09C0092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稳定性和危险性</w:t>
            </w:r>
          </w:p>
        </w:tc>
        <w:tc>
          <w:tcPr>
            <w:tcW w:w="7687" w:type="dxa"/>
            <w:gridSpan w:val="4"/>
            <w:vAlign w:val="center"/>
          </w:tcPr>
          <w:p w14:paraId="30F124D4">
            <w:pPr>
              <w:spacing w:line="300" w:lineRule="exact"/>
              <w:jc w:val="both"/>
              <w:rPr>
                <w:rFonts w:hint="default" w:ascii="Times New Roman" w:hAnsi="Times New Roman" w:eastAsia="华文中宋" w:cs="Times New Roman"/>
                <w:szCs w:val="21"/>
              </w:rPr>
            </w:pPr>
            <w:r>
              <w:rPr>
                <w:rFonts w:hint="eastAsia" w:ascii="Times New Roman" w:hAnsi="Times New Roman" w:eastAsia="华文中宋" w:cs="Times New Roman"/>
                <w:szCs w:val="21"/>
                <w:lang w:val="en-US" w:eastAsia="zh-CN"/>
              </w:rPr>
              <w:t>稳定性：化学性质很稳定。</w:t>
            </w:r>
          </w:p>
          <w:p w14:paraId="53652AB7">
            <w:pPr>
              <w:spacing w:line="300" w:lineRule="exact"/>
              <w:jc w:val="both"/>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 xml:space="preserve">危险性：柴油属于易燃物，其蒸气在 </w:t>
            </w:r>
            <w:r>
              <w:rPr>
                <w:rFonts w:hint="default" w:ascii="Times New Roman" w:hAnsi="Times New Roman" w:eastAsia="华文中宋" w:cs="Times New Roman"/>
                <w:szCs w:val="21"/>
                <w:lang w:val="en-US" w:eastAsia="zh-CN"/>
              </w:rPr>
              <w:t>60</w:t>
            </w:r>
            <w:r>
              <w:rPr>
                <w:rFonts w:hint="eastAsia" w:ascii="Times New Roman" w:hAnsi="Times New Roman" w:eastAsia="华文中宋" w:cs="Times New Roman"/>
                <w:szCs w:val="21"/>
                <w:lang w:val="en-US" w:eastAsia="zh-CN"/>
              </w:rPr>
              <w:t>℃时遇明火会燃烧，燃烧放出大量热；柴油是电的不良导体，在运输、灌装过程中，油分子之间、柴油与其他物质之间的摩擦会产生静电，产生电火花</w:t>
            </w:r>
          </w:p>
          <w:p w14:paraId="184E3381">
            <w:pPr>
              <w:spacing w:line="300" w:lineRule="exact"/>
              <w:jc w:val="both"/>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燃烧产物：内燃机燃烧柴油所产生的废气含有氮氧化物、一氧化碳、二氧化碳、醛类和不完全燃烧时的大量黑烟。黑烟中有未经燃烧的油雾、碳粒，一些高沸点的杂环和芳烃物质，并有些致癌物如</w:t>
            </w:r>
            <w:r>
              <w:rPr>
                <w:rFonts w:hint="default" w:ascii="Times New Roman" w:hAnsi="Times New Roman" w:eastAsia="华文中宋" w:cs="Times New Roman"/>
                <w:szCs w:val="21"/>
                <w:lang w:val="en-US" w:eastAsia="zh-CN"/>
              </w:rPr>
              <w:t>3.4-</w:t>
            </w:r>
            <w:r>
              <w:rPr>
                <w:rFonts w:hint="eastAsia" w:ascii="Times New Roman" w:hAnsi="Times New Roman" w:eastAsia="华文中宋" w:cs="Times New Roman"/>
                <w:szCs w:val="21"/>
                <w:lang w:val="en-US" w:eastAsia="zh-CN"/>
              </w:rPr>
              <w:t>苯并芘，可造成污染。</w:t>
            </w:r>
          </w:p>
        </w:tc>
      </w:tr>
      <w:tr w14:paraId="096C9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Align w:val="center"/>
          </w:tcPr>
          <w:p w14:paraId="30508BC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毒理学资料</w:t>
            </w:r>
          </w:p>
        </w:tc>
        <w:tc>
          <w:tcPr>
            <w:tcW w:w="7687" w:type="dxa"/>
            <w:gridSpan w:val="4"/>
            <w:vAlign w:val="center"/>
          </w:tcPr>
          <w:p w14:paraId="7B4D6158">
            <w:pPr>
              <w:spacing w:line="300" w:lineRule="exact"/>
              <w:jc w:val="both"/>
              <w:rPr>
                <w:rFonts w:hint="default" w:ascii="Times New Roman" w:hAnsi="Times New Roman" w:eastAsia="华文中宋" w:cs="Times New Roman"/>
                <w:szCs w:val="21"/>
              </w:rPr>
            </w:pPr>
            <w:r>
              <w:rPr>
                <w:rFonts w:hint="eastAsia" w:ascii="Times New Roman" w:hAnsi="Times New Roman" w:eastAsia="华文中宋" w:cs="Times New Roman"/>
                <w:szCs w:val="21"/>
                <w:lang w:val="en-US" w:eastAsia="zh-CN"/>
              </w:rPr>
              <w:t>侵入途径：皮肤吸收、呼吸道吸入。</w:t>
            </w:r>
          </w:p>
          <w:p w14:paraId="6457A68C">
            <w:pPr>
              <w:spacing w:line="300" w:lineRule="exact"/>
              <w:jc w:val="both"/>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健康：柴油有麻醉和刺激作用，柴油的雾滴吸入后可致吸入性肺炎，皮肤接触柴油可致接触性皮炎，可引起眼、鼻刺激症状、头晕和头痛。</w:t>
            </w:r>
          </w:p>
        </w:tc>
      </w:tr>
      <w:tr w14:paraId="199F5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Merge w:val="restart"/>
            <w:vAlign w:val="center"/>
          </w:tcPr>
          <w:p w14:paraId="03CB4F1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安全防护措施</w:t>
            </w:r>
          </w:p>
        </w:tc>
        <w:tc>
          <w:tcPr>
            <w:tcW w:w="1830" w:type="dxa"/>
            <w:vAlign w:val="center"/>
          </w:tcPr>
          <w:p w14:paraId="2BC5673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呼吸系统防护</w:t>
            </w:r>
          </w:p>
        </w:tc>
        <w:tc>
          <w:tcPr>
            <w:tcW w:w="5857" w:type="dxa"/>
            <w:gridSpan w:val="3"/>
            <w:vAlign w:val="center"/>
          </w:tcPr>
          <w:p w14:paraId="6DEB2B57">
            <w:pPr>
              <w:spacing w:line="300" w:lineRule="exact"/>
              <w:jc w:val="both"/>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空气中浓度超标时建议佩戴自吸过滤式防毒面具，紧急事态抢救时应佩戴空气呼吸器；避免口腔和皮肤与柴油接触；维修柴油机场所应保持通风，操作者在上风口位置，尽量减少柴油蒸气吸入。</w:t>
            </w:r>
          </w:p>
        </w:tc>
      </w:tr>
      <w:tr w14:paraId="6A8DD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Merge w:val="continue"/>
            <w:vAlign w:val="center"/>
          </w:tcPr>
          <w:p w14:paraId="5FBD618A">
            <w:pPr>
              <w:spacing w:line="300" w:lineRule="exact"/>
              <w:jc w:val="center"/>
              <w:rPr>
                <w:rFonts w:hint="eastAsia" w:ascii="Times New Roman" w:hAnsi="Times New Roman" w:eastAsia="华文中宋" w:cs="Times New Roman"/>
                <w:szCs w:val="21"/>
                <w:lang w:val="en-US" w:eastAsia="zh-CN"/>
              </w:rPr>
            </w:pPr>
          </w:p>
        </w:tc>
        <w:tc>
          <w:tcPr>
            <w:tcW w:w="1830" w:type="dxa"/>
            <w:vAlign w:val="center"/>
          </w:tcPr>
          <w:p w14:paraId="4870EBF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眼睛防护</w:t>
            </w:r>
          </w:p>
        </w:tc>
        <w:tc>
          <w:tcPr>
            <w:tcW w:w="5857" w:type="dxa"/>
            <w:gridSpan w:val="3"/>
            <w:vAlign w:val="center"/>
          </w:tcPr>
          <w:p w14:paraId="683826D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戴化学安全防护眼镜。</w:t>
            </w:r>
          </w:p>
        </w:tc>
      </w:tr>
      <w:tr w14:paraId="367F9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Merge w:val="continue"/>
            <w:vAlign w:val="center"/>
          </w:tcPr>
          <w:p w14:paraId="61DA4401">
            <w:pPr>
              <w:spacing w:line="300" w:lineRule="exact"/>
              <w:jc w:val="center"/>
              <w:rPr>
                <w:rFonts w:hint="eastAsia" w:ascii="Times New Roman" w:hAnsi="Times New Roman" w:eastAsia="华文中宋" w:cs="Times New Roman"/>
                <w:szCs w:val="21"/>
                <w:lang w:val="en-US" w:eastAsia="zh-CN"/>
              </w:rPr>
            </w:pPr>
          </w:p>
        </w:tc>
        <w:tc>
          <w:tcPr>
            <w:tcW w:w="1830" w:type="dxa"/>
            <w:vAlign w:val="center"/>
          </w:tcPr>
          <w:p w14:paraId="6766762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身体防护</w:t>
            </w:r>
          </w:p>
        </w:tc>
        <w:tc>
          <w:tcPr>
            <w:tcW w:w="5857" w:type="dxa"/>
            <w:gridSpan w:val="3"/>
            <w:vAlign w:val="center"/>
          </w:tcPr>
          <w:p w14:paraId="2DC9A49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穿工作服（防腐材料制作）</w:t>
            </w:r>
          </w:p>
        </w:tc>
      </w:tr>
      <w:tr w14:paraId="5C705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Merge w:val="continue"/>
            <w:vAlign w:val="center"/>
          </w:tcPr>
          <w:p w14:paraId="5A35A1CF">
            <w:pPr>
              <w:spacing w:line="300" w:lineRule="exact"/>
              <w:jc w:val="center"/>
              <w:rPr>
                <w:rFonts w:hint="eastAsia" w:ascii="Times New Roman" w:hAnsi="Times New Roman" w:eastAsia="华文中宋" w:cs="Times New Roman"/>
                <w:szCs w:val="21"/>
                <w:lang w:val="en-US" w:eastAsia="zh-CN"/>
              </w:rPr>
            </w:pPr>
          </w:p>
        </w:tc>
        <w:tc>
          <w:tcPr>
            <w:tcW w:w="1830" w:type="dxa"/>
            <w:vAlign w:val="center"/>
          </w:tcPr>
          <w:p w14:paraId="339BD99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手防护</w:t>
            </w:r>
          </w:p>
        </w:tc>
        <w:tc>
          <w:tcPr>
            <w:tcW w:w="5857" w:type="dxa"/>
            <w:gridSpan w:val="3"/>
            <w:vAlign w:val="center"/>
          </w:tcPr>
          <w:p w14:paraId="2E2E8E2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戴橡胶耐油手套。</w:t>
            </w:r>
          </w:p>
        </w:tc>
      </w:tr>
      <w:tr w14:paraId="1C6C9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Merge w:val="continue"/>
            <w:vAlign w:val="center"/>
          </w:tcPr>
          <w:p w14:paraId="5559852C">
            <w:pPr>
              <w:spacing w:line="300" w:lineRule="exact"/>
              <w:jc w:val="center"/>
              <w:rPr>
                <w:rFonts w:hint="eastAsia" w:ascii="Times New Roman" w:hAnsi="Times New Roman" w:eastAsia="华文中宋" w:cs="Times New Roman"/>
                <w:szCs w:val="21"/>
                <w:lang w:val="en-US" w:eastAsia="zh-CN"/>
              </w:rPr>
            </w:pPr>
          </w:p>
        </w:tc>
        <w:tc>
          <w:tcPr>
            <w:tcW w:w="1830" w:type="dxa"/>
            <w:vAlign w:val="center"/>
          </w:tcPr>
          <w:p w14:paraId="5E41BF9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其他</w:t>
            </w:r>
          </w:p>
        </w:tc>
        <w:tc>
          <w:tcPr>
            <w:tcW w:w="5857" w:type="dxa"/>
            <w:gridSpan w:val="3"/>
            <w:vAlign w:val="center"/>
          </w:tcPr>
          <w:p w14:paraId="150690B7">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工作后，淋浴更衣，保持良好的卫生习惯</w:t>
            </w:r>
          </w:p>
        </w:tc>
      </w:tr>
      <w:tr w14:paraId="3753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Merge w:val="restart"/>
            <w:vAlign w:val="center"/>
          </w:tcPr>
          <w:p w14:paraId="45C60DE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应急措施</w:t>
            </w:r>
          </w:p>
        </w:tc>
        <w:tc>
          <w:tcPr>
            <w:tcW w:w="1830" w:type="dxa"/>
            <w:vAlign w:val="center"/>
          </w:tcPr>
          <w:p w14:paraId="5CB8DA4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急救措施</w:t>
            </w:r>
          </w:p>
        </w:tc>
        <w:tc>
          <w:tcPr>
            <w:tcW w:w="5857" w:type="dxa"/>
            <w:gridSpan w:val="3"/>
            <w:vAlign w:val="center"/>
          </w:tcPr>
          <w:p w14:paraId="762F8D75">
            <w:pPr>
              <w:spacing w:line="300" w:lineRule="exact"/>
              <w:jc w:val="both"/>
              <w:rPr>
                <w:rFonts w:hint="default" w:ascii="Times New Roman" w:hAnsi="Times New Roman" w:eastAsia="华文中宋" w:cs="Times New Roman"/>
                <w:szCs w:val="21"/>
              </w:rPr>
            </w:pPr>
            <w:r>
              <w:rPr>
                <w:rFonts w:hint="eastAsia" w:ascii="Times New Roman" w:hAnsi="Times New Roman" w:eastAsia="华文中宋" w:cs="Times New Roman"/>
                <w:szCs w:val="21"/>
                <w:lang w:val="en-US" w:eastAsia="zh-CN"/>
              </w:rPr>
              <w:t>皮肤接触：立即脱掉污染的衣服，用肥皂和清水冲洗皮肤，出现皮炎要就医；</w:t>
            </w:r>
          </w:p>
          <w:p w14:paraId="05DBDC36">
            <w:pPr>
              <w:spacing w:line="300" w:lineRule="exact"/>
              <w:jc w:val="both"/>
              <w:rPr>
                <w:rFonts w:hint="default" w:ascii="Times New Roman" w:hAnsi="Times New Roman" w:eastAsia="华文中宋" w:cs="Times New Roman"/>
                <w:szCs w:val="21"/>
              </w:rPr>
            </w:pPr>
            <w:r>
              <w:rPr>
                <w:rFonts w:hint="eastAsia" w:ascii="Times New Roman" w:hAnsi="Times New Roman" w:eastAsia="华文中宋" w:cs="Times New Roman"/>
                <w:szCs w:val="21"/>
                <w:lang w:val="en-US" w:eastAsia="zh-CN"/>
              </w:rPr>
              <w:t>眼睛接触：立即翻开上下眼睑，用流动水或生理盐水冲洗，然后就医；</w:t>
            </w:r>
          </w:p>
          <w:p w14:paraId="1AF04D60">
            <w:pPr>
              <w:spacing w:line="300" w:lineRule="exact"/>
              <w:jc w:val="both"/>
              <w:rPr>
                <w:rFonts w:hint="default" w:ascii="Times New Roman" w:hAnsi="Times New Roman" w:eastAsia="华文中宋" w:cs="Times New Roman"/>
                <w:szCs w:val="21"/>
              </w:rPr>
            </w:pPr>
            <w:r>
              <w:rPr>
                <w:rFonts w:hint="eastAsia" w:ascii="Times New Roman" w:hAnsi="Times New Roman" w:eastAsia="华文中宋" w:cs="Times New Roman"/>
                <w:szCs w:val="21"/>
                <w:lang w:val="en-US" w:eastAsia="zh-CN"/>
              </w:rPr>
              <w:t>吸入：迅速撤离现场至空气清新处，保持呼吸通畅，如呼吸困难，给输氧，如呼吸停止，立即进行人工呼吸，就医；</w:t>
            </w:r>
          </w:p>
          <w:p w14:paraId="03F4EEDE">
            <w:pPr>
              <w:spacing w:line="300" w:lineRule="exact"/>
              <w:jc w:val="both"/>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食入：误食柴油者，可饮牛奶，尽快彻底洗胃，要送医院就医。</w:t>
            </w:r>
          </w:p>
        </w:tc>
      </w:tr>
      <w:tr w14:paraId="5B9AF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Merge w:val="continue"/>
            <w:vAlign w:val="center"/>
          </w:tcPr>
          <w:p w14:paraId="067A227F">
            <w:pPr>
              <w:spacing w:line="300" w:lineRule="exact"/>
              <w:jc w:val="center"/>
              <w:rPr>
                <w:rFonts w:hint="eastAsia" w:ascii="Times New Roman" w:hAnsi="Times New Roman" w:eastAsia="华文中宋" w:cs="Times New Roman"/>
                <w:szCs w:val="21"/>
                <w:lang w:val="en-US" w:eastAsia="zh-CN"/>
              </w:rPr>
            </w:pPr>
          </w:p>
        </w:tc>
        <w:tc>
          <w:tcPr>
            <w:tcW w:w="1830" w:type="dxa"/>
            <w:vAlign w:val="center"/>
          </w:tcPr>
          <w:p w14:paraId="68A94457">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泄漏措施</w:t>
            </w:r>
          </w:p>
        </w:tc>
        <w:tc>
          <w:tcPr>
            <w:tcW w:w="5857" w:type="dxa"/>
            <w:gridSpan w:val="3"/>
            <w:vAlign w:val="center"/>
          </w:tcPr>
          <w:p w14:paraId="77004BFE">
            <w:pPr>
              <w:spacing w:line="300" w:lineRule="exact"/>
              <w:jc w:val="both"/>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首先切断泄漏油罐附近的所有电源，熄灭油附近的所有明火，隔离泄漏污染区，严禁携带火种靠近漏油区；在回收油品时，严禁使用铁制工具，以免发生撞击摩擦起火；待油迹清除后，确认无火灾隐患，方可开始继续进行；漏油处必须进行维修，确认无漏油方可开始继续使用。</w:t>
            </w:r>
          </w:p>
        </w:tc>
      </w:tr>
      <w:tr w14:paraId="124AA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Merge w:val="continue"/>
            <w:vAlign w:val="center"/>
          </w:tcPr>
          <w:p w14:paraId="7BDC946C">
            <w:pPr>
              <w:spacing w:line="300" w:lineRule="exact"/>
              <w:jc w:val="center"/>
              <w:rPr>
                <w:rFonts w:hint="eastAsia" w:ascii="Times New Roman" w:hAnsi="Times New Roman" w:eastAsia="华文中宋" w:cs="Times New Roman"/>
                <w:szCs w:val="21"/>
                <w:lang w:val="en-US" w:eastAsia="zh-CN"/>
              </w:rPr>
            </w:pPr>
          </w:p>
        </w:tc>
        <w:tc>
          <w:tcPr>
            <w:tcW w:w="1830" w:type="dxa"/>
            <w:vAlign w:val="center"/>
          </w:tcPr>
          <w:p w14:paraId="394BDB7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消防方法</w:t>
            </w:r>
          </w:p>
        </w:tc>
        <w:tc>
          <w:tcPr>
            <w:tcW w:w="5857" w:type="dxa"/>
            <w:gridSpan w:val="3"/>
            <w:vAlign w:val="center"/>
          </w:tcPr>
          <w:p w14:paraId="3355D54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雾状水、泡沫、干粉、二氧化碳、砂土。</w:t>
            </w:r>
          </w:p>
        </w:tc>
      </w:tr>
    </w:tbl>
    <w:p w14:paraId="5253270F">
      <w:pPr>
        <w:pStyle w:val="22"/>
        <w:keepNext w:val="0"/>
        <w:keepLines w:val="0"/>
        <w:pageBreakBefore w:val="0"/>
        <w:widowControl w:val="0"/>
        <w:numPr>
          <w:ilvl w:val="0"/>
          <w:numId w:val="0"/>
        </w:numPr>
        <w:kinsoku/>
        <w:wordWrap/>
        <w:overflowPunct/>
        <w:topLinePunct w:val="0"/>
        <w:bidi w:val="0"/>
        <w:adjustRightInd/>
        <w:snapToGrid/>
        <w:spacing w:line="360" w:lineRule="auto"/>
        <w:jc w:val="both"/>
        <w:rPr>
          <w:rFonts w:hint="default" w:ascii="Times New Roman" w:hAnsi="Times New Roman" w:cs="Times New Roman" w:eastAsiaTheme="minorEastAsia"/>
          <w:b/>
          <w:bCs/>
          <w:color w:val="auto"/>
          <w:lang w:val="en-US" w:eastAsia="zh-CN"/>
        </w:rPr>
      </w:pPr>
      <w:r>
        <w:rPr>
          <w:rFonts w:hint="eastAsia" w:ascii="Times New Roman" w:hAnsi="Times New Roman" w:cs="Times New Roman" w:eastAsiaTheme="minorEastAsia"/>
          <w:b/>
          <w:bCs/>
          <w:color w:val="auto"/>
          <w:sz w:val="24"/>
          <w:lang w:val="en-US" w:eastAsia="zh-CN"/>
        </w:rPr>
        <w:t>5.2.8.2</w:t>
      </w:r>
      <w:r>
        <w:rPr>
          <w:rFonts w:hint="default" w:ascii="Times New Roman" w:hAnsi="Times New Roman" w:cs="Times New Roman" w:eastAsiaTheme="minorEastAsia"/>
          <w:b/>
          <w:bCs/>
          <w:color w:val="auto"/>
          <w:lang w:val="en-US" w:eastAsia="zh-CN"/>
        </w:rPr>
        <w:t>环境敏感目标概况</w:t>
      </w:r>
    </w:p>
    <w:p w14:paraId="0DF0C272">
      <w:pPr>
        <w:adjustRightInd w:val="0"/>
        <w:snapToGrid w:val="0"/>
        <w:spacing w:line="500" w:lineRule="exact"/>
        <w:ind w:firstLine="480" w:firstLineChars="200"/>
        <w:jc w:val="left"/>
        <w:rPr>
          <w:rFonts w:hint="default" w:ascii="Times New Roman" w:hAnsi="Times New Roman" w:eastAsia="华文中宋" w:cs="Times New Roman"/>
          <w:sz w:val="24"/>
        </w:rPr>
      </w:pPr>
      <w:r>
        <w:rPr>
          <w:rFonts w:hint="default" w:ascii="Times New Roman" w:hAnsi="Times New Roman" w:eastAsia="华文中宋" w:cs="Times New Roman"/>
          <w:sz w:val="24"/>
          <w:lang w:val="en-US" w:eastAsia="zh-CN"/>
        </w:rPr>
        <w:t>通过对环境风险评价范围的调查与本项目区域环境敏感点的识别，评价范围内无环境风险敏感目标。</w:t>
      </w:r>
    </w:p>
    <w:p w14:paraId="28A2A46B">
      <w:pPr>
        <w:adjustRightInd w:val="0"/>
        <w:snapToGrid w:val="0"/>
        <w:spacing w:line="500" w:lineRule="exact"/>
        <w:jc w:val="left"/>
        <w:rPr>
          <w:rFonts w:hint="default" w:ascii="Times New Roman" w:hAnsi="Times New Roman" w:eastAsia="华文中宋" w:cs="Times New Roman"/>
          <w:b/>
          <w:bCs/>
          <w:sz w:val="24"/>
          <w:lang w:val="en-US" w:eastAsia="zh-CN"/>
        </w:rPr>
      </w:pPr>
      <w:r>
        <w:rPr>
          <w:rFonts w:hint="eastAsia" w:ascii="Times New Roman" w:hAnsi="Times New Roman" w:eastAsia="华文中宋" w:cs="Times New Roman"/>
          <w:b/>
          <w:bCs/>
          <w:sz w:val="24"/>
          <w:lang w:val="en-US" w:eastAsia="zh-CN"/>
        </w:rPr>
        <w:t>5.2.8.3</w:t>
      </w:r>
      <w:r>
        <w:rPr>
          <w:rFonts w:hint="default" w:ascii="Times New Roman" w:hAnsi="Times New Roman" w:eastAsia="华文中宋" w:cs="Times New Roman"/>
          <w:b/>
          <w:bCs/>
          <w:sz w:val="24"/>
          <w:lang w:val="en-US" w:eastAsia="zh-CN"/>
        </w:rPr>
        <w:t>环境风险识别</w:t>
      </w:r>
    </w:p>
    <w:p w14:paraId="26A4DF9A">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根据本项目特点，对生产过程中所涉及的物质风险因素进行识别。物质风险识别包括：主要原材料、辅助材料、燃料、中间产品、最终产品及生产过程排放的废水、废气、废渣污染物等。</w:t>
      </w:r>
    </w:p>
    <w:p w14:paraId="10283FBE">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（1）</w:t>
      </w:r>
      <w:r>
        <w:rPr>
          <w:rFonts w:hint="default" w:ascii="Times New Roman" w:hAnsi="Times New Roman" w:eastAsia="华文中宋" w:cs="Times New Roman"/>
          <w:sz w:val="24"/>
          <w:lang w:val="en-US" w:eastAsia="zh-CN"/>
        </w:rPr>
        <w:t>物质风险识别</w:t>
      </w:r>
    </w:p>
    <w:p w14:paraId="123DC68E">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根据识别，矿区生产过程中涉及的环境风险物质主要为</w:t>
      </w:r>
      <w:r>
        <w:rPr>
          <w:rFonts w:hint="eastAsia" w:ascii="Times New Roman" w:hAnsi="Times New Roman" w:eastAsia="华文中宋" w:cs="Times New Roman"/>
          <w:sz w:val="24"/>
          <w:lang w:val="en-US" w:eastAsia="zh-CN"/>
        </w:rPr>
        <w:t>储存的柴油</w:t>
      </w:r>
      <w:r>
        <w:rPr>
          <w:rFonts w:hint="default" w:ascii="Times New Roman" w:hAnsi="Times New Roman" w:eastAsia="华文中宋" w:cs="Times New Roman"/>
          <w:sz w:val="24"/>
          <w:lang w:val="en-US" w:eastAsia="zh-CN"/>
        </w:rPr>
        <w:t>和危险暂存间存放的废润滑油，运行过程中管理不严格，人员操作失误等易引发泄漏、火灾事故，引发人员伤亡，环境污染。</w:t>
      </w:r>
    </w:p>
    <w:p w14:paraId="68CAB949">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（2）</w:t>
      </w:r>
      <w:r>
        <w:rPr>
          <w:rFonts w:hint="default" w:ascii="Times New Roman" w:hAnsi="Times New Roman" w:eastAsia="华文中宋" w:cs="Times New Roman"/>
          <w:sz w:val="24"/>
          <w:lang w:val="en-US" w:eastAsia="zh-CN"/>
        </w:rPr>
        <w:t>生产设施风险识别</w:t>
      </w:r>
    </w:p>
    <w:p w14:paraId="50491C3C">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本项目开采过程中其他过程物料不存在易燃易爆或有毒有害性，也没有风险性的生产设施或装置，因此本项目的危险性主要来自生产过程中的</w:t>
      </w:r>
      <w:r>
        <w:rPr>
          <w:rFonts w:hint="eastAsia" w:ascii="Times New Roman" w:hAnsi="Times New Roman" w:eastAsia="华文中宋" w:cs="Times New Roman"/>
          <w:sz w:val="24"/>
          <w:lang w:val="en-US" w:eastAsia="zh-CN"/>
        </w:rPr>
        <w:t>柴油储罐区柴油以及危废暂存间储存废润滑油泄</w:t>
      </w:r>
      <w:r>
        <w:rPr>
          <w:rFonts w:hint="default" w:ascii="Times New Roman" w:hAnsi="Times New Roman" w:eastAsia="华文中宋" w:cs="Times New Roman"/>
          <w:sz w:val="24"/>
          <w:lang w:val="en-US" w:eastAsia="zh-CN"/>
        </w:rPr>
        <w:t>漏、废石堆放场滑坡等风险事故。</w:t>
      </w:r>
    </w:p>
    <w:p w14:paraId="17D73D4F">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本项目主要环境风险见表5.2-</w:t>
      </w:r>
      <w:r>
        <w:rPr>
          <w:rFonts w:hint="eastAsia" w:ascii="Times New Roman" w:hAnsi="Times New Roman" w:eastAsia="华文中宋" w:cs="Times New Roman"/>
          <w:sz w:val="24"/>
          <w:lang w:val="en-US" w:eastAsia="zh-CN"/>
        </w:rPr>
        <w:t>38</w:t>
      </w:r>
      <w:r>
        <w:rPr>
          <w:rFonts w:hint="default" w:ascii="Times New Roman" w:hAnsi="Times New Roman" w:eastAsia="华文中宋" w:cs="Times New Roman"/>
          <w:sz w:val="24"/>
          <w:lang w:val="en-US" w:eastAsia="zh-CN"/>
        </w:rPr>
        <w:t>。</w:t>
      </w:r>
    </w:p>
    <w:p w14:paraId="2F01DF79">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表5.2-</w:t>
      </w:r>
      <w:r>
        <w:rPr>
          <w:rFonts w:hint="eastAsia" w:ascii="Times New Roman" w:hAnsi="Times New Roman" w:eastAsia="华文中宋" w:cs="Times New Roman"/>
          <w:b/>
          <w:szCs w:val="21"/>
          <w:lang w:val="en-US" w:eastAsia="zh-CN"/>
        </w:rPr>
        <w:t>38</w:t>
      </w:r>
      <w:r>
        <w:rPr>
          <w:rFonts w:hint="default" w:ascii="Times New Roman" w:hAnsi="Times New Roman" w:eastAsia="华文中宋" w:cs="Times New Roman"/>
          <w:b/>
          <w:szCs w:val="21"/>
          <w:lang w:val="en-US" w:eastAsia="zh-CN"/>
        </w:rPr>
        <w:t xml:space="preserve">  生产装置风险类型和原因分析表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1215"/>
        <w:gridCol w:w="1217"/>
        <w:gridCol w:w="1498"/>
        <w:gridCol w:w="2746"/>
        <w:gridCol w:w="1843"/>
      </w:tblGrid>
      <w:tr w14:paraId="55DF03E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13" w:type="pct"/>
            <w:tcBorders>
              <w:tl2br w:val="nil"/>
              <w:tr2bl w:val="nil"/>
            </w:tcBorders>
            <w:vAlign w:val="center"/>
          </w:tcPr>
          <w:p w14:paraId="72357A6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危险单元</w:t>
            </w:r>
          </w:p>
        </w:tc>
        <w:tc>
          <w:tcPr>
            <w:tcW w:w="714" w:type="pct"/>
            <w:tcBorders>
              <w:tl2br w:val="nil"/>
              <w:tr2bl w:val="nil"/>
            </w:tcBorders>
            <w:vAlign w:val="center"/>
          </w:tcPr>
          <w:p w14:paraId="76748DC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风险物质</w:t>
            </w:r>
          </w:p>
        </w:tc>
        <w:tc>
          <w:tcPr>
            <w:tcW w:w="879" w:type="pct"/>
            <w:tcBorders>
              <w:tl2br w:val="nil"/>
              <w:tr2bl w:val="nil"/>
            </w:tcBorders>
            <w:vAlign w:val="center"/>
          </w:tcPr>
          <w:p w14:paraId="7054DC3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风险类型</w:t>
            </w:r>
          </w:p>
        </w:tc>
        <w:tc>
          <w:tcPr>
            <w:tcW w:w="1611" w:type="pct"/>
            <w:tcBorders>
              <w:tl2br w:val="nil"/>
              <w:tr2bl w:val="nil"/>
            </w:tcBorders>
            <w:vAlign w:val="center"/>
          </w:tcPr>
          <w:p w14:paraId="45ED93D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原因分析</w:t>
            </w:r>
          </w:p>
        </w:tc>
        <w:tc>
          <w:tcPr>
            <w:tcW w:w="1081" w:type="pct"/>
            <w:tcBorders>
              <w:tl2br w:val="nil"/>
              <w:tr2bl w:val="nil"/>
            </w:tcBorders>
            <w:vAlign w:val="center"/>
          </w:tcPr>
          <w:p w14:paraId="6B39414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危害</w:t>
            </w:r>
          </w:p>
        </w:tc>
      </w:tr>
      <w:tr w14:paraId="2E1B18F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13" w:type="pct"/>
            <w:tcBorders>
              <w:tl2br w:val="nil"/>
              <w:tr2bl w:val="nil"/>
            </w:tcBorders>
            <w:vAlign w:val="center"/>
          </w:tcPr>
          <w:p w14:paraId="33FE9AA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危废暂存间</w:t>
            </w:r>
          </w:p>
        </w:tc>
        <w:tc>
          <w:tcPr>
            <w:tcW w:w="714" w:type="pct"/>
            <w:tcBorders>
              <w:tl2br w:val="nil"/>
              <w:tr2bl w:val="nil"/>
            </w:tcBorders>
            <w:vAlign w:val="center"/>
          </w:tcPr>
          <w:p w14:paraId="45B3F31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废润滑油</w:t>
            </w:r>
          </w:p>
        </w:tc>
        <w:tc>
          <w:tcPr>
            <w:tcW w:w="879" w:type="pct"/>
            <w:vMerge w:val="restart"/>
            <w:tcBorders>
              <w:tl2br w:val="nil"/>
              <w:tr2bl w:val="nil"/>
            </w:tcBorders>
            <w:vAlign w:val="center"/>
          </w:tcPr>
          <w:p w14:paraId="56227A4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zh-CN" w:eastAsia="zh-CN"/>
              </w:rPr>
              <w:t>风险物质泄漏</w:t>
            </w:r>
          </w:p>
        </w:tc>
        <w:tc>
          <w:tcPr>
            <w:tcW w:w="1611" w:type="pct"/>
            <w:vMerge w:val="restart"/>
            <w:tcBorders>
              <w:tl2br w:val="nil"/>
              <w:tr2bl w:val="nil"/>
            </w:tcBorders>
            <w:vAlign w:val="center"/>
          </w:tcPr>
          <w:p w14:paraId="579BE87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自然灾害、储存、管理、维护不善</w:t>
            </w:r>
          </w:p>
        </w:tc>
        <w:tc>
          <w:tcPr>
            <w:tcW w:w="1081" w:type="pct"/>
            <w:vMerge w:val="restart"/>
            <w:tcBorders>
              <w:tl2br w:val="nil"/>
              <w:tr2bl w:val="nil"/>
            </w:tcBorders>
            <w:vAlign w:val="center"/>
          </w:tcPr>
          <w:p w14:paraId="1765B91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财产损失、环境污染</w:t>
            </w:r>
          </w:p>
        </w:tc>
      </w:tr>
      <w:tr w14:paraId="264BA5A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13" w:type="pct"/>
            <w:tcBorders>
              <w:tl2br w:val="nil"/>
              <w:tr2bl w:val="nil"/>
            </w:tcBorders>
            <w:vAlign w:val="center"/>
          </w:tcPr>
          <w:p w14:paraId="4A766C2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油库</w:t>
            </w:r>
          </w:p>
        </w:tc>
        <w:tc>
          <w:tcPr>
            <w:tcW w:w="714" w:type="pct"/>
            <w:tcBorders>
              <w:tl2br w:val="nil"/>
              <w:tr2bl w:val="nil"/>
            </w:tcBorders>
            <w:vAlign w:val="center"/>
          </w:tcPr>
          <w:p w14:paraId="15AFFEA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柴油</w:t>
            </w:r>
          </w:p>
        </w:tc>
        <w:tc>
          <w:tcPr>
            <w:tcW w:w="879" w:type="pct"/>
            <w:vMerge w:val="continue"/>
            <w:tcBorders>
              <w:tl2br w:val="nil"/>
              <w:tr2bl w:val="nil"/>
            </w:tcBorders>
            <w:vAlign w:val="center"/>
          </w:tcPr>
          <w:p w14:paraId="6FE2B8B7">
            <w:pPr>
              <w:spacing w:line="300" w:lineRule="exact"/>
              <w:jc w:val="center"/>
              <w:rPr>
                <w:rFonts w:hint="default" w:ascii="Times New Roman" w:hAnsi="Times New Roman" w:eastAsia="华文中宋" w:cs="Times New Roman"/>
                <w:szCs w:val="21"/>
                <w:lang w:val="zh-CN" w:eastAsia="zh-CN"/>
              </w:rPr>
            </w:pPr>
          </w:p>
        </w:tc>
        <w:tc>
          <w:tcPr>
            <w:tcW w:w="1611" w:type="pct"/>
            <w:vMerge w:val="continue"/>
            <w:tcBorders>
              <w:tl2br w:val="nil"/>
              <w:tr2bl w:val="nil"/>
            </w:tcBorders>
            <w:vAlign w:val="center"/>
          </w:tcPr>
          <w:p w14:paraId="0E6E1287">
            <w:pPr>
              <w:spacing w:line="300" w:lineRule="exact"/>
              <w:jc w:val="center"/>
              <w:rPr>
                <w:rFonts w:hint="default" w:ascii="Times New Roman" w:hAnsi="Times New Roman" w:eastAsia="华文中宋" w:cs="Times New Roman"/>
                <w:szCs w:val="21"/>
              </w:rPr>
            </w:pPr>
          </w:p>
        </w:tc>
        <w:tc>
          <w:tcPr>
            <w:tcW w:w="1081" w:type="pct"/>
            <w:vMerge w:val="continue"/>
            <w:tcBorders>
              <w:tl2br w:val="nil"/>
              <w:tr2bl w:val="nil"/>
            </w:tcBorders>
            <w:vAlign w:val="center"/>
          </w:tcPr>
          <w:p w14:paraId="183716FC">
            <w:pPr>
              <w:spacing w:line="300" w:lineRule="exact"/>
              <w:jc w:val="center"/>
              <w:rPr>
                <w:rFonts w:hint="default" w:ascii="Times New Roman" w:hAnsi="Times New Roman" w:eastAsia="华文中宋" w:cs="Times New Roman"/>
                <w:szCs w:val="21"/>
                <w:lang w:val="en-US" w:eastAsia="zh-CN"/>
              </w:rPr>
            </w:pPr>
          </w:p>
        </w:tc>
      </w:tr>
      <w:tr w14:paraId="5C559F1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27" w:type="pct"/>
            <w:gridSpan w:val="2"/>
            <w:tcBorders>
              <w:tl2br w:val="nil"/>
              <w:tr2bl w:val="nil"/>
            </w:tcBorders>
            <w:vAlign w:val="center"/>
          </w:tcPr>
          <w:p w14:paraId="2962740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废石堆放场</w:t>
            </w:r>
          </w:p>
        </w:tc>
        <w:tc>
          <w:tcPr>
            <w:tcW w:w="879" w:type="pct"/>
            <w:tcBorders>
              <w:tl2br w:val="nil"/>
              <w:tr2bl w:val="nil"/>
            </w:tcBorders>
            <w:vAlign w:val="center"/>
          </w:tcPr>
          <w:p w14:paraId="4D1D9F9E">
            <w:pPr>
              <w:spacing w:line="300" w:lineRule="exact"/>
              <w:jc w:val="center"/>
              <w:rPr>
                <w:rFonts w:hint="default" w:ascii="Times New Roman" w:hAnsi="Times New Roman" w:eastAsia="华文中宋" w:cs="Times New Roman"/>
                <w:szCs w:val="21"/>
                <w:lang w:val="zh-CN" w:eastAsia="zh-CN"/>
              </w:rPr>
            </w:pPr>
            <w:r>
              <w:rPr>
                <w:rFonts w:hint="default" w:ascii="Times New Roman" w:hAnsi="Times New Roman" w:eastAsia="华文中宋" w:cs="Times New Roman"/>
                <w:szCs w:val="21"/>
                <w:lang w:val="en-US" w:eastAsia="zh-CN"/>
              </w:rPr>
              <w:t>地质灾害</w:t>
            </w:r>
          </w:p>
        </w:tc>
        <w:tc>
          <w:tcPr>
            <w:tcW w:w="1611" w:type="pct"/>
            <w:tcBorders>
              <w:tl2br w:val="nil"/>
              <w:tr2bl w:val="nil"/>
            </w:tcBorders>
            <w:vAlign w:val="center"/>
          </w:tcPr>
          <w:p w14:paraId="77B1D8C1">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zh-CN" w:eastAsia="zh-CN"/>
              </w:rPr>
              <w:t>自然灾害、堆放不规范</w:t>
            </w:r>
          </w:p>
        </w:tc>
        <w:tc>
          <w:tcPr>
            <w:tcW w:w="1081" w:type="pct"/>
            <w:tcBorders>
              <w:tl2br w:val="nil"/>
              <w:tr2bl w:val="nil"/>
            </w:tcBorders>
            <w:vAlign w:val="center"/>
          </w:tcPr>
          <w:p w14:paraId="7AF318D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滑坡、破坏植被、环境污染</w:t>
            </w:r>
          </w:p>
        </w:tc>
      </w:tr>
    </w:tbl>
    <w:p w14:paraId="2C2E8A44">
      <w:pPr>
        <w:pStyle w:val="24"/>
        <w:snapToGrid w:val="0"/>
        <w:ind w:left="0" w:leftChars="0" w:firstLine="0" w:firstLineChars="0"/>
        <w:jc w:val="left"/>
        <w:rPr>
          <w:rFonts w:hint="default" w:ascii="Times New Roman" w:hAnsi="Times New Roman" w:eastAsia="华文中宋" w:cs="Times New Roman"/>
          <w:b/>
          <w:bCs/>
          <w:color w:val="auto"/>
          <w:lang w:val="en-US" w:eastAsia="zh-CN"/>
        </w:rPr>
      </w:pPr>
      <w:r>
        <w:rPr>
          <w:rFonts w:hint="eastAsia" w:ascii="Times New Roman" w:hAnsi="Times New Roman" w:cs="Times New Roman"/>
          <w:b/>
          <w:bCs/>
          <w:color w:val="auto"/>
          <w:lang w:val="en-US" w:eastAsia="zh-CN"/>
        </w:rPr>
        <w:t>5.2.8.4</w:t>
      </w:r>
      <w:r>
        <w:rPr>
          <w:rFonts w:hint="default" w:ascii="Times New Roman" w:hAnsi="Times New Roman" w:eastAsia="华文中宋" w:cs="Times New Roman"/>
          <w:b/>
          <w:bCs/>
          <w:color w:val="auto"/>
          <w:lang w:val="en-US" w:eastAsia="zh-CN"/>
        </w:rPr>
        <w:t>环境风险分析</w:t>
      </w:r>
    </w:p>
    <w:p w14:paraId="4817CF1F">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（1）</w:t>
      </w:r>
      <w:r>
        <w:rPr>
          <w:rFonts w:hint="default" w:ascii="Times New Roman" w:hAnsi="Times New Roman" w:eastAsia="华文中宋" w:cs="Times New Roman"/>
          <w:color w:val="auto"/>
          <w:lang w:val="en-US" w:eastAsia="zh-CN"/>
        </w:rPr>
        <w:t>润滑油储存场所环境风险影响分析</w:t>
      </w:r>
    </w:p>
    <w:p w14:paraId="2FDBAAB6">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①风险事故源项分析</w:t>
      </w:r>
    </w:p>
    <w:p w14:paraId="34671E82">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矿区设置</w:t>
      </w:r>
      <w:r>
        <w:rPr>
          <w:rFonts w:hint="eastAsia" w:ascii="Times New Roman" w:hAnsi="Times New Roman" w:cs="Times New Roman"/>
          <w:color w:val="auto"/>
          <w:lang w:val="en-US" w:eastAsia="zh-CN"/>
        </w:rPr>
        <w:t>危废暂存间、柴油储存区</w:t>
      </w:r>
      <w:r>
        <w:rPr>
          <w:rFonts w:hint="default" w:ascii="Times New Roman" w:hAnsi="Times New Roman" w:eastAsia="华文中宋" w:cs="Times New Roman"/>
          <w:color w:val="auto"/>
          <w:lang w:val="en-US" w:eastAsia="zh-CN"/>
        </w:rPr>
        <w:t>，主要暂存机械设备运行及维修保养过程中需要的油类</w:t>
      </w:r>
      <w:r>
        <w:rPr>
          <w:rFonts w:hint="eastAsia" w:ascii="Times New Roman" w:hAnsi="Times New Roman" w:cs="Times New Roman"/>
          <w:color w:val="auto"/>
          <w:lang w:val="en-US" w:eastAsia="zh-CN"/>
        </w:rPr>
        <w:t>、废润滑油、柴油</w:t>
      </w:r>
      <w:r>
        <w:rPr>
          <w:rFonts w:hint="default" w:ascii="Times New Roman" w:hAnsi="Times New Roman" w:eastAsia="华文中宋" w:cs="Times New Roman"/>
          <w:color w:val="auto"/>
          <w:lang w:val="en-US" w:eastAsia="zh-CN"/>
        </w:rPr>
        <w:t>。</w:t>
      </w:r>
    </w:p>
    <w:p w14:paraId="6DA4E61A">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事故性的大规模泄漏可影响区域生态环境，减少或降低有机物的生物量。最显著的危害表现为：油品黏附于枝叶，阻止植物进行光合作用，可使植物枯萎死亡；在土壤中黏附于植物根系，可阻止植物吸收水分和矿物质而死亡。因此，成品油泄漏可能引起原生植被生态系统退化，次生植被生态系统演替，从而相应改变生态系统中各组成对应生态位的变动。</w:t>
      </w:r>
    </w:p>
    <w:p w14:paraId="76964560">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油类物质黏度较大，当油类泄漏进入水体时，溢油首先会因浮力浮于水面上；同时由于重力和表面张力的作用而在水面上形成油膜，并向四周散开，因黏结力而形成一定厚度的成片油膜，并借助风、浪、流的作用力在水面漂移扩散。与此同时，溢油会发生一系列溶解、乳化等迁移转化反应，一旦遇到生物体、无机悬浮物或漂移至岸边，还会发生附着、吸附和沉降等变化但一般情况下，油类发生泄漏事故而泄漏于地表的数量有限，如果处理及时得当，则可有效地控制对周围环境的影响。</w:t>
      </w:r>
    </w:p>
    <w:p w14:paraId="6DEFC429">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②油类事故环境风险防范措施</w:t>
      </w:r>
    </w:p>
    <w:p w14:paraId="0C54E90B">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油类在存放期间，应使用完好无损容器盛装；用以安置容器的地方，必须有耐腐蚀的硬化地面，且表面无裂痕。场内设置临时安全存放场所，基础做防渗，防渗层为至少1m</w:t>
      </w:r>
      <w:r>
        <w:rPr>
          <w:rFonts w:hint="eastAsia" w:ascii="Times New Roman" w:hAnsi="Times New Roman" w:eastAsia="华文中宋" w:cs="Times New Roman"/>
          <w:color w:val="auto"/>
          <w:lang w:val="en-US" w:eastAsia="zh-CN"/>
        </w:rPr>
        <w:t>黏土层</w:t>
      </w:r>
      <w:r>
        <w:rPr>
          <w:rFonts w:hint="default" w:ascii="Times New Roman" w:hAnsi="Times New Roman" w:eastAsia="华文中宋" w:cs="Times New Roman"/>
          <w:color w:val="auto"/>
          <w:lang w:val="en-US" w:eastAsia="zh-CN"/>
        </w:rPr>
        <w:t>（渗透系数小于等于10</w:t>
      </w:r>
      <w:r>
        <w:rPr>
          <w:rFonts w:hint="eastAsia" w:ascii="Times New Roman" w:hAnsi="Times New Roman" w:eastAsia="华文中宋" w:cs="Times New Roman"/>
          <w:color w:val="auto"/>
          <w:vertAlign w:val="superscript"/>
          <w:lang w:val="en-US" w:eastAsia="zh-CN"/>
        </w:rPr>
        <w:t>-</w:t>
      </w:r>
      <w:r>
        <w:rPr>
          <w:rFonts w:hint="default" w:ascii="Times New Roman" w:hAnsi="Times New Roman" w:eastAsia="华文中宋" w:cs="Times New Roman"/>
          <w:color w:val="auto"/>
          <w:vertAlign w:val="superscript"/>
          <w:lang w:val="en-US" w:eastAsia="zh-CN"/>
        </w:rPr>
        <w:t>10</w:t>
      </w:r>
      <w:r>
        <w:rPr>
          <w:rFonts w:hint="default" w:ascii="Times New Roman" w:hAnsi="Times New Roman" w:eastAsia="华文中宋" w:cs="Times New Roman"/>
          <w:color w:val="auto"/>
          <w:lang w:val="en-US" w:eastAsia="zh-CN"/>
        </w:rPr>
        <w:t>cm/s）。</w:t>
      </w:r>
    </w:p>
    <w:p w14:paraId="49A25E35">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设立标志，加强巡检，防止人为破坏。露天矿运营后，要提高操作人员的素质和管理水平，防止或减少事故风险的发生，确保柴油和润滑油储存场所的正常运行。</w:t>
      </w:r>
    </w:p>
    <w:p w14:paraId="3C77ED60">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（2）</w:t>
      </w:r>
      <w:r>
        <w:rPr>
          <w:rFonts w:hint="default" w:ascii="Times New Roman" w:hAnsi="Times New Roman" w:eastAsia="华文中宋" w:cs="Times New Roman"/>
          <w:color w:val="auto"/>
          <w:lang w:val="en-US" w:eastAsia="zh-CN"/>
        </w:rPr>
        <w:t>废石堆放场风险事故影响分析</w:t>
      </w:r>
    </w:p>
    <w:p w14:paraId="30D7D1CE">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①废石堆放场风险事故源项分析</w:t>
      </w:r>
    </w:p>
    <w:p w14:paraId="43543CEE">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本矿布置废石堆放场，废石堆放场的灾害形式因地质、地理、气候等自然条件不同而异，按其对环境危害的表现形式，大体上可分为两类：</w:t>
      </w:r>
    </w:p>
    <w:p w14:paraId="5B72D9CA">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废石堆放场滑坡：因松散固体大规模错动、滑移对环境造成的破坏性危害；</w:t>
      </w:r>
    </w:p>
    <w:p w14:paraId="5AD83B71">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废石堆放场泥石流：液固相流体流动对环境形成的破坏性危害。当废石堆放场区域汇流面积过大、流量强，造成废石堆放场边坡不稳定，进而引起废石堆放场泥石流发生，不仅产生新的水土流失，而且可能威胁人群安全。</w:t>
      </w:r>
    </w:p>
    <w:p w14:paraId="1868EB88">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②废石堆放场风险影响分析</w:t>
      </w:r>
    </w:p>
    <w:p w14:paraId="60B921B8">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a.</w:t>
      </w:r>
      <w:r>
        <w:rPr>
          <w:rFonts w:hint="default" w:ascii="Times New Roman" w:hAnsi="Times New Roman" w:eastAsia="华文中宋" w:cs="Times New Roman"/>
          <w:color w:val="auto"/>
          <w:lang w:val="en-US" w:eastAsia="zh-CN"/>
        </w:rPr>
        <w:t>废石堆放场滑坡风险影响分析</w:t>
      </w:r>
    </w:p>
    <w:p w14:paraId="13B0A168">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引起废石堆放场滑坡的原因主要是边坡角太小及堆放方法不科学引起的。由于本项目废石堆放场周围与居民点有一定的距离，因此滑坡后受影响的对象主要是采矿场至废石堆放场的道路及在路上运行的车辆及行人，结果是造成暂时性交通中断及引起毁车伤人事件。</w:t>
      </w:r>
    </w:p>
    <w:p w14:paraId="52BBCE4E">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b.</w:t>
      </w:r>
      <w:r>
        <w:rPr>
          <w:rFonts w:hint="default" w:ascii="Times New Roman" w:hAnsi="Times New Roman" w:eastAsia="华文中宋" w:cs="Times New Roman"/>
          <w:color w:val="auto"/>
          <w:lang w:val="en-US" w:eastAsia="zh-CN"/>
        </w:rPr>
        <w:t>废石堆放场泥石流风险影响分析</w:t>
      </w:r>
    </w:p>
    <w:p w14:paraId="6A90E81C">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在废石堆放场上游及两侧未完善截水沟时，暴雨洪水产生的地表径流可能汇入废石堆放场内，浸泡剥离矿岩，当洪水量足够大时，极易发生泥石流。由于当地地形是南高、北低，地表临时径流方向也是由南向北，因此一旦产生泥石流，不会殃及</w:t>
      </w:r>
      <w:r>
        <w:rPr>
          <w:rFonts w:hint="eastAsia" w:ascii="Times New Roman" w:hAnsi="Times New Roman" w:cs="Times New Roman"/>
          <w:color w:val="auto"/>
          <w:lang w:val="en-US" w:eastAsia="zh-CN"/>
        </w:rPr>
        <w:t>堆场</w:t>
      </w:r>
      <w:r>
        <w:rPr>
          <w:rFonts w:hint="default" w:ascii="Times New Roman" w:hAnsi="Times New Roman" w:eastAsia="华文中宋" w:cs="Times New Roman"/>
          <w:color w:val="auto"/>
          <w:lang w:val="en-US" w:eastAsia="zh-CN"/>
        </w:rPr>
        <w:t>及采掘场，但要毁坏废石堆放场及运输道路，还有可能引起毁车伤人事件。</w:t>
      </w:r>
    </w:p>
    <w:p w14:paraId="005C1ED1">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③废石堆放场环境风险防范与减缓措施</w:t>
      </w:r>
    </w:p>
    <w:p w14:paraId="6EB71944">
      <w:pPr>
        <w:pStyle w:val="24"/>
        <w:snapToGrid w:val="0"/>
        <w:jc w:val="left"/>
        <w:rPr>
          <w:rFonts w:hint="default" w:ascii="Times New Roman" w:hAnsi="Times New Roman" w:eastAsia="华文中宋" w:cs="Times New Roman"/>
          <w:color w:val="auto"/>
          <w:lang w:val="en-US" w:eastAsia="zh-CN"/>
        </w:rPr>
      </w:pPr>
      <w:bookmarkStart w:id="191" w:name="_Toc31498"/>
      <w:bookmarkStart w:id="192" w:name="_Toc3115"/>
      <w:bookmarkStart w:id="193" w:name="_Toc12691"/>
      <w:r>
        <w:rPr>
          <w:rFonts w:hint="eastAsia" w:ascii="Times New Roman" w:hAnsi="Times New Roman" w:cs="Times New Roman"/>
          <w:color w:val="auto"/>
          <w:lang w:val="en-US" w:eastAsia="zh-CN"/>
        </w:rPr>
        <w:t>a.</w:t>
      </w:r>
      <w:r>
        <w:rPr>
          <w:rFonts w:hint="default" w:ascii="Times New Roman" w:hAnsi="Times New Roman" w:eastAsia="华文中宋" w:cs="Times New Roman"/>
          <w:color w:val="auto"/>
          <w:lang w:val="en-US" w:eastAsia="zh-CN"/>
        </w:rPr>
        <w:t>加强废石堆放场基底管理</w:t>
      </w:r>
      <w:bookmarkEnd w:id="191"/>
      <w:bookmarkEnd w:id="192"/>
      <w:bookmarkEnd w:id="193"/>
    </w:p>
    <w:p w14:paraId="1A736DDE">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在废石堆放场基底应尽量排弃块大的、坚硬的、遇水不易泥化的物料，并保持其连续性，以尽量将废石堆放场内部的水排出；必要时对基底做麻面防滑处理，既有利于疏排水流畅又增大与物料摩擦力，确保废石堆放场边坡稳定；还可设置“鱼刺状”的排水沟和集水沟，沟内设滤水管和反滤层，形成沿废石堆放场底部的排水系统，及时将废石堆放场底部的水排出。</w:t>
      </w:r>
    </w:p>
    <w:p w14:paraId="2D550D75">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在局部稳定性较差的地区，可做一些局部物料加强措施，并与排水措施相结合，提高不稳定区域的物料强度。</w:t>
      </w:r>
    </w:p>
    <w:p w14:paraId="4F271029">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b.</w:t>
      </w:r>
      <w:r>
        <w:rPr>
          <w:rFonts w:hint="default" w:ascii="Times New Roman" w:hAnsi="Times New Roman" w:eastAsia="华文中宋" w:cs="Times New Roman"/>
          <w:color w:val="auto"/>
          <w:lang w:val="en-US" w:eastAsia="zh-CN"/>
        </w:rPr>
        <w:t>地面排水措施</w:t>
      </w:r>
    </w:p>
    <w:p w14:paraId="225BF492">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在废石堆放场未建立之前，废石堆放场周边的排水系统必须尽早建成。同时，在排弃时，基底尽量排弃块大的、坚硬的、见水不易泥化的物料，尽量不要破坏原有的径流条件，保持基底排泄畅通。</w:t>
      </w:r>
    </w:p>
    <w:p w14:paraId="220ADE7C">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为了保证边坡稳定，应在采矿场边坡周边建立完善的防排水设施，使外部积水不入坑，并在废石堆放场边坡上建立完整排水系统，使废石堆放场边坡上的雨水尽快排出，坑内的积水也应尽早排出，以提高废石堆放场边坡的稳定。</w:t>
      </w:r>
    </w:p>
    <w:p w14:paraId="407BEA1E">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c.</w:t>
      </w:r>
      <w:r>
        <w:rPr>
          <w:rFonts w:hint="default" w:ascii="Times New Roman" w:hAnsi="Times New Roman" w:eastAsia="华文中宋" w:cs="Times New Roman"/>
          <w:color w:val="auto"/>
          <w:lang w:val="en-US" w:eastAsia="zh-CN"/>
        </w:rPr>
        <w:t>修筑挡土墙</w:t>
      </w:r>
    </w:p>
    <w:p w14:paraId="01CFB2AC">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废石堆放场四周要修建围堰，防止岩石滚落，并有效减小滑坡风险。</w:t>
      </w:r>
    </w:p>
    <w:p w14:paraId="03250EF5">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d.</w:t>
      </w:r>
      <w:r>
        <w:rPr>
          <w:rFonts w:hint="default" w:ascii="Times New Roman" w:hAnsi="Times New Roman" w:eastAsia="华文中宋" w:cs="Times New Roman"/>
          <w:color w:val="auto"/>
          <w:lang w:val="en-US" w:eastAsia="zh-CN"/>
        </w:rPr>
        <w:t>科学排石措施</w:t>
      </w:r>
    </w:p>
    <w:p w14:paraId="05C97D38">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依据剥离物的强度调整排弃顺序。坚硬物料排在边坡的下部即有利于边坡的稳定，反之就不利于边坡的稳定。废石堆放场中部可适当排弃一些强度低的物料，而周边对边坡稳定要求较高的地区则必须排弃一些强度较高的物料。</w:t>
      </w:r>
    </w:p>
    <w:p w14:paraId="58C92CD5">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e.</w:t>
      </w:r>
      <w:r>
        <w:rPr>
          <w:rFonts w:hint="default" w:ascii="Times New Roman" w:hAnsi="Times New Roman" w:eastAsia="华文中宋" w:cs="Times New Roman"/>
          <w:color w:val="auto"/>
          <w:lang w:val="en-US" w:eastAsia="zh-CN"/>
        </w:rPr>
        <w:t>预警监测</w:t>
      </w:r>
    </w:p>
    <w:p w14:paraId="5EAF8E04">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在边坡形成期间和形成之后，应定期监测外废石堆放场边坡的位移变形情况，当发现某一部位变形异常，应提高监测频度，并提出相应的治理措施，避免造成更大的损失。</w:t>
      </w:r>
    </w:p>
    <w:p w14:paraId="3963645E">
      <w:pPr>
        <w:pStyle w:val="24"/>
        <w:snapToGrid w:val="0"/>
        <w:ind w:left="0" w:leftChars="0" w:firstLine="0" w:firstLineChars="0"/>
        <w:jc w:val="left"/>
        <w:rPr>
          <w:rFonts w:hint="default" w:ascii="Times New Roman" w:hAnsi="Times New Roman" w:eastAsia="华文中宋" w:cs="Times New Roman"/>
          <w:b/>
          <w:bCs/>
          <w:color w:val="auto"/>
          <w:lang w:val="en-US" w:eastAsia="zh-CN"/>
        </w:rPr>
      </w:pPr>
      <w:r>
        <w:rPr>
          <w:rFonts w:hint="eastAsia" w:ascii="Times New Roman" w:hAnsi="Times New Roman" w:cs="Times New Roman"/>
          <w:b/>
          <w:bCs/>
          <w:color w:val="auto"/>
          <w:lang w:val="en-US" w:eastAsia="zh-CN"/>
        </w:rPr>
        <w:t>5.2.8.5</w:t>
      </w:r>
      <w:r>
        <w:rPr>
          <w:rFonts w:hint="default" w:ascii="Times New Roman" w:hAnsi="Times New Roman" w:eastAsia="华文中宋" w:cs="Times New Roman"/>
          <w:b/>
          <w:bCs/>
          <w:color w:val="auto"/>
          <w:lang w:val="en-US" w:eastAsia="zh-CN"/>
        </w:rPr>
        <w:t>风险防范措施</w:t>
      </w:r>
    </w:p>
    <w:p w14:paraId="58D8C3F3">
      <w:pPr>
        <w:pStyle w:val="24"/>
        <w:snapToGrid w:val="0"/>
        <w:jc w:val="left"/>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r>
        <w:rPr>
          <w:rFonts w:hint="default" w:ascii="Times New Roman" w:hAnsi="Times New Roman" w:cs="Times New Roman"/>
          <w:color w:val="auto"/>
          <w:lang w:val="en-US" w:eastAsia="zh-CN"/>
        </w:rPr>
        <w:t>加强管理。对柴油和润滑油储存设施定期检查，建立记录与档案留存，加强人员技术培训与风险事故应对能力的培训，形成系统的操作流程和规章制度，并在企业内宣传、落实到位。制订《突发环境事件应急预案》，定期演练。</w:t>
      </w:r>
    </w:p>
    <w:p w14:paraId="103E93B1">
      <w:pPr>
        <w:pStyle w:val="24"/>
        <w:snapToGrid w:val="0"/>
        <w:jc w:val="left"/>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w:t>
      </w:r>
      <w:r>
        <w:rPr>
          <w:rFonts w:hint="default" w:ascii="Times New Roman" w:hAnsi="Times New Roman" w:cs="Times New Roman"/>
          <w:color w:val="auto"/>
          <w:lang w:val="en-US" w:eastAsia="zh-CN"/>
        </w:rPr>
        <w:t>柴油和废润滑油泄漏风险防范措施</w:t>
      </w:r>
    </w:p>
    <w:p w14:paraId="3F5D7E34">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①预防措施：经常检查，及时处理。</w:t>
      </w:r>
    </w:p>
    <w:p w14:paraId="3A740604">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②配备高强度高密度的柴油和废润滑油盛装容器。</w:t>
      </w:r>
    </w:p>
    <w:p w14:paraId="341C03B3">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③项目柴油储存区和危废间设置</w:t>
      </w:r>
      <w:r>
        <w:rPr>
          <w:rFonts w:hint="eastAsia" w:ascii="Times New Roman" w:hAnsi="Times New Roman" w:cs="Times New Roman"/>
          <w:color w:val="auto"/>
          <w:lang w:val="en-US" w:eastAsia="zh-CN"/>
        </w:rPr>
        <w:t>围堵和收集设施</w:t>
      </w:r>
      <w:r>
        <w:rPr>
          <w:rFonts w:hint="default" w:ascii="Times New Roman" w:hAnsi="Times New Roman" w:cs="Times New Roman"/>
          <w:color w:val="auto"/>
          <w:lang w:val="en-US" w:eastAsia="zh-CN"/>
        </w:rPr>
        <w:t>，对可能泄漏的柴油和废润滑油及时收集，防止泄漏风险造成环境污染事故。</w:t>
      </w:r>
    </w:p>
    <w:p w14:paraId="74846E89">
      <w:pPr>
        <w:pStyle w:val="24"/>
        <w:snapToGrid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④危险废物贮存场所防渗效果应满足《危险废物贮存污染控制标准》（GB18597-2023）要求。</w:t>
      </w:r>
    </w:p>
    <w:p w14:paraId="419157B6">
      <w:pPr>
        <w:pStyle w:val="24"/>
        <w:snapToGrid w:val="0"/>
        <w:jc w:val="left"/>
        <w:rPr>
          <w:rFonts w:hint="default" w:ascii="Times New Roman" w:hAnsi="Times New Roman" w:eastAsia="华文中宋" w:cs="Times New Roman"/>
          <w:b/>
          <w:bCs/>
          <w:color w:val="auto"/>
          <w:lang w:val="en-US" w:eastAsia="zh-CN"/>
        </w:rPr>
      </w:pPr>
      <w:r>
        <w:rPr>
          <w:rFonts w:hint="eastAsia" w:ascii="Times New Roman" w:hAnsi="Times New Roman" w:cs="Times New Roman"/>
          <w:b/>
          <w:bCs/>
          <w:color w:val="auto"/>
          <w:lang w:val="en-US" w:eastAsia="zh-CN"/>
        </w:rPr>
        <w:t>5.2.8.6</w:t>
      </w:r>
      <w:r>
        <w:rPr>
          <w:rFonts w:hint="default" w:ascii="Times New Roman" w:hAnsi="Times New Roman" w:eastAsia="华文中宋" w:cs="Times New Roman"/>
          <w:b/>
          <w:bCs/>
          <w:color w:val="auto"/>
          <w:lang w:val="en-US" w:eastAsia="zh-CN"/>
        </w:rPr>
        <w:t>应急预案</w:t>
      </w:r>
    </w:p>
    <w:p w14:paraId="557D942E">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建设项目在企业内部设置突发环境事件应急指挥组，并负责事故发生后的指挥和应急处理。为了减轻事故危害性、按照报警系统以及应急方案的各种情况把应急对策书面化，并且周期性地进行模拟演习。突发环境事件应急指挥组下设有应急救援组、后勤保障组、应急监测组等，并在事故发生后立即在事发地点附近设置现场指挥部。</w:t>
      </w:r>
    </w:p>
    <w:p w14:paraId="22D25F38">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rPr>
        <w:t>表</w:t>
      </w:r>
      <w:r>
        <w:rPr>
          <w:rFonts w:hint="default" w:ascii="Times New Roman" w:hAnsi="Times New Roman" w:eastAsia="华文中宋" w:cs="Times New Roman"/>
          <w:b/>
          <w:szCs w:val="21"/>
          <w:lang w:val="en-US" w:eastAsia="zh-CN"/>
        </w:rPr>
        <w:t>5.2-</w:t>
      </w:r>
      <w:r>
        <w:rPr>
          <w:rFonts w:hint="eastAsia" w:ascii="Times New Roman" w:hAnsi="Times New Roman" w:eastAsia="华文中宋" w:cs="Times New Roman"/>
          <w:b/>
          <w:szCs w:val="21"/>
          <w:lang w:val="en-US" w:eastAsia="zh-CN"/>
        </w:rPr>
        <w:t>39</w:t>
      </w:r>
      <w:r>
        <w:rPr>
          <w:rFonts w:hint="default" w:ascii="Times New Roman" w:hAnsi="Times New Roman" w:eastAsia="华文中宋" w:cs="Times New Roman"/>
          <w:b/>
          <w:szCs w:val="21"/>
          <w:lang w:val="en-US" w:eastAsia="zh-CN"/>
        </w:rPr>
        <w:t xml:space="preserve">  突发环境事件应急预案内容及要求表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563"/>
        <w:gridCol w:w="6251"/>
      </w:tblGrid>
      <w:tr w14:paraId="2A8C1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tcBorders>
              <w:tl2br w:val="nil"/>
              <w:tr2bl w:val="nil"/>
            </w:tcBorders>
            <w:noWrap w:val="0"/>
            <w:vAlign w:val="center"/>
          </w:tcPr>
          <w:p w14:paraId="1324DC0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序号</w:t>
            </w:r>
          </w:p>
        </w:tc>
        <w:tc>
          <w:tcPr>
            <w:tcW w:w="1563" w:type="dxa"/>
            <w:tcBorders>
              <w:tl2br w:val="nil"/>
              <w:tr2bl w:val="nil"/>
            </w:tcBorders>
            <w:noWrap w:val="0"/>
            <w:vAlign w:val="center"/>
          </w:tcPr>
          <w:p w14:paraId="409CC60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项目</w:t>
            </w:r>
          </w:p>
        </w:tc>
        <w:tc>
          <w:tcPr>
            <w:tcW w:w="6251" w:type="dxa"/>
            <w:tcBorders>
              <w:tl2br w:val="nil"/>
              <w:tr2bl w:val="nil"/>
            </w:tcBorders>
            <w:noWrap w:val="0"/>
            <w:vAlign w:val="center"/>
          </w:tcPr>
          <w:p w14:paraId="2F350CB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内容及要求</w:t>
            </w:r>
          </w:p>
        </w:tc>
      </w:tr>
      <w:tr w14:paraId="7AFB6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tcBorders>
              <w:tl2br w:val="nil"/>
              <w:tr2bl w:val="nil"/>
            </w:tcBorders>
            <w:noWrap w:val="0"/>
            <w:vAlign w:val="center"/>
          </w:tcPr>
          <w:p w14:paraId="3811449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w:t>
            </w:r>
          </w:p>
        </w:tc>
        <w:tc>
          <w:tcPr>
            <w:tcW w:w="1563" w:type="dxa"/>
            <w:tcBorders>
              <w:tl2br w:val="nil"/>
              <w:tr2bl w:val="nil"/>
            </w:tcBorders>
            <w:noWrap w:val="0"/>
            <w:vAlign w:val="center"/>
          </w:tcPr>
          <w:p w14:paraId="439ED95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危险源情况</w:t>
            </w:r>
          </w:p>
        </w:tc>
        <w:tc>
          <w:tcPr>
            <w:tcW w:w="6251" w:type="dxa"/>
            <w:tcBorders>
              <w:tl2br w:val="nil"/>
              <w:tr2bl w:val="nil"/>
            </w:tcBorders>
            <w:noWrap w:val="0"/>
            <w:vAlign w:val="center"/>
          </w:tcPr>
          <w:p w14:paraId="3BF0500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详细说明危险源类型、数量、分布及其对环境的风险</w:t>
            </w:r>
          </w:p>
        </w:tc>
      </w:tr>
      <w:tr w14:paraId="0371A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tcBorders>
              <w:tl2br w:val="nil"/>
              <w:tr2bl w:val="nil"/>
            </w:tcBorders>
            <w:noWrap w:val="0"/>
            <w:vAlign w:val="center"/>
          </w:tcPr>
          <w:p w14:paraId="75EBF4F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w:t>
            </w:r>
          </w:p>
        </w:tc>
        <w:tc>
          <w:tcPr>
            <w:tcW w:w="1563" w:type="dxa"/>
            <w:tcBorders>
              <w:tl2br w:val="nil"/>
              <w:tr2bl w:val="nil"/>
            </w:tcBorders>
            <w:noWrap w:val="0"/>
            <w:vAlign w:val="center"/>
          </w:tcPr>
          <w:p w14:paraId="04ED41E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应急计划区</w:t>
            </w:r>
          </w:p>
        </w:tc>
        <w:tc>
          <w:tcPr>
            <w:tcW w:w="6251" w:type="dxa"/>
            <w:tcBorders>
              <w:tl2br w:val="nil"/>
              <w:tr2bl w:val="nil"/>
            </w:tcBorders>
            <w:noWrap w:val="0"/>
            <w:vAlign w:val="center"/>
          </w:tcPr>
          <w:p w14:paraId="53672A1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污水处理站、柴油储存区、危废暂存间等</w:t>
            </w:r>
          </w:p>
        </w:tc>
      </w:tr>
      <w:tr w14:paraId="7802C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tcBorders>
              <w:tl2br w:val="nil"/>
              <w:tr2bl w:val="nil"/>
            </w:tcBorders>
            <w:noWrap w:val="0"/>
            <w:vAlign w:val="center"/>
          </w:tcPr>
          <w:p w14:paraId="33312D6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w:t>
            </w:r>
          </w:p>
        </w:tc>
        <w:tc>
          <w:tcPr>
            <w:tcW w:w="1563" w:type="dxa"/>
            <w:tcBorders>
              <w:tl2br w:val="nil"/>
              <w:tr2bl w:val="nil"/>
            </w:tcBorders>
            <w:noWrap w:val="0"/>
            <w:vAlign w:val="center"/>
          </w:tcPr>
          <w:p w14:paraId="276423C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应急组织</w:t>
            </w:r>
          </w:p>
        </w:tc>
        <w:tc>
          <w:tcPr>
            <w:tcW w:w="6251" w:type="dxa"/>
            <w:tcBorders>
              <w:tl2br w:val="nil"/>
              <w:tr2bl w:val="nil"/>
            </w:tcBorders>
            <w:noWrap w:val="0"/>
            <w:vAlign w:val="center"/>
          </w:tcPr>
          <w:p w14:paraId="7217A9C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企业：成立公司应急指挥小组，由公司最高领导层担任小组长，负责现场全面指挥，专业救援队伍负责事故控制、救援和善后处理。</w:t>
            </w:r>
          </w:p>
          <w:p w14:paraId="3FEE38C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临近地区：地区指挥部—负责企业附近地区全面指挥，救援，抢险、疏散及信息上报。</w:t>
            </w:r>
          </w:p>
        </w:tc>
      </w:tr>
      <w:tr w14:paraId="529A4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tcBorders>
              <w:tl2br w:val="nil"/>
              <w:tr2bl w:val="nil"/>
            </w:tcBorders>
            <w:noWrap w:val="0"/>
            <w:vAlign w:val="center"/>
          </w:tcPr>
          <w:p w14:paraId="1CC1F23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w:t>
            </w:r>
          </w:p>
        </w:tc>
        <w:tc>
          <w:tcPr>
            <w:tcW w:w="1563" w:type="dxa"/>
            <w:tcBorders>
              <w:tl2br w:val="nil"/>
              <w:tr2bl w:val="nil"/>
            </w:tcBorders>
            <w:noWrap w:val="0"/>
            <w:vAlign w:val="center"/>
          </w:tcPr>
          <w:p w14:paraId="3CCE4C2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应急状态分类应急响应程序</w:t>
            </w:r>
          </w:p>
        </w:tc>
        <w:tc>
          <w:tcPr>
            <w:tcW w:w="6251" w:type="dxa"/>
            <w:tcBorders>
              <w:tl2br w:val="nil"/>
              <w:tr2bl w:val="nil"/>
            </w:tcBorders>
            <w:noWrap w:val="0"/>
            <w:vAlign w:val="center"/>
          </w:tcPr>
          <w:p w14:paraId="1FD9FBA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规定环境风险事故的级别及相应的应急状态分类，以此制定相应的应急响应程序。</w:t>
            </w:r>
          </w:p>
        </w:tc>
      </w:tr>
      <w:tr w14:paraId="7FB57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tcBorders>
              <w:tl2br w:val="nil"/>
              <w:tr2bl w:val="nil"/>
            </w:tcBorders>
            <w:noWrap w:val="0"/>
            <w:vAlign w:val="center"/>
          </w:tcPr>
          <w:p w14:paraId="7C4087E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w:t>
            </w:r>
          </w:p>
        </w:tc>
        <w:tc>
          <w:tcPr>
            <w:tcW w:w="1563" w:type="dxa"/>
            <w:tcBorders>
              <w:tl2br w:val="nil"/>
              <w:tr2bl w:val="nil"/>
            </w:tcBorders>
            <w:noWrap w:val="0"/>
            <w:vAlign w:val="center"/>
          </w:tcPr>
          <w:p w14:paraId="7BEBBC5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应急设施设备与材料</w:t>
            </w:r>
          </w:p>
        </w:tc>
        <w:tc>
          <w:tcPr>
            <w:tcW w:w="6251" w:type="dxa"/>
            <w:tcBorders>
              <w:tl2br w:val="nil"/>
              <w:tr2bl w:val="nil"/>
            </w:tcBorders>
            <w:noWrap w:val="0"/>
            <w:vAlign w:val="center"/>
          </w:tcPr>
          <w:p w14:paraId="03AD695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生产装置：事故应急设施、设备与材料，主要为抢修器材、工具等；防有毒有害物质外溢、扩散；中毒人员急救所用的一些药品、器材。</w:t>
            </w:r>
          </w:p>
          <w:p w14:paraId="753B528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临界地区：急性中毒、窒息人员急救所用的药品、器材。</w:t>
            </w:r>
          </w:p>
        </w:tc>
      </w:tr>
      <w:tr w14:paraId="662B4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tcBorders>
              <w:tl2br w:val="nil"/>
              <w:tr2bl w:val="nil"/>
            </w:tcBorders>
            <w:noWrap w:val="0"/>
            <w:vAlign w:val="center"/>
          </w:tcPr>
          <w:p w14:paraId="491C1A7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w:t>
            </w:r>
          </w:p>
        </w:tc>
        <w:tc>
          <w:tcPr>
            <w:tcW w:w="1563" w:type="dxa"/>
            <w:tcBorders>
              <w:tl2br w:val="nil"/>
              <w:tr2bl w:val="nil"/>
            </w:tcBorders>
            <w:noWrap w:val="0"/>
            <w:vAlign w:val="center"/>
          </w:tcPr>
          <w:p w14:paraId="630E7C4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应急通讯通告与交通</w:t>
            </w:r>
          </w:p>
        </w:tc>
        <w:tc>
          <w:tcPr>
            <w:tcW w:w="6251" w:type="dxa"/>
            <w:tcBorders>
              <w:tl2br w:val="nil"/>
              <w:tr2bl w:val="nil"/>
            </w:tcBorders>
            <w:noWrap w:val="0"/>
            <w:vAlign w:val="center"/>
          </w:tcPr>
          <w:p w14:paraId="619CE54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规定应急状态下的通讯、通告方式和交通保障、管理等事项。可充分利用现代化的通信设施，如手机、固定电话、广播、电视等</w:t>
            </w:r>
          </w:p>
        </w:tc>
      </w:tr>
      <w:tr w14:paraId="0CE35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tcBorders>
              <w:tl2br w:val="nil"/>
              <w:tr2bl w:val="nil"/>
            </w:tcBorders>
            <w:noWrap w:val="0"/>
            <w:vAlign w:val="center"/>
          </w:tcPr>
          <w:p w14:paraId="032CAD0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7</w:t>
            </w:r>
          </w:p>
        </w:tc>
        <w:tc>
          <w:tcPr>
            <w:tcW w:w="1563" w:type="dxa"/>
            <w:tcBorders>
              <w:tl2br w:val="nil"/>
              <w:tr2bl w:val="nil"/>
            </w:tcBorders>
            <w:noWrap w:val="0"/>
            <w:vAlign w:val="center"/>
          </w:tcPr>
          <w:p w14:paraId="26C35A0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应急环境监测及事故后评价</w:t>
            </w:r>
          </w:p>
        </w:tc>
        <w:tc>
          <w:tcPr>
            <w:tcW w:w="6251" w:type="dxa"/>
            <w:tcBorders>
              <w:tl2br w:val="nil"/>
              <w:tr2bl w:val="nil"/>
            </w:tcBorders>
            <w:noWrap w:val="0"/>
            <w:vAlign w:val="center"/>
          </w:tcPr>
          <w:p w14:paraId="6C0848F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由专业人员对环境分析事故现场进行应急监测，对事故性质、严重程度所造成的环境危害后果进行评估，吸取经验教训避免再次发生事故，为指挥部门提供决策依据。</w:t>
            </w:r>
          </w:p>
        </w:tc>
      </w:tr>
      <w:tr w14:paraId="3D5C2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tcBorders>
              <w:tl2br w:val="nil"/>
              <w:tr2bl w:val="nil"/>
            </w:tcBorders>
            <w:noWrap w:val="0"/>
            <w:vAlign w:val="center"/>
          </w:tcPr>
          <w:p w14:paraId="637CC5C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w:t>
            </w:r>
          </w:p>
        </w:tc>
        <w:tc>
          <w:tcPr>
            <w:tcW w:w="1563" w:type="dxa"/>
            <w:tcBorders>
              <w:tl2br w:val="nil"/>
              <w:tr2bl w:val="nil"/>
            </w:tcBorders>
            <w:noWrap w:val="0"/>
            <w:vAlign w:val="center"/>
          </w:tcPr>
          <w:p w14:paraId="6B9EA6F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应急防护措施、消除事故污染措施及需使用器材</w:t>
            </w:r>
          </w:p>
        </w:tc>
        <w:tc>
          <w:tcPr>
            <w:tcW w:w="6251" w:type="dxa"/>
            <w:tcBorders>
              <w:tl2br w:val="nil"/>
              <w:tr2bl w:val="nil"/>
            </w:tcBorders>
            <w:noWrap w:val="0"/>
            <w:vAlign w:val="center"/>
          </w:tcPr>
          <w:p w14:paraId="4C5B8FF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事故现场：控制事故发展，防止扩大、蔓延及连锁反应；现场洗消、清除与恢复，降低危害；相应的设施器材配备；</w:t>
            </w:r>
          </w:p>
          <w:p w14:paraId="06148DC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邻近地区：控制和消除事故污染的措施及相应的设备配备。</w:t>
            </w:r>
          </w:p>
        </w:tc>
      </w:tr>
      <w:tr w14:paraId="68DC6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tcBorders>
              <w:tl2br w:val="nil"/>
              <w:tr2bl w:val="nil"/>
            </w:tcBorders>
            <w:noWrap w:val="0"/>
            <w:vAlign w:val="center"/>
          </w:tcPr>
          <w:p w14:paraId="5B90665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9</w:t>
            </w:r>
          </w:p>
        </w:tc>
        <w:tc>
          <w:tcPr>
            <w:tcW w:w="1563" w:type="dxa"/>
            <w:tcBorders>
              <w:tl2br w:val="nil"/>
              <w:tr2bl w:val="nil"/>
            </w:tcBorders>
            <w:noWrap w:val="0"/>
            <w:vAlign w:val="center"/>
          </w:tcPr>
          <w:p w14:paraId="62A0900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应急剂量控制、撤离组织计划、医疗救护与保护公众健康</w:t>
            </w:r>
          </w:p>
        </w:tc>
        <w:tc>
          <w:tcPr>
            <w:tcW w:w="6251" w:type="dxa"/>
            <w:tcBorders>
              <w:tl2br w:val="nil"/>
              <w:tr2bl w:val="nil"/>
            </w:tcBorders>
            <w:noWrap w:val="0"/>
            <w:vAlign w:val="center"/>
          </w:tcPr>
          <w:p w14:paraId="67662C9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事故现场：事故处理人员制定毒物的应急剂量、现场及邻近装置人员的撤离组织计划和紧急救护方案；</w:t>
            </w:r>
          </w:p>
          <w:p w14:paraId="6A9F982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临近地区：制定受事故影响的临近地区内人员的应急防护、疏散组织计划和紧急救护方案。</w:t>
            </w:r>
          </w:p>
        </w:tc>
      </w:tr>
      <w:tr w14:paraId="52AE0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tcBorders>
              <w:tl2br w:val="nil"/>
              <w:tr2bl w:val="nil"/>
            </w:tcBorders>
            <w:noWrap w:val="0"/>
            <w:vAlign w:val="center"/>
          </w:tcPr>
          <w:p w14:paraId="2FDA39D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w:t>
            </w:r>
          </w:p>
        </w:tc>
        <w:tc>
          <w:tcPr>
            <w:tcW w:w="1563" w:type="dxa"/>
            <w:tcBorders>
              <w:tl2br w:val="nil"/>
              <w:tr2bl w:val="nil"/>
            </w:tcBorders>
            <w:noWrap w:val="0"/>
            <w:vAlign w:val="center"/>
          </w:tcPr>
          <w:p w14:paraId="54FD00E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应急状态中止恢复措施</w:t>
            </w:r>
          </w:p>
        </w:tc>
        <w:tc>
          <w:tcPr>
            <w:tcW w:w="6251" w:type="dxa"/>
            <w:tcBorders>
              <w:tl2br w:val="nil"/>
              <w:tr2bl w:val="nil"/>
            </w:tcBorders>
            <w:noWrap w:val="0"/>
            <w:vAlign w:val="center"/>
          </w:tcPr>
          <w:p w14:paraId="67D7A07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事故现场：规定应急状态终止秩序；事故现场善后处理，恢复生产措施；</w:t>
            </w:r>
          </w:p>
          <w:p w14:paraId="113AD33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邻近地区：解除事故警戒，公众返回和善后恢复措施。</w:t>
            </w:r>
          </w:p>
        </w:tc>
      </w:tr>
      <w:tr w14:paraId="07DC1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tcBorders>
              <w:tl2br w:val="nil"/>
              <w:tr2bl w:val="nil"/>
            </w:tcBorders>
            <w:noWrap w:val="0"/>
            <w:vAlign w:val="center"/>
          </w:tcPr>
          <w:p w14:paraId="586DE05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11</w:t>
            </w:r>
          </w:p>
        </w:tc>
        <w:tc>
          <w:tcPr>
            <w:tcW w:w="1563" w:type="dxa"/>
            <w:tcBorders>
              <w:tl2br w:val="nil"/>
              <w:tr2bl w:val="nil"/>
            </w:tcBorders>
            <w:noWrap w:val="0"/>
            <w:vAlign w:val="center"/>
          </w:tcPr>
          <w:p w14:paraId="7A8DC03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人员培训与演习</w:t>
            </w:r>
          </w:p>
        </w:tc>
        <w:tc>
          <w:tcPr>
            <w:tcW w:w="6251" w:type="dxa"/>
            <w:tcBorders>
              <w:tl2br w:val="nil"/>
              <w:tr2bl w:val="nil"/>
            </w:tcBorders>
            <w:noWrap w:val="0"/>
            <w:vAlign w:val="center"/>
          </w:tcPr>
          <w:p w14:paraId="11AF525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应急计划制定后，平时安排事故处理人员进行相关知识培训并进行事故应急处理演习；对矿区工人进行安全卫生教育。</w:t>
            </w:r>
          </w:p>
        </w:tc>
      </w:tr>
      <w:tr w14:paraId="1A809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tcBorders>
              <w:tl2br w:val="nil"/>
              <w:tr2bl w:val="nil"/>
            </w:tcBorders>
            <w:noWrap w:val="0"/>
            <w:vAlign w:val="center"/>
          </w:tcPr>
          <w:p w14:paraId="74D4850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12</w:t>
            </w:r>
          </w:p>
        </w:tc>
        <w:tc>
          <w:tcPr>
            <w:tcW w:w="1563" w:type="dxa"/>
            <w:tcBorders>
              <w:tl2br w:val="nil"/>
              <w:tr2bl w:val="nil"/>
            </w:tcBorders>
            <w:noWrap w:val="0"/>
            <w:vAlign w:val="center"/>
          </w:tcPr>
          <w:p w14:paraId="683C1F5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公众教育信息发布</w:t>
            </w:r>
          </w:p>
        </w:tc>
        <w:tc>
          <w:tcPr>
            <w:tcW w:w="6251" w:type="dxa"/>
            <w:tcBorders>
              <w:tl2br w:val="nil"/>
              <w:tr2bl w:val="nil"/>
            </w:tcBorders>
            <w:noWrap w:val="0"/>
            <w:vAlign w:val="center"/>
          </w:tcPr>
          <w:p w14:paraId="335E87A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对工厂邻近地区公众开展环境风险事故预防教育、应急知识培训并定期发布相关信息。</w:t>
            </w:r>
          </w:p>
        </w:tc>
      </w:tr>
      <w:tr w14:paraId="7D3AD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tcBorders>
              <w:tl2br w:val="nil"/>
              <w:tr2bl w:val="nil"/>
            </w:tcBorders>
            <w:noWrap w:val="0"/>
            <w:vAlign w:val="center"/>
          </w:tcPr>
          <w:p w14:paraId="11B2643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13</w:t>
            </w:r>
          </w:p>
        </w:tc>
        <w:tc>
          <w:tcPr>
            <w:tcW w:w="1563" w:type="dxa"/>
            <w:tcBorders>
              <w:tl2br w:val="nil"/>
              <w:tr2bl w:val="nil"/>
            </w:tcBorders>
            <w:noWrap w:val="0"/>
            <w:vAlign w:val="center"/>
          </w:tcPr>
          <w:p w14:paraId="1B5E568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记录和报告</w:t>
            </w:r>
          </w:p>
        </w:tc>
        <w:tc>
          <w:tcPr>
            <w:tcW w:w="6251" w:type="dxa"/>
            <w:tcBorders>
              <w:tl2br w:val="nil"/>
              <w:tr2bl w:val="nil"/>
            </w:tcBorders>
            <w:noWrap w:val="0"/>
            <w:vAlign w:val="center"/>
          </w:tcPr>
          <w:p w14:paraId="5ED5AA8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设应急事故专门记录，建立档案和报告制度，设专门部门负责管理。</w:t>
            </w:r>
          </w:p>
        </w:tc>
      </w:tr>
      <w:tr w14:paraId="63455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tcBorders>
              <w:tl2br w:val="nil"/>
              <w:tr2bl w:val="nil"/>
            </w:tcBorders>
            <w:noWrap w:val="0"/>
            <w:vAlign w:val="center"/>
          </w:tcPr>
          <w:p w14:paraId="32D80B6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14</w:t>
            </w:r>
          </w:p>
        </w:tc>
        <w:tc>
          <w:tcPr>
            <w:tcW w:w="1563" w:type="dxa"/>
            <w:tcBorders>
              <w:tl2br w:val="nil"/>
              <w:tr2bl w:val="nil"/>
            </w:tcBorders>
            <w:noWrap w:val="0"/>
            <w:vAlign w:val="center"/>
          </w:tcPr>
          <w:p w14:paraId="38AA107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附件附图</w:t>
            </w:r>
          </w:p>
        </w:tc>
        <w:tc>
          <w:tcPr>
            <w:tcW w:w="6251" w:type="dxa"/>
            <w:tcBorders>
              <w:tl2br w:val="nil"/>
              <w:tr2bl w:val="nil"/>
            </w:tcBorders>
            <w:noWrap w:val="0"/>
            <w:vAlign w:val="center"/>
          </w:tcPr>
          <w:p w14:paraId="119CA9E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准备并形成环境风险事故应急处理有关的附件材料。</w:t>
            </w:r>
          </w:p>
        </w:tc>
      </w:tr>
    </w:tbl>
    <w:p w14:paraId="16EE27AD">
      <w:pPr>
        <w:pStyle w:val="24"/>
        <w:snapToGrid w:val="0"/>
        <w:ind w:left="0" w:leftChars="0" w:firstLine="0" w:firstLineChars="0"/>
        <w:jc w:val="left"/>
        <w:rPr>
          <w:rFonts w:hint="default" w:ascii="Times New Roman" w:hAnsi="Times New Roman" w:eastAsia="华文中宋" w:cs="Times New Roman"/>
          <w:b/>
          <w:bCs/>
          <w:color w:val="auto"/>
          <w:lang w:val="en-US" w:eastAsia="zh-CN"/>
        </w:rPr>
      </w:pPr>
      <w:r>
        <w:rPr>
          <w:rFonts w:hint="eastAsia" w:ascii="Times New Roman" w:hAnsi="Times New Roman" w:cs="Times New Roman"/>
          <w:b/>
          <w:bCs/>
          <w:color w:val="auto"/>
          <w:lang w:val="en-US" w:eastAsia="zh-CN"/>
        </w:rPr>
        <w:t>5.2.8.6</w:t>
      </w:r>
      <w:r>
        <w:rPr>
          <w:rFonts w:hint="default" w:ascii="Times New Roman" w:hAnsi="Times New Roman" w:eastAsia="华文中宋" w:cs="Times New Roman"/>
          <w:b/>
          <w:bCs/>
          <w:color w:val="auto"/>
          <w:lang w:val="en-US" w:eastAsia="zh-CN"/>
        </w:rPr>
        <w:t>环境风险评价结论</w:t>
      </w:r>
    </w:p>
    <w:p w14:paraId="380969C1">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本项目环境风险评价等级为简单分析，分析内容见表5.2-</w:t>
      </w:r>
      <w:r>
        <w:rPr>
          <w:rFonts w:hint="eastAsia" w:ascii="Times New Roman" w:hAnsi="Times New Roman" w:cs="Times New Roman"/>
          <w:color w:val="auto"/>
          <w:lang w:val="en-US" w:eastAsia="zh-CN"/>
        </w:rPr>
        <w:t>40</w:t>
      </w:r>
      <w:r>
        <w:rPr>
          <w:rFonts w:hint="default" w:ascii="Times New Roman" w:hAnsi="Times New Roman" w:eastAsia="华文中宋" w:cs="Times New Roman"/>
          <w:color w:val="auto"/>
          <w:lang w:val="en-US" w:eastAsia="zh-CN"/>
        </w:rPr>
        <w:t>。项目风险源主要是柴油</w:t>
      </w:r>
      <w:r>
        <w:rPr>
          <w:rFonts w:hint="eastAsia" w:ascii="Times New Roman" w:hAnsi="Times New Roman" w:cs="Times New Roman"/>
          <w:color w:val="auto"/>
          <w:lang w:val="en-US" w:eastAsia="zh-CN"/>
        </w:rPr>
        <w:t>、润滑油、</w:t>
      </w:r>
      <w:r>
        <w:rPr>
          <w:rFonts w:hint="default" w:ascii="Times New Roman" w:hAnsi="Times New Roman" w:eastAsia="华文中宋" w:cs="Times New Roman"/>
          <w:color w:val="auto"/>
          <w:lang w:val="en-US" w:eastAsia="zh-CN"/>
        </w:rPr>
        <w:t>废润滑油的泄漏。项目位于山区，与当地居住区、学校、医院等特殊环境保护目标距离较远，要求企业在做好防腐蚀、防渗措施和火灾风险防范措施外，设事故应急池收集产生的消防废水，并制定相应的应急预案，只要企业在做好各项风险防范措施、应急预案和应急处置措施的情况下，项目环境风险事故对周围环境的影响较小。项目环境风险属可接受水平。</w:t>
      </w:r>
    </w:p>
    <w:p w14:paraId="582B803A">
      <w:pPr>
        <w:adjustRightInd w:val="0"/>
        <w:snapToGrid w:val="0"/>
        <w:spacing w:before="250" w:beforeLines="50"/>
        <w:ind w:firstLine="422" w:firstLineChars="200"/>
        <w:jc w:val="center"/>
        <w:rPr>
          <w:rFonts w:hint="default" w:ascii="Times New Roman" w:hAnsi="Times New Roman" w:eastAsia="华文中宋" w:cs="Times New Roman"/>
          <w:b/>
          <w:szCs w:val="21"/>
        </w:rPr>
      </w:pPr>
      <w:r>
        <w:rPr>
          <w:rFonts w:hint="default" w:ascii="Times New Roman" w:hAnsi="Times New Roman" w:eastAsia="华文中宋" w:cs="Times New Roman"/>
          <w:b/>
          <w:szCs w:val="21"/>
        </w:rPr>
        <w:t>表</w:t>
      </w:r>
      <w:r>
        <w:rPr>
          <w:rFonts w:hint="default" w:ascii="Times New Roman" w:hAnsi="Times New Roman" w:eastAsia="华文中宋" w:cs="Times New Roman"/>
          <w:b/>
          <w:szCs w:val="21"/>
          <w:lang w:val="en-US" w:eastAsia="zh-CN"/>
        </w:rPr>
        <w:t>5.2-</w:t>
      </w:r>
      <w:r>
        <w:rPr>
          <w:rFonts w:hint="eastAsia" w:ascii="Times New Roman" w:hAnsi="Times New Roman" w:eastAsia="华文中宋" w:cs="Times New Roman"/>
          <w:b/>
          <w:szCs w:val="21"/>
          <w:lang w:val="en-US" w:eastAsia="zh-CN"/>
        </w:rPr>
        <w:t>40</w:t>
      </w:r>
      <w:r>
        <w:rPr>
          <w:rFonts w:hint="default" w:ascii="Times New Roman" w:hAnsi="Times New Roman" w:eastAsia="华文中宋" w:cs="Times New Roman"/>
          <w:b/>
          <w:szCs w:val="21"/>
          <w:lang w:val="en-US" w:eastAsia="zh-CN"/>
        </w:rPr>
        <w:t xml:space="preserve">  </w:t>
      </w:r>
      <w:r>
        <w:rPr>
          <w:rFonts w:hint="default" w:ascii="Times New Roman" w:hAnsi="Times New Roman" w:eastAsia="华文中宋" w:cs="Times New Roman"/>
          <w:b/>
          <w:szCs w:val="21"/>
          <w:lang w:eastAsia="zh-CN"/>
        </w:rPr>
        <w:t>建设项目环境风险评价简单分析表</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5"/>
        <w:gridCol w:w="1083"/>
        <w:gridCol w:w="1034"/>
        <w:gridCol w:w="1020"/>
        <w:gridCol w:w="1193"/>
        <w:gridCol w:w="2427"/>
      </w:tblGrid>
      <w:tr w14:paraId="7F480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5" w:type="dxa"/>
            <w:tcBorders>
              <w:tl2br w:val="nil"/>
              <w:tr2bl w:val="nil"/>
            </w:tcBorders>
            <w:noWrap w:val="0"/>
            <w:vAlign w:val="center"/>
          </w:tcPr>
          <w:p w14:paraId="1E49F69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建设项目名称</w:t>
            </w:r>
          </w:p>
        </w:tc>
        <w:tc>
          <w:tcPr>
            <w:tcW w:w="6757" w:type="dxa"/>
            <w:gridSpan w:val="5"/>
            <w:tcBorders>
              <w:tl2br w:val="nil"/>
              <w:tr2bl w:val="nil"/>
            </w:tcBorders>
            <w:noWrap w:val="0"/>
            <w:vAlign w:val="center"/>
          </w:tcPr>
          <w:p w14:paraId="1D0E0D7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民丰县盼水河铅锑矿工程</w:t>
            </w:r>
            <w:r>
              <w:rPr>
                <w:rFonts w:hint="default" w:ascii="Times New Roman" w:hAnsi="Times New Roman" w:eastAsia="华文中宋" w:cs="Times New Roman"/>
                <w:szCs w:val="21"/>
                <w:lang w:val="en-US" w:eastAsia="zh-CN"/>
              </w:rPr>
              <w:t>项目</w:t>
            </w:r>
          </w:p>
        </w:tc>
      </w:tr>
      <w:tr w14:paraId="7EE07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5" w:type="dxa"/>
            <w:tcBorders>
              <w:tl2br w:val="nil"/>
              <w:tr2bl w:val="nil"/>
            </w:tcBorders>
            <w:noWrap w:val="0"/>
            <w:vAlign w:val="center"/>
          </w:tcPr>
          <w:p w14:paraId="32C6AAA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建设地点</w:t>
            </w:r>
          </w:p>
        </w:tc>
        <w:tc>
          <w:tcPr>
            <w:tcW w:w="1083" w:type="dxa"/>
            <w:tcBorders>
              <w:tl2br w:val="nil"/>
              <w:tr2bl w:val="nil"/>
            </w:tcBorders>
            <w:noWrap w:val="0"/>
            <w:vAlign w:val="center"/>
          </w:tcPr>
          <w:p w14:paraId="0D8887C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新疆</w:t>
            </w:r>
            <w:r>
              <w:rPr>
                <w:rFonts w:hint="eastAsia" w:ascii="Times New Roman" w:hAnsi="Times New Roman" w:eastAsia="华文中宋" w:cs="Times New Roman"/>
                <w:szCs w:val="21"/>
                <w:lang w:val="en-US" w:eastAsia="zh-CN"/>
              </w:rPr>
              <w:t>维吾尔自治区</w:t>
            </w:r>
          </w:p>
        </w:tc>
        <w:tc>
          <w:tcPr>
            <w:tcW w:w="1034" w:type="dxa"/>
            <w:tcBorders>
              <w:tl2br w:val="nil"/>
              <w:tr2bl w:val="nil"/>
            </w:tcBorders>
            <w:noWrap w:val="0"/>
            <w:vAlign w:val="center"/>
          </w:tcPr>
          <w:p w14:paraId="325506E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和田地区</w:t>
            </w:r>
          </w:p>
        </w:tc>
        <w:tc>
          <w:tcPr>
            <w:tcW w:w="1020" w:type="dxa"/>
            <w:tcBorders>
              <w:tl2br w:val="nil"/>
              <w:tr2bl w:val="nil"/>
            </w:tcBorders>
            <w:noWrap w:val="0"/>
            <w:vAlign w:val="center"/>
          </w:tcPr>
          <w:p w14:paraId="36523C7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民丰县</w:t>
            </w:r>
          </w:p>
        </w:tc>
        <w:tc>
          <w:tcPr>
            <w:tcW w:w="3620" w:type="dxa"/>
            <w:gridSpan w:val="2"/>
            <w:tcBorders>
              <w:tl2br w:val="nil"/>
              <w:tr2bl w:val="nil"/>
            </w:tcBorders>
            <w:noWrap w:val="0"/>
            <w:vAlign w:val="center"/>
          </w:tcPr>
          <w:p w14:paraId="3795962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eastAsia="zh-CN"/>
              </w:rPr>
              <w:t>民丰县城</w:t>
            </w:r>
            <w:r>
              <w:rPr>
                <w:rFonts w:hint="default" w:ascii="Times New Roman" w:hAnsi="Times New Roman" w:eastAsia="华文中宋" w:cs="Times New Roman"/>
                <w:szCs w:val="21"/>
                <w:lang w:val="en-US" w:eastAsia="zh-CN"/>
              </w:rPr>
              <w:t>170</w:t>
            </w:r>
            <w:r>
              <w:rPr>
                <w:rFonts w:hint="default" w:ascii="Times New Roman" w:hAnsi="Times New Roman" w:eastAsia="华文中宋" w:cs="Times New Roman"/>
                <w:szCs w:val="21"/>
                <w:lang w:eastAsia="zh-CN"/>
              </w:rPr>
              <w:t>°方向、直距约</w:t>
            </w:r>
            <w:r>
              <w:rPr>
                <w:rFonts w:hint="default" w:ascii="Times New Roman" w:hAnsi="Times New Roman" w:eastAsia="华文中宋" w:cs="Times New Roman"/>
                <w:szCs w:val="21"/>
                <w:lang w:val="en-US" w:eastAsia="zh-CN"/>
              </w:rPr>
              <w:t>140</w:t>
            </w:r>
            <w:r>
              <w:rPr>
                <w:rFonts w:hint="default" w:ascii="Times New Roman" w:hAnsi="Times New Roman" w:eastAsia="华文中宋" w:cs="Times New Roman"/>
                <w:szCs w:val="21"/>
                <w:lang w:eastAsia="zh-CN"/>
              </w:rPr>
              <w:t>千米处</w:t>
            </w:r>
          </w:p>
        </w:tc>
      </w:tr>
      <w:tr w14:paraId="17F57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5" w:type="dxa"/>
            <w:tcBorders>
              <w:tl2br w:val="nil"/>
              <w:tr2bl w:val="nil"/>
            </w:tcBorders>
            <w:noWrap w:val="0"/>
            <w:vAlign w:val="center"/>
          </w:tcPr>
          <w:p w14:paraId="7153D40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地理坐标</w:t>
            </w:r>
          </w:p>
        </w:tc>
        <w:tc>
          <w:tcPr>
            <w:tcW w:w="1083" w:type="dxa"/>
            <w:tcBorders>
              <w:tl2br w:val="nil"/>
              <w:tr2bl w:val="nil"/>
            </w:tcBorders>
            <w:noWrap w:val="0"/>
            <w:vAlign w:val="center"/>
          </w:tcPr>
          <w:p w14:paraId="3F9D5ED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经度</w:t>
            </w:r>
          </w:p>
        </w:tc>
        <w:tc>
          <w:tcPr>
            <w:tcW w:w="2054" w:type="dxa"/>
            <w:gridSpan w:val="2"/>
            <w:tcBorders>
              <w:tl2br w:val="nil"/>
              <w:tr2bl w:val="nil"/>
            </w:tcBorders>
            <w:noWrap w:val="0"/>
            <w:vAlign w:val="center"/>
          </w:tcPr>
          <w:p w14:paraId="69916E1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东经83°5′13.784″</w:t>
            </w:r>
          </w:p>
        </w:tc>
        <w:tc>
          <w:tcPr>
            <w:tcW w:w="1193" w:type="dxa"/>
            <w:tcBorders>
              <w:tl2br w:val="nil"/>
              <w:tr2bl w:val="nil"/>
            </w:tcBorders>
            <w:noWrap w:val="0"/>
            <w:vAlign w:val="center"/>
          </w:tcPr>
          <w:p w14:paraId="51BE307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纬度</w:t>
            </w:r>
          </w:p>
        </w:tc>
        <w:tc>
          <w:tcPr>
            <w:tcW w:w="2427" w:type="dxa"/>
            <w:tcBorders>
              <w:tl2br w:val="nil"/>
              <w:tr2bl w:val="nil"/>
            </w:tcBorders>
            <w:noWrap w:val="0"/>
            <w:vAlign w:val="center"/>
          </w:tcPr>
          <w:p w14:paraId="4F50DFC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北纬35°50′25.424″</w:t>
            </w:r>
          </w:p>
        </w:tc>
      </w:tr>
      <w:tr w14:paraId="1A255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5" w:type="dxa"/>
            <w:tcBorders>
              <w:tl2br w:val="nil"/>
              <w:tr2bl w:val="nil"/>
            </w:tcBorders>
            <w:noWrap w:val="0"/>
            <w:vAlign w:val="center"/>
          </w:tcPr>
          <w:p w14:paraId="1F5F947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主要危险物质及分布</w:t>
            </w:r>
          </w:p>
        </w:tc>
        <w:tc>
          <w:tcPr>
            <w:tcW w:w="6757" w:type="dxa"/>
            <w:gridSpan w:val="5"/>
            <w:tcBorders>
              <w:tl2br w:val="nil"/>
              <w:tr2bl w:val="nil"/>
            </w:tcBorders>
            <w:noWrap w:val="0"/>
            <w:vAlign w:val="center"/>
          </w:tcPr>
          <w:p w14:paraId="326B349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（1）危险物质：柴油和废润滑油。</w:t>
            </w:r>
          </w:p>
          <w:p w14:paraId="69261CE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（2）分布：柴油储存区、危废暂存间。</w:t>
            </w:r>
          </w:p>
        </w:tc>
      </w:tr>
      <w:tr w14:paraId="0846F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5" w:type="dxa"/>
            <w:tcBorders>
              <w:tl2br w:val="nil"/>
              <w:tr2bl w:val="nil"/>
            </w:tcBorders>
            <w:noWrap w:val="0"/>
            <w:vAlign w:val="center"/>
          </w:tcPr>
          <w:p w14:paraId="516FEF1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环境影响途径及危害后果（大气、地表水、地下水等）</w:t>
            </w:r>
          </w:p>
        </w:tc>
        <w:tc>
          <w:tcPr>
            <w:tcW w:w="6757" w:type="dxa"/>
            <w:gridSpan w:val="5"/>
            <w:tcBorders>
              <w:tl2br w:val="nil"/>
              <w:tr2bl w:val="nil"/>
            </w:tcBorders>
            <w:noWrap w:val="0"/>
            <w:vAlign w:val="center"/>
          </w:tcPr>
          <w:p w14:paraId="117850E3">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（1）环境影响途径：风险物质泄漏，随雨水冲刷或其他带走方式进入外环境，影响周边地表水、地下水、土壤环境。</w:t>
            </w:r>
          </w:p>
          <w:p w14:paraId="41B215B7">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lang w:val="en-US" w:eastAsia="zh-CN"/>
              </w:rPr>
              <w:t>2</w:t>
            </w:r>
            <w:r>
              <w:rPr>
                <w:rFonts w:hint="default" w:ascii="Times New Roman" w:hAnsi="Times New Roman" w:eastAsia="华文中宋" w:cs="Times New Roman"/>
                <w:szCs w:val="21"/>
                <w:lang w:eastAsia="zh-CN"/>
              </w:rPr>
              <w:t>）环境危害后果：泄漏的柴油、废润滑油若通过地面漫流进入地表水体，会造成地表水质恶化等影响；柴油储存设施配套的管道、</w:t>
            </w:r>
            <w:r>
              <w:rPr>
                <w:rFonts w:hint="default" w:ascii="Times New Roman" w:hAnsi="Times New Roman" w:eastAsia="华文中宋" w:cs="Times New Roman"/>
                <w:szCs w:val="21"/>
                <w:lang w:val="en-US" w:eastAsia="zh-CN"/>
              </w:rPr>
              <w:t>桶</w:t>
            </w:r>
            <w:r>
              <w:rPr>
                <w:rFonts w:hint="default" w:ascii="Times New Roman" w:hAnsi="Times New Roman" w:eastAsia="华文中宋" w:cs="Times New Roman"/>
                <w:szCs w:val="21"/>
                <w:lang w:eastAsia="zh-CN"/>
              </w:rPr>
              <w:t>体一旦发生破损或废润滑油盛装容器破裂，通过漫流或直接下渗途径进入土层、岩层和其下包气带，会不可避免地造成区域土壤的污染。</w:t>
            </w:r>
            <w:r>
              <w:rPr>
                <w:rFonts w:hint="default" w:ascii="Times New Roman" w:hAnsi="Times New Roman" w:eastAsia="华文中宋" w:cs="Times New Roman"/>
                <w:szCs w:val="21"/>
                <w:lang w:val="en-US" w:eastAsia="zh-CN"/>
              </w:rPr>
              <w:t>本项目柴油一次最大储存量约</w:t>
            </w:r>
            <w:r>
              <w:rPr>
                <w:rFonts w:hint="eastAsia" w:ascii="Times New Roman" w:hAnsi="Times New Roman" w:eastAsia="华文中宋" w:cs="Times New Roman"/>
                <w:szCs w:val="21"/>
                <w:lang w:val="en-US" w:eastAsia="zh-CN"/>
              </w:rPr>
              <w:t>40</w:t>
            </w:r>
            <w:r>
              <w:rPr>
                <w:rFonts w:hint="default" w:ascii="Times New Roman" w:hAnsi="Times New Roman" w:eastAsia="华文中宋" w:cs="Times New Roman"/>
                <w:szCs w:val="21"/>
                <w:lang w:val="en-US" w:eastAsia="zh-CN"/>
              </w:rPr>
              <w:t>t，储存位置做好防渗；废润滑油储存量很小，最大储存量约</w:t>
            </w:r>
            <w:r>
              <w:rPr>
                <w:rFonts w:hint="eastAsia" w:ascii="Times New Roman" w:hAnsi="Times New Roman" w:eastAsia="华文中宋" w:cs="Times New Roman"/>
                <w:szCs w:val="21"/>
                <w:lang w:val="en-US" w:eastAsia="zh-CN"/>
              </w:rPr>
              <w:t>1</w:t>
            </w:r>
            <w:r>
              <w:rPr>
                <w:rFonts w:hint="default" w:ascii="Times New Roman" w:hAnsi="Times New Roman" w:eastAsia="华文中宋" w:cs="Times New Roman"/>
                <w:szCs w:val="21"/>
                <w:lang w:val="en-US" w:eastAsia="zh-CN"/>
              </w:rPr>
              <w:t>t，建造时采取严格的防渗措施，一旦发生事故，均可被收集，对周边水体影响较小，主要影响范围集中在矿区生活区范围内</w:t>
            </w:r>
            <w:r>
              <w:rPr>
                <w:rFonts w:hint="default" w:ascii="Times New Roman" w:hAnsi="Times New Roman" w:eastAsia="华文中宋" w:cs="Times New Roman"/>
                <w:szCs w:val="21"/>
                <w:lang w:eastAsia="zh-CN"/>
              </w:rPr>
              <w:t>。</w:t>
            </w:r>
          </w:p>
        </w:tc>
      </w:tr>
      <w:tr w14:paraId="4ECB3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5" w:type="dxa"/>
            <w:tcBorders>
              <w:tl2br w:val="nil"/>
              <w:tr2bl w:val="nil"/>
            </w:tcBorders>
            <w:noWrap w:val="0"/>
            <w:vAlign w:val="center"/>
          </w:tcPr>
          <w:p w14:paraId="7F0EE96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环境风险防范措施要求</w:t>
            </w:r>
          </w:p>
        </w:tc>
        <w:tc>
          <w:tcPr>
            <w:tcW w:w="6757" w:type="dxa"/>
            <w:gridSpan w:val="5"/>
            <w:tcBorders>
              <w:tl2br w:val="nil"/>
              <w:tr2bl w:val="nil"/>
            </w:tcBorders>
            <w:noWrap w:val="0"/>
            <w:vAlign w:val="center"/>
          </w:tcPr>
          <w:p w14:paraId="3A4A0E29">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（1）柴油泄漏风险防范措施</w:t>
            </w:r>
          </w:p>
          <w:p w14:paraId="1D3A684B">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①管道、阀门的材质必须符合相关储运标准的要求，并定期检修和检测。</w:t>
            </w:r>
          </w:p>
          <w:p w14:paraId="0D808139">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②柴油管道及设备均进行防腐处理，保证设备及管道安全运行。</w:t>
            </w:r>
          </w:p>
          <w:p w14:paraId="609ECB36">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③柴油桶四周设置围堰。</w:t>
            </w:r>
          </w:p>
          <w:p w14:paraId="5C88F562">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（2）废润滑油泄漏风险防范措施</w:t>
            </w:r>
          </w:p>
          <w:p w14:paraId="6E3501CE">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①预防措施：经常检查，及时处理。</w:t>
            </w:r>
          </w:p>
          <w:p w14:paraId="0839A37E">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②配备高强度高密度的废润滑油盛装容器。</w:t>
            </w:r>
          </w:p>
          <w:p w14:paraId="7B421649">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③项目危废间设置围堰，对可能泄漏的废润滑油及时收集，防止泄漏风险造成环境污染事故。</w:t>
            </w:r>
          </w:p>
          <w:p w14:paraId="06FFDC67">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④危险废物贮存场所防渗效果应满足《危险废物贮存污染控制标准》（GB18597-2023）要求。</w:t>
            </w:r>
          </w:p>
          <w:p w14:paraId="0BC1EDC1">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（3）污水处理设施风险防范措施</w:t>
            </w:r>
          </w:p>
          <w:p w14:paraId="267ECD26">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防止设备故障，定期检查，设置事故应急池。</w:t>
            </w:r>
          </w:p>
          <w:p w14:paraId="0DBB810B">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（4）炸药爆炸风险防范措施</w:t>
            </w:r>
          </w:p>
          <w:p w14:paraId="35FC600D">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①对炸药和爆破器等化学危险品的运输和使用，公安部门有明确严格的规定。在管理上严格执行公安部的有关规定，炸药和爆破器材经公安部门批准后才能外购，对炸药实行专车运输、专人监车；发放时有专人登记管理，使用过程建立使用量的记录档案，防止炸药的流失。</w:t>
            </w:r>
          </w:p>
          <w:p w14:paraId="2E85870D">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②根据《爆破安全规程》（GB6722-2014）有关要求，购买爆破器材的单位应凭有效的爆破器材供销合同和申请表向公安机关申领“爆破物品运输证”。道路运输时车厢的黑色金属部分应用木板或胶皮衬垫（用木箱或纸箱包装者除外），汽车排气管宜设在车前下侧，并应佩戴隔热和熄灭火星的装置。运输线路按公安部门指定路线行驶。周围村庄、最近的派出所、消防队等单位协防，爆炸物品库实行报警联网管理。</w:t>
            </w:r>
          </w:p>
          <w:p w14:paraId="1C1BD4B9">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④炸药和起爆器材的运输、加工等工作严格遵守《爆破安全规程》中的有关规定。</w:t>
            </w:r>
          </w:p>
          <w:p w14:paraId="6FD18808">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⑤爆破工作必须由经过专门培训、持有爆破许可证的工人进行。爆破后必须保持一定时间的通风30min后方可进入工作面。爆破工作必须严格遵守有关规定。</w:t>
            </w:r>
          </w:p>
          <w:p w14:paraId="4EFE15DE">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⑥事故状态下，安排专员进行疏散通道，并进行安置。</w:t>
            </w:r>
          </w:p>
          <w:p w14:paraId="3CECBCAB">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⑦炸药运输及装卸前，采用炮雾降尘定期湿润地面。</w:t>
            </w:r>
          </w:p>
          <w:p w14:paraId="3A688948">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⑧每半年组织人员进行一次演练，以便遇到紧急情况时能够从容应对。</w:t>
            </w:r>
          </w:p>
        </w:tc>
      </w:tr>
      <w:tr w14:paraId="38136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5" w:type="dxa"/>
            <w:tcBorders>
              <w:tl2br w:val="nil"/>
              <w:tr2bl w:val="nil"/>
            </w:tcBorders>
            <w:noWrap w:val="0"/>
            <w:vAlign w:val="center"/>
          </w:tcPr>
          <w:p w14:paraId="5C6EA14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填表说明（列出项目相关信息及评价说明）</w:t>
            </w:r>
          </w:p>
        </w:tc>
        <w:tc>
          <w:tcPr>
            <w:tcW w:w="6757" w:type="dxa"/>
            <w:gridSpan w:val="5"/>
            <w:tcBorders>
              <w:tl2br w:val="nil"/>
              <w:tr2bl w:val="nil"/>
            </w:tcBorders>
            <w:noWrap w:val="0"/>
            <w:vAlign w:val="center"/>
          </w:tcPr>
          <w:p w14:paraId="06072A5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本项目Q&lt;1，环境风险评价工作等级为简单分析。在严格采取各项风险防范应急措施的情况下，可最大限度地降低环境风险，一旦意外事件发生，环境风险可达到控制，也能最大限度地减少环境污染危害，风险影响程度可接受。</w:t>
            </w:r>
          </w:p>
        </w:tc>
      </w:tr>
    </w:tbl>
    <w:p w14:paraId="1C068F02">
      <w:pPr>
        <w:pStyle w:val="3"/>
        <w:spacing w:before="120" w:after="120" w:line="500" w:lineRule="exact"/>
        <w:ind w:left="375" w:hanging="375" w:firstLineChars="0"/>
        <w:contextualSpacing/>
        <w:rPr>
          <w:rFonts w:hint="eastAsia" w:ascii="Times New Roman" w:hAnsi="Times New Roman" w:eastAsia="华文中宋" w:cs="Times New Roman"/>
          <w:snapToGrid w:val="0"/>
          <w:kern w:val="0"/>
          <w:sz w:val="28"/>
          <w:szCs w:val="28"/>
          <w:lang w:val="en-US" w:eastAsia="zh-CN"/>
        </w:rPr>
      </w:pPr>
      <w:bookmarkStart w:id="194" w:name="_Toc29424"/>
      <w:r>
        <w:rPr>
          <w:rFonts w:hint="eastAsia" w:ascii="Times New Roman" w:hAnsi="Times New Roman" w:eastAsia="华文中宋" w:cs="Times New Roman"/>
          <w:snapToGrid w:val="0"/>
          <w:kern w:val="0"/>
          <w:sz w:val="28"/>
          <w:szCs w:val="28"/>
          <w:lang w:val="en-US" w:eastAsia="zh-CN"/>
        </w:rPr>
        <w:t>5.3闭矿期环境影响预测与评价</w:t>
      </w:r>
      <w:bookmarkEnd w:id="194"/>
    </w:p>
    <w:p w14:paraId="6852B2B9">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矿山闭矿期的环境影响主要表现为设备分拆、建构筑物拆除带来的大气、水、噪声、固体废弃物等环境影响以及生态影响。</w:t>
      </w:r>
    </w:p>
    <w:p w14:paraId="34B94361">
      <w:pPr>
        <w:pStyle w:val="4"/>
        <w:spacing w:before="120" w:after="120" w:line="500" w:lineRule="exact"/>
        <w:rPr>
          <w:rFonts w:hint="eastAsia" w:ascii="Times New Roman" w:hAnsi="Times New Roman" w:eastAsia="华文中宋" w:cs="Times New Roman"/>
          <w:kern w:val="0"/>
          <w:sz w:val="24"/>
          <w:szCs w:val="24"/>
          <w:lang w:val="en-US" w:eastAsia="zh-CN"/>
        </w:rPr>
      </w:pPr>
      <w:bookmarkStart w:id="195" w:name="_Toc5767"/>
      <w:r>
        <w:rPr>
          <w:rFonts w:hint="eastAsia" w:ascii="Times New Roman" w:hAnsi="Times New Roman" w:eastAsia="华文中宋" w:cs="Times New Roman"/>
          <w:kern w:val="0"/>
          <w:sz w:val="24"/>
          <w:szCs w:val="24"/>
          <w:lang w:val="en-US" w:eastAsia="zh-CN"/>
        </w:rPr>
        <w:t>5.3.1大气环境的影响</w:t>
      </w:r>
      <w:bookmarkEnd w:id="195"/>
    </w:p>
    <w:p w14:paraId="3307A236">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（1）</w:t>
      </w:r>
      <w:r>
        <w:rPr>
          <w:rFonts w:hint="default" w:ascii="Times New Roman" w:hAnsi="Times New Roman" w:eastAsia="华文中宋" w:cs="Times New Roman"/>
          <w:color w:val="auto"/>
          <w:lang w:val="en-US" w:eastAsia="zh-CN"/>
        </w:rPr>
        <w:t>在设备分拆过程中，会产生少量瞬间扬尘，属于无组织排放，随分拆结束而消失对大气环境影响小。</w:t>
      </w:r>
    </w:p>
    <w:p w14:paraId="59E841F8">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（2）</w:t>
      </w:r>
      <w:r>
        <w:rPr>
          <w:rFonts w:hint="default" w:ascii="Times New Roman" w:hAnsi="Times New Roman" w:eastAsia="华文中宋" w:cs="Times New Roman"/>
          <w:color w:val="auto"/>
          <w:lang w:val="en-US" w:eastAsia="zh-CN"/>
        </w:rPr>
        <w:t>在拆除建、构筑物的过程中会产生扬尘，为短时无组织排放源，在拆除前及其过程中，及时</w:t>
      </w:r>
      <w:r>
        <w:rPr>
          <w:rFonts w:hint="eastAsia" w:ascii="Times New Roman" w:hAnsi="Times New Roman" w:cs="Times New Roman"/>
          <w:color w:val="auto"/>
          <w:lang w:val="en-US" w:eastAsia="zh-CN"/>
        </w:rPr>
        <w:t>洒水</w:t>
      </w:r>
      <w:r>
        <w:rPr>
          <w:rFonts w:hint="default" w:ascii="Times New Roman" w:hAnsi="Times New Roman" w:eastAsia="华文中宋" w:cs="Times New Roman"/>
          <w:color w:val="auto"/>
          <w:lang w:val="en-US" w:eastAsia="zh-CN"/>
        </w:rPr>
        <w:t>降尘，可降低瞬时扬尘对大气环境的影响。</w:t>
      </w:r>
    </w:p>
    <w:p w14:paraId="1CE74E10">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（3）</w:t>
      </w:r>
      <w:r>
        <w:rPr>
          <w:rFonts w:hint="default" w:ascii="Times New Roman" w:hAnsi="Times New Roman" w:eastAsia="华文中宋" w:cs="Times New Roman"/>
          <w:color w:val="auto"/>
          <w:lang w:val="en-US" w:eastAsia="zh-CN"/>
        </w:rPr>
        <w:t>地表塌陷区</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含大部分露天采坑</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治理将产生扬尘，为阶段性无组织排放，随治理工程结束而消失。</w:t>
      </w:r>
    </w:p>
    <w:p w14:paraId="289AC669">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（4）</w:t>
      </w:r>
      <w:r>
        <w:rPr>
          <w:rFonts w:hint="default" w:ascii="Times New Roman" w:hAnsi="Times New Roman" w:eastAsia="华文中宋" w:cs="Times New Roman"/>
          <w:color w:val="auto"/>
          <w:lang w:val="en-US" w:eastAsia="zh-CN"/>
        </w:rPr>
        <w:t>治理后的场地表面覆盖的表层土形成硬结皮后，有效减少场地粉尘产生量，对大气环境影响较运营期降低。</w:t>
      </w:r>
    </w:p>
    <w:p w14:paraId="12D39FAA">
      <w:pPr>
        <w:pStyle w:val="4"/>
        <w:spacing w:before="120" w:after="120" w:line="500" w:lineRule="exact"/>
        <w:rPr>
          <w:rFonts w:hint="eastAsia" w:ascii="Times New Roman" w:hAnsi="Times New Roman" w:eastAsia="华文中宋" w:cs="Times New Roman"/>
          <w:kern w:val="0"/>
          <w:sz w:val="24"/>
          <w:szCs w:val="24"/>
          <w:lang w:val="en-US" w:eastAsia="zh-CN"/>
        </w:rPr>
      </w:pPr>
      <w:bookmarkStart w:id="196" w:name="_Toc17210"/>
      <w:r>
        <w:rPr>
          <w:rFonts w:hint="eastAsia" w:ascii="Times New Roman" w:hAnsi="Times New Roman" w:eastAsia="华文中宋" w:cs="Times New Roman"/>
          <w:kern w:val="0"/>
          <w:sz w:val="24"/>
          <w:szCs w:val="24"/>
          <w:lang w:val="en-US" w:eastAsia="zh-CN"/>
        </w:rPr>
        <w:t>5.3.2地表水环境的影响</w:t>
      </w:r>
      <w:bookmarkEnd w:id="196"/>
    </w:p>
    <w:p w14:paraId="22008C67">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（1）</w:t>
      </w:r>
      <w:r>
        <w:rPr>
          <w:rFonts w:hint="default" w:ascii="Times New Roman" w:hAnsi="Times New Roman" w:eastAsia="华文中宋" w:cs="Times New Roman"/>
          <w:color w:val="auto"/>
          <w:lang w:val="en-US" w:eastAsia="zh-CN"/>
        </w:rPr>
        <w:t>设备分拆过程中，供排水管线中存有积水，因分拆而外溢，但其水量很小，不会对项目区水环境产生影响。</w:t>
      </w:r>
    </w:p>
    <w:p w14:paraId="20D1D348">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（2）</w:t>
      </w:r>
      <w:r>
        <w:rPr>
          <w:rFonts w:hint="default" w:ascii="Times New Roman" w:hAnsi="Times New Roman" w:eastAsia="华文中宋" w:cs="Times New Roman"/>
          <w:color w:val="auto"/>
          <w:lang w:val="en-US" w:eastAsia="zh-CN"/>
        </w:rPr>
        <w:t>储水构筑物在拆除前应清空内部存水，拆除过程基本不产生生产废水，拆除过程中产生的极少量污水对项目区水环境基本无影响。</w:t>
      </w:r>
    </w:p>
    <w:p w14:paraId="4CB22C1E">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（3）</w:t>
      </w:r>
      <w:r>
        <w:rPr>
          <w:rFonts w:hint="default" w:ascii="Times New Roman" w:hAnsi="Times New Roman" w:eastAsia="华文中宋" w:cs="Times New Roman"/>
          <w:color w:val="auto"/>
          <w:lang w:val="en-US" w:eastAsia="zh-CN"/>
        </w:rPr>
        <w:t>保留废石堆场周边截渗沟与下游渗滤液收集池，因降水形成废石淋溶液对地表水环境影响很小。</w:t>
      </w:r>
    </w:p>
    <w:p w14:paraId="2E78C9C7">
      <w:pPr>
        <w:pStyle w:val="4"/>
        <w:spacing w:before="120" w:after="120" w:line="500" w:lineRule="exact"/>
        <w:rPr>
          <w:rFonts w:hint="eastAsia" w:ascii="Times New Roman" w:hAnsi="Times New Roman" w:eastAsia="华文中宋" w:cs="Times New Roman"/>
          <w:kern w:val="0"/>
          <w:sz w:val="24"/>
          <w:szCs w:val="24"/>
          <w:lang w:val="en-US" w:eastAsia="zh-CN"/>
        </w:rPr>
      </w:pPr>
      <w:bookmarkStart w:id="197" w:name="_Toc18858"/>
      <w:r>
        <w:rPr>
          <w:rFonts w:hint="eastAsia" w:ascii="Times New Roman" w:hAnsi="Times New Roman" w:eastAsia="华文中宋" w:cs="Times New Roman"/>
          <w:kern w:val="0"/>
          <w:sz w:val="24"/>
          <w:szCs w:val="24"/>
          <w:lang w:val="en-US" w:eastAsia="zh-CN"/>
        </w:rPr>
        <w:t>5.3.3地下水环境的影响</w:t>
      </w:r>
      <w:bookmarkEnd w:id="197"/>
    </w:p>
    <w:p w14:paraId="05A6FCE4">
      <w:pPr>
        <w:pStyle w:val="24"/>
        <w:snapToGrid w:val="0"/>
        <w:jc w:val="left"/>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本项目地下水埋深≥102m，采坑最大开采深度64m，远高于地下水埋深，不会产生矿坑涌水等，地表水基本与地下水联系较弱，且闭矿期间基本不产生废水，因此在项目运营期间及闭矿期不会对地下水产生影响。</w:t>
      </w:r>
    </w:p>
    <w:p w14:paraId="44B5ADB6">
      <w:pPr>
        <w:pStyle w:val="4"/>
        <w:spacing w:before="120" w:after="120" w:line="500" w:lineRule="exact"/>
        <w:rPr>
          <w:rFonts w:hint="eastAsia" w:ascii="Times New Roman" w:hAnsi="Times New Roman" w:eastAsia="华文中宋" w:cs="Times New Roman"/>
          <w:kern w:val="0"/>
          <w:sz w:val="24"/>
          <w:szCs w:val="24"/>
          <w:lang w:val="en-US" w:eastAsia="zh-CN"/>
        </w:rPr>
      </w:pPr>
      <w:bookmarkStart w:id="198" w:name="_Toc22513"/>
      <w:r>
        <w:rPr>
          <w:rFonts w:hint="eastAsia" w:ascii="Times New Roman" w:hAnsi="Times New Roman" w:eastAsia="华文中宋" w:cs="Times New Roman"/>
          <w:kern w:val="0"/>
          <w:sz w:val="24"/>
          <w:szCs w:val="24"/>
          <w:lang w:val="en-US" w:eastAsia="zh-CN"/>
        </w:rPr>
        <w:t>5.3.4声环境的影响</w:t>
      </w:r>
      <w:bookmarkEnd w:id="198"/>
    </w:p>
    <w:p w14:paraId="6E667522">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场地恢复治理和设备及建、构筑物拆除时会产生短时噪声，办公生活区最后拆除，拆除工作集中在白天进行</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生产场地治理和设施设备拆除作业对办公生活区声环境影响较小，且本项目 5km 范围内无村镇等人员密集场所，拆除产生的噪声污染局限在项目区内。</w:t>
      </w:r>
    </w:p>
    <w:p w14:paraId="44B5EB14">
      <w:pPr>
        <w:pStyle w:val="4"/>
        <w:spacing w:before="120" w:after="120" w:line="500" w:lineRule="exact"/>
        <w:rPr>
          <w:rFonts w:hint="eastAsia" w:ascii="Times New Roman" w:hAnsi="Times New Roman" w:eastAsia="华文中宋" w:cs="Times New Roman"/>
          <w:kern w:val="0"/>
          <w:sz w:val="24"/>
          <w:szCs w:val="24"/>
          <w:lang w:val="en-US" w:eastAsia="zh-CN"/>
        </w:rPr>
      </w:pPr>
      <w:bookmarkStart w:id="199" w:name="_Toc12998"/>
      <w:r>
        <w:rPr>
          <w:rFonts w:hint="eastAsia" w:ascii="Times New Roman" w:hAnsi="Times New Roman" w:eastAsia="华文中宋" w:cs="Times New Roman"/>
          <w:kern w:val="0"/>
          <w:sz w:val="24"/>
          <w:szCs w:val="24"/>
          <w:lang w:val="en-US" w:eastAsia="zh-CN"/>
        </w:rPr>
        <w:t>5.3.5土壤环境的影响</w:t>
      </w:r>
      <w:bookmarkEnd w:id="199"/>
    </w:p>
    <w:p w14:paraId="2110EE21">
      <w:pPr>
        <w:pStyle w:val="24"/>
        <w:snapToGrid w:val="0"/>
        <w:jc w:val="left"/>
        <w:rPr>
          <w:rFonts w:hint="eastAsia"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闭矿期本项目部分场地无法恢复到原始地形地貌，采取合理适用的生态恢复治理措施后尽可能与周边生态环境相协调，尽可能恢复原土地使用功能。能够恢复原始地形地貌的场地治理后恢复原土地利用类型。闭矿后保留矿区内部道路，道路两侧边缘逐渐周边土地融合，道路占地无法完全恢复原土地利用类型。综上，闭矿期土壤环境影响较运营期与建设期降低。</w:t>
      </w:r>
    </w:p>
    <w:p w14:paraId="4A5BD675">
      <w:pPr>
        <w:pStyle w:val="4"/>
        <w:spacing w:before="120" w:after="120" w:line="500" w:lineRule="exact"/>
        <w:rPr>
          <w:rFonts w:hint="eastAsia" w:ascii="Times New Roman" w:hAnsi="Times New Roman" w:eastAsia="华文中宋" w:cs="Times New Roman"/>
          <w:kern w:val="0"/>
          <w:sz w:val="24"/>
          <w:szCs w:val="24"/>
          <w:lang w:val="en-US" w:eastAsia="zh-CN"/>
        </w:rPr>
      </w:pPr>
      <w:bookmarkStart w:id="200" w:name="_Toc4606"/>
      <w:r>
        <w:rPr>
          <w:rFonts w:hint="eastAsia" w:ascii="Times New Roman" w:hAnsi="Times New Roman" w:eastAsia="华文中宋" w:cs="Times New Roman"/>
          <w:kern w:val="0"/>
          <w:sz w:val="24"/>
          <w:szCs w:val="24"/>
          <w:lang w:val="en-US" w:eastAsia="zh-CN"/>
        </w:rPr>
        <w:t>5.3.6生态环境的影响</w:t>
      </w:r>
      <w:bookmarkEnd w:id="200"/>
    </w:p>
    <w:p w14:paraId="22B682AF">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（1）</w:t>
      </w:r>
      <w:r>
        <w:rPr>
          <w:rFonts w:hint="default" w:ascii="Times New Roman" w:hAnsi="Times New Roman" w:eastAsia="华文中宋" w:cs="Times New Roman"/>
          <w:color w:val="auto"/>
          <w:lang w:val="en-US" w:eastAsia="zh-CN"/>
        </w:rPr>
        <w:t>闭矿期，利用废石回填</w:t>
      </w:r>
      <w:r>
        <w:rPr>
          <w:rFonts w:hint="eastAsia" w:ascii="Times New Roman" w:hAnsi="Times New Roman" w:eastAsia="华文中宋" w:cs="Times New Roman"/>
          <w:color w:val="auto"/>
          <w:lang w:val="en-US" w:eastAsia="zh-CN"/>
        </w:rPr>
        <w:t>南北露天采场，剩余废石堆存在废石堆放场中，按设计要求保持分层高度和台阶边坡角并进行生态恢复治理。回填后的露天开采区与区域景观基本一致，废石堆场中废石堆存量也相应减少，区域景观协调性较运营期增强。</w:t>
      </w:r>
    </w:p>
    <w:p w14:paraId="4B678C0C">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（2）</w:t>
      </w:r>
      <w:r>
        <w:rPr>
          <w:rFonts w:hint="default" w:ascii="Times New Roman" w:hAnsi="Times New Roman" w:eastAsia="华文中宋" w:cs="Times New Roman"/>
          <w:color w:val="auto"/>
          <w:lang w:val="en-US" w:eastAsia="zh-CN"/>
        </w:rPr>
        <w:t>除了未利用完的废石继续堆存在废石堆</w:t>
      </w:r>
      <w:r>
        <w:rPr>
          <w:rFonts w:hint="eastAsia" w:ascii="Times New Roman" w:hAnsi="Times New Roman" w:eastAsia="华文中宋" w:cs="Times New Roman"/>
          <w:color w:val="auto"/>
          <w:lang w:val="en-US" w:eastAsia="zh-CN"/>
        </w:rPr>
        <w:t>放</w:t>
      </w:r>
      <w:r>
        <w:rPr>
          <w:rFonts w:hint="default" w:ascii="Times New Roman" w:hAnsi="Times New Roman" w:eastAsia="华文中宋" w:cs="Times New Roman"/>
          <w:color w:val="auto"/>
          <w:lang w:val="en-US" w:eastAsia="zh-CN"/>
        </w:rPr>
        <w:t>场中外，其余永久占地工程全部退出，永久占地面积大幅缩减，大部分区域生态功能得以恢复。</w:t>
      </w:r>
    </w:p>
    <w:p w14:paraId="3E20F141">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（3）对项目区工业场地进行复垦，播撒草籽尽可能恢复原有生态状况。</w:t>
      </w:r>
    </w:p>
    <w:p w14:paraId="719A2C2D">
      <w:pPr>
        <w:pStyle w:val="24"/>
        <w:snapToGrid w:val="0"/>
        <w:jc w:val="left"/>
        <w:rPr>
          <w:rFonts w:hint="eastAsia"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（4）随着矿区生态环境逐步恢复，野生动物也将逐渐回迁。</w:t>
      </w:r>
    </w:p>
    <w:p w14:paraId="1F3764F9">
      <w:pPr>
        <w:pStyle w:val="4"/>
        <w:spacing w:before="120" w:after="120" w:line="500" w:lineRule="exact"/>
        <w:rPr>
          <w:rFonts w:hint="eastAsia" w:ascii="Times New Roman" w:hAnsi="Times New Roman" w:eastAsia="华文中宋" w:cs="Times New Roman"/>
          <w:kern w:val="0"/>
          <w:sz w:val="24"/>
          <w:szCs w:val="24"/>
          <w:lang w:val="en-US" w:eastAsia="zh-CN"/>
        </w:rPr>
      </w:pPr>
      <w:bookmarkStart w:id="201" w:name="_Toc25376"/>
      <w:r>
        <w:rPr>
          <w:rFonts w:hint="eastAsia" w:ascii="Times New Roman" w:hAnsi="Times New Roman" w:eastAsia="华文中宋" w:cs="Times New Roman"/>
          <w:kern w:val="0"/>
          <w:sz w:val="24"/>
          <w:szCs w:val="24"/>
          <w:lang w:val="en-US" w:eastAsia="zh-CN"/>
        </w:rPr>
        <w:t>5.3.7固体废弃物的影响</w:t>
      </w:r>
      <w:bookmarkEnd w:id="201"/>
    </w:p>
    <w:p w14:paraId="45C12EED">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（1）</w:t>
      </w:r>
      <w:r>
        <w:rPr>
          <w:rFonts w:hint="default" w:ascii="Times New Roman" w:hAnsi="Times New Roman" w:eastAsia="华文中宋" w:cs="Times New Roman"/>
          <w:color w:val="auto"/>
          <w:lang w:val="en-US" w:eastAsia="zh-CN"/>
        </w:rPr>
        <w:t>分拆设备会产生一定量的废弃物，这些废弃物主要为设备的零部件以及破损碎块。收集的设备零部件、破损碎块尽可能循环利用。无法再利用的外运处理。</w:t>
      </w:r>
    </w:p>
    <w:p w14:paraId="00E5F80B">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（2）</w:t>
      </w:r>
      <w:r>
        <w:rPr>
          <w:rFonts w:hint="default" w:ascii="Times New Roman" w:hAnsi="Times New Roman" w:eastAsia="华文中宋" w:cs="Times New Roman"/>
          <w:color w:val="auto"/>
          <w:lang w:val="en-US" w:eastAsia="zh-CN"/>
        </w:rPr>
        <w:t>拆除建、构筑物产生的砖、石、渣土等建筑垃圾，分门别类回收利用，无法回收利用部分拉运至对应填埋场。</w:t>
      </w:r>
    </w:p>
    <w:p w14:paraId="38AD7571">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（3）</w:t>
      </w:r>
      <w:r>
        <w:rPr>
          <w:rFonts w:hint="default" w:ascii="Times New Roman" w:hAnsi="Times New Roman" w:eastAsia="华文中宋" w:cs="Times New Roman"/>
          <w:color w:val="auto"/>
          <w:lang w:val="en-US" w:eastAsia="zh-CN"/>
        </w:rPr>
        <w:t>综合利用后剩余废石应分层堆放在废石堆</w:t>
      </w:r>
      <w:r>
        <w:rPr>
          <w:rFonts w:hint="eastAsia" w:ascii="Times New Roman" w:hAnsi="Times New Roman" w:cs="Times New Roman"/>
          <w:color w:val="auto"/>
          <w:lang w:val="en-US" w:eastAsia="zh-CN"/>
        </w:rPr>
        <w:t>放</w:t>
      </w:r>
      <w:r>
        <w:rPr>
          <w:rFonts w:hint="default" w:ascii="Times New Roman" w:hAnsi="Times New Roman" w:eastAsia="华文中宋" w:cs="Times New Roman"/>
          <w:color w:val="auto"/>
          <w:lang w:val="en-US" w:eastAsia="zh-CN"/>
        </w:rPr>
        <w:t>场中，并在废石堆</w:t>
      </w:r>
      <w:r>
        <w:rPr>
          <w:rFonts w:hint="eastAsia" w:ascii="Times New Roman" w:hAnsi="Times New Roman" w:cs="Times New Roman"/>
          <w:color w:val="auto"/>
          <w:lang w:val="en-US" w:eastAsia="zh-CN"/>
        </w:rPr>
        <w:t>放</w:t>
      </w:r>
      <w:r>
        <w:rPr>
          <w:rFonts w:hint="default" w:ascii="Times New Roman" w:hAnsi="Times New Roman" w:eastAsia="华文中宋" w:cs="Times New Roman"/>
          <w:color w:val="auto"/>
          <w:lang w:val="en-US" w:eastAsia="zh-CN"/>
        </w:rPr>
        <w:t>场台阶顶部和坡面覆盖表层土，实施生态恢复治理。</w:t>
      </w:r>
    </w:p>
    <w:p w14:paraId="6210CA11">
      <w:pPr>
        <w:pStyle w:val="24"/>
        <w:snapToGrid w:val="0"/>
        <w:jc w:val="left"/>
      </w:pPr>
      <w:r>
        <w:rPr>
          <w:rFonts w:hint="eastAsia" w:ascii="Times New Roman" w:hAnsi="Times New Roman" w:cs="Times New Roman"/>
          <w:color w:val="auto"/>
          <w:lang w:val="en-US" w:eastAsia="zh-CN"/>
        </w:rPr>
        <w:t>（4）</w:t>
      </w:r>
      <w:r>
        <w:rPr>
          <w:rFonts w:hint="default" w:ascii="Times New Roman" w:hAnsi="Times New Roman" w:eastAsia="华文中宋" w:cs="Times New Roman"/>
          <w:color w:val="auto"/>
          <w:lang w:val="en-US" w:eastAsia="zh-CN"/>
        </w:rPr>
        <w:t>采矿工业场地内建、构筑物应全部拆除，其中</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办公用具、门窗等回收，砌体建筑垃圾回填</w:t>
      </w:r>
      <w:r>
        <w:rPr>
          <w:rFonts w:hint="eastAsia" w:ascii="Times New Roman" w:hAnsi="Times New Roman" w:cs="Times New Roman"/>
          <w:color w:val="auto"/>
          <w:lang w:val="en-US" w:eastAsia="zh-CN"/>
        </w:rPr>
        <w:t>矿坑</w:t>
      </w:r>
      <w:r>
        <w:rPr>
          <w:rFonts w:hint="default" w:ascii="Times New Roman" w:hAnsi="Times New Roman" w:eastAsia="华文中宋" w:cs="Times New Roman"/>
          <w:color w:val="auto"/>
          <w:lang w:val="en-US" w:eastAsia="zh-CN"/>
        </w:rPr>
        <w:t>或外运处理。对建、构筑物拆除后的区域进行生态恢复治理。</w:t>
      </w:r>
      <w:r>
        <w:rPr>
          <w:rFonts w:hint="default" w:ascii="Times New Roman" w:hAnsi="Times New Roman" w:eastAsia="宋体" w:cs="Times New Roman"/>
          <w:b/>
          <w:bCs/>
          <w:color w:val="auto"/>
          <w:lang w:val="en-US" w:eastAsia="zh-CN"/>
        </w:rPr>
        <w:br w:type="page"/>
      </w:r>
    </w:p>
    <w:p w14:paraId="332E4C64">
      <w:pPr>
        <w:pStyle w:val="2"/>
        <w:pageBreakBefore/>
        <w:spacing w:before="250" w:beforeLines="50" w:after="250" w:afterLines="50" w:line="560" w:lineRule="exact"/>
        <w:ind w:left="554" w:hanging="555" w:hangingChars="152"/>
        <w:rPr>
          <w:rFonts w:hint="default" w:ascii="Times New Roman" w:hAnsi="Times New Roman" w:eastAsia="华文中宋" w:cs="Times New Roman"/>
          <w:snapToGrid w:val="0"/>
          <w:spacing w:val="2"/>
          <w:sz w:val="36"/>
          <w:szCs w:val="44"/>
          <w:lang w:val="en-US" w:eastAsia="zh-CN"/>
        </w:rPr>
      </w:pPr>
      <w:bookmarkStart w:id="202" w:name="_Toc29144"/>
      <w:bookmarkStart w:id="203" w:name="_Toc10632"/>
      <w:bookmarkStart w:id="204" w:name="_Toc32059"/>
      <w:bookmarkStart w:id="205" w:name="_Toc11345"/>
      <w:bookmarkStart w:id="206" w:name="_Toc10675"/>
      <w:bookmarkStart w:id="207" w:name="_Toc20535"/>
      <w:bookmarkStart w:id="208" w:name="_Toc21147"/>
      <w:bookmarkStart w:id="209" w:name="_Toc28560"/>
      <w:bookmarkStart w:id="210" w:name="_Toc31238"/>
      <w:r>
        <w:rPr>
          <w:rFonts w:hint="default" w:ascii="Times New Roman" w:hAnsi="Times New Roman" w:eastAsia="华文中宋" w:cs="Times New Roman"/>
          <w:snapToGrid w:val="0"/>
          <w:spacing w:val="2"/>
          <w:sz w:val="36"/>
          <w:szCs w:val="44"/>
          <w:lang w:val="en-US" w:eastAsia="zh-CN"/>
        </w:rPr>
        <w:t>6环境保护措施及其可行性论证</w:t>
      </w:r>
      <w:bookmarkEnd w:id="202"/>
      <w:bookmarkEnd w:id="203"/>
    </w:p>
    <w:p w14:paraId="06473188">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矿山开采是对生态环境影响较大的行业，矿山开采对生态破坏的具体表现为植被毁坏、表土破坏、水土流失等问题。采矿生产活动中噪声、扬尘的产生，对周围动、植物也产生不良影响。矿山的生态恢复过程是一个渐进过程，也是一个逐年改善的过程，随时间推移，由采矿所造成的影响将能够逐步降低。</w:t>
      </w:r>
    </w:p>
    <w:p w14:paraId="20B76576">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根据国家有关环保法规要求，该项目必须执行“三同时”。项目投产后，其污染物排放必须达到国家和地方规定的标准和符合环境保护有关法规。本章主要对本项目设计采取的各项环境保护措施从技术可行性、可靠性和经济合理性等方面进行分析论证并提出改善意见，以便在项目实施过程中采用经济合理的污染防治工艺和设施，确保项目排污得到有效控制并达到相关要求。</w:t>
      </w:r>
    </w:p>
    <w:p w14:paraId="57626D08">
      <w:pPr>
        <w:pStyle w:val="3"/>
        <w:spacing w:before="120" w:after="120" w:line="500" w:lineRule="exact"/>
        <w:ind w:left="375" w:hanging="375" w:firstLineChars="0"/>
        <w:contextualSpacing/>
        <w:rPr>
          <w:rFonts w:hint="default" w:ascii="Times New Roman" w:hAnsi="Times New Roman" w:eastAsia="华文中宋" w:cs="Times New Roman"/>
          <w:snapToGrid w:val="0"/>
          <w:kern w:val="0"/>
          <w:sz w:val="28"/>
          <w:szCs w:val="28"/>
          <w:lang w:val="en-US" w:eastAsia="zh-CN"/>
        </w:rPr>
      </w:pPr>
      <w:bookmarkStart w:id="211" w:name="_Toc31305"/>
      <w:bookmarkStart w:id="212" w:name="_Toc29211"/>
      <w:bookmarkStart w:id="213" w:name="_Toc25675"/>
      <w:bookmarkStart w:id="214" w:name="_Toc9072"/>
      <w:bookmarkStart w:id="215" w:name="_Toc16912"/>
      <w:bookmarkStart w:id="216" w:name="_Toc13840"/>
      <w:bookmarkStart w:id="217" w:name="_Toc22105"/>
      <w:bookmarkStart w:id="218" w:name="_Toc20476"/>
      <w:bookmarkStart w:id="219" w:name="_Toc22339"/>
      <w:r>
        <w:rPr>
          <w:rFonts w:hint="default" w:ascii="Times New Roman" w:hAnsi="Times New Roman" w:eastAsia="华文中宋" w:cs="Times New Roman"/>
          <w:snapToGrid w:val="0"/>
          <w:kern w:val="0"/>
          <w:sz w:val="28"/>
          <w:szCs w:val="28"/>
          <w:lang w:val="en-US" w:eastAsia="zh-CN"/>
        </w:rPr>
        <w:t>6.1施工期污染防治措施</w:t>
      </w:r>
      <w:bookmarkEnd w:id="211"/>
      <w:bookmarkEnd w:id="212"/>
      <w:bookmarkEnd w:id="213"/>
      <w:bookmarkEnd w:id="214"/>
      <w:bookmarkEnd w:id="215"/>
      <w:bookmarkEnd w:id="216"/>
      <w:bookmarkEnd w:id="217"/>
      <w:bookmarkEnd w:id="218"/>
      <w:bookmarkEnd w:id="219"/>
    </w:p>
    <w:p w14:paraId="65B55B44">
      <w:pPr>
        <w:pStyle w:val="4"/>
        <w:spacing w:before="120" w:after="120" w:line="500" w:lineRule="exact"/>
        <w:rPr>
          <w:rFonts w:hint="default" w:ascii="Times New Roman" w:hAnsi="Times New Roman" w:eastAsia="华文中宋" w:cs="Times New Roman"/>
          <w:kern w:val="0"/>
          <w:sz w:val="24"/>
          <w:szCs w:val="24"/>
          <w:lang w:val="en-US" w:eastAsia="zh-CN"/>
        </w:rPr>
      </w:pPr>
      <w:bookmarkStart w:id="220" w:name="_Toc1911"/>
      <w:r>
        <w:rPr>
          <w:rFonts w:hint="default" w:ascii="Times New Roman" w:hAnsi="Times New Roman" w:eastAsia="华文中宋" w:cs="Times New Roman"/>
          <w:kern w:val="0"/>
          <w:sz w:val="24"/>
          <w:szCs w:val="24"/>
          <w:lang w:val="en-US" w:eastAsia="zh-CN"/>
        </w:rPr>
        <w:t>6.1.1大气污染防治措施</w:t>
      </w:r>
      <w:bookmarkEnd w:id="220"/>
    </w:p>
    <w:p w14:paraId="6B6CCD58">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针对施工期间产生的扬尘、尾气等，应采取一定的治理或防治措施：</w:t>
      </w:r>
    </w:p>
    <w:p w14:paraId="30B0A835">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（1）施工工地应设置防护墙、材料仓库，禁止水泥、砂石等物料</w:t>
      </w:r>
      <w:r>
        <w:rPr>
          <w:rFonts w:hint="eastAsia" w:ascii="Times New Roman" w:hAnsi="Times New Roman" w:eastAsia="华文中宋" w:cs="Times New Roman"/>
          <w:color w:val="auto"/>
          <w:lang w:val="en-US" w:eastAsia="zh-CN"/>
        </w:rPr>
        <w:t>随意</w:t>
      </w:r>
      <w:r>
        <w:rPr>
          <w:rFonts w:hint="default" w:ascii="Times New Roman" w:hAnsi="Times New Roman" w:eastAsia="华文中宋" w:cs="Times New Roman"/>
          <w:color w:val="auto"/>
          <w:lang w:val="en-US" w:eastAsia="zh-CN"/>
        </w:rPr>
        <w:t>露天堆放。</w:t>
      </w:r>
    </w:p>
    <w:p w14:paraId="10A0BA04">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（2）对施工废弃物及时清理分类，建筑垃圾、残土、废石及时清运，送至指定地点堆放，临时堆放时要做好覆盖或洒水降尘处理，避免在大风天气引起扬尘污染。</w:t>
      </w:r>
    </w:p>
    <w:p w14:paraId="349F7360">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（3）运输车辆采取密封措施，运输路线要及时清理、养护。</w:t>
      </w:r>
    </w:p>
    <w:p w14:paraId="0DCA68E9">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（4）工地配置专用洒水车，定期对施工场地、运输道路路面洒水，并在装料、卸料等必要场合使用。</w:t>
      </w:r>
    </w:p>
    <w:p w14:paraId="42588F1A">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（5）散装物料在装卸、运输过程中要用隔板阻挡以防止物料</w:t>
      </w:r>
      <w:r>
        <w:rPr>
          <w:rFonts w:hint="eastAsia" w:ascii="Times New Roman" w:hAnsi="Times New Roman" w:eastAsia="华文中宋" w:cs="Times New Roman"/>
          <w:color w:val="auto"/>
          <w:lang w:val="en-US" w:eastAsia="zh-CN"/>
        </w:rPr>
        <w:t>洒落</w:t>
      </w:r>
      <w:r>
        <w:rPr>
          <w:rFonts w:hint="default" w:ascii="Times New Roman" w:hAnsi="Times New Roman" w:eastAsia="华文中宋" w:cs="Times New Roman"/>
          <w:color w:val="auto"/>
          <w:lang w:val="en-US" w:eastAsia="zh-CN"/>
        </w:rPr>
        <w:t>，堆放物料的露天堆场要遮盖。</w:t>
      </w:r>
    </w:p>
    <w:p w14:paraId="36A6160C">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（6）开挖的土石方要妥善堆放防止起尘，施工场地和通往施工区的道路必须预先平整，保持路面平坦，并定期洒水，防止起尘。</w:t>
      </w:r>
    </w:p>
    <w:p w14:paraId="095829E9">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（7）经常进出施工现场车辆的车轮要随时进行清洗。</w:t>
      </w:r>
    </w:p>
    <w:p w14:paraId="7E37BA77">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（8）参与施工的各种车辆和作业机械，应该具有尾气年检合格证。</w:t>
      </w:r>
    </w:p>
    <w:p w14:paraId="73022077">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（9）所有设备在使用期间要保证其正常运行，经常检修保养，防止非正常运行造成的尾气超标排放。</w:t>
      </w:r>
    </w:p>
    <w:p w14:paraId="6D4D5A46">
      <w:pPr>
        <w:pStyle w:val="4"/>
        <w:spacing w:before="120" w:after="120" w:line="500" w:lineRule="exact"/>
        <w:rPr>
          <w:rFonts w:hint="default" w:ascii="Times New Roman" w:hAnsi="Times New Roman" w:eastAsia="华文中宋" w:cs="Times New Roman"/>
          <w:kern w:val="0"/>
          <w:sz w:val="24"/>
          <w:szCs w:val="24"/>
          <w:lang w:val="en-US" w:eastAsia="zh-CN"/>
        </w:rPr>
      </w:pPr>
      <w:bookmarkStart w:id="221" w:name="_Toc26202"/>
      <w:r>
        <w:rPr>
          <w:rFonts w:hint="default" w:ascii="Times New Roman" w:hAnsi="Times New Roman" w:eastAsia="华文中宋" w:cs="Times New Roman"/>
          <w:kern w:val="0"/>
          <w:sz w:val="24"/>
          <w:szCs w:val="24"/>
          <w:lang w:val="en-US" w:eastAsia="zh-CN"/>
        </w:rPr>
        <w:t>6.1.2废水污染防治措施</w:t>
      </w:r>
      <w:bookmarkEnd w:id="221"/>
    </w:p>
    <w:p w14:paraId="63BD8524">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施工过程中产生的施工废水和</w:t>
      </w:r>
      <w:r>
        <w:rPr>
          <w:rFonts w:hint="eastAsia" w:ascii="Times New Roman" w:hAnsi="Times New Roman" w:eastAsia="华文中宋" w:cs="Times New Roman"/>
          <w:color w:val="auto"/>
          <w:lang w:val="en-US" w:eastAsia="zh-CN"/>
        </w:rPr>
        <w:t>生活污水</w:t>
      </w:r>
      <w:r>
        <w:rPr>
          <w:rFonts w:hint="default" w:ascii="Times New Roman" w:hAnsi="Times New Roman" w:eastAsia="华文中宋" w:cs="Times New Roman"/>
          <w:color w:val="auto"/>
          <w:lang w:val="en-US" w:eastAsia="zh-CN"/>
        </w:rPr>
        <w:t>，应该有必要的处理措施：</w:t>
      </w:r>
    </w:p>
    <w:p w14:paraId="46D29F78">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（1）施工废水主要是含有悬浮物废水，可以建立一个临时</w:t>
      </w:r>
      <w:r>
        <w:rPr>
          <w:rFonts w:hint="eastAsia" w:ascii="Times New Roman" w:hAnsi="Times New Roman" w:eastAsia="华文中宋" w:cs="Times New Roman"/>
          <w:color w:val="auto"/>
          <w:lang w:val="en-US" w:eastAsia="zh-CN"/>
        </w:rPr>
        <w:t>沉砂池</w:t>
      </w:r>
      <w:r>
        <w:rPr>
          <w:rFonts w:hint="default" w:ascii="Times New Roman" w:hAnsi="Times New Roman" w:eastAsia="华文中宋" w:cs="Times New Roman"/>
          <w:color w:val="auto"/>
          <w:lang w:val="en-US" w:eastAsia="zh-CN"/>
        </w:rPr>
        <w:t>，沉淀后回用于生产或用于洒水降尘。</w:t>
      </w:r>
    </w:p>
    <w:p w14:paraId="34772C0A">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（2）施工期生活污水排入地埋式一体化污水处理设施，不外排。</w:t>
      </w:r>
    </w:p>
    <w:p w14:paraId="3B4FD62A">
      <w:pPr>
        <w:pStyle w:val="4"/>
        <w:spacing w:before="120" w:after="120" w:line="500" w:lineRule="exact"/>
        <w:rPr>
          <w:rFonts w:hint="default" w:ascii="Times New Roman" w:hAnsi="Times New Roman" w:eastAsia="华文中宋" w:cs="Times New Roman"/>
          <w:kern w:val="0"/>
          <w:sz w:val="24"/>
          <w:szCs w:val="24"/>
          <w:lang w:val="en-US" w:eastAsia="zh-CN"/>
        </w:rPr>
      </w:pPr>
      <w:bookmarkStart w:id="222" w:name="_Toc26669"/>
      <w:r>
        <w:rPr>
          <w:rFonts w:hint="default" w:ascii="Times New Roman" w:hAnsi="Times New Roman" w:eastAsia="华文中宋" w:cs="Times New Roman"/>
          <w:kern w:val="0"/>
          <w:sz w:val="24"/>
          <w:szCs w:val="24"/>
          <w:lang w:val="en-US" w:eastAsia="zh-CN"/>
        </w:rPr>
        <w:t>6.1.3固体废物污染防治措施</w:t>
      </w:r>
      <w:bookmarkEnd w:id="222"/>
    </w:p>
    <w:p w14:paraId="367001F4">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（1）</w:t>
      </w:r>
      <w:r>
        <w:rPr>
          <w:rFonts w:hint="default" w:ascii="Times New Roman" w:hAnsi="Times New Roman" w:eastAsia="华文中宋" w:cs="Times New Roman"/>
          <w:color w:val="auto"/>
          <w:lang w:val="en-US" w:eastAsia="zh-CN"/>
        </w:rPr>
        <w:t>对施工人员产生的生活垃圾应集中收集后，定期集中运</w:t>
      </w:r>
      <w:r>
        <w:rPr>
          <w:rFonts w:hint="eastAsia" w:ascii="Times New Roman" w:hAnsi="Times New Roman" w:eastAsia="华文中宋" w:cs="Times New Roman"/>
          <w:color w:val="auto"/>
          <w:lang w:val="en-US" w:eastAsia="zh-CN"/>
        </w:rPr>
        <w:t>往民丰县</w:t>
      </w:r>
      <w:r>
        <w:rPr>
          <w:rFonts w:hint="default" w:ascii="Times New Roman" w:hAnsi="Times New Roman" w:eastAsia="华文中宋" w:cs="Times New Roman"/>
          <w:color w:val="auto"/>
          <w:lang w:val="en-US" w:eastAsia="zh-CN"/>
        </w:rPr>
        <w:t>生活垃圾填理场处置。</w:t>
      </w:r>
    </w:p>
    <w:p w14:paraId="3F9E799E">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（2）</w:t>
      </w:r>
      <w:r>
        <w:rPr>
          <w:rFonts w:hint="default" w:ascii="Times New Roman" w:hAnsi="Times New Roman" w:eastAsia="华文中宋" w:cs="Times New Roman"/>
          <w:color w:val="auto"/>
          <w:lang w:val="en-US" w:eastAsia="zh-CN"/>
        </w:rPr>
        <w:t>土岩剥离物全部运至排土场有序堆存。</w:t>
      </w:r>
    </w:p>
    <w:p w14:paraId="6AF65E2B">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（3）</w:t>
      </w:r>
      <w:r>
        <w:rPr>
          <w:rFonts w:hint="default" w:ascii="Times New Roman" w:hAnsi="Times New Roman" w:eastAsia="华文中宋" w:cs="Times New Roman"/>
          <w:color w:val="auto"/>
          <w:lang w:val="en-US" w:eastAsia="zh-CN"/>
        </w:rPr>
        <w:t>加强施工期固废处置的管理，不准任意抛弃土石料。</w:t>
      </w:r>
    </w:p>
    <w:p w14:paraId="3278D0E1">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采取上述措施后，施工期固体废物不会对矿区周边环境造成较大不利影响。</w:t>
      </w:r>
    </w:p>
    <w:p w14:paraId="34934381">
      <w:pPr>
        <w:pStyle w:val="4"/>
        <w:spacing w:before="120" w:after="120" w:line="500" w:lineRule="exact"/>
        <w:rPr>
          <w:rFonts w:hint="default" w:ascii="Times New Roman" w:hAnsi="Times New Roman" w:eastAsia="华文中宋" w:cs="Times New Roman"/>
          <w:kern w:val="0"/>
          <w:sz w:val="24"/>
          <w:szCs w:val="24"/>
          <w:lang w:val="en-US" w:eastAsia="zh-CN"/>
        </w:rPr>
      </w:pPr>
      <w:bookmarkStart w:id="223" w:name="_Toc26540"/>
      <w:r>
        <w:rPr>
          <w:rFonts w:hint="default" w:ascii="Times New Roman" w:hAnsi="Times New Roman" w:eastAsia="华文中宋" w:cs="Times New Roman"/>
          <w:kern w:val="0"/>
          <w:sz w:val="24"/>
          <w:szCs w:val="24"/>
          <w:lang w:val="en-US" w:eastAsia="zh-CN"/>
        </w:rPr>
        <w:t>6.1.4噪声污染防治措施</w:t>
      </w:r>
      <w:bookmarkEnd w:id="223"/>
    </w:p>
    <w:p w14:paraId="50C6914F">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（1）加强管理，文明施工，严格遵守《建筑施工场界环境噪声排放标准》（GB12523-2011）中的规定要求。合理安排施工时间、施工工序，避免大量高噪声设备同时施工，夜间禁止施工。</w:t>
      </w:r>
    </w:p>
    <w:p w14:paraId="36CA0F80">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2）设备选型上应采用低噪声设备。固定机械设备如挖土、运土机械（如挖土机、推土机等）可通过排气管消声器和隔离发动机振动部件的方法降低噪声。设备常因松动部件的振动或消声器的损坏而增加其工作时的噪声级，因此应对动力机械设备进行定期的维修、养护。</w:t>
      </w:r>
    </w:p>
    <w:p w14:paraId="6815E0E1">
      <w:pPr>
        <w:pStyle w:val="4"/>
        <w:spacing w:before="120" w:after="120" w:line="500" w:lineRule="exact"/>
        <w:rPr>
          <w:rFonts w:hint="default" w:ascii="Times New Roman" w:hAnsi="Times New Roman" w:eastAsia="华文中宋" w:cs="Times New Roman"/>
          <w:kern w:val="0"/>
          <w:sz w:val="24"/>
          <w:szCs w:val="24"/>
          <w:lang w:val="en-US" w:eastAsia="zh-CN"/>
        </w:rPr>
      </w:pPr>
      <w:bookmarkStart w:id="224" w:name="_Toc30969"/>
      <w:r>
        <w:rPr>
          <w:rFonts w:hint="default" w:ascii="Times New Roman" w:hAnsi="Times New Roman" w:eastAsia="华文中宋" w:cs="Times New Roman"/>
          <w:kern w:val="0"/>
          <w:sz w:val="24"/>
          <w:szCs w:val="24"/>
          <w:lang w:val="en-US" w:eastAsia="zh-CN"/>
        </w:rPr>
        <w:t>6.1.5</w:t>
      </w:r>
      <w:r>
        <w:rPr>
          <w:rFonts w:hint="eastAsia" w:ascii="Times New Roman" w:hAnsi="Times New Roman" w:eastAsia="华文中宋" w:cs="Times New Roman"/>
          <w:kern w:val="0"/>
          <w:sz w:val="24"/>
          <w:szCs w:val="24"/>
          <w:lang w:val="en-US" w:eastAsia="zh-CN"/>
        </w:rPr>
        <w:t>生态环境保护措施</w:t>
      </w:r>
      <w:bookmarkEnd w:id="224"/>
    </w:p>
    <w:p w14:paraId="7212C85F">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施工建设过程中的生态环境保护措施是保护环境的重要内容之一。在项目建设过程中做好生态环境保护和水土流失防治工作，一方面可以起到防患于未然，提高施工效率，减少建设期的水土流失量；另一方面可以减轻对周边环境的不良影响，为恢复植被以及生态的良性循环创造条件，并且可以约束施工单位为降低成本而采取牺牲生态环境的做法，大大减轻了后期重新治理的工作量。</w:t>
      </w:r>
    </w:p>
    <w:p w14:paraId="6C78A9D1">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建设期生态保护与整治主要集中在地面设施区，按照《有色金属行业绿色矿山建设规范》（DZ/T0320-2018）的有关要求进行合理规划及建设。具体措施如下</w:t>
      </w:r>
      <w:r>
        <w:rPr>
          <w:rFonts w:hint="eastAsia" w:ascii="Times New Roman" w:hAnsi="Times New Roman" w:eastAsia="华文中宋" w:cs="Times New Roman"/>
          <w:color w:val="auto"/>
          <w:lang w:val="en-US" w:eastAsia="zh-CN"/>
        </w:rPr>
        <w:t>：</w:t>
      </w:r>
    </w:p>
    <w:p w14:paraId="596E4011">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（1）管理措施</w:t>
      </w:r>
    </w:p>
    <w:p w14:paraId="14113E7C">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在施工过程中应主要注意以下内容：</w:t>
      </w:r>
    </w:p>
    <w:p w14:paraId="4459B352">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①</w:t>
      </w:r>
      <w:r>
        <w:rPr>
          <w:rFonts w:hint="default" w:ascii="Times New Roman" w:hAnsi="Times New Roman" w:eastAsia="华文中宋" w:cs="Times New Roman"/>
          <w:color w:val="auto"/>
          <w:lang w:val="en-US" w:eastAsia="zh-CN"/>
        </w:rPr>
        <w:t>严格控制施工区域内临时占地面积，减少扰动地表面积，合理规划及建设永久占地设施，划定施工区红线，严禁红线以外的施工行为；并在施工范围内布设彩条旗，以明确施工边界，防止工人及机械越界；</w:t>
      </w:r>
    </w:p>
    <w:p w14:paraId="47F21E02">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②</w:t>
      </w:r>
      <w:r>
        <w:rPr>
          <w:rFonts w:hint="default" w:ascii="Times New Roman" w:hAnsi="Times New Roman" w:eastAsia="华文中宋" w:cs="Times New Roman"/>
          <w:color w:val="auto"/>
          <w:lang w:val="en-US" w:eastAsia="zh-CN"/>
        </w:rPr>
        <w:t>施工道路路面定时洒水；</w:t>
      </w:r>
    </w:p>
    <w:p w14:paraId="1F69BDBD">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③</w:t>
      </w:r>
      <w:r>
        <w:rPr>
          <w:rFonts w:hint="default" w:ascii="Times New Roman" w:hAnsi="Times New Roman" w:eastAsia="华文中宋" w:cs="Times New Roman"/>
          <w:color w:val="auto"/>
          <w:lang w:val="en-US" w:eastAsia="zh-CN"/>
        </w:rPr>
        <w:t>大风天气施工时对区域的施工便道、施工场地以及运输道路要采用洒水车进行洒水防尘；</w:t>
      </w:r>
    </w:p>
    <w:p w14:paraId="69D3C386">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④</w:t>
      </w:r>
      <w:r>
        <w:rPr>
          <w:rFonts w:hint="default" w:ascii="Times New Roman" w:hAnsi="Times New Roman" w:eastAsia="华文中宋" w:cs="Times New Roman"/>
          <w:color w:val="auto"/>
          <w:lang w:val="en-US" w:eastAsia="zh-CN"/>
        </w:rPr>
        <w:t>施工过程中，要求加强运输调度管理，要充分利用已有道路，禁止任意开辟施工道路，禁止车辆在非工作道路上到处碾压；</w:t>
      </w:r>
    </w:p>
    <w:p w14:paraId="5F9ED688">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⑤</w:t>
      </w:r>
      <w:r>
        <w:rPr>
          <w:rFonts w:hint="default" w:ascii="Times New Roman" w:hAnsi="Times New Roman" w:eastAsia="华文中宋" w:cs="Times New Roman"/>
          <w:color w:val="auto"/>
          <w:lang w:val="en-US" w:eastAsia="zh-CN"/>
        </w:rPr>
        <w:t>科学合理地进行施工组织设计，尽量少挖方，少填方，最大限度地保持原有地貌，施工时注重植被保护，尽量少破坏或不破坏地表植被；</w:t>
      </w:r>
    </w:p>
    <w:p w14:paraId="59B95660">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⑥</w:t>
      </w:r>
      <w:r>
        <w:rPr>
          <w:rFonts w:hint="default" w:ascii="Times New Roman" w:hAnsi="Times New Roman" w:eastAsia="华文中宋" w:cs="Times New Roman"/>
          <w:color w:val="auto"/>
          <w:lang w:val="en-US" w:eastAsia="zh-CN"/>
        </w:rPr>
        <w:t>施工期产生的建筑垃圾要及时清运，不得随意堆放；</w:t>
      </w:r>
    </w:p>
    <w:p w14:paraId="77F65AF1">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⑦</w:t>
      </w:r>
      <w:r>
        <w:rPr>
          <w:rFonts w:hint="default" w:ascii="Times New Roman" w:hAnsi="Times New Roman" w:eastAsia="华文中宋" w:cs="Times New Roman"/>
          <w:color w:val="auto"/>
          <w:lang w:val="en-US" w:eastAsia="zh-CN"/>
        </w:rPr>
        <w:t>施工单位要加强施工过程中的管理措施，严格控制水土保持工程的施工质量，减少施工过程中的水土流失。同时规范施工行为，必须进行水保法律法规宣传教育，增强施工人员的水土保持意识和保护生态环境的责任；</w:t>
      </w:r>
    </w:p>
    <w:p w14:paraId="646AEEF5">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⑧</w:t>
      </w:r>
      <w:r>
        <w:rPr>
          <w:rFonts w:hint="default" w:ascii="Times New Roman" w:hAnsi="Times New Roman" w:eastAsia="华文中宋" w:cs="Times New Roman"/>
          <w:color w:val="auto"/>
          <w:lang w:val="en-US" w:eastAsia="zh-CN"/>
        </w:rPr>
        <w:t>施工作业结束后，因地制宜地做好施工场地的恢复工作，及时平整各类施工场地，采取水罐车喷洒方式使地表尽快形成表面硬结皮，以保护下层的土层不受风蚀影响。</w:t>
      </w:r>
    </w:p>
    <w:p w14:paraId="620D4A9E">
      <w:pPr>
        <w:pStyle w:val="24"/>
        <w:snapToGrid w:val="0"/>
        <w:jc w:val="left"/>
        <w:rPr>
          <w:rFonts w:hint="eastAsia"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（2）</w:t>
      </w:r>
      <w:r>
        <w:rPr>
          <w:rFonts w:hint="eastAsia" w:ascii="Times New Roman" w:hAnsi="Times New Roman" w:eastAsia="华文中宋" w:cs="Times New Roman"/>
          <w:color w:val="auto"/>
          <w:lang w:val="en-US" w:eastAsia="zh-CN"/>
        </w:rPr>
        <w:t>防治措施</w:t>
      </w:r>
    </w:p>
    <w:p w14:paraId="3559E659">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工程措施：当场地达到设计标高后，修建场地截排水设施，对</w:t>
      </w:r>
      <w:r>
        <w:rPr>
          <w:rFonts w:hint="eastAsia" w:ascii="Times New Roman" w:hAnsi="Times New Roman" w:cs="Times New Roman"/>
          <w:color w:val="auto"/>
          <w:lang w:val="en-US" w:eastAsia="zh-CN"/>
        </w:rPr>
        <w:t>矿</w:t>
      </w:r>
      <w:r>
        <w:rPr>
          <w:rFonts w:hint="default" w:ascii="Times New Roman" w:hAnsi="Times New Roman" w:eastAsia="华文中宋" w:cs="Times New Roman"/>
          <w:color w:val="auto"/>
          <w:lang w:val="en-US" w:eastAsia="zh-CN"/>
        </w:rPr>
        <w:t>区空闲地等非建筑用地进行平整。</w:t>
      </w:r>
    </w:p>
    <w:p w14:paraId="716C8734">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临时措施：基础开挖回填的临时堆土集中堆放，堆土区设置临时拦挡、临时苫盖和临时排水沟。场区内的</w:t>
      </w:r>
      <w:r>
        <w:rPr>
          <w:rFonts w:hint="eastAsia" w:ascii="Times New Roman" w:hAnsi="Times New Roman" w:cs="Times New Roman"/>
          <w:color w:val="auto"/>
          <w:lang w:val="en-US" w:eastAsia="zh-CN"/>
        </w:rPr>
        <w:t>砂</w:t>
      </w:r>
      <w:r>
        <w:rPr>
          <w:rFonts w:hint="default" w:ascii="Times New Roman" w:hAnsi="Times New Roman" w:eastAsia="华文中宋" w:cs="Times New Roman"/>
          <w:color w:val="auto"/>
          <w:lang w:val="en-US" w:eastAsia="zh-CN"/>
        </w:rPr>
        <w:t>料场设置临时苫盖。</w:t>
      </w:r>
    </w:p>
    <w:p w14:paraId="093274FA">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w:t>
      </w:r>
      <w:r>
        <w:rPr>
          <w:rFonts w:hint="eastAsia" w:ascii="Times New Roman" w:hAnsi="Times New Roman" w:eastAsia="华文中宋" w:cs="Times New Roman"/>
          <w:color w:val="auto"/>
          <w:lang w:val="en-US" w:eastAsia="zh-CN"/>
        </w:rPr>
        <w:t>3</w:t>
      </w:r>
      <w:r>
        <w:rPr>
          <w:rFonts w:hint="default" w:ascii="Times New Roman" w:hAnsi="Times New Roman" w:eastAsia="华文中宋" w:cs="Times New Roman"/>
          <w:color w:val="auto"/>
          <w:lang w:val="en-US" w:eastAsia="zh-CN"/>
        </w:rPr>
        <w:t xml:space="preserve">）其他施工场地 </w:t>
      </w:r>
    </w:p>
    <w:p w14:paraId="5924064A">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工程措施：施工方退场后，对迹地进行土地平</w:t>
      </w:r>
      <w:r>
        <w:rPr>
          <w:rFonts w:hint="eastAsia" w:ascii="Times New Roman" w:hAnsi="Times New Roman" w:eastAsia="华文中宋" w:cs="Times New Roman"/>
          <w:color w:val="auto"/>
          <w:lang w:val="en-US" w:eastAsia="zh-CN"/>
        </w:rPr>
        <w:t>。</w:t>
      </w:r>
    </w:p>
    <w:p w14:paraId="3584EF68">
      <w:pPr>
        <w:pStyle w:val="3"/>
        <w:spacing w:before="120" w:after="120" w:line="500" w:lineRule="exact"/>
        <w:ind w:left="375" w:hanging="375" w:firstLineChars="0"/>
        <w:contextualSpacing/>
        <w:rPr>
          <w:rFonts w:hint="default" w:ascii="Times New Roman" w:hAnsi="Times New Roman" w:eastAsia="华文中宋" w:cs="Times New Roman"/>
          <w:snapToGrid w:val="0"/>
          <w:kern w:val="0"/>
          <w:sz w:val="28"/>
          <w:szCs w:val="28"/>
          <w:lang w:val="en-US" w:eastAsia="zh-CN"/>
        </w:rPr>
      </w:pPr>
      <w:bookmarkStart w:id="225" w:name="_Toc22572"/>
      <w:bookmarkStart w:id="226" w:name="_Toc20194"/>
      <w:bookmarkStart w:id="227" w:name="_Toc20471"/>
      <w:bookmarkStart w:id="228" w:name="_Toc31146"/>
      <w:bookmarkStart w:id="229" w:name="_Toc31557"/>
      <w:bookmarkStart w:id="230" w:name="_Toc26329"/>
      <w:bookmarkStart w:id="231" w:name="_Toc2566"/>
      <w:bookmarkStart w:id="232" w:name="_Toc5706"/>
      <w:bookmarkStart w:id="233" w:name="_Toc6647"/>
      <w:r>
        <w:rPr>
          <w:rFonts w:hint="default" w:ascii="Times New Roman" w:hAnsi="Times New Roman" w:eastAsia="华文中宋" w:cs="Times New Roman"/>
          <w:snapToGrid w:val="0"/>
          <w:kern w:val="0"/>
          <w:sz w:val="28"/>
          <w:szCs w:val="28"/>
          <w:lang w:val="en-US" w:eastAsia="zh-CN"/>
        </w:rPr>
        <w:t>6.2运营期污染防治措施</w:t>
      </w:r>
      <w:bookmarkEnd w:id="225"/>
      <w:bookmarkEnd w:id="226"/>
      <w:bookmarkEnd w:id="227"/>
      <w:bookmarkEnd w:id="228"/>
      <w:bookmarkEnd w:id="229"/>
      <w:bookmarkEnd w:id="230"/>
      <w:bookmarkEnd w:id="231"/>
      <w:bookmarkEnd w:id="232"/>
      <w:bookmarkEnd w:id="233"/>
    </w:p>
    <w:p w14:paraId="39A9109A">
      <w:pPr>
        <w:pStyle w:val="4"/>
        <w:spacing w:before="120" w:after="120" w:line="500" w:lineRule="exact"/>
        <w:rPr>
          <w:rFonts w:hint="default" w:ascii="Times New Roman" w:hAnsi="Times New Roman" w:eastAsia="华文中宋" w:cs="Times New Roman"/>
          <w:kern w:val="0"/>
          <w:sz w:val="24"/>
          <w:szCs w:val="24"/>
          <w:lang w:val="en-US" w:eastAsia="zh-CN"/>
        </w:rPr>
      </w:pPr>
      <w:bookmarkStart w:id="234" w:name="_Toc28161"/>
      <w:r>
        <w:rPr>
          <w:rFonts w:hint="default" w:ascii="Times New Roman" w:hAnsi="Times New Roman" w:eastAsia="华文中宋" w:cs="Times New Roman"/>
          <w:kern w:val="0"/>
          <w:sz w:val="24"/>
          <w:szCs w:val="24"/>
          <w:lang w:val="en-US" w:eastAsia="zh-CN"/>
        </w:rPr>
        <w:t>6.2.1大气污染治理措施及其可行性分析</w:t>
      </w:r>
      <w:bookmarkEnd w:id="234"/>
    </w:p>
    <w:p w14:paraId="771901D8">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本项目排放的大气污染物主要来自露天开采、废石装卸、道路运输、废石堆放场堆存产生的粉尘，为降低本工程运营过程产生的废气对项目区及周边环境空气的影响，根据《</w:t>
      </w:r>
      <w:r>
        <w:rPr>
          <w:rFonts w:hint="eastAsia" w:ascii="Times New Roman" w:hAnsi="Times New Roman" w:cs="Times New Roman"/>
          <w:color w:val="auto"/>
          <w:lang w:val="en-US" w:eastAsia="zh-CN"/>
        </w:rPr>
        <w:t>工业料堆场杨尘整治规范</w:t>
      </w:r>
      <w:r>
        <w:rPr>
          <w:rFonts w:hint="default" w:ascii="Times New Roman" w:hAnsi="Times New Roman" w:eastAsia="华文中宋" w:cs="Times New Roman"/>
          <w:color w:val="auto"/>
          <w:lang w:val="en-US" w:eastAsia="zh-CN"/>
        </w:rPr>
        <w:t>》（DB65</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T 4061-2017）</w:t>
      </w:r>
      <w:r>
        <w:rPr>
          <w:rFonts w:hint="eastAsia" w:ascii="Times New Roman" w:hAnsi="Times New Roman" w:cs="Times New Roman"/>
          <w:color w:val="auto"/>
          <w:lang w:val="en-US" w:eastAsia="zh-CN"/>
        </w:rPr>
        <w:t>以及《工业源固体物料堆场颗粒物核算系数手册》</w:t>
      </w:r>
      <w:r>
        <w:rPr>
          <w:rFonts w:hint="default" w:ascii="Times New Roman" w:hAnsi="Times New Roman" w:eastAsia="华文中宋" w:cs="Times New Roman"/>
          <w:color w:val="auto"/>
          <w:lang w:val="en-US" w:eastAsia="zh-CN"/>
        </w:rPr>
        <w:t>中要求，拟采取以下防治措施：</w:t>
      </w:r>
    </w:p>
    <w:p w14:paraId="17E2EABF">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（1）露天开采粉尘防治措施</w:t>
      </w:r>
    </w:p>
    <w:p w14:paraId="73B78DBA">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①穿孔凿岩采用湿式穿孔凿岩，钻机配备捕尘器，并对工作面喷雾洒水降尘，</w:t>
      </w:r>
      <w:r>
        <w:rPr>
          <w:rFonts w:hint="eastAsia" w:ascii="Times New Roman" w:hAnsi="Times New Roman" w:eastAsia="华文中宋" w:cs="Times New Roman"/>
          <w:color w:val="auto"/>
          <w:lang w:val="en-US" w:eastAsia="zh-CN"/>
        </w:rPr>
        <w:t>除尘效率可达到90%</w:t>
      </w:r>
      <w:r>
        <w:rPr>
          <w:rFonts w:hint="default" w:ascii="Times New Roman" w:hAnsi="Times New Roman" w:eastAsia="华文中宋" w:cs="Times New Roman"/>
          <w:color w:val="auto"/>
          <w:lang w:val="en-US" w:eastAsia="zh-CN"/>
        </w:rPr>
        <w:t>。</w:t>
      </w:r>
    </w:p>
    <w:p w14:paraId="7C5702DB">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②爆破采用多排垂直深孔微差松动爆破，减少粉尘量，严禁大药量浅孔爆破，避免形成砂石飞溅和尘土飞扬。并对爆破作业场所、爆堆等进行喷雾洒水降尘预湿，国内外的经验表明，预湿的捕尘效率可达61%～83%。</w:t>
      </w:r>
    </w:p>
    <w:p w14:paraId="1E16E4FE">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③应选择有利于大气扩散的时段进行爆破作业，严格实行定时爆破制度，集中爆破；应合理布置炮孔，选用合理爆破参数，台阶爆破采用垂直孔，采用矩形或梅花形布孔，减少粉尘量，严禁大药量浅孔爆破，避免形成</w:t>
      </w:r>
      <w:r>
        <w:rPr>
          <w:rFonts w:hint="eastAsia" w:ascii="Times New Roman" w:hAnsi="Times New Roman" w:eastAsia="华文中宋" w:cs="Times New Roman"/>
          <w:color w:val="auto"/>
          <w:lang w:val="en-US" w:eastAsia="zh-CN"/>
        </w:rPr>
        <w:t>砂石</w:t>
      </w:r>
      <w:r>
        <w:rPr>
          <w:rFonts w:hint="default" w:ascii="Times New Roman" w:hAnsi="Times New Roman" w:eastAsia="华文中宋" w:cs="Times New Roman"/>
          <w:color w:val="auto"/>
          <w:lang w:val="en-US" w:eastAsia="zh-CN"/>
        </w:rPr>
        <w:t>飞溅和尘土飞扬。</w:t>
      </w:r>
    </w:p>
    <w:p w14:paraId="7D805892">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④装卸作业时降低卸载高度，作业工作面进行喷雾洒水降尘，并且避免在大风天气进行作业。</w:t>
      </w:r>
    </w:p>
    <w:p w14:paraId="446D17F4">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⑤本矿区进矿道路及内部运输道路采用水泥硬化，设计各采场配备1台洒水车，利用处理达标后的生活废水对进场道路及采场至废石堆放场间的运输道路进行洒水抑尘，视天气状况适当调整洒水频率和洒水量，在炎热、干燥季节，则加大洒水频次及洒水量，以路面湿润不起尘为准，以保证表面湿度在7%左右为宜。同时对运输道路定期压实。</w:t>
      </w:r>
    </w:p>
    <w:p w14:paraId="4774B581">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⑥对采掘场、废石堆放场及运输道路采取洒水车洒水的方式对采掘场实施降尘，降低污染影响，</w:t>
      </w:r>
    </w:p>
    <w:p w14:paraId="5524B87E">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⑦严格管理运输车辆，限制车速，不超载，运输车辆表面应加盖苫布，防止物料抛洒。</w:t>
      </w:r>
    </w:p>
    <w:p w14:paraId="2152B4DD">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rPr>
        <w:t>（2）</w:t>
      </w:r>
      <w:r>
        <w:rPr>
          <w:rFonts w:hint="default" w:ascii="Times New Roman" w:hAnsi="Times New Roman" w:eastAsia="华文中宋" w:cs="Times New Roman"/>
          <w:color w:val="auto"/>
          <w:lang w:val="en-US" w:eastAsia="zh-CN"/>
        </w:rPr>
        <w:t>装卸、废石堆存</w:t>
      </w:r>
      <w:r>
        <w:rPr>
          <w:rFonts w:hint="default" w:ascii="Times New Roman" w:hAnsi="Times New Roman" w:eastAsia="华文中宋" w:cs="Times New Roman"/>
          <w:color w:val="auto"/>
          <w:lang w:eastAsia="zh-CN"/>
        </w:rPr>
        <w:t>中</w:t>
      </w:r>
      <w:r>
        <w:rPr>
          <w:rFonts w:hint="default" w:ascii="Times New Roman" w:hAnsi="Times New Roman" w:eastAsia="华文中宋" w:cs="Times New Roman"/>
          <w:color w:val="auto"/>
        </w:rPr>
        <w:t>扬尘防治措施</w:t>
      </w:r>
    </w:p>
    <w:p w14:paraId="62BEE77A">
      <w:pPr>
        <w:pStyle w:val="24"/>
        <w:snapToGrid w:val="0"/>
        <w:jc w:val="left"/>
        <w:rPr>
          <w:rFonts w:hint="default" w:ascii="Times New Roman" w:hAnsi="Times New Roman" w:eastAsia="华文中宋" w:cs="Times New Roman"/>
          <w:color w:val="000000" w:themeColor="text1"/>
          <w:highlight w:val="none"/>
          <w14:textFill>
            <w14:solidFill>
              <w14:schemeClr w14:val="tx1"/>
            </w14:solidFill>
          </w14:textFill>
        </w:rPr>
      </w:pPr>
      <w:r>
        <w:rPr>
          <w:rFonts w:hint="default" w:ascii="Times New Roman" w:hAnsi="Times New Roman" w:eastAsia="华文中宋" w:cs="Times New Roman"/>
          <w:color w:val="auto"/>
        </w:rPr>
        <w:t>废石运输采用卡车拉运，</w:t>
      </w:r>
      <w:r>
        <w:rPr>
          <w:rFonts w:hint="default" w:ascii="Times New Roman" w:hAnsi="Times New Roman" w:eastAsia="华文中宋" w:cs="Times New Roman"/>
          <w:color w:val="auto"/>
          <w:lang w:eastAsia="zh-CN"/>
        </w:rPr>
        <w:t>废石</w:t>
      </w:r>
      <w:r>
        <w:rPr>
          <w:rFonts w:hint="default" w:ascii="Times New Roman" w:hAnsi="Times New Roman" w:eastAsia="华文中宋" w:cs="Times New Roman"/>
          <w:color w:val="auto"/>
        </w:rPr>
        <w:t>由工作面拉运至</w:t>
      </w:r>
      <w:r>
        <w:rPr>
          <w:rFonts w:hint="default" w:ascii="Times New Roman" w:hAnsi="Times New Roman" w:eastAsia="华文中宋" w:cs="Times New Roman"/>
          <w:color w:val="auto"/>
          <w:lang w:eastAsia="zh-CN"/>
        </w:rPr>
        <w:t>废石堆放场</w:t>
      </w:r>
      <w:r>
        <w:rPr>
          <w:rFonts w:hint="default" w:ascii="Times New Roman" w:hAnsi="Times New Roman" w:eastAsia="华文中宋" w:cs="Times New Roman"/>
          <w:color w:val="auto"/>
        </w:rPr>
        <w:t>，矿石由卡车拉</w:t>
      </w:r>
      <w:r>
        <w:rPr>
          <w:rFonts w:hint="default" w:ascii="Times New Roman" w:hAnsi="Times New Roman" w:eastAsia="华文中宋" w:cs="Times New Roman"/>
          <w:color w:val="auto"/>
          <w:lang w:eastAsia="zh-CN"/>
        </w:rPr>
        <w:t>运出项目区</w:t>
      </w:r>
      <w:r>
        <w:rPr>
          <w:rFonts w:hint="default" w:ascii="Times New Roman" w:hAnsi="Times New Roman" w:eastAsia="华文中宋" w:cs="Times New Roman"/>
          <w:color w:val="auto"/>
        </w:rPr>
        <w:t>，粉尘的产生量与</w:t>
      </w:r>
      <w:r>
        <w:rPr>
          <w:rFonts w:hint="default" w:ascii="Times New Roman" w:hAnsi="Times New Roman" w:eastAsia="华文中宋" w:cs="Times New Roman"/>
          <w:color w:val="auto"/>
          <w:lang w:val="en-US" w:eastAsia="zh-CN"/>
        </w:rPr>
        <w:t>矿岩</w:t>
      </w:r>
      <w:r>
        <w:rPr>
          <w:rFonts w:hint="default" w:ascii="Times New Roman" w:hAnsi="Times New Roman" w:eastAsia="华文中宋" w:cs="Times New Roman"/>
          <w:color w:val="auto"/>
        </w:rPr>
        <w:t>的块度</w:t>
      </w:r>
      <w:r>
        <w:rPr>
          <w:rFonts w:hint="default" w:ascii="Times New Roman" w:hAnsi="Times New Roman" w:eastAsia="华文中宋" w:cs="Times New Roman"/>
          <w:color w:val="auto"/>
          <w:highlight w:val="none"/>
        </w:rPr>
        <w:t>、含湿量和装运量有关。矿岩铲装、卸车过程中产生的扬尘采取定期洒水措施；在矿岩装卸过程中应尽量降低矿岩落料的高差，以减少粉尘飞扬，减少矿岩运转过程中粉尘的产生</w:t>
      </w:r>
      <w:r>
        <w:rPr>
          <w:rFonts w:hint="default" w:ascii="Times New Roman" w:hAnsi="Times New Roman" w:eastAsia="华文中宋" w:cs="Times New Roman"/>
          <w:color w:val="auto"/>
          <w:highlight w:val="none"/>
          <w:lang w:eastAsia="zh-CN"/>
        </w:rPr>
        <w:t>。</w:t>
      </w:r>
      <w:r>
        <w:rPr>
          <w:rFonts w:hint="default" w:ascii="Times New Roman" w:hAnsi="Times New Roman" w:eastAsia="华文中宋" w:cs="Times New Roman"/>
          <w:color w:val="000000" w:themeColor="text1"/>
          <w:highlight w:val="none"/>
          <w:lang w:val="en-US" w:eastAsia="zh-CN"/>
          <w14:textFill>
            <w14:solidFill>
              <w14:schemeClr w14:val="tx1"/>
            </w14:solidFill>
          </w14:textFill>
        </w:rPr>
        <w:t>通过采取相关措施粉尘排放浓度</w:t>
      </w:r>
      <w:r>
        <w:rPr>
          <w:rFonts w:hint="default" w:ascii="Times New Roman" w:hAnsi="Times New Roman" w:eastAsia="华文中宋" w:cs="Times New Roman"/>
          <w:color w:val="000000" w:themeColor="text1"/>
          <w:highlight w:val="none"/>
          <w14:textFill>
            <w14:solidFill>
              <w14:schemeClr w14:val="tx1"/>
            </w14:solidFill>
          </w14:textFill>
        </w:rPr>
        <w:t>满足</w:t>
      </w:r>
      <w:r>
        <w:rPr>
          <w:rFonts w:hint="default" w:ascii="Times New Roman" w:hAnsi="Times New Roman" w:cs="Times New Roman"/>
          <w:color w:val="auto"/>
          <w:highlight w:val="none"/>
          <w:lang w:val="en-US" w:eastAsia="zh-CN"/>
        </w:rPr>
        <w:t>《铅、锌工业污染物排放标准》（GB25466-2010）及其修改单表6排放浓度限值</w:t>
      </w:r>
      <w:r>
        <w:rPr>
          <w:rFonts w:hint="default" w:ascii="Times New Roman" w:hAnsi="Times New Roman" w:eastAsia="华文中宋" w:cs="Times New Roman"/>
          <w:color w:val="000000" w:themeColor="text1"/>
          <w:highlight w:val="none"/>
          <w14:textFill>
            <w14:solidFill>
              <w14:schemeClr w14:val="tx1"/>
            </w14:solidFill>
          </w14:textFill>
        </w:rPr>
        <w:t>（1.0mg/m</w:t>
      </w:r>
      <w:r>
        <w:rPr>
          <w:rFonts w:hint="default" w:ascii="Times New Roman" w:hAnsi="Times New Roman" w:eastAsia="华文中宋" w:cs="Times New Roman"/>
          <w:color w:val="000000" w:themeColor="text1"/>
          <w:highlight w:val="none"/>
          <w:vertAlign w:val="superscript"/>
          <w14:textFill>
            <w14:solidFill>
              <w14:schemeClr w14:val="tx1"/>
            </w14:solidFill>
          </w14:textFill>
        </w:rPr>
        <w:t>3</w:t>
      </w:r>
      <w:r>
        <w:rPr>
          <w:rFonts w:hint="default" w:ascii="Times New Roman" w:hAnsi="Times New Roman" w:eastAsia="华文中宋" w:cs="Times New Roman"/>
          <w:color w:val="000000" w:themeColor="text1"/>
          <w:highlight w:val="none"/>
          <w14:textFill>
            <w14:solidFill>
              <w14:schemeClr w14:val="tx1"/>
            </w14:solidFill>
          </w14:textFill>
        </w:rPr>
        <w:t>）。</w:t>
      </w:r>
    </w:p>
    <w:p w14:paraId="1213D068">
      <w:pPr>
        <w:pStyle w:val="24"/>
        <w:snapToGrid w:val="0"/>
        <w:jc w:val="left"/>
        <w:rPr>
          <w:rFonts w:hint="default" w:ascii="Times New Roman" w:hAnsi="Times New Roman" w:eastAsia="华文中宋" w:cs="Times New Roman"/>
          <w:color w:val="auto"/>
          <w:lang w:eastAsia="zh-CN"/>
        </w:rPr>
      </w:pPr>
      <w:r>
        <w:rPr>
          <w:rFonts w:hint="default" w:ascii="Times New Roman" w:hAnsi="Times New Roman" w:eastAsia="华文中宋" w:cs="Times New Roman"/>
          <w:color w:val="auto"/>
          <w:lang w:eastAsia="zh-CN"/>
        </w:rPr>
        <w:t>（</w:t>
      </w:r>
      <w:r>
        <w:rPr>
          <w:rFonts w:hint="default" w:ascii="Times New Roman" w:hAnsi="Times New Roman" w:eastAsia="华文中宋" w:cs="Times New Roman"/>
          <w:color w:val="auto"/>
          <w:lang w:val="en-US" w:eastAsia="zh-CN"/>
        </w:rPr>
        <w:t>3</w:t>
      </w:r>
      <w:r>
        <w:rPr>
          <w:rFonts w:hint="default" w:ascii="Times New Roman" w:hAnsi="Times New Roman" w:eastAsia="华文中宋" w:cs="Times New Roman"/>
          <w:color w:val="auto"/>
          <w:lang w:eastAsia="zh-CN"/>
        </w:rPr>
        <w:t>）</w:t>
      </w:r>
      <w:r>
        <w:rPr>
          <w:rFonts w:hint="default" w:ascii="Times New Roman" w:hAnsi="Times New Roman" w:eastAsia="华文中宋" w:cs="Times New Roman"/>
          <w:color w:val="auto"/>
        </w:rPr>
        <w:t>道路扬尘</w:t>
      </w:r>
      <w:r>
        <w:rPr>
          <w:rFonts w:hint="default" w:ascii="Times New Roman" w:hAnsi="Times New Roman" w:eastAsia="华文中宋" w:cs="Times New Roman"/>
          <w:color w:val="auto"/>
          <w:lang w:eastAsia="zh-CN"/>
        </w:rPr>
        <w:t>污染防治措施</w:t>
      </w:r>
    </w:p>
    <w:p w14:paraId="139B8F5D">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rPr>
        <w:t>对运材料车辆应进行统一管理，限载限速，装满物料后应</w:t>
      </w:r>
      <w:r>
        <w:rPr>
          <w:rFonts w:hint="default" w:ascii="Times New Roman" w:hAnsi="Times New Roman" w:eastAsia="华文中宋" w:cs="Times New Roman"/>
          <w:color w:val="auto"/>
          <w:lang w:eastAsia="zh-CN"/>
        </w:rPr>
        <w:t>加盖篷布</w:t>
      </w:r>
      <w:r>
        <w:rPr>
          <w:rFonts w:hint="default" w:ascii="Times New Roman" w:hAnsi="Times New Roman" w:eastAsia="华文中宋" w:cs="Times New Roman"/>
          <w:color w:val="auto"/>
        </w:rPr>
        <w:t>防止抛洒碎屑；对附近的道路及专用公路应派专人负责，经常维护以保持良好的路面状况，并及时清扫洒在道路</w:t>
      </w:r>
      <w:r>
        <w:rPr>
          <w:rFonts w:hint="eastAsia" w:ascii="Times New Roman" w:hAnsi="Times New Roman" w:eastAsia="华文中宋" w:cs="Times New Roman"/>
          <w:color w:val="auto"/>
          <w:lang w:eastAsia="zh-CN"/>
        </w:rPr>
        <w:t>上的</w:t>
      </w:r>
      <w:r>
        <w:rPr>
          <w:rFonts w:hint="default" w:ascii="Times New Roman" w:hAnsi="Times New Roman" w:eastAsia="华文中宋" w:cs="Times New Roman"/>
          <w:color w:val="auto"/>
          <w:lang w:eastAsia="zh-CN"/>
        </w:rPr>
        <w:t>散装</w:t>
      </w:r>
      <w:r>
        <w:rPr>
          <w:rFonts w:hint="default" w:ascii="Times New Roman" w:hAnsi="Times New Roman" w:eastAsia="华文中宋" w:cs="Times New Roman"/>
          <w:color w:val="auto"/>
        </w:rPr>
        <w:t>物料，本矿配备洒水车，定期对场地和路面进行洒水，并配以人工清扫，有效减少地面、道路扬尘污染。</w:t>
      </w:r>
    </w:p>
    <w:p w14:paraId="0E031042">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rPr>
        <w:t>有实验表明，如果对车辆行驶的道路进行洒水抑尘，其抑尘效果显而易见。道路洒水抑尘试验结果见表</w:t>
      </w:r>
      <w:r>
        <w:rPr>
          <w:rFonts w:hint="eastAsia" w:ascii="Times New Roman" w:hAnsi="Times New Roman" w:cs="Times New Roman"/>
          <w:color w:val="auto"/>
          <w:lang w:val="en-US" w:eastAsia="zh-CN"/>
        </w:rPr>
        <w:t>6.</w:t>
      </w:r>
      <w:r>
        <w:rPr>
          <w:rFonts w:hint="default" w:ascii="Times New Roman" w:hAnsi="Times New Roman" w:eastAsia="华文中宋" w:cs="Times New Roman"/>
          <w:color w:val="auto"/>
        </w:rPr>
        <w:t>2-1。</w:t>
      </w:r>
    </w:p>
    <w:p w14:paraId="2BFC49B1">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eastAsia="zh-CN"/>
        </w:rPr>
        <w:t>表</w:t>
      </w:r>
      <w:r>
        <w:rPr>
          <w:rFonts w:hint="eastAsia" w:ascii="Times New Roman" w:hAnsi="Times New Roman" w:eastAsia="华文中宋" w:cs="Times New Roman"/>
          <w:b/>
          <w:szCs w:val="21"/>
          <w:lang w:val="en-US" w:eastAsia="zh-CN"/>
        </w:rPr>
        <w:t>6</w:t>
      </w:r>
      <w:r>
        <w:rPr>
          <w:rFonts w:hint="default" w:ascii="Times New Roman" w:hAnsi="Times New Roman" w:eastAsia="华文中宋" w:cs="Times New Roman"/>
          <w:b/>
          <w:szCs w:val="21"/>
          <w:lang w:val="en-US" w:eastAsia="zh-CN"/>
        </w:rPr>
        <w:t>.2-1  道路洒水抑尘实验结果</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4"/>
        <w:gridCol w:w="1284"/>
        <w:gridCol w:w="1266"/>
        <w:gridCol w:w="1217"/>
        <w:gridCol w:w="1200"/>
        <w:gridCol w:w="1117"/>
        <w:gridCol w:w="1107"/>
      </w:tblGrid>
      <w:tr w14:paraId="623A1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608" w:type="dxa"/>
            <w:gridSpan w:val="2"/>
            <w:vAlign w:val="center"/>
          </w:tcPr>
          <w:p w14:paraId="6F33B93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距离（m）</w:t>
            </w:r>
          </w:p>
        </w:tc>
        <w:tc>
          <w:tcPr>
            <w:tcW w:w="1266" w:type="dxa"/>
            <w:vAlign w:val="center"/>
          </w:tcPr>
          <w:p w14:paraId="52194B7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w:t>
            </w:r>
          </w:p>
        </w:tc>
        <w:tc>
          <w:tcPr>
            <w:tcW w:w="1217" w:type="dxa"/>
            <w:vAlign w:val="center"/>
          </w:tcPr>
          <w:p w14:paraId="235877C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w:t>
            </w:r>
          </w:p>
        </w:tc>
        <w:tc>
          <w:tcPr>
            <w:tcW w:w="1200" w:type="dxa"/>
            <w:vAlign w:val="center"/>
          </w:tcPr>
          <w:p w14:paraId="24686A2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50</w:t>
            </w:r>
          </w:p>
        </w:tc>
        <w:tc>
          <w:tcPr>
            <w:tcW w:w="1117" w:type="dxa"/>
            <w:vAlign w:val="center"/>
          </w:tcPr>
          <w:p w14:paraId="32CA965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100</w:t>
            </w:r>
          </w:p>
        </w:tc>
        <w:tc>
          <w:tcPr>
            <w:tcW w:w="1107" w:type="dxa"/>
            <w:vAlign w:val="center"/>
          </w:tcPr>
          <w:p w14:paraId="2D28F60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200</w:t>
            </w:r>
          </w:p>
        </w:tc>
      </w:tr>
      <w:tr w14:paraId="7D2F8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4" w:type="dxa"/>
            <w:vMerge w:val="restart"/>
            <w:vAlign w:val="center"/>
          </w:tcPr>
          <w:p w14:paraId="765119D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TSP小时浓度（mg/m</w:t>
            </w:r>
            <w:r>
              <w:rPr>
                <w:rFonts w:hint="default" w:ascii="Times New Roman" w:hAnsi="Times New Roman" w:eastAsia="华文中宋" w:cs="Times New Roman"/>
                <w:szCs w:val="21"/>
                <w:vertAlign w:val="superscript"/>
                <w:lang w:val="en-US" w:eastAsia="zh-CN"/>
              </w:rPr>
              <w:t>3</w:t>
            </w:r>
            <w:r>
              <w:rPr>
                <w:rFonts w:hint="default" w:ascii="Times New Roman" w:hAnsi="Times New Roman" w:eastAsia="华文中宋" w:cs="Times New Roman"/>
                <w:szCs w:val="21"/>
                <w:lang w:val="en-US" w:eastAsia="zh-CN"/>
              </w:rPr>
              <w:t>）</w:t>
            </w:r>
          </w:p>
        </w:tc>
        <w:tc>
          <w:tcPr>
            <w:tcW w:w="1284" w:type="dxa"/>
            <w:vAlign w:val="center"/>
          </w:tcPr>
          <w:p w14:paraId="353E8BC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不洒水</w:t>
            </w:r>
          </w:p>
        </w:tc>
        <w:tc>
          <w:tcPr>
            <w:tcW w:w="1266" w:type="dxa"/>
            <w:vAlign w:val="center"/>
          </w:tcPr>
          <w:p w14:paraId="0CBD1B0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10.14</w:t>
            </w:r>
          </w:p>
        </w:tc>
        <w:tc>
          <w:tcPr>
            <w:tcW w:w="1217" w:type="dxa"/>
            <w:vAlign w:val="center"/>
          </w:tcPr>
          <w:p w14:paraId="7CD91F6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2.89</w:t>
            </w:r>
          </w:p>
        </w:tc>
        <w:tc>
          <w:tcPr>
            <w:tcW w:w="1200" w:type="dxa"/>
            <w:vAlign w:val="center"/>
          </w:tcPr>
          <w:p w14:paraId="39E7602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1.15</w:t>
            </w:r>
          </w:p>
        </w:tc>
        <w:tc>
          <w:tcPr>
            <w:tcW w:w="1117" w:type="dxa"/>
            <w:vAlign w:val="center"/>
          </w:tcPr>
          <w:p w14:paraId="58742AC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0.86</w:t>
            </w:r>
          </w:p>
        </w:tc>
        <w:tc>
          <w:tcPr>
            <w:tcW w:w="1107" w:type="dxa"/>
            <w:vAlign w:val="center"/>
          </w:tcPr>
          <w:p w14:paraId="47CF4F2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0.56</w:t>
            </w:r>
          </w:p>
        </w:tc>
      </w:tr>
      <w:tr w14:paraId="52284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324" w:type="dxa"/>
            <w:vMerge w:val="continue"/>
            <w:vAlign w:val="center"/>
          </w:tcPr>
          <w:p w14:paraId="3B58DFCE">
            <w:pPr>
              <w:spacing w:line="300" w:lineRule="exact"/>
              <w:jc w:val="center"/>
              <w:rPr>
                <w:rFonts w:hint="default" w:ascii="Times New Roman" w:hAnsi="Times New Roman" w:eastAsia="华文中宋" w:cs="Times New Roman"/>
                <w:szCs w:val="21"/>
                <w:lang w:val="en-US" w:eastAsia="zh-CN"/>
              </w:rPr>
            </w:pPr>
          </w:p>
        </w:tc>
        <w:tc>
          <w:tcPr>
            <w:tcW w:w="1284" w:type="dxa"/>
            <w:vAlign w:val="center"/>
          </w:tcPr>
          <w:p w14:paraId="56ABB86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洒水</w:t>
            </w:r>
          </w:p>
        </w:tc>
        <w:tc>
          <w:tcPr>
            <w:tcW w:w="1266" w:type="dxa"/>
            <w:vAlign w:val="center"/>
          </w:tcPr>
          <w:p w14:paraId="470116F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2.01</w:t>
            </w:r>
          </w:p>
        </w:tc>
        <w:tc>
          <w:tcPr>
            <w:tcW w:w="1217" w:type="dxa"/>
            <w:vAlign w:val="center"/>
          </w:tcPr>
          <w:p w14:paraId="05D0C09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1.40</w:t>
            </w:r>
          </w:p>
        </w:tc>
        <w:tc>
          <w:tcPr>
            <w:tcW w:w="1200" w:type="dxa"/>
            <w:vAlign w:val="center"/>
          </w:tcPr>
          <w:p w14:paraId="426E7A1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0.68</w:t>
            </w:r>
          </w:p>
        </w:tc>
        <w:tc>
          <w:tcPr>
            <w:tcW w:w="1117" w:type="dxa"/>
            <w:vAlign w:val="center"/>
          </w:tcPr>
          <w:p w14:paraId="0B28645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0.6</w:t>
            </w:r>
          </w:p>
        </w:tc>
        <w:tc>
          <w:tcPr>
            <w:tcW w:w="1107" w:type="dxa"/>
            <w:vAlign w:val="center"/>
          </w:tcPr>
          <w:p w14:paraId="3C9ED7D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0.29</w:t>
            </w:r>
          </w:p>
        </w:tc>
      </w:tr>
    </w:tbl>
    <w:p w14:paraId="6A95AB69">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000000" w:themeColor="text1"/>
          <w:lang w:val="en-US" w:eastAsia="zh-CN"/>
          <w14:textFill>
            <w14:solidFill>
              <w14:schemeClr w14:val="tx1"/>
            </w14:solidFill>
          </w14:textFill>
        </w:rPr>
        <w:t>试验结果显示，道路每天实施洒水抑尘作业</w:t>
      </w:r>
      <w:r>
        <w:rPr>
          <w:rFonts w:hint="eastAsia"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eastAsia="华文中宋" w:cs="Times New Roman"/>
          <w:color w:val="000000" w:themeColor="text1"/>
          <w:lang w:val="en-US" w:eastAsia="zh-CN"/>
          <w14:textFill>
            <w14:solidFill>
              <w14:schemeClr w14:val="tx1"/>
            </w14:solidFill>
          </w14:textFill>
        </w:rPr>
        <w:t>5次，可使扬尘量减少</w:t>
      </w:r>
      <w:r>
        <w:rPr>
          <w:rFonts w:hint="eastAsia" w:ascii="Times New Roman" w:hAnsi="Times New Roman" w:cs="Times New Roman"/>
          <w:color w:val="000000" w:themeColor="text1"/>
          <w:lang w:val="en-US" w:eastAsia="zh-CN"/>
          <w14:textFill>
            <w14:solidFill>
              <w14:schemeClr w14:val="tx1"/>
            </w14:solidFill>
          </w14:textFill>
        </w:rPr>
        <w:t>80</w:t>
      </w:r>
      <w:r>
        <w:rPr>
          <w:rFonts w:hint="default" w:ascii="Times New Roman" w:hAnsi="Times New Roman" w:eastAsia="华文中宋" w:cs="Times New Roman"/>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左右</w:t>
      </w:r>
      <w:r>
        <w:rPr>
          <w:rFonts w:hint="default" w:ascii="Times New Roman" w:hAnsi="Times New Roman" w:eastAsia="华文中宋" w:cs="Times New Roman"/>
          <w:color w:val="000000" w:themeColor="text1"/>
          <w:lang w:val="en-US" w:eastAsia="zh-CN"/>
          <w14:textFill>
            <w14:solidFill>
              <w14:schemeClr w14:val="tx1"/>
            </w14:solidFill>
          </w14:textFill>
        </w:rPr>
        <w:t>，其扬尘造成的TSP污染距离可缩小到20</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华文中宋" w:cs="Times New Roman"/>
          <w:color w:val="000000" w:themeColor="text1"/>
          <w:lang w:val="en-US" w:eastAsia="zh-CN"/>
          <w14:textFill>
            <w14:solidFill>
              <w14:schemeClr w14:val="tx1"/>
            </w14:solidFill>
          </w14:textFill>
        </w:rPr>
        <w:t>50m范围内。本项目建成后估计运送</w:t>
      </w:r>
      <w:r>
        <w:rPr>
          <w:rFonts w:hint="default" w:ascii="Times New Roman" w:hAnsi="Times New Roman" w:eastAsia="华文中宋" w:cs="Times New Roman"/>
          <w:color w:val="auto"/>
          <w:lang w:val="en-US" w:eastAsia="zh-CN"/>
        </w:rPr>
        <w:t>物资、人员、设备及矿石等的运输车辆约30辆/天，若管理不善将造成较大的道路扬尘、污染道路两侧环境，因此应对</w:t>
      </w:r>
      <w:r>
        <w:rPr>
          <w:rFonts w:hint="eastAsia" w:ascii="Times New Roman" w:hAnsi="Times New Roman" w:cs="Times New Roman"/>
          <w:color w:val="auto"/>
          <w:lang w:val="en-US" w:eastAsia="zh-CN"/>
        </w:rPr>
        <w:t>堆场</w:t>
      </w:r>
      <w:r>
        <w:rPr>
          <w:rFonts w:hint="default" w:ascii="Times New Roman" w:hAnsi="Times New Roman" w:eastAsia="华文中宋" w:cs="Times New Roman"/>
          <w:color w:val="auto"/>
          <w:lang w:val="en-US" w:eastAsia="zh-CN"/>
        </w:rPr>
        <w:t>及附近的运输道路经常洒水。洒水次数和洒水量视具体情况而定。</w:t>
      </w:r>
    </w:p>
    <w:p w14:paraId="2BF9EDF3">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采取如下防治措施：</w:t>
      </w:r>
    </w:p>
    <w:p w14:paraId="223B4994">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val="en-US" w:eastAsia="zh-CN"/>
        </w:rPr>
        <w:t>①道路路面采用碎石铺设，并加强维护，定期洒水，</w:t>
      </w:r>
      <w:r>
        <w:rPr>
          <w:rFonts w:hint="default" w:ascii="Times New Roman" w:hAnsi="Times New Roman" w:eastAsia="华文中宋" w:cs="Times New Roman"/>
          <w:color w:val="auto"/>
        </w:rPr>
        <w:t>抑尘效率能达</w:t>
      </w:r>
      <w:r>
        <w:rPr>
          <w:rFonts w:hint="default" w:ascii="Times New Roman" w:hAnsi="Times New Roman" w:eastAsia="华文中宋" w:cs="Times New Roman"/>
          <w:color w:val="auto"/>
          <w:lang w:val="en-US" w:eastAsia="zh-CN"/>
        </w:rPr>
        <w:t>80</w:t>
      </w:r>
      <w:r>
        <w:rPr>
          <w:rFonts w:hint="default" w:ascii="Times New Roman" w:hAnsi="Times New Roman" w:eastAsia="华文中宋" w:cs="Times New Roman"/>
          <w:color w:val="auto"/>
        </w:rPr>
        <w:t>%</w:t>
      </w:r>
      <w:r>
        <w:rPr>
          <w:rFonts w:hint="eastAsia" w:ascii="Times New Roman" w:hAnsi="Times New Roman" w:cs="Times New Roman"/>
          <w:color w:val="auto"/>
          <w:lang w:val="en-US" w:eastAsia="zh-CN"/>
        </w:rPr>
        <w:t>左右</w:t>
      </w:r>
      <w:r>
        <w:rPr>
          <w:rFonts w:hint="default" w:ascii="Times New Roman" w:hAnsi="Times New Roman" w:eastAsia="华文中宋" w:cs="Times New Roman"/>
          <w:color w:val="auto"/>
        </w:rPr>
        <w:t>。有关试验表明，在道路每天定时适量洒水，其扬尘造成的TSP污染距离可缩小到20～50m范围。</w:t>
      </w:r>
    </w:p>
    <w:p w14:paraId="16D6306F">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eastAsia="zh-CN"/>
        </w:rPr>
        <w:t>②非厢式车</w:t>
      </w:r>
      <w:r>
        <w:rPr>
          <w:rFonts w:hint="default" w:ascii="Times New Roman" w:hAnsi="Times New Roman" w:eastAsia="华文中宋" w:cs="Times New Roman"/>
          <w:color w:val="auto"/>
        </w:rPr>
        <w:t>必须加盖篷布，</w:t>
      </w:r>
      <w:r>
        <w:rPr>
          <w:rFonts w:hint="default" w:ascii="Times New Roman" w:hAnsi="Times New Roman" w:eastAsia="华文中宋" w:cs="Times New Roman"/>
          <w:color w:val="auto"/>
          <w:lang w:val="en-US" w:eastAsia="zh-CN"/>
        </w:rPr>
        <w:t>防止矿石</w:t>
      </w:r>
      <w:r>
        <w:rPr>
          <w:rFonts w:hint="default" w:ascii="Times New Roman" w:hAnsi="Times New Roman" w:eastAsia="华文中宋" w:cs="Times New Roman"/>
          <w:color w:val="auto"/>
        </w:rPr>
        <w:t>飞洒</w:t>
      </w:r>
      <w:r>
        <w:rPr>
          <w:rFonts w:hint="default" w:ascii="Times New Roman" w:hAnsi="Times New Roman" w:eastAsia="华文中宋" w:cs="Times New Roman"/>
          <w:color w:val="auto"/>
          <w:lang w:val="en-US" w:eastAsia="zh-CN"/>
        </w:rPr>
        <w:t>或遗落</w:t>
      </w:r>
      <w:r>
        <w:rPr>
          <w:rFonts w:hint="default" w:ascii="Times New Roman" w:hAnsi="Times New Roman" w:eastAsia="华文中宋" w:cs="Times New Roman"/>
          <w:color w:val="auto"/>
        </w:rPr>
        <w:t>。</w:t>
      </w:r>
    </w:p>
    <w:p w14:paraId="5743E434">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eastAsia="zh-CN"/>
        </w:rPr>
        <w:t>③</w:t>
      </w:r>
      <w:r>
        <w:rPr>
          <w:rFonts w:hint="default" w:ascii="Times New Roman" w:hAnsi="Times New Roman" w:eastAsia="华文中宋" w:cs="Times New Roman"/>
          <w:color w:val="auto"/>
        </w:rPr>
        <w:t>加强对道路的维护，保证其路面处于完好状态，平整完好的路面可以大大减少汽车尾气和扬尘量。</w:t>
      </w:r>
    </w:p>
    <w:p w14:paraId="0C292CAA">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rPr>
        <w:t>上述措施简单易行，关键在于管理，矿方应制定严格的管理措施和监控计划，派专人加强监督管理和实施，即可大大减少因运输造成的扬尘污染。</w:t>
      </w:r>
    </w:p>
    <w:p w14:paraId="5E724A53">
      <w:pPr>
        <w:pStyle w:val="24"/>
        <w:snapToGrid w:val="0"/>
        <w:jc w:val="left"/>
        <w:rPr>
          <w:rFonts w:hint="eastAsia" w:ascii="Times New Roman" w:hAnsi="Times New Roman" w:eastAsia="华文中宋" w:cs="Times New Roman"/>
          <w:color w:val="auto"/>
          <w:lang w:val="en-US" w:eastAsia="zh-CN"/>
        </w:rPr>
      </w:pPr>
      <w:r>
        <w:rPr>
          <w:rFonts w:hint="eastAsia" w:ascii="Times New Roman" w:hAnsi="Times New Roman" w:eastAsia="华文中宋" w:cs="Times New Roman"/>
          <w:color w:val="auto"/>
          <w:lang w:eastAsia="zh-CN"/>
        </w:rPr>
        <w:t>（</w:t>
      </w:r>
      <w:r>
        <w:rPr>
          <w:rFonts w:hint="eastAsia" w:ascii="Times New Roman" w:hAnsi="Times New Roman" w:eastAsia="华文中宋" w:cs="Times New Roman"/>
          <w:color w:val="auto"/>
          <w:lang w:val="en-US" w:eastAsia="zh-CN"/>
        </w:rPr>
        <w:t>4</w:t>
      </w:r>
      <w:r>
        <w:rPr>
          <w:rFonts w:hint="eastAsia" w:ascii="Times New Roman" w:hAnsi="Times New Roman" w:eastAsia="华文中宋" w:cs="Times New Roman"/>
          <w:color w:val="auto"/>
          <w:lang w:eastAsia="zh-CN"/>
        </w:rPr>
        <w:t>）</w:t>
      </w:r>
      <w:r>
        <w:rPr>
          <w:rFonts w:hint="eastAsia" w:ascii="Times New Roman" w:hAnsi="Times New Roman" w:eastAsia="华文中宋" w:cs="Times New Roman"/>
          <w:color w:val="auto"/>
          <w:lang w:val="en-US" w:eastAsia="zh-CN"/>
        </w:rPr>
        <w:t>堆场扬尘治理可行性分析</w:t>
      </w:r>
    </w:p>
    <w:p w14:paraId="2826B5FE">
      <w:pPr>
        <w:pStyle w:val="24"/>
        <w:snapToGrid w:val="0"/>
        <w:ind w:left="0" w:leftChars="0" w:firstLine="480" w:firstLineChars="20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根据《工业料堆场扬尘整治规范》中对工业料堆场类型的划分可知，本项目属于大气防控一般控制区，</w:t>
      </w:r>
      <w:r>
        <w:rPr>
          <w:rFonts w:hint="eastAsia" w:ascii="Times New Roman" w:hAnsi="Times New Roman" w:cs="Times New Roman"/>
          <w:color w:val="auto"/>
          <w:lang w:val="en-US" w:eastAsia="zh-CN"/>
        </w:rPr>
        <w:t>废石堆放场</w:t>
      </w:r>
      <w:r>
        <w:rPr>
          <w:rFonts w:hint="default" w:ascii="Times New Roman" w:hAnsi="Times New Roman" w:eastAsia="华文中宋" w:cs="Times New Roman"/>
          <w:color w:val="auto"/>
          <w:lang w:val="en-US" w:eastAsia="zh-CN"/>
        </w:rPr>
        <w:t>面积为7</w:t>
      </w:r>
      <w:r>
        <w:rPr>
          <w:rFonts w:hint="eastAsia" w:ascii="Times New Roman" w:hAnsi="Times New Roman" w:cs="Times New Roman"/>
          <w:color w:val="auto"/>
          <w:lang w:val="en-US" w:eastAsia="zh-CN"/>
        </w:rPr>
        <w:t>0</w:t>
      </w:r>
      <w:r>
        <w:rPr>
          <w:rFonts w:hint="default" w:ascii="Times New Roman" w:hAnsi="Times New Roman" w:eastAsia="华文中宋" w:cs="Times New Roman"/>
          <w:color w:val="auto"/>
          <w:lang w:val="en-US" w:eastAsia="zh-CN"/>
        </w:rPr>
        <w:t>000m</w:t>
      </w:r>
      <w:r>
        <w:rPr>
          <w:rFonts w:hint="default" w:ascii="Times New Roman" w:hAnsi="Times New Roman" w:eastAsia="华文中宋" w:cs="Times New Roman"/>
          <w:color w:val="auto"/>
          <w:vertAlign w:val="superscript"/>
          <w:lang w:val="en-US" w:eastAsia="zh-CN"/>
        </w:rPr>
        <w:t>2</w:t>
      </w:r>
      <w:r>
        <w:rPr>
          <w:rFonts w:hint="default" w:ascii="Times New Roman" w:hAnsi="Times New Roman" w:eastAsia="华文中宋" w:cs="Times New Roman"/>
          <w:color w:val="auto"/>
          <w:lang w:val="en-US" w:eastAsia="zh-CN"/>
        </w:rPr>
        <w:t>，</w:t>
      </w:r>
      <w:r>
        <w:rPr>
          <w:rFonts w:hint="eastAsia" w:ascii="Times New Roman" w:hAnsi="Times New Roman" w:cs="Times New Roman"/>
          <w:color w:val="auto"/>
          <w:lang w:val="en-US" w:eastAsia="zh-CN"/>
        </w:rPr>
        <w:t>矿石转运场面积为5200m</w:t>
      </w:r>
      <w:r>
        <w:rPr>
          <w:rFonts w:hint="eastAsia" w:ascii="Times New Roman" w:hAnsi="Times New Roman" w:cs="Times New Roman"/>
          <w:color w:val="auto"/>
          <w:vertAlign w:val="superscript"/>
          <w:lang w:val="en-US" w:eastAsia="zh-CN"/>
        </w:rPr>
        <w:t>2</w:t>
      </w:r>
      <w:r>
        <w:rPr>
          <w:rFonts w:hint="eastAsia" w:ascii="Times New Roman" w:hAnsi="Times New Roman" w:cs="Times New Roman"/>
          <w:color w:val="auto"/>
          <w:vertAlign w:val="baseline"/>
          <w:lang w:val="en-US" w:eastAsia="zh-CN"/>
        </w:rPr>
        <w:t>，表土堆放场面积为8000m</w:t>
      </w:r>
      <w:r>
        <w:rPr>
          <w:rFonts w:hint="eastAsia" w:ascii="Times New Roman" w:hAnsi="Times New Roman" w:cs="Times New Roman"/>
          <w:color w:val="auto"/>
          <w:vertAlign w:val="superscript"/>
          <w:lang w:val="en-US" w:eastAsia="zh-CN"/>
        </w:rPr>
        <w:t>2</w:t>
      </w:r>
      <w:r>
        <w:rPr>
          <w:rFonts w:hint="eastAsia" w:ascii="Times New Roman" w:hAnsi="Times New Roman" w:cs="Times New Roman"/>
          <w:color w:val="auto"/>
          <w:vertAlign w:val="baseline"/>
          <w:lang w:val="en-US" w:eastAsia="zh-CN"/>
        </w:rPr>
        <w:t>，</w:t>
      </w:r>
      <w:r>
        <w:rPr>
          <w:rFonts w:hint="default" w:ascii="Times New Roman" w:hAnsi="Times New Roman" w:eastAsia="华文中宋" w:cs="Times New Roman"/>
          <w:color w:val="auto"/>
          <w:lang w:val="en-US" w:eastAsia="zh-CN"/>
        </w:rPr>
        <w:t>为减少排土场粉尘产生及排放量，本次环评提出以下粉尘防治措施：</w:t>
      </w:r>
    </w:p>
    <w:p w14:paraId="6D0848CD">
      <w:pPr>
        <w:pStyle w:val="24"/>
        <w:snapToGrid w:val="0"/>
        <w:jc w:val="left"/>
        <w:rPr>
          <w:rFonts w:hint="default" w:ascii="Times New Roman" w:hAnsi="Times New Roman" w:eastAsia="华文中宋" w:cs="Times New Roman"/>
          <w:color w:val="auto"/>
          <w:lang w:eastAsia="zh-CN"/>
        </w:rPr>
      </w:pPr>
      <w:r>
        <w:rPr>
          <w:rFonts w:hint="eastAsia" w:ascii="Times New Roman" w:hAnsi="Times New Roman" w:cs="Times New Roman"/>
          <w:color w:val="auto"/>
          <w:lang w:val="en-US" w:eastAsia="zh-CN"/>
        </w:rPr>
        <w:t>1）</w:t>
      </w:r>
      <w:r>
        <w:rPr>
          <w:rFonts w:hint="default" w:ascii="Times New Roman" w:hAnsi="Times New Roman" w:eastAsia="华文中宋" w:cs="Times New Roman"/>
          <w:color w:val="auto"/>
          <w:lang w:val="en-US" w:eastAsia="zh-CN"/>
        </w:rPr>
        <w:t>在运营期堆放废石</w:t>
      </w:r>
      <w:r>
        <w:rPr>
          <w:rFonts w:hint="eastAsia" w:ascii="Times New Roman" w:hAnsi="Times New Roman" w:cs="Times New Roman"/>
          <w:color w:val="auto"/>
          <w:lang w:val="en-US" w:eastAsia="zh-CN"/>
        </w:rPr>
        <w:t>、表土</w:t>
      </w:r>
      <w:r>
        <w:rPr>
          <w:rFonts w:hint="default" w:ascii="Times New Roman" w:hAnsi="Times New Roman" w:eastAsia="华文中宋" w:cs="Times New Roman"/>
          <w:color w:val="auto"/>
          <w:lang w:val="en-US" w:eastAsia="zh-CN"/>
        </w:rPr>
        <w:t>时对</w:t>
      </w:r>
      <w:r>
        <w:rPr>
          <w:rFonts w:hint="eastAsia" w:ascii="Times New Roman" w:hAnsi="Times New Roman" w:cs="Times New Roman"/>
          <w:color w:val="auto"/>
          <w:lang w:val="en-US" w:eastAsia="zh-CN"/>
        </w:rPr>
        <w:t>堆场</w:t>
      </w:r>
      <w:r>
        <w:rPr>
          <w:rFonts w:hint="default" w:ascii="Times New Roman" w:hAnsi="Times New Roman" w:eastAsia="华文中宋" w:cs="Times New Roman"/>
          <w:color w:val="auto"/>
          <w:lang w:val="en-US" w:eastAsia="zh-CN"/>
        </w:rPr>
        <w:t>洒水降尘，在</w:t>
      </w:r>
      <w:r>
        <w:rPr>
          <w:rFonts w:hint="eastAsia" w:ascii="Times New Roman" w:hAnsi="Times New Roman" w:cs="Times New Roman"/>
          <w:color w:val="auto"/>
          <w:lang w:val="en-US" w:eastAsia="zh-CN"/>
        </w:rPr>
        <w:t>废石、废土</w:t>
      </w:r>
      <w:r>
        <w:rPr>
          <w:rFonts w:hint="default" w:ascii="Times New Roman" w:hAnsi="Times New Roman" w:eastAsia="华文中宋" w:cs="Times New Roman"/>
          <w:color w:val="auto"/>
          <w:lang w:val="en-US" w:eastAsia="zh-CN"/>
        </w:rPr>
        <w:t>卸载区域设置移动式洒水装置定时洒水，并对达到最终堆存高度的区域地表进行压实处理。</w:t>
      </w:r>
      <w:r>
        <w:rPr>
          <w:rFonts w:hint="eastAsia" w:ascii="Times New Roman" w:hAnsi="Times New Roman" w:cs="Times New Roman"/>
          <w:color w:val="auto"/>
          <w:lang w:val="en-US" w:eastAsia="zh-CN"/>
        </w:rPr>
        <w:t>项目矿石转运场除对矿石洒水降尘外，还应加盖篷布等，减少扬尘的产生。</w:t>
      </w:r>
      <w:r>
        <w:rPr>
          <w:rFonts w:hint="default" w:ascii="Times New Roman" w:hAnsi="Times New Roman" w:eastAsia="华文中宋" w:cs="Times New Roman"/>
          <w:color w:val="auto"/>
          <w:lang w:val="en-US" w:eastAsia="zh-CN"/>
        </w:rPr>
        <w:t xml:space="preserve"> </w:t>
      </w:r>
    </w:p>
    <w:p w14:paraId="322C0A36">
      <w:pPr>
        <w:pStyle w:val="24"/>
        <w:snapToGrid w:val="0"/>
        <w:jc w:val="left"/>
        <w:rPr>
          <w:rFonts w:hint="default" w:ascii="Times New Roman" w:hAnsi="Times New Roman" w:eastAsia="华文中宋" w:cs="Times New Roman"/>
          <w:color w:val="auto"/>
          <w:lang w:eastAsia="zh-CN"/>
        </w:rPr>
      </w:pPr>
      <w:r>
        <w:rPr>
          <w:rFonts w:hint="eastAsia" w:ascii="Times New Roman" w:hAnsi="Times New Roman" w:cs="Times New Roman"/>
          <w:color w:val="auto"/>
          <w:lang w:val="en-US" w:eastAsia="zh-CN"/>
        </w:rPr>
        <w:t>2）</w:t>
      </w:r>
      <w:r>
        <w:rPr>
          <w:rFonts w:hint="default" w:ascii="Times New Roman" w:hAnsi="Times New Roman" w:eastAsia="华文中宋" w:cs="Times New Roman"/>
          <w:color w:val="auto"/>
          <w:lang w:val="en-US" w:eastAsia="zh-CN"/>
        </w:rPr>
        <w:t>严格对排土场等堆放场所的管理，固废排放分块逐步推进堆放，</w:t>
      </w:r>
      <w:r>
        <w:rPr>
          <w:rFonts w:hint="eastAsia" w:ascii="Times New Roman" w:hAnsi="Times New Roman" w:cs="Times New Roman"/>
          <w:color w:val="auto"/>
          <w:lang w:val="en-US" w:eastAsia="zh-CN"/>
        </w:rPr>
        <w:t>减少</w:t>
      </w:r>
      <w:r>
        <w:rPr>
          <w:rFonts w:hint="default" w:ascii="Times New Roman" w:hAnsi="Times New Roman" w:eastAsia="华文中宋" w:cs="Times New Roman"/>
          <w:color w:val="auto"/>
          <w:lang w:val="en-US" w:eastAsia="zh-CN"/>
        </w:rPr>
        <w:t>场内人为扰动面。</w:t>
      </w:r>
    </w:p>
    <w:p w14:paraId="5B037DF6">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w:t>
      </w:r>
      <w:r>
        <w:rPr>
          <w:rFonts w:hint="eastAsia" w:ascii="Times New Roman" w:hAnsi="Times New Roman" w:cs="Times New Roman"/>
          <w:color w:val="auto"/>
          <w:lang w:val="en-US" w:eastAsia="zh-CN"/>
        </w:rPr>
        <w:t>5</w:t>
      </w:r>
      <w:r>
        <w:rPr>
          <w:rFonts w:hint="default" w:ascii="Times New Roman" w:hAnsi="Times New Roman" w:eastAsia="华文中宋" w:cs="Times New Roman"/>
          <w:color w:val="auto"/>
          <w:lang w:val="en-US" w:eastAsia="zh-CN"/>
        </w:rPr>
        <w:t>）燃油废气防治措施</w:t>
      </w:r>
    </w:p>
    <w:p w14:paraId="3F82B9CF">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val="en-US" w:eastAsia="zh-CN"/>
        </w:rPr>
        <w:t>针对燃油设备和车辆运行时产生的无组织燃油废气，选用低能耗、高效率的燃油设备和车辆，对其加强日常检测及维护保养，加强对燃油设备和车辆的管理；</w:t>
      </w:r>
      <w:r>
        <w:rPr>
          <w:rFonts w:hint="eastAsia" w:ascii="Times New Roman" w:hAnsi="Times New Roman" w:eastAsia="华文中宋" w:cs="Times New Roman"/>
          <w:color w:val="auto"/>
          <w:lang w:val="en-US" w:eastAsia="zh-CN"/>
        </w:rPr>
        <w:t>使用</w:t>
      </w:r>
      <w:r>
        <w:rPr>
          <w:rFonts w:hint="default" w:ascii="Times New Roman" w:hAnsi="Times New Roman" w:eastAsia="华文中宋" w:cs="Times New Roman"/>
          <w:color w:val="auto"/>
        </w:rPr>
        <w:t>优质柴油；在项目区合理设置指示牌，减少燃油设备和车辆运行时间和距离。</w:t>
      </w:r>
    </w:p>
    <w:p w14:paraId="3969937B">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rPr>
        <w:t>本项目针对开采过程产生的粉尘、扬尘所采用</w:t>
      </w:r>
      <w:r>
        <w:rPr>
          <w:rFonts w:hint="default" w:ascii="Times New Roman" w:hAnsi="Times New Roman" w:eastAsia="华文中宋" w:cs="Times New Roman"/>
          <w:color w:val="auto"/>
          <w:lang w:eastAsia="zh-CN"/>
        </w:rPr>
        <w:t>的</w:t>
      </w:r>
      <w:r>
        <w:rPr>
          <w:rFonts w:hint="default" w:ascii="Times New Roman" w:hAnsi="Times New Roman" w:eastAsia="华文中宋" w:cs="Times New Roman"/>
          <w:color w:val="auto"/>
        </w:rPr>
        <w:t>防治措施均为目前矿山开采所采用的成熟的措施。其治理效果明显，已经被矿山开采企业普遍认可，技术上可行；这些措施投资少，</w:t>
      </w:r>
      <w:r>
        <w:rPr>
          <w:rFonts w:hint="default" w:ascii="Times New Roman" w:hAnsi="Times New Roman" w:eastAsia="华文中宋" w:cs="Times New Roman"/>
          <w:color w:val="auto"/>
          <w:lang w:val="en-US" w:eastAsia="zh-CN"/>
        </w:rPr>
        <w:t>运行效果可靠，运行费用低，企业可接受，所以经济上可行。本项目采取的大气污染防治措施合理可行。</w:t>
      </w:r>
    </w:p>
    <w:p w14:paraId="10DC990F">
      <w:pPr>
        <w:pStyle w:val="24"/>
        <w:numPr>
          <w:ilvl w:val="0"/>
          <w:numId w:val="1"/>
        </w:numPr>
        <w:snapToGrid w:val="0"/>
        <w:ind w:left="0" w:leftChars="0" w:firstLine="480" w:firstLineChars="200"/>
        <w:jc w:val="left"/>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其他大气防护措施</w:t>
      </w:r>
    </w:p>
    <w:p w14:paraId="28B32BAD">
      <w:pPr>
        <w:pStyle w:val="24"/>
        <w:numPr>
          <w:ilvl w:val="0"/>
          <w:numId w:val="0"/>
        </w:numPr>
        <w:snapToGrid w:val="0"/>
        <w:ind w:firstLine="480" w:firstLineChars="200"/>
        <w:jc w:val="left"/>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结合开采工艺的特点，拟采取如下防护措施</w:t>
      </w:r>
      <w:r>
        <w:rPr>
          <w:rFonts w:hint="eastAsia" w:ascii="Times New Roman" w:hAnsi="Times New Roman" w:cs="Times New Roman"/>
          <w:color w:val="auto"/>
          <w:lang w:val="en-US" w:eastAsia="zh-CN"/>
        </w:rPr>
        <w:t>：</w:t>
      </w:r>
    </w:p>
    <w:p w14:paraId="011FCEA3">
      <w:pPr>
        <w:pStyle w:val="24"/>
        <w:numPr>
          <w:ilvl w:val="0"/>
          <w:numId w:val="0"/>
        </w:numPr>
        <w:snapToGrid w:val="0"/>
        <w:ind w:firstLine="480" w:firstLineChars="200"/>
        <w:jc w:val="left"/>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r>
        <w:rPr>
          <w:rFonts w:hint="default" w:ascii="Times New Roman" w:hAnsi="Times New Roman" w:cs="Times New Roman"/>
          <w:color w:val="auto"/>
          <w:lang w:val="en-US" w:eastAsia="zh-CN"/>
        </w:rPr>
        <w:t>工作人员</w:t>
      </w:r>
      <w:r>
        <w:rPr>
          <w:rFonts w:hint="eastAsia" w:ascii="Times New Roman" w:hAnsi="Times New Roman" w:cs="Times New Roman"/>
          <w:color w:val="auto"/>
          <w:lang w:val="en-US" w:eastAsia="zh-CN"/>
        </w:rPr>
        <w:t>佩戴</w:t>
      </w:r>
      <w:r>
        <w:rPr>
          <w:rFonts w:hint="default" w:ascii="Times New Roman" w:hAnsi="Times New Roman" w:cs="Times New Roman"/>
          <w:color w:val="auto"/>
          <w:lang w:val="en-US" w:eastAsia="zh-CN"/>
        </w:rPr>
        <w:t>好个人劳动防护用品，对接触粉尘较多的工人</w:t>
      </w:r>
      <w:r>
        <w:rPr>
          <w:rFonts w:hint="eastAsia" w:ascii="Times New Roman" w:hAnsi="Times New Roman" w:cs="Times New Roman"/>
          <w:color w:val="auto"/>
          <w:lang w:val="en-US" w:eastAsia="zh-CN"/>
        </w:rPr>
        <w:t>佩戴</w:t>
      </w:r>
      <w:r>
        <w:rPr>
          <w:rFonts w:hint="default" w:ascii="Times New Roman" w:hAnsi="Times New Roman" w:cs="Times New Roman"/>
          <w:color w:val="auto"/>
          <w:lang w:val="en-US" w:eastAsia="zh-CN"/>
        </w:rPr>
        <w:t>好防尘口罩和个体营养保健。</w:t>
      </w:r>
    </w:p>
    <w:p w14:paraId="0905051C">
      <w:pPr>
        <w:pStyle w:val="24"/>
        <w:numPr>
          <w:ilvl w:val="0"/>
          <w:numId w:val="0"/>
        </w:numPr>
        <w:snapToGrid w:val="0"/>
        <w:ind w:firstLine="480" w:firstLineChars="200"/>
        <w:jc w:val="left"/>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w:t>
      </w:r>
      <w:r>
        <w:rPr>
          <w:rFonts w:hint="default" w:ascii="Times New Roman" w:hAnsi="Times New Roman" w:cs="Times New Roman"/>
          <w:color w:val="auto"/>
          <w:lang w:val="en-US" w:eastAsia="zh-CN"/>
        </w:rPr>
        <w:t>在矿山机械设备应用方面，应选择排气污染物稳定且达到国家规定排放标准的机械设备，使之处于良好运行状态</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加强机械设备和车辆的维护和保养，避免汽、柴油的</w:t>
      </w:r>
      <w:r>
        <w:rPr>
          <w:rFonts w:hint="eastAsia" w:ascii="Times New Roman" w:hAnsi="Times New Roman" w:cs="Times New Roman"/>
          <w:color w:val="auto"/>
          <w:lang w:val="en-US" w:eastAsia="zh-CN"/>
        </w:rPr>
        <w:t>泄漏</w:t>
      </w:r>
      <w:r>
        <w:rPr>
          <w:rFonts w:hint="default" w:ascii="Times New Roman" w:hAnsi="Times New Roman" w:cs="Times New Roman"/>
          <w:color w:val="auto"/>
          <w:lang w:val="en-US" w:eastAsia="zh-CN"/>
        </w:rPr>
        <w:t>，保证进、排气系统畅通，并使用优质燃料，减少废气排放</w:t>
      </w:r>
      <w:r>
        <w:rPr>
          <w:rFonts w:hint="eastAsia" w:ascii="Times New Roman" w:hAnsi="Times New Roman" w:cs="Times New Roman"/>
          <w:color w:val="auto"/>
          <w:lang w:val="en-US" w:eastAsia="zh-CN"/>
        </w:rPr>
        <w:t>。</w:t>
      </w:r>
    </w:p>
    <w:p w14:paraId="6F7BC8BA">
      <w:pPr>
        <w:pStyle w:val="4"/>
        <w:spacing w:before="120" w:after="120" w:line="500" w:lineRule="exact"/>
        <w:rPr>
          <w:rFonts w:hint="default" w:ascii="Times New Roman" w:hAnsi="Times New Roman" w:eastAsia="华文中宋" w:cs="Times New Roman"/>
          <w:kern w:val="0"/>
          <w:sz w:val="24"/>
          <w:szCs w:val="24"/>
          <w:lang w:val="en-US" w:eastAsia="zh-CN"/>
        </w:rPr>
      </w:pPr>
      <w:bookmarkStart w:id="235" w:name="_Toc187800035"/>
      <w:bookmarkStart w:id="236" w:name="_Toc172698661"/>
      <w:bookmarkStart w:id="237" w:name="_Toc245882769"/>
      <w:bookmarkStart w:id="238" w:name="_Toc170869063"/>
      <w:bookmarkStart w:id="239" w:name="_Toc180891772"/>
      <w:bookmarkStart w:id="240" w:name="_Toc170970659"/>
      <w:bookmarkStart w:id="241" w:name="_Toc179653273"/>
      <w:bookmarkStart w:id="242" w:name="_Toc179522814"/>
      <w:bookmarkStart w:id="243" w:name="_Toc12589"/>
      <w:r>
        <w:rPr>
          <w:rFonts w:hint="default" w:ascii="Times New Roman" w:hAnsi="Times New Roman" w:eastAsia="华文中宋" w:cs="Times New Roman"/>
          <w:kern w:val="0"/>
          <w:sz w:val="24"/>
          <w:szCs w:val="24"/>
          <w:lang w:val="en-US" w:eastAsia="zh-CN"/>
        </w:rPr>
        <w:t>6.2.2水环境污染防治措施</w:t>
      </w:r>
      <w:bookmarkEnd w:id="235"/>
      <w:bookmarkEnd w:id="236"/>
      <w:bookmarkEnd w:id="237"/>
      <w:bookmarkEnd w:id="238"/>
      <w:bookmarkEnd w:id="239"/>
      <w:bookmarkEnd w:id="240"/>
      <w:bookmarkEnd w:id="241"/>
      <w:bookmarkEnd w:id="242"/>
      <w:r>
        <w:rPr>
          <w:rFonts w:hint="default" w:ascii="Times New Roman" w:hAnsi="Times New Roman" w:eastAsia="华文中宋" w:cs="Times New Roman"/>
          <w:kern w:val="0"/>
          <w:sz w:val="24"/>
          <w:szCs w:val="24"/>
          <w:lang w:val="en-US" w:eastAsia="zh-CN"/>
        </w:rPr>
        <w:t>及其可行性分析</w:t>
      </w:r>
      <w:bookmarkEnd w:id="243"/>
    </w:p>
    <w:p w14:paraId="30119258">
      <w:pPr>
        <w:pStyle w:val="24"/>
        <w:snapToGrid w:val="0"/>
        <w:ind w:left="0" w:leftChars="0" w:firstLine="0" w:firstLineChars="0"/>
        <w:jc w:val="left"/>
        <w:rPr>
          <w:rFonts w:hint="default" w:ascii="Times New Roman" w:hAnsi="Times New Roman" w:eastAsia="华文中宋" w:cs="Times New Roman"/>
          <w:b/>
          <w:bCs/>
          <w:color w:val="auto"/>
          <w:lang w:val="en-US" w:eastAsia="zh-CN"/>
        </w:rPr>
      </w:pPr>
      <w:r>
        <w:rPr>
          <w:rFonts w:hint="eastAsia" w:ascii="Times New Roman" w:hAnsi="Times New Roman" w:cs="Times New Roman"/>
          <w:b/>
          <w:bCs/>
          <w:color w:val="auto"/>
          <w:lang w:val="en-US" w:eastAsia="zh-CN"/>
        </w:rPr>
        <w:t>6.2.2.1</w:t>
      </w:r>
      <w:r>
        <w:rPr>
          <w:rFonts w:hint="default" w:ascii="Times New Roman" w:hAnsi="Times New Roman" w:eastAsia="华文中宋" w:cs="Times New Roman"/>
          <w:b/>
          <w:bCs/>
          <w:color w:val="auto"/>
          <w:lang w:val="en-US" w:eastAsia="zh-CN"/>
        </w:rPr>
        <w:t>生活污水</w:t>
      </w:r>
      <w:r>
        <w:rPr>
          <w:rFonts w:hint="eastAsia" w:ascii="Times New Roman" w:hAnsi="Times New Roman" w:cs="Times New Roman"/>
          <w:b/>
          <w:bCs/>
          <w:color w:val="auto"/>
          <w:lang w:val="en-US" w:eastAsia="zh-CN"/>
        </w:rPr>
        <w:t>及矿坑水</w:t>
      </w:r>
      <w:r>
        <w:rPr>
          <w:rFonts w:hint="default" w:ascii="Times New Roman" w:hAnsi="Times New Roman" w:eastAsia="华文中宋" w:cs="Times New Roman"/>
          <w:b/>
          <w:bCs/>
          <w:color w:val="auto"/>
          <w:lang w:val="en-US" w:eastAsia="zh-CN"/>
        </w:rPr>
        <w:t>处理措施</w:t>
      </w:r>
    </w:p>
    <w:p w14:paraId="29A94B74">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（1）</w:t>
      </w:r>
      <w:r>
        <w:rPr>
          <w:rFonts w:hint="default" w:ascii="Times New Roman" w:hAnsi="Times New Roman" w:eastAsia="华文中宋" w:cs="Times New Roman"/>
          <w:color w:val="auto"/>
          <w:lang w:val="en-US" w:eastAsia="zh-CN"/>
        </w:rPr>
        <w:t>本项目生活污水排入地埋式一体化污水处理设施（10m</w:t>
      </w:r>
      <w:r>
        <w:rPr>
          <w:rFonts w:hint="default" w:ascii="Times New Roman" w:hAnsi="Times New Roman" w:eastAsia="华文中宋" w:cs="Times New Roman"/>
          <w:color w:val="auto"/>
          <w:vertAlign w:val="superscript"/>
          <w:lang w:val="en-US" w:eastAsia="zh-CN"/>
        </w:rPr>
        <w:t>3</w:t>
      </w:r>
      <w:r>
        <w:rPr>
          <w:rFonts w:hint="default" w:ascii="Times New Roman" w:hAnsi="Times New Roman" w:eastAsia="华文中宋" w:cs="Times New Roman"/>
          <w:color w:val="auto"/>
          <w:lang w:val="en-US" w:eastAsia="zh-CN"/>
        </w:rPr>
        <w:t>/d），处理后满足《农村生活污水处理排放标准》（DB654275-2019）表2中</w:t>
      </w:r>
      <w:r>
        <w:rPr>
          <w:rFonts w:hint="eastAsia" w:ascii="Times New Roman" w:hAnsi="Times New Roman" w:eastAsia="华文中宋" w:cs="Times New Roman"/>
          <w:color w:val="auto"/>
          <w:lang w:val="en-US" w:eastAsia="zh-CN"/>
        </w:rPr>
        <w:t>A</w:t>
      </w:r>
      <w:r>
        <w:rPr>
          <w:rFonts w:hint="default" w:ascii="Times New Roman" w:hAnsi="Times New Roman" w:eastAsia="华文中宋" w:cs="Times New Roman"/>
          <w:color w:val="auto"/>
          <w:lang w:val="en-US" w:eastAsia="zh-CN"/>
        </w:rPr>
        <w:t>级排放</w:t>
      </w:r>
      <w:r>
        <w:rPr>
          <w:rFonts w:hint="eastAsia" w:ascii="Times New Roman" w:hAnsi="Times New Roman" w:eastAsia="华文中宋" w:cs="Times New Roman"/>
          <w:color w:val="auto"/>
          <w:lang w:val="en-US" w:eastAsia="zh-CN"/>
        </w:rPr>
        <w:t>标准</w:t>
      </w:r>
      <w:r>
        <w:rPr>
          <w:rFonts w:hint="default" w:ascii="Times New Roman" w:hAnsi="Times New Roman" w:eastAsia="华文中宋" w:cs="Times New Roman"/>
          <w:color w:val="auto"/>
          <w:lang w:val="en-US" w:eastAsia="zh-CN"/>
        </w:rPr>
        <w:t>后用于矿区洒水抑尘。</w:t>
      </w:r>
    </w:p>
    <w:p w14:paraId="60A9F7AB">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地埋式一体化处理设施主要工艺为</w:t>
      </w:r>
      <w:r>
        <w:rPr>
          <w:rFonts w:hint="default" w:ascii="Times New Roman" w:hAnsi="Times New Roman" w:eastAsia="华文中宋" w:cs="Times New Roman"/>
          <w:color w:val="auto"/>
          <w:highlight w:val="none"/>
          <w:lang w:val="en-US" w:eastAsia="zh-CN"/>
        </w:rPr>
        <w:t>“</w:t>
      </w:r>
      <w:r>
        <w:rPr>
          <w:rFonts w:hint="eastAsia" w:ascii="Times New Roman" w:hAnsi="Times New Roman" w:cs="Times New Roman"/>
          <w:color w:val="auto"/>
          <w:highlight w:val="none"/>
          <w:lang w:val="en-US" w:eastAsia="zh-CN"/>
        </w:rPr>
        <w:t>AO+MBR</w:t>
      </w:r>
      <w:r>
        <w:rPr>
          <w:rFonts w:hint="default" w:ascii="Times New Roman" w:hAnsi="Times New Roman" w:eastAsia="华文中宋" w:cs="Times New Roman"/>
          <w:color w:val="auto"/>
          <w:highlight w:val="none"/>
          <w:lang w:eastAsia="zh-CN"/>
        </w:rPr>
        <w:t>+混</w:t>
      </w:r>
      <w:r>
        <w:rPr>
          <w:rFonts w:hint="default" w:ascii="Times New Roman" w:hAnsi="Times New Roman" w:eastAsia="华文中宋" w:cs="Times New Roman"/>
          <w:color w:val="auto"/>
          <w:lang w:eastAsia="zh-CN"/>
        </w:rPr>
        <w:t>凝沉淀+过滤+消毒</w:t>
      </w:r>
      <w:r>
        <w:rPr>
          <w:rFonts w:hint="default" w:ascii="Times New Roman" w:hAnsi="Times New Roman" w:eastAsia="华文中宋" w:cs="Times New Roman"/>
          <w:color w:val="auto"/>
          <w:lang w:val="en-US" w:eastAsia="zh-CN"/>
        </w:rPr>
        <w:t>”，有自由组合、适用广泛、占用土地少、运行经济等特点。</w:t>
      </w:r>
      <w:r>
        <w:rPr>
          <w:rFonts w:hint="default" w:ascii="Times New Roman" w:hAnsi="Times New Roman" w:eastAsia="华文中宋" w:cs="Times New Roman"/>
          <w:color w:val="auto"/>
        </w:rPr>
        <w:t>拟建项目采用此项技术，是较为理想的方法，工艺简单，效果良好，</w:t>
      </w:r>
      <w:r>
        <w:rPr>
          <w:rFonts w:hint="default" w:ascii="Times New Roman" w:hAnsi="Times New Roman" w:eastAsia="华文中宋" w:cs="Times New Roman"/>
          <w:color w:val="auto"/>
          <w:lang w:val="en-US" w:eastAsia="zh-CN"/>
        </w:rPr>
        <w:t>参考类比同类型处理设施验收监测数据，</w:t>
      </w:r>
      <w:r>
        <w:rPr>
          <w:rFonts w:hint="default" w:ascii="Times New Roman" w:hAnsi="Times New Roman" w:eastAsia="华文中宋" w:cs="Times New Roman"/>
          <w:color w:val="auto"/>
        </w:rPr>
        <w:t>出水水质能</w:t>
      </w:r>
      <w:r>
        <w:rPr>
          <w:rFonts w:hint="default" w:ascii="Times New Roman" w:hAnsi="Times New Roman" w:eastAsia="华文中宋" w:cs="Times New Roman"/>
          <w:color w:val="auto"/>
          <w:lang w:val="en-US" w:eastAsia="zh-CN"/>
        </w:rPr>
        <w:t>足《农村生活污水处理排放标准》（DB654275-2019）表2中</w:t>
      </w:r>
      <w:r>
        <w:rPr>
          <w:rFonts w:hint="eastAsia" w:ascii="Times New Roman" w:hAnsi="Times New Roman" w:eastAsia="华文中宋" w:cs="Times New Roman"/>
          <w:color w:val="auto"/>
          <w:lang w:val="en-US" w:eastAsia="zh-CN"/>
        </w:rPr>
        <w:t>A</w:t>
      </w:r>
      <w:r>
        <w:rPr>
          <w:rFonts w:hint="default" w:ascii="Times New Roman" w:hAnsi="Times New Roman" w:eastAsia="华文中宋" w:cs="Times New Roman"/>
          <w:color w:val="auto"/>
          <w:lang w:val="en-US" w:eastAsia="zh-CN"/>
        </w:rPr>
        <w:t>级排放标准。</w:t>
      </w:r>
    </w:p>
    <w:p w14:paraId="566308EF">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rPr>
        <w:t>本项目生活污水排放量</w:t>
      </w:r>
      <w:r>
        <w:rPr>
          <w:rFonts w:hint="default" w:ascii="Times New Roman" w:hAnsi="Times New Roman" w:eastAsia="华文中宋" w:cs="Times New Roman"/>
          <w:color w:val="auto"/>
          <w:lang w:val="en-US" w:eastAsia="zh-CN"/>
        </w:rPr>
        <w:t>4</w:t>
      </w:r>
      <w:r>
        <w:rPr>
          <w:rFonts w:hint="default" w:ascii="Times New Roman" w:hAnsi="Times New Roman" w:eastAsia="华文中宋" w:cs="Times New Roman"/>
          <w:color w:val="auto"/>
        </w:rPr>
        <w:t>m</w:t>
      </w:r>
      <w:r>
        <w:rPr>
          <w:rFonts w:hint="default" w:ascii="Times New Roman" w:hAnsi="Times New Roman" w:eastAsia="华文中宋" w:cs="Times New Roman"/>
          <w:color w:val="auto"/>
          <w:vertAlign w:val="superscript"/>
        </w:rPr>
        <w:t>3</w:t>
      </w:r>
      <w:r>
        <w:rPr>
          <w:rFonts w:hint="default" w:ascii="Times New Roman" w:hAnsi="Times New Roman" w:eastAsia="华文中宋" w:cs="Times New Roman"/>
          <w:color w:val="auto"/>
        </w:rPr>
        <w:t>/d，本次地埋式一体化污水处理设施处理能力</w:t>
      </w:r>
      <w:r>
        <w:rPr>
          <w:rFonts w:hint="default" w:ascii="Times New Roman" w:hAnsi="Times New Roman" w:eastAsia="华文中宋" w:cs="Times New Roman"/>
          <w:color w:val="auto"/>
          <w:lang w:val="en-US" w:eastAsia="zh-CN"/>
        </w:rPr>
        <w:t>10</w:t>
      </w:r>
      <w:r>
        <w:rPr>
          <w:rFonts w:hint="default" w:ascii="Times New Roman" w:hAnsi="Times New Roman" w:eastAsia="华文中宋" w:cs="Times New Roman"/>
          <w:color w:val="auto"/>
        </w:rPr>
        <w:t>m</w:t>
      </w:r>
      <w:r>
        <w:rPr>
          <w:rFonts w:hint="default" w:ascii="Times New Roman" w:hAnsi="Times New Roman" w:eastAsia="华文中宋" w:cs="Times New Roman"/>
          <w:color w:val="auto"/>
          <w:vertAlign w:val="superscript"/>
        </w:rPr>
        <w:t>3</w:t>
      </w:r>
      <w:r>
        <w:rPr>
          <w:rFonts w:hint="default" w:ascii="Times New Roman" w:hAnsi="Times New Roman" w:eastAsia="华文中宋" w:cs="Times New Roman"/>
          <w:color w:val="auto"/>
        </w:rPr>
        <w:t>/d，地埋式一体化污水</w:t>
      </w:r>
      <w:r>
        <w:rPr>
          <w:rFonts w:hint="default" w:ascii="Times New Roman" w:hAnsi="Times New Roman" w:eastAsia="华文中宋" w:cs="Times New Roman"/>
          <w:color w:val="auto"/>
          <w:lang w:val="en-US" w:eastAsia="zh-CN"/>
        </w:rPr>
        <w:t>处理设施处理能力、容积以及处理效果均能满足本项目需求。地埋式一体化污水处理设施出水由洒水车拉运用于矿区洒水抑尘，生活污水处理措施可行。</w:t>
      </w:r>
    </w:p>
    <w:p w14:paraId="0786C4ED">
      <w:pPr>
        <w:pStyle w:val="24"/>
        <w:numPr>
          <w:ilvl w:val="0"/>
          <w:numId w:val="2"/>
        </w:numPr>
        <w:snapToGrid w:val="0"/>
        <w:jc w:val="left"/>
        <w:rPr>
          <w:rFonts w:hint="default" w:ascii="Times New Roman" w:hAnsi="Times New Roman" w:eastAsia="华文中宋" w:cs="Times New Roman"/>
          <w:color w:val="auto"/>
          <w:lang w:val="en-US" w:eastAsia="zh-CN"/>
        </w:rPr>
      </w:pPr>
      <w:r>
        <w:rPr>
          <w:rFonts w:hint="eastAsia" w:asciiTheme="minorEastAsia" w:hAnsiTheme="minorEastAsia" w:eastAsiaTheme="minorEastAsia" w:cstheme="minorEastAsia"/>
          <w:color w:val="000000"/>
          <w:kern w:val="0"/>
          <w:sz w:val="24"/>
          <w:szCs w:val="24"/>
          <w:lang w:val="en-US" w:eastAsia="zh-CN"/>
        </w:rPr>
        <w:t>根据《新疆民丰县盼水河锑铅矿水文地质勘查报告》，本项目地下水埋深大于102m，远低于本项目最低开采高度，因此不考虑矿坑地下涌水，</w:t>
      </w:r>
      <w:r>
        <w:rPr>
          <w:rFonts w:hint="eastAsia" w:ascii="Times New Roman" w:hAnsi="Times New Roman" w:eastAsia="华文中宋" w:cs="Times New Roman"/>
          <w:color w:val="auto"/>
          <w:lang w:val="en-US" w:eastAsia="zh-CN"/>
        </w:rPr>
        <w:t>项目矿坑水主要</w:t>
      </w:r>
      <w:r>
        <w:rPr>
          <w:rFonts w:hint="eastAsia" w:ascii="Times New Roman" w:hAnsi="Times New Roman" w:cs="Times New Roman"/>
          <w:color w:val="auto"/>
          <w:lang w:val="en-US" w:eastAsia="zh-CN"/>
        </w:rPr>
        <w:t>来自</w:t>
      </w:r>
      <w:r>
        <w:rPr>
          <w:rFonts w:hint="eastAsia" w:ascii="Times New Roman" w:hAnsi="Times New Roman" w:eastAsia="华文中宋" w:cs="Times New Roman"/>
          <w:color w:val="auto"/>
          <w:lang w:val="en-US" w:eastAsia="zh-CN"/>
        </w:rPr>
        <w:t>大气降水，</w:t>
      </w:r>
      <w:r>
        <w:rPr>
          <w:rFonts w:hint="default" w:ascii="Times New Roman" w:hAnsi="Times New Roman" w:eastAsia="华文中宋" w:cs="Times New Roman"/>
          <w:color w:val="auto"/>
          <w:lang w:val="en-US" w:eastAsia="zh-CN"/>
        </w:rPr>
        <w:t>采矿场为凹陷式露天采场，设计采用机械集中排水，在采场最低平台合适位置建简易集水坑，集水坑长3m，宽2m，深2.5m。容积为15m</w:t>
      </w:r>
      <w:r>
        <w:rPr>
          <w:rFonts w:hint="default" w:ascii="Times New Roman" w:hAnsi="Times New Roman" w:eastAsia="华文中宋" w:cs="Times New Roman"/>
          <w:color w:val="auto"/>
          <w:vertAlign w:val="superscript"/>
          <w:lang w:val="en-US" w:eastAsia="zh-CN"/>
        </w:rPr>
        <w:t>3</w:t>
      </w:r>
      <w:r>
        <w:rPr>
          <w:rFonts w:hint="default" w:ascii="Times New Roman" w:hAnsi="Times New Roman" w:eastAsia="华文中宋" w:cs="Times New Roman"/>
          <w:color w:val="auto"/>
          <w:lang w:val="en-US" w:eastAsia="zh-CN"/>
        </w:rPr>
        <w:t>，集水坑采用挖掘机不定期清淤。集水坑集排水设备随采场开采深度下降而移动。</w:t>
      </w:r>
    </w:p>
    <w:p w14:paraId="66948533">
      <w:pPr>
        <w:pStyle w:val="24"/>
        <w:numPr>
          <w:ilvl w:val="0"/>
          <w:numId w:val="0"/>
        </w:numPr>
        <w:snapToGrid w:val="0"/>
        <w:ind w:firstLine="480" w:firstLineChars="20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根据</w:t>
      </w:r>
      <w:r>
        <w:rPr>
          <w:rFonts w:hint="default" w:ascii="Times New Roman" w:hAnsi="Times New Roman" w:eastAsia="华文中宋" w:cs="Times New Roman"/>
          <w:color w:val="auto"/>
          <w:lang w:val="en-US" w:eastAsia="zh-CN"/>
        </w:rPr>
        <w:t>民丰县气象局资料</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多年平均降雨量约140毫米</w:t>
      </w:r>
      <w:r>
        <w:rPr>
          <w:rFonts w:hint="eastAsia" w:ascii="Times New Roman" w:hAnsi="Times New Roman" w:eastAsia="华文中宋" w:cs="Times New Roman"/>
          <w:color w:val="auto"/>
          <w:lang w:val="en-US" w:eastAsia="zh-CN"/>
        </w:rPr>
        <w:t>，有效日均降水量按60d计，则北露天采场年矿坑降水为65.7m</w:t>
      </w:r>
      <w:r>
        <w:rPr>
          <w:rFonts w:hint="eastAsia" w:ascii="Times New Roman" w:hAnsi="Times New Roman" w:eastAsia="华文中宋" w:cs="Times New Roman"/>
          <w:color w:val="auto"/>
          <w:vertAlign w:val="superscript"/>
          <w:lang w:val="en-US" w:eastAsia="zh-CN"/>
        </w:rPr>
        <w:t>3</w:t>
      </w:r>
      <w:r>
        <w:rPr>
          <w:rFonts w:hint="eastAsia" w:ascii="Times New Roman" w:hAnsi="Times New Roman" w:eastAsia="华文中宋" w:cs="Times New Roman"/>
          <w:color w:val="auto"/>
          <w:lang w:val="en-US" w:eastAsia="zh-CN"/>
        </w:rPr>
        <w:t>/d（3942m</w:t>
      </w:r>
      <w:r>
        <w:rPr>
          <w:rFonts w:hint="eastAsia" w:ascii="Times New Roman" w:hAnsi="Times New Roman" w:eastAsia="华文中宋" w:cs="Times New Roman"/>
          <w:color w:val="auto"/>
          <w:vertAlign w:val="superscript"/>
          <w:lang w:val="en-US" w:eastAsia="zh-CN"/>
        </w:rPr>
        <w:t>3</w:t>
      </w:r>
      <w:r>
        <w:rPr>
          <w:rFonts w:hint="eastAsia" w:ascii="Times New Roman" w:hAnsi="Times New Roman" w:eastAsia="华文中宋" w:cs="Times New Roman"/>
          <w:color w:val="auto"/>
          <w:lang w:val="en-US" w:eastAsia="zh-CN"/>
        </w:rPr>
        <w:t>/a），南露天采场矿坑降水为31.36m</w:t>
      </w:r>
      <w:r>
        <w:rPr>
          <w:rFonts w:hint="eastAsia" w:ascii="Times New Roman" w:hAnsi="Times New Roman" w:eastAsia="华文中宋" w:cs="Times New Roman"/>
          <w:color w:val="auto"/>
          <w:vertAlign w:val="superscript"/>
          <w:lang w:val="en-US" w:eastAsia="zh-CN"/>
        </w:rPr>
        <w:t>3</w:t>
      </w:r>
      <w:r>
        <w:rPr>
          <w:rFonts w:hint="eastAsia" w:ascii="Times New Roman" w:hAnsi="Times New Roman" w:eastAsia="华文中宋" w:cs="Times New Roman"/>
          <w:color w:val="auto"/>
          <w:lang w:val="en-US" w:eastAsia="zh-CN"/>
        </w:rPr>
        <w:t>/d（188</w:t>
      </w:r>
      <w:r>
        <w:rPr>
          <w:rFonts w:hint="eastAsia" w:ascii="Times New Roman" w:hAnsi="Times New Roman" w:cs="Times New Roman"/>
          <w:color w:val="auto"/>
          <w:lang w:val="en-US" w:eastAsia="zh-CN"/>
        </w:rPr>
        <w:t>2</w:t>
      </w:r>
      <w:r>
        <w:rPr>
          <w:rFonts w:hint="eastAsia" w:ascii="Times New Roman" w:hAnsi="Times New Roman" w:eastAsia="华文中宋" w:cs="Times New Roman"/>
          <w:color w:val="auto"/>
          <w:lang w:val="en-US" w:eastAsia="zh-CN"/>
        </w:rPr>
        <w:t>m</w:t>
      </w:r>
      <w:r>
        <w:rPr>
          <w:rFonts w:hint="eastAsia" w:ascii="Times New Roman" w:hAnsi="Times New Roman" w:eastAsia="华文中宋" w:cs="Times New Roman"/>
          <w:color w:val="auto"/>
          <w:vertAlign w:val="superscript"/>
          <w:lang w:val="en-US" w:eastAsia="zh-CN"/>
        </w:rPr>
        <w:t>3</w:t>
      </w:r>
      <w:r>
        <w:rPr>
          <w:rFonts w:hint="eastAsia" w:ascii="Times New Roman" w:hAnsi="Times New Roman" w:eastAsia="华文中宋" w:cs="Times New Roman"/>
          <w:color w:val="auto"/>
          <w:lang w:val="en-US" w:eastAsia="zh-CN"/>
        </w:rPr>
        <w:t>/a）</w:t>
      </w:r>
      <w:r>
        <w:rPr>
          <w:rFonts w:hint="eastAsia" w:ascii="Times New Roman" w:hAnsi="Times New Roman" w:cs="Times New Roman"/>
          <w:color w:val="auto"/>
          <w:lang w:val="en-US" w:eastAsia="zh-CN"/>
        </w:rPr>
        <w:t>，考虑到本项目南北露天采场先后开采，为方便计算，矿坑水产生量取其平均值2912m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/a</w:t>
      </w:r>
      <w:r>
        <w:rPr>
          <w:rFonts w:hint="eastAsia" w:ascii="Times New Roman" w:hAnsi="Times New Roman" w:eastAsia="华文中宋" w:cs="Times New Roman"/>
          <w:color w:val="auto"/>
          <w:lang w:val="en-US" w:eastAsia="zh-CN"/>
        </w:rPr>
        <w:t>。</w:t>
      </w:r>
      <w:r>
        <w:rPr>
          <w:rFonts w:hint="eastAsia" w:ascii="Times New Roman" w:hAnsi="Times New Roman" w:cs="Times New Roman"/>
          <w:color w:val="auto"/>
          <w:lang w:val="en-US" w:eastAsia="zh-CN"/>
        </w:rPr>
        <w:t>项目矿坑水经泵抽取至集水池内，项目区蒸发量远大于降水量，矿坑水在集水池内全部自然蒸发</w:t>
      </w:r>
      <w:r>
        <w:rPr>
          <w:rFonts w:hint="eastAsia" w:ascii="Times New Roman" w:hAnsi="Times New Roman" w:eastAsia="华文中宋" w:cs="Times New Roman"/>
          <w:color w:val="auto"/>
          <w:lang w:val="en-US" w:eastAsia="zh-CN"/>
        </w:rPr>
        <w:t>。</w:t>
      </w:r>
    </w:p>
    <w:p w14:paraId="43EBDCCF">
      <w:pPr>
        <w:pStyle w:val="24"/>
        <w:snapToGrid w:val="0"/>
        <w:ind w:left="0" w:leftChars="0" w:firstLine="0" w:firstLineChars="0"/>
        <w:jc w:val="left"/>
        <w:rPr>
          <w:rFonts w:hint="default" w:ascii="Times New Roman" w:hAnsi="Times New Roman" w:eastAsia="华文中宋" w:cs="Times New Roman"/>
          <w:b/>
          <w:bCs/>
          <w:color w:val="auto"/>
          <w:lang w:val="en-US" w:eastAsia="zh-CN"/>
        </w:rPr>
      </w:pPr>
      <w:r>
        <w:rPr>
          <w:rFonts w:hint="eastAsia" w:ascii="Times New Roman" w:hAnsi="Times New Roman" w:cs="Times New Roman"/>
          <w:b/>
          <w:bCs/>
          <w:color w:val="auto"/>
          <w:lang w:val="en-US" w:eastAsia="zh-CN"/>
        </w:rPr>
        <w:t>6.2.2.2</w:t>
      </w:r>
      <w:r>
        <w:rPr>
          <w:rFonts w:hint="default" w:ascii="Times New Roman" w:hAnsi="Times New Roman" w:eastAsia="华文中宋" w:cs="Times New Roman"/>
          <w:b/>
          <w:bCs/>
          <w:color w:val="auto"/>
          <w:lang w:val="en-US" w:eastAsia="zh-CN"/>
        </w:rPr>
        <w:t>非正常工况下的处理措施</w:t>
      </w:r>
    </w:p>
    <w:p w14:paraId="024A3A86">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本项目在非正常工况下，生活污水可能会不经处理直接外排。为了防止废水漫流或未经处理后排放，环评建议在厂区内设置一座事故水池，其容量设计亦应符合实际需要，建议事故水池的设计容量不小于10m</w:t>
      </w:r>
      <w:r>
        <w:rPr>
          <w:rFonts w:hint="default" w:ascii="Times New Roman" w:hAnsi="Times New Roman" w:eastAsia="华文中宋" w:cs="Times New Roman"/>
          <w:color w:val="auto"/>
          <w:vertAlign w:val="superscript"/>
          <w:lang w:val="en-US" w:eastAsia="zh-CN"/>
        </w:rPr>
        <w:t>3</w:t>
      </w:r>
      <w:r>
        <w:rPr>
          <w:rFonts w:hint="default" w:ascii="Times New Roman" w:hAnsi="Times New Roman" w:eastAsia="华文中宋" w:cs="Times New Roman"/>
          <w:color w:val="auto"/>
          <w:lang w:val="en-US" w:eastAsia="zh-CN"/>
        </w:rPr>
        <w:t>，用于消防及污水处理设施的非正常工况废水暂存。</w:t>
      </w:r>
    </w:p>
    <w:p w14:paraId="1B6B3AD4">
      <w:pPr>
        <w:pStyle w:val="24"/>
        <w:snapToGrid w:val="0"/>
        <w:ind w:left="0" w:leftChars="0" w:firstLine="0" w:firstLineChars="0"/>
        <w:jc w:val="left"/>
        <w:rPr>
          <w:rFonts w:hint="default" w:ascii="Times New Roman" w:hAnsi="Times New Roman" w:eastAsia="华文中宋" w:cs="Times New Roman"/>
          <w:b/>
          <w:bCs/>
          <w:color w:val="auto"/>
          <w:lang w:val="en-US" w:eastAsia="zh-CN"/>
        </w:rPr>
      </w:pPr>
      <w:r>
        <w:rPr>
          <w:rFonts w:hint="eastAsia" w:ascii="Times New Roman" w:hAnsi="Times New Roman" w:cs="Times New Roman"/>
          <w:b/>
          <w:bCs/>
          <w:color w:val="auto"/>
          <w:lang w:val="en-US" w:eastAsia="zh-CN"/>
        </w:rPr>
        <w:t>6.2.2.3</w:t>
      </w:r>
      <w:r>
        <w:rPr>
          <w:rFonts w:hint="default" w:ascii="Times New Roman" w:hAnsi="Times New Roman" w:eastAsia="华文中宋" w:cs="Times New Roman"/>
          <w:b/>
          <w:bCs/>
          <w:color w:val="auto"/>
          <w:lang w:val="en-US" w:eastAsia="zh-CN"/>
        </w:rPr>
        <w:t>地下水环境保护防治措施</w:t>
      </w:r>
    </w:p>
    <w:p w14:paraId="70F9F9B6">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eastAsia="zh-CN"/>
        </w:rPr>
        <w:t>地下水污染具有不易发现和一旦污染很难治理的特点，针对矿山可能发生的地下水污染，地下水污染防治措施按照“源头控制、分区防治、污染监控、应急响应”相结合的原则，从污染物的产生、入渗、扩散、应急响应等全阶段进行</w:t>
      </w:r>
      <w:r>
        <w:rPr>
          <w:rFonts w:hint="default" w:ascii="Times New Roman" w:hAnsi="Times New Roman" w:eastAsia="华文中宋" w:cs="Times New Roman"/>
          <w:color w:val="auto"/>
          <w:lang w:val="en-US" w:eastAsia="zh-CN"/>
        </w:rPr>
        <w:t>控制。</w:t>
      </w:r>
    </w:p>
    <w:p w14:paraId="14D6A871">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（1）</w:t>
      </w:r>
      <w:r>
        <w:rPr>
          <w:rFonts w:hint="default" w:ascii="Times New Roman" w:hAnsi="Times New Roman" w:eastAsia="华文中宋" w:cs="Times New Roman"/>
          <w:color w:val="auto"/>
          <w:lang w:val="en-US" w:eastAsia="zh-CN"/>
        </w:rPr>
        <w:t>源头控制措施</w:t>
      </w:r>
    </w:p>
    <w:p w14:paraId="628A5207">
      <w:pPr>
        <w:pStyle w:val="24"/>
        <w:snapToGrid w:val="0"/>
        <w:ind w:left="0" w:leftChars="0" w:firstLine="480" w:firstLineChars="200"/>
        <w:jc w:val="left"/>
        <w:rPr>
          <w:rFonts w:hint="default" w:ascii="Times New Roman" w:hAnsi="Times New Roman" w:eastAsia="华文中宋" w:cs="Times New Roman"/>
          <w:color w:val="auto"/>
          <w:lang w:eastAsia="zh-CN"/>
        </w:rPr>
      </w:pPr>
      <w:r>
        <w:rPr>
          <w:rFonts w:hint="default" w:ascii="Times New Roman" w:hAnsi="Times New Roman" w:eastAsia="华文中宋" w:cs="Times New Roman"/>
          <w:color w:val="auto"/>
          <w:lang w:eastAsia="zh-CN"/>
        </w:rPr>
        <w:t>项目矿山应按照设计及环评要求，生活污水能得到有效处理并且全部回用于生产、降尘等，有效降低废水污染物排放量。从而最大限度减少污染物的排放，减轻地下水污染负荷</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柴油储罐应采用密封性能优异的储罐，并对储罐区进行防渗处理；项目危废暂存间储存废润滑油应密封储存，并对危废暂存间进行防渗处理</w:t>
      </w:r>
      <w:r>
        <w:rPr>
          <w:rFonts w:hint="default" w:ascii="Times New Roman" w:hAnsi="Times New Roman" w:eastAsia="华文中宋" w:cs="Times New Roman"/>
          <w:color w:val="auto"/>
          <w:lang w:eastAsia="zh-CN"/>
        </w:rPr>
        <w:t>。</w:t>
      </w:r>
    </w:p>
    <w:p w14:paraId="68AA9DE9">
      <w:pPr>
        <w:pStyle w:val="24"/>
        <w:snapToGrid w:val="0"/>
        <w:jc w:val="left"/>
        <w:rPr>
          <w:rFonts w:hint="default" w:ascii="Times New Roman" w:hAnsi="Times New Roman" w:eastAsia="华文中宋" w:cs="Times New Roman"/>
          <w:color w:val="auto"/>
          <w:highlight w:val="none"/>
          <w:lang w:eastAsia="zh-CN"/>
        </w:rPr>
      </w:pPr>
      <w:r>
        <w:rPr>
          <w:rFonts w:hint="default" w:ascii="Times New Roman" w:hAnsi="Times New Roman" w:eastAsia="华文中宋" w:cs="Times New Roman"/>
          <w:color w:val="auto"/>
          <w:highlight w:val="none"/>
          <w:lang w:eastAsia="zh-CN"/>
        </w:rPr>
        <w:t>①阀门采用优质产品，</w:t>
      </w:r>
      <w:r>
        <w:rPr>
          <w:rFonts w:hint="default" w:ascii="Times New Roman" w:hAnsi="Times New Roman" w:eastAsia="华文中宋" w:cs="Times New Roman"/>
          <w:color w:val="000000" w:themeColor="text1"/>
          <w:highlight w:val="none"/>
          <w:lang w:eastAsia="zh-CN"/>
          <w14:textFill>
            <w14:solidFill>
              <w14:schemeClr w14:val="tx1"/>
            </w14:solidFill>
          </w14:textFill>
        </w:rPr>
        <w:t>定期对</w:t>
      </w:r>
      <w:r>
        <w:rPr>
          <w:rFonts w:hint="eastAsia"/>
          <w:color w:val="000000" w:themeColor="text1"/>
          <w:highlight w:val="none"/>
          <w:lang w:val="en-US" w:eastAsia="zh-CN"/>
          <w14:textFill>
            <w14:solidFill>
              <w14:schemeClr w14:val="tx1"/>
            </w14:solidFill>
          </w14:textFill>
        </w:rPr>
        <w:t>污</w:t>
      </w:r>
      <w:r>
        <w:rPr>
          <w:rFonts w:hint="default" w:ascii="Times New Roman" w:hAnsi="Times New Roman" w:eastAsia="华文中宋" w:cs="Times New Roman"/>
          <w:color w:val="000000" w:themeColor="text1"/>
          <w:highlight w:val="none"/>
          <w:lang w:eastAsia="zh-CN"/>
          <w14:textFill>
            <w14:solidFill>
              <w14:schemeClr w14:val="tx1"/>
            </w14:solidFill>
          </w14:textFill>
        </w:rPr>
        <w:t>水设施</w:t>
      </w:r>
      <w:r>
        <w:rPr>
          <w:rFonts w:hint="eastAsia" w:ascii="Times New Roman" w:hAnsi="Times New Roman" w:cs="Times New Roman"/>
          <w:color w:val="000000" w:themeColor="text1"/>
          <w:highlight w:val="none"/>
          <w:lang w:val="en-US" w:eastAsia="zh-CN"/>
          <w14:textFill>
            <w14:solidFill>
              <w14:schemeClr w14:val="tx1"/>
            </w14:solidFill>
          </w14:textFill>
        </w:rPr>
        <w:t>各个</w:t>
      </w:r>
      <w:r>
        <w:rPr>
          <w:rFonts w:hint="default" w:ascii="Times New Roman" w:hAnsi="Times New Roman" w:eastAsia="华文中宋" w:cs="Times New Roman"/>
          <w:color w:val="000000" w:themeColor="text1"/>
          <w:highlight w:val="none"/>
          <w:lang w:eastAsia="zh-CN"/>
          <w14:textFill>
            <w14:solidFill>
              <w14:schemeClr w14:val="tx1"/>
            </w14:solidFill>
          </w14:textFill>
        </w:rPr>
        <w:t>环节进行检漏工作，确保各防渗漏措施运行的长期性、稳定性和可靠性；防止和</w:t>
      </w:r>
      <w:r>
        <w:rPr>
          <w:rFonts w:hint="default" w:ascii="Times New Roman" w:hAnsi="Times New Roman" w:eastAsia="华文中宋" w:cs="Times New Roman"/>
          <w:color w:val="auto"/>
          <w:highlight w:val="none"/>
          <w:lang w:eastAsia="zh-CN"/>
        </w:rPr>
        <w:t>降低跑、冒、滴、漏。</w:t>
      </w:r>
    </w:p>
    <w:p w14:paraId="30DCEB38">
      <w:pPr>
        <w:pStyle w:val="24"/>
        <w:snapToGrid w:val="0"/>
        <w:jc w:val="left"/>
        <w:rPr>
          <w:rFonts w:hint="default" w:ascii="Times New Roman" w:hAnsi="Times New Roman" w:eastAsia="华文中宋" w:cs="Times New Roman"/>
          <w:color w:val="auto"/>
          <w:highlight w:val="none"/>
          <w:lang w:eastAsia="zh-CN"/>
        </w:rPr>
      </w:pPr>
      <w:r>
        <w:rPr>
          <w:rFonts w:hint="default" w:ascii="Times New Roman" w:hAnsi="Times New Roman" w:eastAsia="华文中宋" w:cs="Times New Roman"/>
          <w:color w:val="auto"/>
          <w:highlight w:val="none"/>
          <w:lang w:eastAsia="zh-CN"/>
        </w:rPr>
        <w:t>②禁止建设及生产过程中生活垃圾乱堆乱放，生活垃圾统一收集、集中运至垃圾填埋场处置。</w:t>
      </w:r>
    </w:p>
    <w:p w14:paraId="043BC406">
      <w:pPr>
        <w:pStyle w:val="24"/>
        <w:snapToGrid w:val="0"/>
        <w:jc w:val="left"/>
        <w:rPr>
          <w:rFonts w:hint="default" w:ascii="Times New Roman" w:hAnsi="Times New Roman" w:eastAsia="华文中宋" w:cs="Times New Roman"/>
          <w:color w:val="auto"/>
          <w:lang w:eastAsia="zh-CN"/>
        </w:rPr>
      </w:pPr>
      <w:r>
        <w:rPr>
          <w:rFonts w:hint="default" w:ascii="Times New Roman" w:hAnsi="Times New Roman" w:eastAsia="华文中宋" w:cs="Times New Roman"/>
          <w:color w:val="auto"/>
          <w:highlight w:val="none"/>
          <w:lang w:eastAsia="zh-CN"/>
        </w:rPr>
        <w:t>③禁止在矿山场地</w:t>
      </w:r>
      <w:r>
        <w:rPr>
          <w:rFonts w:hint="default" w:ascii="Times New Roman" w:hAnsi="Times New Roman" w:eastAsia="华文中宋" w:cs="Times New Roman"/>
          <w:color w:val="auto"/>
          <w:lang w:eastAsia="zh-CN"/>
        </w:rPr>
        <w:t>内任意设置排污口，全封闭，防止流入外环境中。</w:t>
      </w:r>
    </w:p>
    <w:p w14:paraId="7714C48B">
      <w:pPr>
        <w:pStyle w:val="24"/>
        <w:snapToGrid w:val="0"/>
        <w:jc w:val="left"/>
        <w:rPr>
          <w:rFonts w:hint="default" w:ascii="Times New Roman" w:hAnsi="Times New Roman" w:eastAsia="华文中宋" w:cs="Times New Roman"/>
          <w:color w:val="auto"/>
          <w:lang w:eastAsia="zh-CN"/>
        </w:rPr>
      </w:pPr>
      <w:r>
        <w:rPr>
          <w:rFonts w:hint="eastAsia" w:ascii="Times New Roman" w:hAnsi="Times New Roman" w:cs="Times New Roman"/>
          <w:color w:val="auto"/>
          <w:lang w:val="en-US" w:eastAsia="zh-CN"/>
        </w:rPr>
        <w:t>（2）</w:t>
      </w:r>
      <w:r>
        <w:rPr>
          <w:rFonts w:hint="default" w:ascii="Times New Roman" w:hAnsi="Times New Roman" w:eastAsia="华文中宋" w:cs="Times New Roman"/>
          <w:color w:val="auto"/>
          <w:lang w:eastAsia="zh-CN"/>
        </w:rPr>
        <w:t>分区防治措施</w:t>
      </w:r>
    </w:p>
    <w:p w14:paraId="5FD05A2E">
      <w:pPr>
        <w:pStyle w:val="24"/>
        <w:snapToGrid w:val="0"/>
        <w:jc w:val="left"/>
        <w:rPr>
          <w:rFonts w:hint="default" w:ascii="Times New Roman" w:hAnsi="Times New Roman" w:eastAsia="华文中宋" w:cs="Times New Roman"/>
          <w:color w:val="auto"/>
          <w:lang w:eastAsia="zh-CN"/>
        </w:rPr>
      </w:pPr>
      <w:r>
        <w:rPr>
          <w:rFonts w:hint="default" w:ascii="Times New Roman" w:hAnsi="Times New Roman" w:eastAsia="华文中宋" w:cs="Times New Roman"/>
          <w:color w:val="auto"/>
          <w:lang w:eastAsia="zh-CN"/>
        </w:rPr>
        <w:t>结合矿区各生产设备、管线、贮存与运输装置、污染物贮存与处理装置、事故应急装置等的布局，根据可能进入地下水环境的污染物的泄漏（含跑、冒、滴、漏）量及其他各类污染物的性质、产生量和排放量，划分污染防治区。对规划</w:t>
      </w:r>
      <w:r>
        <w:rPr>
          <w:rFonts w:hint="eastAsia" w:ascii="Times New Roman" w:hAnsi="Times New Roman" w:cs="Times New Roman"/>
          <w:color w:val="auto"/>
          <w:lang w:val="en-US" w:eastAsia="zh-CN"/>
        </w:rPr>
        <w:t>堆场</w:t>
      </w:r>
      <w:r>
        <w:rPr>
          <w:rFonts w:hint="default" w:ascii="Times New Roman" w:hAnsi="Times New Roman" w:eastAsia="华文中宋" w:cs="Times New Roman"/>
          <w:color w:val="auto"/>
          <w:lang w:eastAsia="zh-CN"/>
        </w:rPr>
        <w:t>、危废暂存间等可能产生污染的地面进行防渗处理，并及时地将泄漏、渗漏的废水收集起来进行处理，可有效防止洒落地面的废水与潜在污染物渗入地下。根据《环境影响</w:t>
      </w:r>
      <w:r>
        <w:rPr>
          <w:rFonts w:hint="default" w:ascii="Times New Roman" w:hAnsi="Times New Roman" w:eastAsia="华文中宋" w:cs="Times New Roman"/>
          <w:color w:val="auto"/>
          <w:lang w:val="en-US" w:eastAsia="zh-CN"/>
        </w:rPr>
        <w:t xml:space="preserve">评价技术导则 </w:t>
      </w:r>
      <w:r>
        <w:rPr>
          <w:rFonts w:hint="default" w:ascii="Times New Roman" w:hAnsi="Times New Roman" w:eastAsia="华文中宋" w:cs="Times New Roman"/>
          <w:color w:val="auto"/>
          <w:lang w:eastAsia="zh-CN"/>
        </w:rPr>
        <w:t>地下水</w:t>
      </w:r>
      <w:r>
        <w:rPr>
          <w:rFonts w:hint="default" w:ascii="Times New Roman" w:hAnsi="Times New Roman" w:eastAsia="华文中宋" w:cs="Times New Roman"/>
          <w:color w:val="auto"/>
          <w:lang w:val="en-US" w:eastAsia="zh-CN"/>
        </w:rPr>
        <w:t>环</w:t>
      </w:r>
      <w:r>
        <w:rPr>
          <w:rFonts w:hint="default" w:ascii="Times New Roman" w:hAnsi="Times New Roman" w:eastAsia="华文中宋" w:cs="Times New Roman"/>
          <w:color w:val="auto"/>
          <w:lang w:eastAsia="zh-CN"/>
        </w:rPr>
        <w:t>境》（H</w:t>
      </w:r>
      <w:r>
        <w:rPr>
          <w:rFonts w:hint="default" w:ascii="Times New Roman" w:hAnsi="Times New Roman" w:eastAsia="华文中宋" w:cs="Times New Roman"/>
          <w:color w:val="auto"/>
          <w:lang w:val="en-US" w:eastAsia="zh-CN"/>
        </w:rPr>
        <w:t>J</w:t>
      </w:r>
      <w:r>
        <w:rPr>
          <w:rFonts w:hint="default" w:ascii="Times New Roman" w:hAnsi="Times New Roman" w:eastAsia="华文中宋" w:cs="Times New Roman"/>
          <w:color w:val="auto"/>
          <w:lang w:eastAsia="zh-CN"/>
        </w:rPr>
        <w:t>61</w:t>
      </w:r>
      <w:r>
        <w:rPr>
          <w:rFonts w:hint="default" w:ascii="Times New Roman" w:hAnsi="Times New Roman" w:eastAsia="华文中宋" w:cs="Times New Roman"/>
          <w:color w:val="auto"/>
          <w:lang w:val="en-US" w:eastAsia="zh-CN"/>
        </w:rPr>
        <w:t>0</w:t>
      </w:r>
      <w:r>
        <w:rPr>
          <w:rFonts w:hint="default" w:ascii="Times New Roman" w:hAnsi="Times New Roman" w:eastAsia="华文中宋" w:cs="Times New Roman"/>
          <w:color w:val="auto"/>
          <w:lang w:eastAsia="zh-CN"/>
        </w:rPr>
        <w:t>-2016）中</w:t>
      </w:r>
      <w:r>
        <w:rPr>
          <w:rFonts w:hint="eastAsia" w:ascii="Times New Roman" w:hAnsi="Times New Roman" w:eastAsia="华文中宋" w:cs="Times New Roman"/>
          <w:color w:val="auto"/>
          <w:lang w:eastAsia="zh-CN"/>
        </w:rPr>
        <w:t>“</w:t>
      </w:r>
      <w:r>
        <w:rPr>
          <w:rFonts w:hint="eastAsia" w:ascii="Times New Roman" w:hAnsi="Times New Roman" w:eastAsia="华文中宋" w:cs="Times New Roman"/>
          <w:color w:val="auto"/>
          <w:lang w:val="en-US" w:eastAsia="zh-CN"/>
        </w:rPr>
        <w:t>11.2.2</w:t>
      </w:r>
      <w:r>
        <w:rPr>
          <w:rFonts w:hint="eastAsia" w:ascii="Times New Roman" w:hAnsi="Times New Roman" w:eastAsia="华文中宋" w:cs="Times New Roman"/>
          <w:color w:val="auto"/>
          <w:lang w:eastAsia="zh-CN"/>
        </w:rPr>
        <w:t>分区防控措施”</w:t>
      </w:r>
      <w:r>
        <w:rPr>
          <w:rFonts w:hint="default" w:ascii="Times New Roman" w:hAnsi="Times New Roman" w:eastAsia="华文中宋" w:cs="Times New Roman"/>
          <w:color w:val="auto"/>
          <w:lang w:eastAsia="zh-CN"/>
        </w:rPr>
        <w:t>，本项目分区防控方案如下：</w:t>
      </w:r>
    </w:p>
    <w:p w14:paraId="5F000EE5">
      <w:pPr>
        <w:pStyle w:val="24"/>
        <w:keepNext w:val="0"/>
        <w:keepLines w:val="0"/>
        <w:pageBreakBefore w:val="0"/>
        <w:widowControl w:val="0"/>
        <w:kinsoku/>
        <w:wordWrap w:val="0"/>
        <w:overflowPunct/>
        <w:topLinePunct w:val="0"/>
        <w:autoSpaceDE/>
        <w:autoSpaceDN/>
        <w:bidi w:val="0"/>
        <w:adjustRightInd w:val="0"/>
        <w:snapToGrid w:val="0"/>
        <w:jc w:val="left"/>
        <w:textAlignment w:val="baseline"/>
        <w:rPr>
          <w:rFonts w:hint="default" w:ascii="Times New Roman" w:hAnsi="Times New Roman" w:eastAsia="华文中宋" w:cs="Times New Roman"/>
          <w:color w:val="auto"/>
          <w:lang w:eastAsia="zh-CN"/>
        </w:rPr>
      </w:pPr>
      <w:r>
        <w:rPr>
          <w:rFonts w:hint="default" w:ascii="Times New Roman" w:hAnsi="Times New Roman" w:eastAsia="华文中宋" w:cs="Times New Roman"/>
          <w:color w:val="auto"/>
          <w:lang w:eastAsia="zh-CN"/>
        </w:rPr>
        <w:t>已颁布污染控制国家标准或防渗技术规范的行业，水平防渗技术要求按照相应标准或规范执行，如GB16889、GB18597、GB18598、GB18599、GB/T50934等。本项目危险废物暂存间防渗按照《危险废物贮存污染控制标准》</w:t>
      </w:r>
      <w:r>
        <w:rPr>
          <w:rFonts w:hint="eastAsia" w:ascii="Times New Roman" w:hAnsi="Times New Roman" w:cs="Times New Roman"/>
          <w:color w:val="auto"/>
          <w:lang w:eastAsia="zh-CN"/>
        </w:rPr>
        <w:t>（</w:t>
      </w:r>
      <w:r>
        <w:rPr>
          <w:rFonts w:hint="default" w:ascii="Times New Roman" w:hAnsi="Times New Roman" w:eastAsia="华文中宋" w:cs="Times New Roman"/>
          <w:color w:val="auto"/>
          <w:lang w:eastAsia="zh-CN"/>
        </w:rPr>
        <w:t>GB18597-20</w:t>
      </w:r>
      <w:r>
        <w:rPr>
          <w:rFonts w:hint="default" w:ascii="Times New Roman" w:hAnsi="Times New Roman" w:eastAsia="华文中宋" w:cs="Times New Roman"/>
          <w:color w:val="auto"/>
          <w:lang w:val="en-US" w:eastAsia="zh-CN"/>
        </w:rPr>
        <w:t>23</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eastAsia="zh-CN"/>
        </w:rPr>
        <w:t>6.</w:t>
      </w:r>
      <w:r>
        <w:rPr>
          <w:rFonts w:hint="default" w:ascii="Times New Roman" w:hAnsi="Times New Roman" w:eastAsia="华文中宋" w:cs="Times New Roman"/>
          <w:color w:val="auto"/>
          <w:lang w:val="en-US" w:eastAsia="zh-CN"/>
        </w:rPr>
        <w:t>1.4</w:t>
      </w:r>
      <w:r>
        <w:rPr>
          <w:rFonts w:hint="default" w:ascii="Times New Roman" w:hAnsi="Times New Roman" w:eastAsia="华文中宋" w:cs="Times New Roman"/>
          <w:color w:val="auto"/>
          <w:lang w:eastAsia="zh-CN"/>
        </w:rPr>
        <w:t>节：</w:t>
      </w:r>
      <w:r>
        <w:rPr>
          <w:rFonts w:hint="default" w:ascii="Times New Roman" w:hAnsi="Times New Roman" w:eastAsia="华文中宋" w:cs="Times New Roman"/>
          <w:color w:val="auto"/>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ascii="Times New Roman" w:hAnsi="Times New Roman" w:eastAsia="华文中宋" w:cs="Times New Roman"/>
          <w:color w:val="auto"/>
          <w:vertAlign w:val="superscript"/>
          <w:lang w:val="en-US" w:eastAsia="zh-CN"/>
        </w:rPr>
        <w:t>-</w:t>
      </w:r>
      <w:r>
        <w:rPr>
          <w:rFonts w:hint="default" w:ascii="Times New Roman" w:hAnsi="Times New Roman" w:eastAsia="华文中宋" w:cs="Times New Roman"/>
          <w:color w:val="auto"/>
          <w:vertAlign w:val="superscript"/>
        </w:rPr>
        <w:t>7</w:t>
      </w:r>
      <w:r>
        <w:rPr>
          <w:rFonts w:hint="default" w:ascii="Times New Roman" w:hAnsi="Times New Roman" w:eastAsia="华文中宋" w:cs="Times New Roman"/>
          <w:color w:val="auto"/>
        </w:rPr>
        <w:t>cm/s），</w:t>
      </w:r>
      <w:r>
        <w:rPr>
          <w:rFonts w:hint="default" w:ascii="Times New Roman" w:hAnsi="Times New Roman" w:eastAsia="华文中宋" w:cs="Times New Roman"/>
          <w:color w:val="auto"/>
          <w:lang w:eastAsia="zh-CN"/>
        </w:rPr>
        <w:t>或至少2mm厚高密度聚乙烯膜等人工防渗材料（渗透系数不大于10</w:t>
      </w:r>
      <w:r>
        <w:rPr>
          <w:rFonts w:hint="eastAsia" w:ascii="Times New Roman" w:hAnsi="Times New Roman" w:eastAsia="华文中宋" w:cs="Times New Roman"/>
          <w:color w:val="auto"/>
          <w:vertAlign w:val="superscript"/>
          <w:lang w:val="en-US" w:eastAsia="zh-CN"/>
        </w:rPr>
        <w:t>-</w:t>
      </w:r>
      <w:r>
        <w:rPr>
          <w:rFonts w:hint="default" w:ascii="Times New Roman" w:hAnsi="Times New Roman" w:eastAsia="华文中宋" w:cs="Times New Roman"/>
          <w:color w:val="auto"/>
          <w:vertAlign w:val="superscript"/>
          <w:lang w:eastAsia="zh-CN"/>
        </w:rPr>
        <w:t>10</w:t>
      </w:r>
      <w:r>
        <w:rPr>
          <w:rFonts w:hint="default" w:ascii="Times New Roman" w:hAnsi="Times New Roman" w:eastAsia="华文中宋" w:cs="Times New Roman"/>
          <w:color w:val="auto"/>
          <w:lang w:eastAsia="zh-CN"/>
        </w:rPr>
        <w:t>cm/s），或其他防渗性能等效的材料。本项目露天矿产生的剥离物为一般工业固体废物的Ⅰ类，其排土场防渗按照《一般工业固体废物贮存和填埋污染控制标准》</w:t>
      </w:r>
      <w:r>
        <w:rPr>
          <w:rFonts w:hint="eastAsia" w:ascii="Times New Roman" w:hAnsi="Times New Roman" w:cs="Times New Roman"/>
          <w:color w:val="auto"/>
          <w:lang w:eastAsia="zh-CN"/>
        </w:rPr>
        <w:t>（</w:t>
      </w:r>
      <w:r>
        <w:rPr>
          <w:rFonts w:hint="default" w:ascii="Times New Roman" w:hAnsi="Times New Roman" w:eastAsia="华文中宋" w:cs="Times New Roman"/>
          <w:color w:val="auto"/>
          <w:lang w:eastAsia="zh-CN"/>
        </w:rPr>
        <w:t>GB18599-2020</w:t>
      </w:r>
      <w:r>
        <w:rPr>
          <w:rFonts w:hint="eastAsia" w:ascii="Times New Roman" w:hAnsi="Times New Roman" w:cs="Times New Roman"/>
          <w:color w:val="auto"/>
          <w:lang w:eastAsia="zh-CN"/>
        </w:rPr>
        <w:t>）</w:t>
      </w:r>
      <w:r>
        <w:rPr>
          <w:rFonts w:hint="default" w:ascii="Times New Roman" w:hAnsi="Times New Roman" w:eastAsia="华文中宋" w:cs="Times New Roman"/>
          <w:color w:val="auto"/>
          <w:lang w:val="en-US" w:eastAsia="zh-CN"/>
        </w:rPr>
        <w:t>5</w:t>
      </w:r>
      <w:r>
        <w:rPr>
          <w:rFonts w:hint="default" w:ascii="Times New Roman" w:hAnsi="Times New Roman" w:eastAsia="华文中宋" w:cs="Times New Roman"/>
          <w:color w:val="auto"/>
          <w:lang w:eastAsia="zh-CN"/>
        </w:rPr>
        <w:t>.2节进行防渗。</w:t>
      </w:r>
    </w:p>
    <w:p w14:paraId="6C1FF940">
      <w:pPr>
        <w:pStyle w:val="24"/>
        <w:snapToGrid w:val="0"/>
        <w:jc w:val="left"/>
        <w:rPr>
          <w:rFonts w:hint="default" w:ascii="Times New Roman" w:hAnsi="Times New Roman" w:eastAsia="华文中宋" w:cs="Times New Roman"/>
          <w:color w:val="auto"/>
          <w:lang w:eastAsia="zh-CN"/>
        </w:rPr>
      </w:pPr>
      <w:r>
        <w:rPr>
          <w:rFonts w:hint="default" w:ascii="Times New Roman" w:hAnsi="Times New Roman" w:eastAsia="华文中宋" w:cs="Times New Roman"/>
          <w:color w:val="auto"/>
          <w:lang w:eastAsia="zh-CN"/>
        </w:rPr>
        <w:t>根据预测结果和场地包气带特征及其防污性能，提出防渗技术要求或根据建设项目场地天然包气带防污性能、污染控制难易程度和污染物特性，提出防渗技术要求。本次根据《环境影响评价技术导则地下水环境》</w:t>
      </w:r>
      <w:r>
        <w:rPr>
          <w:rFonts w:hint="eastAsia" w:ascii="Times New Roman" w:hAnsi="Times New Roman" w:cs="Times New Roman"/>
          <w:color w:val="auto"/>
          <w:lang w:eastAsia="zh-CN"/>
        </w:rPr>
        <w:t>（</w:t>
      </w:r>
      <w:r>
        <w:rPr>
          <w:rFonts w:hint="default" w:ascii="Times New Roman" w:hAnsi="Times New Roman" w:eastAsia="华文中宋" w:cs="Times New Roman"/>
          <w:color w:val="auto"/>
          <w:lang w:eastAsia="zh-CN"/>
        </w:rPr>
        <w:t>HJ 610-2016</w:t>
      </w:r>
      <w:r>
        <w:rPr>
          <w:rFonts w:hint="eastAsia" w:ascii="Times New Roman" w:hAnsi="Times New Roman" w:cs="Times New Roman"/>
          <w:color w:val="auto"/>
          <w:lang w:eastAsia="zh-CN"/>
        </w:rPr>
        <w:t>）</w:t>
      </w:r>
      <w:r>
        <w:rPr>
          <w:rFonts w:hint="default" w:ascii="Times New Roman" w:hAnsi="Times New Roman" w:eastAsia="华文中宋" w:cs="Times New Roman"/>
          <w:color w:val="auto"/>
          <w:lang w:eastAsia="zh-CN"/>
        </w:rPr>
        <w:t>中表5污染控制难易程度分级参照表、表6天然包气带防污性能分级参照表、表7地下水污染防渗分区参照表，提出防渗技术要求，防渗措施的设计使用年限不应低于本工程主体工程的设计使用年限。</w:t>
      </w:r>
    </w:p>
    <w:p w14:paraId="072C57AE">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eastAsia="zh-CN"/>
        </w:rPr>
        <w:t>本项目主要水污染源是生活污水，主要污染物是悬浮物、石油类、</w:t>
      </w:r>
      <w:r>
        <w:rPr>
          <w:rFonts w:hint="default" w:ascii="Times New Roman" w:hAnsi="Times New Roman" w:eastAsia="华文中宋" w:cs="Times New Roman"/>
          <w:color w:val="auto"/>
          <w:lang w:val="en-US" w:eastAsia="zh-CN"/>
        </w:rPr>
        <w:t>COD类等非持久性污染物等，物料或污染物泄漏后，不易及时发现和处理，故将本工程区域划分重点防渗区、一般防渗区和简单防渗区</w:t>
      </w:r>
      <w:r>
        <w:rPr>
          <w:rFonts w:hint="eastAsia" w:ascii="Times New Roman" w:hAnsi="Times New Roman" w:cs="Times New Roman"/>
          <w:color w:val="auto"/>
          <w:lang w:val="en-US" w:eastAsia="zh-CN"/>
        </w:rPr>
        <w:t>，项目分区防渗图见附图</w:t>
      </w:r>
      <w:r>
        <w:rPr>
          <w:rFonts w:hint="default" w:ascii="Times New Roman" w:hAnsi="Times New Roman" w:eastAsia="华文中宋" w:cs="Times New Roman"/>
          <w:color w:val="auto"/>
          <w:lang w:val="en-US" w:eastAsia="zh-CN"/>
        </w:rPr>
        <w:t>。</w:t>
      </w:r>
    </w:p>
    <w:p w14:paraId="518F1BC4">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eastAsia="zh-CN"/>
        </w:rPr>
        <w:t>①</w:t>
      </w:r>
      <w:r>
        <w:rPr>
          <w:rFonts w:hint="default" w:ascii="Times New Roman" w:hAnsi="Times New Roman" w:eastAsia="华文中宋" w:cs="Times New Roman"/>
          <w:color w:val="auto"/>
          <w:lang w:val="en-US" w:eastAsia="zh-CN"/>
        </w:rPr>
        <w:t>重点防渗区</w:t>
      </w:r>
    </w:p>
    <w:p w14:paraId="37497E68">
      <w:pPr>
        <w:pStyle w:val="24"/>
        <w:keepNext w:val="0"/>
        <w:keepLines w:val="0"/>
        <w:pageBreakBefore w:val="0"/>
        <w:widowControl w:val="0"/>
        <w:kinsoku/>
        <w:wordWrap w:val="0"/>
        <w:overflowPunct/>
        <w:topLinePunct w:val="0"/>
        <w:autoSpaceDE/>
        <w:autoSpaceDN/>
        <w:bidi w:val="0"/>
        <w:adjustRightInd w:val="0"/>
        <w:snapToGrid w:val="0"/>
        <w:jc w:val="left"/>
        <w:textAlignment w:val="baseline"/>
        <w:rPr>
          <w:rFonts w:hint="eastAsia" w:ascii="Times New Roman" w:hAnsi="Times New Roman" w:eastAsia="华文中宋" w:cs="Times New Roman"/>
          <w:color w:val="auto"/>
          <w:highlight w:val="none"/>
          <w:lang w:val="en-US" w:eastAsia="zh-CN"/>
        </w:rPr>
      </w:pPr>
      <w:r>
        <w:rPr>
          <w:rFonts w:hint="default" w:ascii="Times New Roman" w:hAnsi="Times New Roman" w:eastAsia="华文中宋" w:cs="Times New Roman"/>
          <w:color w:val="auto"/>
        </w:rPr>
        <w:t>项目</w:t>
      </w:r>
      <w:r>
        <w:rPr>
          <w:rFonts w:hint="default" w:ascii="Times New Roman" w:hAnsi="Times New Roman" w:eastAsia="华文中宋" w:cs="Times New Roman"/>
          <w:color w:val="auto"/>
          <w:lang w:eastAsia="zh-CN"/>
        </w:rPr>
        <w:t>危废暂存</w:t>
      </w:r>
      <w:r>
        <w:rPr>
          <w:rFonts w:hint="eastAsia" w:ascii="Times New Roman" w:hAnsi="Times New Roman" w:cs="Times New Roman"/>
          <w:color w:val="auto"/>
          <w:lang w:val="en-US" w:eastAsia="zh-CN"/>
        </w:rPr>
        <w:t>间、柴油储罐区</w:t>
      </w:r>
      <w:r>
        <w:rPr>
          <w:rFonts w:hint="default" w:ascii="Times New Roman" w:hAnsi="Times New Roman" w:eastAsia="华文中宋" w:cs="Times New Roman"/>
          <w:color w:val="auto"/>
        </w:rPr>
        <w:t>设为重点防渗区</w:t>
      </w:r>
      <w:r>
        <w:rPr>
          <w:rFonts w:hint="default" w:ascii="Times New Roman" w:hAnsi="Times New Roman" w:eastAsia="华文中宋" w:cs="Times New Roman"/>
          <w:color w:val="auto"/>
          <w:lang w:eastAsia="zh-CN"/>
        </w:rPr>
        <w:t>，</w:t>
      </w:r>
      <w:r>
        <w:rPr>
          <w:rFonts w:hint="default" w:ascii="Times New Roman" w:hAnsi="Times New Roman" w:eastAsia="华文中宋" w:cs="Times New Roman"/>
          <w:color w:val="auto"/>
          <w:lang w:val="en-US" w:eastAsia="zh-CN"/>
        </w:rPr>
        <w:t>危废贮存间地面应进行防渗处理，贮存的危险废物直接接触地面的，还应进行基础防渗，防渗层为至少1m厚黏土层</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渗透系数不大于10</w:t>
      </w:r>
      <w:r>
        <w:rPr>
          <w:rFonts w:hint="eastAsia" w:ascii="Times New Roman" w:hAnsi="Times New Roman" w:cs="Times New Roman"/>
          <w:color w:val="auto"/>
          <w:vertAlign w:val="superscript"/>
          <w:lang w:val="en-US" w:eastAsia="zh-CN"/>
        </w:rPr>
        <w:t>-7</w:t>
      </w:r>
      <w:r>
        <w:rPr>
          <w:rFonts w:hint="default" w:ascii="Times New Roman" w:hAnsi="Times New Roman" w:eastAsia="华文中宋" w:cs="Times New Roman"/>
          <w:color w:val="auto"/>
          <w:lang w:val="en-US" w:eastAsia="zh-CN"/>
        </w:rPr>
        <w:t>cms</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，或至少2mm厚高密度聚乙烯膜等人工防渗材料</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渗透系数不大于10</w:t>
      </w:r>
      <w:r>
        <w:rPr>
          <w:rFonts w:hint="eastAsia" w:ascii="Times New Roman" w:hAnsi="Times New Roman" w:cs="Times New Roman"/>
          <w:color w:val="auto"/>
          <w:vertAlign w:val="superscript"/>
          <w:lang w:val="en-US" w:eastAsia="zh-CN"/>
        </w:rPr>
        <w:t>-10</w:t>
      </w:r>
      <w:r>
        <w:rPr>
          <w:rFonts w:hint="default" w:ascii="Times New Roman" w:hAnsi="Times New Roman" w:eastAsia="华文中宋" w:cs="Times New Roman"/>
          <w:color w:val="auto"/>
          <w:lang w:val="en-US" w:eastAsia="zh-CN"/>
        </w:rPr>
        <w:t>cm/s</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，或其他防渗性能等效的材料。</w:t>
      </w:r>
      <w:r>
        <w:rPr>
          <w:rFonts w:hint="eastAsia" w:ascii="Times New Roman" w:hAnsi="Times New Roman" w:eastAsia="华文中宋" w:cs="Times New Roman"/>
          <w:color w:val="auto"/>
          <w:highlight w:val="none"/>
          <w:lang w:val="en-US" w:eastAsia="zh-CN"/>
        </w:rPr>
        <w:t>柴油储</w:t>
      </w:r>
      <w:r>
        <w:rPr>
          <w:rFonts w:hint="default" w:ascii="Times New Roman" w:hAnsi="Times New Roman" w:eastAsia="华文中宋" w:cs="Times New Roman"/>
          <w:color w:val="auto"/>
          <w:highlight w:val="none"/>
          <w:lang w:eastAsia="zh-CN"/>
        </w:rPr>
        <w:t>罐采用双层罐，油罐采用地埋方式储存于储油室外，油罐外壁采用环氧沥青加强级防腐</w:t>
      </w:r>
      <w:r>
        <w:rPr>
          <w:rFonts w:hint="eastAsia" w:ascii="Times New Roman" w:hAnsi="Times New Roman" w:eastAsia="华文中宋" w:cs="Times New Roman"/>
          <w:color w:val="auto"/>
          <w:highlight w:val="none"/>
          <w:lang w:eastAsia="zh-CN"/>
        </w:rPr>
        <w:t>。</w:t>
      </w:r>
    </w:p>
    <w:p w14:paraId="3865B4F8">
      <w:pPr>
        <w:pStyle w:val="24"/>
        <w:keepNext w:val="0"/>
        <w:keepLines w:val="0"/>
        <w:pageBreakBefore w:val="0"/>
        <w:widowControl w:val="0"/>
        <w:kinsoku/>
        <w:wordWrap w:val="0"/>
        <w:overflowPunct/>
        <w:topLinePunct w:val="0"/>
        <w:autoSpaceDE/>
        <w:autoSpaceDN/>
        <w:bidi w:val="0"/>
        <w:adjustRightInd w:val="0"/>
        <w:snapToGrid w:val="0"/>
        <w:jc w:val="left"/>
        <w:textAlignment w:val="baseline"/>
        <w:rPr>
          <w:rFonts w:hint="default" w:ascii="Times New Roman" w:hAnsi="Times New Roman" w:eastAsia="华文中宋" w:cs="Times New Roman"/>
          <w:color w:val="auto"/>
          <w:highlight w:val="none"/>
          <w:lang w:val="en-US" w:eastAsia="zh-CN"/>
        </w:rPr>
      </w:pPr>
      <w:r>
        <w:rPr>
          <w:rFonts w:hint="default" w:ascii="Times New Roman" w:hAnsi="Times New Roman" w:eastAsia="华文中宋" w:cs="Times New Roman"/>
          <w:color w:val="auto"/>
          <w:highlight w:val="none"/>
          <w:lang w:val="en-US" w:eastAsia="zh-CN"/>
        </w:rPr>
        <w:t>②</w:t>
      </w:r>
      <w:r>
        <w:rPr>
          <w:rFonts w:hint="default" w:ascii="Times New Roman" w:hAnsi="Times New Roman" w:eastAsia="华文中宋" w:cs="Times New Roman"/>
          <w:color w:val="auto"/>
          <w:highlight w:val="none"/>
          <w:lang w:eastAsia="zh-CN"/>
        </w:rPr>
        <w:t>一</w:t>
      </w:r>
      <w:r>
        <w:rPr>
          <w:rFonts w:hint="default" w:ascii="Times New Roman" w:hAnsi="Times New Roman" w:eastAsia="华文中宋" w:cs="Times New Roman"/>
          <w:color w:val="auto"/>
          <w:highlight w:val="none"/>
          <w:lang w:val="en-US" w:eastAsia="zh-CN"/>
        </w:rPr>
        <w:t>般防渗区</w:t>
      </w:r>
    </w:p>
    <w:p w14:paraId="411D5C06">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一般防渗区是指裸露地面的生产功能单元，污染地下水环境的物料泄漏容易及时发现和处理的区域。</w:t>
      </w:r>
      <w:r>
        <w:rPr>
          <w:rFonts w:hint="eastAsia" w:ascii="Times New Roman" w:hAnsi="Times New Roman" w:cs="Times New Roman"/>
          <w:color w:val="auto"/>
          <w:lang w:val="en-US" w:eastAsia="zh-CN"/>
        </w:rPr>
        <w:t>项目废石堆放场</w:t>
      </w:r>
      <w:r>
        <w:rPr>
          <w:rFonts w:hint="default" w:ascii="Times New Roman" w:hAnsi="Times New Roman" w:cs="Times New Roman"/>
          <w:color w:val="auto"/>
          <w:lang w:val="en-US" w:eastAsia="zh-CN"/>
        </w:rPr>
        <w:t>根据《一般工业固体废物贮存和填埋污染控制标准》（GB18599-2020）5.2中Ⅰ类场技术要求：当天然基础层饱和渗透系数不大于1.0×10</w:t>
      </w:r>
      <w:r>
        <w:rPr>
          <w:rFonts w:hint="eastAsia" w:ascii="Times New Roman" w:hAnsi="Times New Roman" w:cs="Times New Roman"/>
          <w:color w:val="auto"/>
          <w:vertAlign w:val="superscript"/>
          <w:lang w:val="en-US" w:eastAsia="zh-CN"/>
        </w:rPr>
        <w:t>-</w:t>
      </w:r>
      <w:r>
        <w:rPr>
          <w:rFonts w:hint="default" w:ascii="Times New Roman" w:hAnsi="Times New Roman" w:cs="Times New Roman"/>
          <w:color w:val="auto"/>
          <w:vertAlign w:val="superscript"/>
          <w:lang w:val="en-US" w:eastAsia="zh-CN"/>
        </w:rPr>
        <w:t>5</w:t>
      </w:r>
      <w:r>
        <w:rPr>
          <w:rFonts w:hint="default" w:ascii="Times New Roman" w:hAnsi="Times New Roman" w:cs="Times New Roman"/>
          <w:color w:val="auto"/>
          <w:lang w:val="en-US" w:eastAsia="zh-CN"/>
        </w:rPr>
        <w:t>cm/s，且厚度不小于0.</w:t>
      </w:r>
      <w:r>
        <w:rPr>
          <w:rFonts w:hint="default" w:ascii="Times New Roman" w:hAnsi="Times New Roman" w:cs="Times New Roman"/>
          <w:color w:val="auto"/>
          <w:highlight w:val="none"/>
          <w:lang w:val="en-US" w:eastAsia="zh-CN"/>
        </w:rPr>
        <w:t>75m时，可以采用天然基础层作为防渗衬层。本项目所在区域岩土层厚度大于1m</w:t>
      </w:r>
      <w:r>
        <w:rPr>
          <w:rFonts w:hint="eastAsia" w:ascii="Times New Roman" w:hAnsi="Times New Roman" w:cs="Times New Roman"/>
          <w:color w:val="auto"/>
          <w:highlight w:val="none"/>
          <w:lang w:val="en-US" w:eastAsia="zh-CN"/>
        </w:rPr>
        <w:t>但</w:t>
      </w:r>
      <w:r>
        <w:rPr>
          <w:rFonts w:hint="default" w:ascii="Times New Roman" w:hAnsi="Times New Roman" w:cs="Times New Roman"/>
          <w:color w:val="auto"/>
          <w:highlight w:val="none"/>
          <w:lang w:val="en-US" w:eastAsia="zh-CN"/>
        </w:rPr>
        <w:t>渗透系数</w:t>
      </w:r>
      <w:r>
        <w:rPr>
          <w:rFonts w:hint="eastAsia" w:ascii="Times New Roman" w:hAnsi="Times New Roman" w:cs="Times New Roman"/>
          <w:color w:val="auto"/>
          <w:highlight w:val="none"/>
          <w:lang w:val="en-US" w:eastAsia="zh-CN"/>
        </w:rPr>
        <w:t>大于</w:t>
      </w:r>
      <w:r>
        <w:rPr>
          <w:rFonts w:hint="default" w:ascii="Times New Roman" w:hAnsi="Times New Roman" w:cs="Times New Roman"/>
          <w:color w:val="auto"/>
          <w:highlight w:val="none"/>
          <w:lang w:val="en-US" w:eastAsia="zh-CN"/>
        </w:rPr>
        <w:t>1.0×10</w:t>
      </w:r>
      <w:r>
        <w:rPr>
          <w:rFonts w:hint="eastAsia" w:ascii="Times New Roman" w:hAnsi="Times New Roman" w:cs="Times New Roman"/>
          <w:color w:val="auto"/>
          <w:highlight w:val="none"/>
          <w:vertAlign w:val="superscript"/>
          <w:lang w:val="en-US" w:eastAsia="zh-CN"/>
        </w:rPr>
        <w:t>-5</w:t>
      </w:r>
      <w:r>
        <w:rPr>
          <w:rFonts w:hint="default" w:ascii="Times New Roman" w:hAnsi="Times New Roman" w:cs="Times New Roman"/>
          <w:color w:val="auto"/>
          <w:highlight w:val="none"/>
          <w:lang w:val="en-US" w:eastAsia="zh-CN"/>
        </w:rPr>
        <w:t>cm/s，</w:t>
      </w:r>
      <w:r>
        <w:rPr>
          <w:rFonts w:hint="eastAsia" w:ascii="Times New Roman" w:hAnsi="Times New Roman" w:cs="Times New Roman"/>
          <w:color w:val="auto"/>
          <w:highlight w:val="none"/>
          <w:lang w:val="en-US" w:eastAsia="zh-CN"/>
        </w:rPr>
        <w:t>需对项目废石堆放场</w:t>
      </w:r>
      <w:r>
        <w:rPr>
          <w:rFonts w:hint="default" w:ascii="Times New Roman" w:hAnsi="Times New Roman" w:eastAsia="华文中宋" w:cs="Times New Roman"/>
          <w:color w:val="auto"/>
          <w:lang w:val="en-US" w:eastAsia="zh-CN"/>
        </w:rPr>
        <w:t>可采用改性压实粘土类衬层或具有同等以上隔水效力的其他材料防渗衬层，其防渗性能应至少相当于渗透系数为1.0×10</w:t>
      </w:r>
      <w:r>
        <w:rPr>
          <w:rFonts w:hint="eastAsia" w:ascii="Times New Roman" w:hAnsi="Times New Roman" w:eastAsia="华文中宋" w:cs="Times New Roman"/>
          <w:color w:val="auto"/>
          <w:vertAlign w:val="superscript"/>
          <w:lang w:val="en-US" w:eastAsia="zh-CN"/>
        </w:rPr>
        <w:t>-</w:t>
      </w:r>
      <w:r>
        <w:rPr>
          <w:rFonts w:hint="default" w:ascii="Times New Roman" w:hAnsi="Times New Roman" w:eastAsia="华文中宋" w:cs="Times New Roman"/>
          <w:color w:val="auto"/>
          <w:vertAlign w:val="superscript"/>
          <w:lang w:val="en-US" w:eastAsia="zh-CN"/>
        </w:rPr>
        <w:t>5</w:t>
      </w:r>
      <w:r>
        <w:rPr>
          <w:rFonts w:hint="default" w:ascii="Times New Roman" w:hAnsi="Times New Roman" w:eastAsia="华文中宋" w:cs="Times New Roman"/>
          <w:color w:val="auto"/>
          <w:lang w:val="en-US" w:eastAsia="zh-CN"/>
        </w:rPr>
        <w:t>cm/s且厚度为0.75m的天然基础层。</w:t>
      </w:r>
    </w:p>
    <w:p w14:paraId="114AB39C">
      <w:pPr>
        <w:pStyle w:val="24"/>
        <w:snapToGrid w:val="0"/>
        <w:jc w:val="left"/>
        <w:rPr>
          <w:rFonts w:hint="eastAsia" w:ascii="Times New Roman" w:hAnsi="Times New Roman" w:cs="Times New Roman"/>
          <w:color w:val="auto"/>
          <w:lang w:val="en-US" w:eastAsia="zh-CN"/>
        </w:rPr>
      </w:pPr>
      <w:r>
        <w:rPr>
          <w:rFonts w:hint="default" w:ascii="Times New Roman" w:hAnsi="Times New Roman" w:eastAsia="华文中宋" w:cs="Times New Roman"/>
          <w:color w:val="auto"/>
          <w:lang w:val="en-US" w:eastAsia="zh-CN"/>
        </w:rPr>
        <w:t>生活污水处理设施、矿坑水处理设施、</w:t>
      </w:r>
      <w:r>
        <w:rPr>
          <w:rFonts w:hint="eastAsia" w:ascii="Times New Roman" w:hAnsi="Times New Roman" w:cs="Times New Roman"/>
          <w:color w:val="auto"/>
          <w:lang w:val="en-US" w:eastAsia="zh-CN"/>
        </w:rPr>
        <w:t>表土堆放场、矿石转运场、</w:t>
      </w:r>
      <w:r>
        <w:rPr>
          <w:rFonts w:hint="default" w:ascii="Times New Roman" w:hAnsi="Times New Roman" w:eastAsia="华文中宋" w:cs="Times New Roman"/>
          <w:color w:val="auto"/>
          <w:lang w:val="en-US" w:eastAsia="zh-CN"/>
        </w:rPr>
        <w:t>储水池等</w:t>
      </w:r>
      <w:r>
        <w:rPr>
          <w:rFonts w:hint="eastAsia" w:ascii="Times New Roman" w:hAnsi="Times New Roman" w:cs="Times New Roman"/>
          <w:color w:val="auto"/>
          <w:lang w:val="en-US" w:eastAsia="zh-CN"/>
        </w:rPr>
        <w:t>，根据</w:t>
      </w:r>
      <w:r>
        <w:rPr>
          <w:rFonts w:hint="default" w:ascii="Times New Roman" w:hAnsi="Times New Roman" w:eastAsia="华文中宋" w:cs="Times New Roman"/>
          <w:color w:val="auto"/>
          <w:lang w:val="en-US" w:eastAsia="zh-CN"/>
        </w:rPr>
        <w:t>《环境影响评价技术导则 地下水环境》（HJ610-2016）中相关规定进行防渗，一般防渗区防渗技术要求：等效黏土防渗层 Mb≥1.5m，K≤1×10 -7cm/s；或参照GB18599 标准中第 6.2.1 要求执行。本工程一般污染防治区主要包括可能产生废水及污染物泄漏的场地</w:t>
      </w:r>
      <w:r>
        <w:rPr>
          <w:rFonts w:hint="eastAsia" w:ascii="Times New Roman" w:hAnsi="Times New Roman" w:cs="Times New Roman"/>
          <w:color w:val="auto"/>
          <w:lang w:val="en-US" w:eastAsia="zh-CN"/>
        </w:rPr>
        <w:t>。</w:t>
      </w:r>
    </w:p>
    <w:p w14:paraId="49E31C66">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③简单防渗区</w:t>
      </w:r>
    </w:p>
    <w:p w14:paraId="3CB01F84">
      <w:pPr>
        <w:pStyle w:val="24"/>
        <w:keepNext w:val="0"/>
        <w:keepLines w:val="0"/>
        <w:pageBreakBefore w:val="0"/>
        <w:widowControl w:val="0"/>
        <w:kinsoku/>
        <w:wordWrap w:val="0"/>
        <w:overflowPunct/>
        <w:topLinePunct w:val="0"/>
        <w:autoSpaceDE/>
        <w:autoSpaceDN/>
        <w:bidi w:val="0"/>
        <w:adjustRightInd w:val="0"/>
        <w:snapToGrid w:val="0"/>
        <w:jc w:val="left"/>
        <w:textAlignment w:val="baseline"/>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不会对地下水环境造成污染的区域，主要包括生活宿舍、办公室、厂区道路等区域，不采取专门针对地下水污染的防治措施，进行简单的地面硬化即可。</w:t>
      </w:r>
    </w:p>
    <w:p w14:paraId="24AE1D16">
      <w:pPr>
        <w:pStyle w:val="24"/>
        <w:keepNext w:val="0"/>
        <w:keepLines w:val="0"/>
        <w:pageBreakBefore w:val="0"/>
        <w:widowControl w:val="0"/>
        <w:kinsoku/>
        <w:wordWrap w:val="0"/>
        <w:overflowPunct/>
        <w:topLinePunct w:val="0"/>
        <w:autoSpaceDE/>
        <w:autoSpaceDN/>
        <w:bidi w:val="0"/>
        <w:adjustRightInd w:val="0"/>
        <w:snapToGrid w:val="0"/>
        <w:jc w:val="left"/>
        <w:textAlignment w:val="baseline"/>
        <w:rPr>
          <w:rFonts w:hint="eastAsia"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（3）</w:t>
      </w:r>
      <w:r>
        <w:rPr>
          <w:rFonts w:hint="eastAsia" w:ascii="Times New Roman" w:hAnsi="Times New Roman" w:eastAsia="华文中宋" w:cs="Times New Roman"/>
          <w:color w:val="auto"/>
          <w:lang w:val="en-US" w:eastAsia="zh-CN"/>
        </w:rPr>
        <w:t>污染监控</w:t>
      </w:r>
    </w:p>
    <w:p w14:paraId="194E241B">
      <w:pPr>
        <w:pStyle w:val="24"/>
        <w:keepNext w:val="0"/>
        <w:keepLines w:val="0"/>
        <w:pageBreakBefore w:val="0"/>
        <w:widowControl w:val="0"/>
        <w:kinsoku/>
        <w:wordWrap w:val="0"/>
        <w:overflowPunct/>
        <w:topLinePunct w:val="0"/>
        <w:autoSpaceDE/>
        <w:autoSpaceDN/>
        <w:bidi w:val="0"/>
        <w:adjustRightInd w:val="0"/>
        <w:snapToGrid w:val="0"/>
        <w:jc w:val="left"/>
        <w:textAlignment w:val="baseline"/>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项目应根据运营期间自行监测要求进行监测，</w:t>
      </w:r>
      <w:r>
        <w:rPr>
          <w:rFonts w:hint="default" w:ascii="Times New Roman" w:hAnsi="Times New Roman" w:eastAsia="华文中宋" w:cs="Times New Roman"/>
          <w:color w:val="auto"/>
          <w:lang w:val="en-US" w:eastAsia="zh-CN"/>
        </w:rPr>
        <w:t>对于常规监测数据应该进行公开。如发现异常或发生事故，加密监测频次，并分析污染原因，确定泄漏污染源，及时采取应急措施。为保证地下水监测工作</w:t>
      </w:r>
      <w:r>
        <w:rPr>
          <w:rFonts w:hint="eastAsia" w:ascii="Times New Roman" w:hAnsi="Times New Roman" w:cs="Times New Roman"/>
          <w:color w:val="auto"/>
          <w:lang w:val="en-US" w:eastAsia="zh-CN"/>
        </w:rPr>
        <w:t>高效</w:t>
      </w:r>
      <w:r>
        <w:rPr>
          <w:rFonts w:hint="default" w:ascii="Times New Roman" w:hAnsi="Times New Roman" w:eastAsia="华文中宋" w:cs="Times New Roman"/>
          <w:color w:val="auto"/>
          <w:lang w:val="en-US" w:eastAsia="zh-CN"/>
        </w:rPr>
        <w:t>有序运行，须明确职责、制定相关规定进行管理；具体管理措施如下：</w:t>
      </w:r>
    </w:p>
    <w:p w14:paraId="70AB2091">
      <w:pPr>
        <w:pStyle w:val="24"/>
        <w:keepNext w:val="0"/>
        <w:keepLines w:val="0"/>
        <w:pageBreakBefore w:val="0"/>
        <w:widowControl w:val="0"/>
        <w:kinsoku/>
        <w:wordWrap w:val="0"/>
        <w:overflowPunct/>
        <w:topLinePunct w:val="0"/>
        <w:autoSpaceDE/>
        <w:autoSpaceDN/>
        <w:bidi w:val="0"/>
        <w:adjustRightInd w:val="0"/>
        <w:snapToGrid w:val="0"/>
        <w:jc w:val="left"/>
        <w:textAlignment w:val="baseline"/>
        <w:rPr>
          <w:rFonts w:hint="default" w:ascii="Times New Roman" w:hAnsi="Times New Roman" w:eastAsia="华文中宋" w:cs="Times New Roman"/>
          <w:color w:val="auto"/>
          <w:lang w:val="en-US" w:eastAsia="zh-CN"/>
        </w:rPr>
      </w:pPr>
      <w:bookmarkStart w:id="244" w:name="_Toc245882770"/>
      <w:r>
        <w:rPr>
          <w:rFonts w:hint="default" w:ascii="Times New Roman" w:hAnsi="Times New Roman" w:eastAsia="华文中宋" w:cs="Times New Roman"/>
          <w:color w:val="auto"/>
          <w:lang w:val="en-US" w:eastAsia="zh-CN"/>
        </w:rPr>
        <w:t>①预防地下水污染的管理工作是</w:t>
      </w:r>
      <w:r>
        <w:rPr>
          <w:rFonts w:hint="eastAsia" w:ascii="Times New Roman" w:hAnsi="Times New Roman" w:cs="Times New Roman"/>
          <w:color w:val="auto"/>
          <w:lang w:val="en-US" w:eastAsia="zh-CN"/>
        </w:rPr>
        <w:t>民丰县万水源矿业有限责任公司</w:t>
      </w:r>
      <w:r>
        <w:rPr>
          <w:rFonts w:hint="default" w:ascii="Times New Roman" w:hAnsi="Times New Roman" w:eastAsia="华文中宋" w:cs="Times New Roman"/>
          <w:color w:val="auto"/>
          <w:lang w:val="en-US" w:eastAsia="zh-CN"/>
        </w:rPr>
        <w:t>的职责之一，</w:t>
      </w:r>
      <w:r>
        <w:rPr>
          <w:rFonts w:hint="eastAsia" w:ascii="Times New Roman" w:hAnsi="Times New Roman" w:cs="Times New Roman"/>
          <w:color w:val="auto"/>
          <w:lang w:val="en-US" w:eastAsia="zh-CN"/>
        </w:rPr>
        <w:t>民丰县万水源矿业有限责任公司</w:t>
      </w:r>
      <w:r>
        <w:rPr>
          <w:rFonts w:hint="default" w:ascii="Times New Roman" w:hAnsi="Times New Roman" w:eastAsia="华文中宋" w:cs="Times New Roman"/>
          <w:color w:val="auto"/>
          <w:lang w:val="en-US" w:eastAsia="zh-CN"/>
        </w:rPr>
        <w:t>应指派专人负责预防地下水污染的管理工作</w:t>
      </w:r>
      <w:r>
        <w:rPr>
          <w:rFonts w:hint="eastAsia" w:ascii="Times New Roman" w:hAnsi="Times New Roman" w:cs="Times New Roman"/>
          <w:color w:val="auto"/>
          <w:lang w:val="en-US" w:eastAsia="zh-CN"/>
        </w:rPr>
        <w:t>；</w:t>
      </w:r>
    </w:p>
    <w:p w14:paraId="7C1D6226">
      <w:pPr>
        <w:pStyle w:val="24"/>
        <w:keepNext w:val="0"/>
        <w:keepLines w:val="0"/>
        <w:pageBreakBefore w:val="0"/>
        <w:widowControl w:val="0"/>
        <w:kinsoku/>
        <w:wordWrap w:val="0"/>
        <w:overflowPunct/>
        <w:topLinePunct w:val="0"/>
        <w:autoSpaceDE/>
        <w:autoSpaceDN/>
        <w:bidi w:val="0"/>
        <w:adjustRightInd w:val="0"/>
        <w:snapToGrid w:val="0"/>
        <w:jc w:val="left"/>
        <w:textAlignment w:val="baseline"/>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②</w:t>
      </w:r>
      <w:r>
        <w:rPr>
          <w:rFonts w:hint="eastAsia" w:ascii="Times New Roman" w:hAnsi="Times New Roman" w:cs="Times New Roman"/>
          <w:color w:val="auto"/>
          <w:lang w:val="en-US" w:eastAsia="zh-CN"/>
        </w:rPr>
        <w:t>民丰县万水源矿业有限责任公司</w:t>
      </w:r>
      <w:r>
        <w:rPr>
          <w:rFonts w:hint="default" w:ascii="Times New Roman" w:hAnsi="Times New Roman" w:eastAsia="华文中宋" w:cs="Times New Roman"/>
          <w:color w:val="auto"/>
          <w:lang w:val="en-US" w:eastAsia="zh-CN"/>
        </w:rPr>
        <w:t>应委托具有监测资质的单位按时、按质、按量完成地下水监测工作，并按要求分析整理原始资料、编写监测报告；在日常例行监测中，一旦发现监测数据异常，应尽快核查数据，加大监测密度，确保数据的正确性，由专人负责对数据进行分析、核实，分析变化动向，并密切关注生产设施的运行情况。具体内容如下：了解站场生产是否出现异常情况，出现异常情况的装置、原因；</w:t>
      </w:r>
    </w:p>
    <w:p w14:paraId="72F4469A">
      <w:pPr>
        <w:pStyle w:val="24"/>
        <w:keepNext w:val="0"/>
        <w:keepLines w:val="0"/>
        <w:pageBreakBefore w:val="0"/>
        <w:widowControl w:val="0"/>
        <w:kinsoku/>
        <w:wordWrap w:val="0"/>
        <w:overflowPunct/>
        <w:topLinePunct w:val="0"/>
        <w:autoSpaceDE/>
        <w:autoSpaceDN/>
        <w:bidi w:val="0"/>
        <w:adjustRightInd w:val="0"/>
        <w:snapToGrid w:val="0"/>
        <w:jc w:val="left"/>
        <w:textAlignment w:val="baseline"/>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③按突发事故的性质、类型、影响范围、后果严重性分等级制订相应的应急预案，在制定预案时要根据环境污染事故潜在威胁的情况，认真细致地考虑各项影响因素，并组织有关部门、人员进行适时演练、不断补充完善预案内容。</w:t>
      </w:r>
    </w:p>
    <w:p w14:paraId="1E2E0F05">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（4）应急响应</w:t>
      </w:r>
    </w:p>
    <w:p w14:paraId="52991E57">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制定风险事故应急预案，以在发生风险事故时，能以最快的速度发挥最大的效能，有序地实施救援，尽快控制事态的发展，降低事故对地下水的污染。</w:t>
      </w:r>
    </w:p>
    <w:p w14:paraId="1076DF95">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1）在制定应急预案的基础上，对相关人员进行培训，使其掌握必要的应急处置</w:t>
      </w:r>
      <w:r>
        <w:rPr>
          <w:rFonts w:hint="eastAsia" w:ascii="Times New Roman" w:hAnsi="Times New Roman" w:cs="Times New Roman"/>
          <w:color w:val="auto"/>
          <w:lang w:val="en-US" w:eastAsia="zh-CN"/>
        </w:rPr>
        <w:t>技能</w:t>
      </w:r>
      <w:r>
        <w:rPr>
          <w:rFonts w:hint="default" w:ascii="Times New Roman" w:hAnsi="Times New Roman" w:eastAsia="华文中宋" w:cs="Times New Roman"/>
          <w:color w:val="auto"/>
          <w:lang w:val="en-US" w:eastAsia="zh-CN"/>
        </w:rPr>
        <w:t>。</w:t>
      </w:r>
    </w:p>
    <w:p w14:paraId="13D00885">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2）设置事故报警装置和快速监测设备。</w:t>
      </w:r>
    </w:p>
    <w:p w14:paraId="2AB49B27">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3）设置</w:t>
      </w:r>
      <w:r>
        <w:rPr>
          <w:rFonts w:hint="eastAsia" w:ascii="Times New Roman" w:hAnsi="Times New Roman" w:cs="Times New Roman"/>
          <w:color w:val="auto"/>
          <w:lang w:val="en-US" w:eastAsia="zh-CN"/>
        </w:rPr>
        <w:t>泄漏</w:t>
      </w:r>
      <w:r>
        <w:rPr>
          <w:rFonts w:hint="default" w:ascii="Times New Roman" w:hAnsi="Times New Roman" w:eastAsia="华文中宋" w:cs="Times New Roman"/>
          <w:color w:val="auto"/>
          <w:lang w:val="en-US" w:eastAsia="zh-CN"/>
        </w:rPr>
        <w:t>应急池等应急预留场所；必要时，设置</w:t>
      </w:r>
      <w:r>
        <w:rPr>
          <w:rFonts w:hint="eastAsia" w:ascii="Times New Roman" w:hAnsi="Times New Roman" w:cs="Times New Roman"/>
          <w:color w:val="auto"/>
          <w:lang w:val="en-US" w:eastAsia="zh-CN"/>
        </w:rPr>
        <w:t>泄漏处置</w:t>
      </w:r>
      <w:r>
        <w:rPr>
          <w:rFonts w:hint="default" w:ascii="Times New Roman" w:hAnsi="Times New Roman" w:eastAsia="华文中宋" w:cs="Times New Roman"/>
          <w:color w:val="auto"/>
          <w:lang w:val="en-US" w:eastAsia="zh-CN"/>
        </w:rPr>
        <w:t>设备。</w:t>
      </w:r>
    </w:p>
    <w:p w14:paraId="1EF7EC14">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4）设置全身防护、呼吸道防护等安全防护装备，并配备常见的救护急用物品和中毒</w:t>
      </w:r>
      <w:r>
        <w:rPr>
          <w:rFonts w:hint="eastAsia" w:ascii="Times New Roman" w:hAnsi="Times New Roman" w:cs="Times New Roman"/>
          <w:color w:val="auto"/>
          <w:lang w:val="en-US" w:eastAsia="zh-CN"/>
        </w:rPr>
        <w:t>急</w:t>
      </w:r>
      <w:r>
        <w:rPr>
          <w:rFonts w:hint="default" w:ascii="Times New Roman" w:hAnsi="Times New Roman" w:eastAsia="华文中宋" w:cs="Times New Roman"/>
          <w:color w:val="auto"/>
          <w:lang w:val="en-US" w:eastAsia="zh-CN"/>
        </w:rPr>
        <w:t>救药品。</w:t>
      </w:r>
    </w:p>
    <w:p w14:paraId="444C333F">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5）当发生地下水异常情况时，按照指定的地下水应急预案采取应急措施。</w:t>
      </w:r>
    </w:p>
    <w:p w14:paraId="6F7760D7">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6）组织专业队伍对事故现场进行调查、监测，查找环境发生地点，分析事故原因，将紧急事件局部化，如可能予以消除，采取包括切断生产装置或设施、设置围堤等拦堵设施疏散等，防止事故的扩散、蔓延及连锁反应，缩小地下水污染事故对人、环境和财产的影响。</w:t>
      </w:r>
    </w:p>
    <w:p w14:paraId="3E56BC3D">
      <w:pPr>
        <w:pStyle w:val="24"/>
        <w:snapToGrid w:val="0"/>
        <w:jc w:val="left"/>
        <w:rPr>
          <w:rFonts w:hint="default" w:ascii="瀹嬩綋" w:hAnsi="瀹嬩綋" w:eastAsia="瀹嬩綋" w:cs="瀹嬩綋"/>
          <w:color w:val="000000"/>
          <w:kern w:val="0"/>
          <w:sz w:val="24"/>
          <w:szCs w:val="24"/>
          <w:lang w:val="en-US" w:eastAsia="zh-CN" w:bidi="ar"/>
        </w:rPr>
      </w:pPr>
      <w:r>
        <w:rPr>
          <w:rFonts w:hint="default" w:ascii="Times New Roman" w:hAnsi="Times New Roman" w:eastAsia="华文中宋" w:cs="Times New Roman"/>
          <w:color w:val="auto"/>
          <w:lang w:val="en-US" w:eastAsia="zh-CN"/>
        </w:rPr>
        <w:t>7）当通过监测发现</w:t>
      </w:r>
      <w:r>
        <w:rPr>
          <w:rFonts w:hint="eastAsia" w:ascii="Times New Roman" w:hAnsi="Times New Roman" w:cs="Times New Roman"/>
          <w:color w:val="auto"/>
          <w:lang w:val="en-US" w:eastAsia="zh-CN"/>
        </w:rPr>
        <w:t>可能</w:t>
      </w:r>
      <w:r>
        <w:rPr>
          <w:rFonts w:hint="default" w:ascii="Times New Roman" w:hAnsi="Times New Roman" w:eastAsia="华文中宋" w:cs="Times New Roman"/>
          <w:color w:val="auto"/>
          <w:lang w:val="en-US" w:eastAsia="zh-CN"/>
        </w:rPr>
        <w:t>对周围地下水造成污染时，采取控制地下水流场等措施，防止污染物扩散，如采取隔离措施、人工开采形成地下水漏斗、抽水等应急措施。</w:t>
      </w:r>
    </w:p>
    <w:p w14:paraId="2804ADC8">
      <w:pPr>
        <w:pStyle w:val="4"/>
        <w:spacing w:before="120" w:after="120" w:line="500" w:lineRule="exact"/>
        <w:rPr>
          <w:rFonts w:hint="default" w:ascii="Times New Roman" w:hAnsi="Times New Roman" w:eastAsia="华文中宋" w:cs="Times New Roman"/>
          <w:kern w:val="0"/>
          <w:sz w:val="24"/>
          <w:szCs w:val="24"/>
          <w:lang w:val="en-US" w:eastAsia="zh-CN"/>
        </w:rPr>
      </w:pPr>
      <w:bookmarkStart w:id="245" w:name="_Toc15555"/>
      <w:r>
        <w:rPr>
          <w:rFonts w:hint="eastAsia" w:ascii="Times New Roman" w:hAnsi="Times New Roman" w:eastAsia="华文中宋" w:cs="Times New Roman"/>
          <w:kern w:val="0"/>
          <w:sz w:val="24"/>
          <w:szCs w:val="24"/>
          <w:lang w:val="en-US" w:eastAsia="zh-CN"/>
        </w:rPr>
        <w:t>6.2.3噪声环</w:t>
      </w:r>
      <w:r>
        <w:rPr>
          <w:rFonts w:hint="default" w:ascii="Times New Roman" w:hAnsi="Times New Roman" w:eastAsia="华文中宋" w:cs="Times New Roman"/>
          <w:kern w:val="0"/>
          <w:sz w:val="24"/>
          <w:szCs w:val="24"/>
          <w:lang w:val="en-US" w:eastAsia="zh-CN"/>
        </w:rPr>
        <w:t>境污染防治措施及可行性论证</w:t>
      </w:r>
      <w:bookmarkEnd w:id="244"/>
      <w:bookmarkEnd w:id="245"/>
    </w:p>
    <w:p w14:paraId="7B4302FC">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（1）采矿区噪声</w:t>
      </w:r>
    </w:p>
    <w:p w14:paraId="1E8B2D9B">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采矿区的噪声源主要为空压机、凿岩机、装载机、运输车辆等运行时产生的噪声。</w:t>
      </w:r>
    </w:p>
    <w:p w14:paraId="274553C1">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本次工程采取噪声防治措施主要体现在以下几个方面：</w:t>
      </w:r>
    </w:p>
    <w:p w14:paraId="6D82382F">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①从设备选型上尽量选用质量好、技术先进低噪声设备。</w:t>
      </w:r>
    </w:p>
    <w:p w14:paraId="453658C5">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②风机、空压机等应安装隔音罩、</w:t>
      </w:r>
      <w:r>
        <w:rPr>
          <w:rFonts w:hint="eastAsia" w:ascii="Times New Roman" w:hAnsi="Times New Roman" w:cs="Times New Roman"/>
          <w:color w:val="auto"/>
          <w:lang w:val="en-US" w:eastAsia="zh-CN"/>
        </w:rPr>
        <w:t>消声器</w:t>
      </w:r>
      <w:r>
        <w:rPr>
          <w:rFonts w:hint="default" w:ascii="Times New Roman" w:hAnsi="Times New Roman" w:eastAsia="华文中宋" w:cs="Times New Roman"/>
          <w:color w:val="auto"/>
          <w:lang w:val="en-US" w:eastAsia="zh-CN"/>
        </w:rPr>
        <w:t>等，使降噪效果达到10</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20dB</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A</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。设置隔声操作间，降噪效果约5</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20dB</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A</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w:t>
      </w:r>
    </w:p>
    <w:p w14:paraId="6EF4F4E8">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③对凿岩机等气流噪声采用加装消声器。</w:t>
      </w:r>
    </w:p>
    <w:p w14:paraId="7518E33A">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④对设备及时保养和维修，使设备处于良好的技术状态。</w:t>
      </w:r>
    </w:p>
    <w:p w14:paraId="1D69747C">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⑤操作人员必须佩戴隔声耳罩、耳塞等，并尽量减少接触强噪声的时间，加强个人防护。</w:t>
      </w:r>
    </w:p>
    <w:p w14:paraId="4507A4BC">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（2）爆破噪声</w:t>
      </w:r>
    </w:p>
    <w:p w14:paraId="06231332">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露天爆破噪声的声级较高，瞬时源强高达110dB（A）左右，本次评价要求合理安排放炮时间，采取定时集中爆破，此外，要求采用微差爆破，减少炸药用量，减少爆破噪声影响范围和影响程度。</w:t>
      </w:r>
    </w:p>
    <w:p w14:paraId="26C58C63">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rPr>
        <w:t>（3）交通噪声</w:t>
      </w:r>
    </w:p>
    <w:p w14:paraId="140C09E0">
      <w:pPr>
        <w:pStyle w:val="24"/>
        <w:snapToGrid w:val="0"/>
        <w:jc w:val="left"/>
        <w:rPr>
          <w:rFonts w:hint="default" w:ascii="Times New Roman" w:hAnsi="Times New Roman" w:eastAsia="华文中宋" w:cs="Times New Roman"/>
          <w:color w:val="auto"/>
          <w:lang w:val="zh-CN"/>
        </w:rPr>
      </w:pPr>
      <w:r>
        <w:rPr>
          <w:rFonts w:hint="default" w:ascii="Times New Roman" w:hAnsi="Times New Roman" w:eastAsia="华文中宋" w:cs="Times New Roman"/>
          <w:color w:val="auto"/>
          <w:lang w:val="zh-CN"/>
        </w:rPr>
        <w:t>禁止夜间运输，在途经生活区时减速慢行、禁止鸣笛，以减少交通噪声影响。</w:t>
      </w:r>
    </w:p>
    <w:p w14:paraId="11ADE1E4">
      <w:pPr>
        <w:pStyle w:val="24"/>
        <w:snapToGrid w:val="0"/>
        <w:jc w:val="left"/>
        <w:rPr>
          <w:rFonts w:hint="default" w:ascii="Times New Roman" w:hAnsi="Times New Roman" w:eastAsia="华文中宋" w:cs="Times New Roman"/>
          <w:color w:val="auto"/>
          <w:lang w:val="zh-CN"/>
        </w:rPr>
      </w:pPr>
      <w:r>
        <w:rPr>
          <w:rFonts w:hint="default" w:ascii="Times New Roman" w:hAnsi="Times New Roman" w:eastAsia="华文中宋" w:cs="Times New Roman"/>
          <w:color w:val="auto"/>
        </w:rPr>
        <w:t>本项目所采取的噪声污染防治措施为目前通用的、易操作、效果</w:t>
      </w:r>
      <w:r>
        <w:rPr>
          <w:rFonts w:hint="default" w:ascii="Times New Roman" w:hAnsi="Times New Roman" w:eastAsia="华文中宋" w:cs="Times New Roman"/>
          <w:color w:val="auto"/>
          <w:lang w:val="zh-CN"/>
        </w:rPr>
        <w:t>较好的措施，经济合理可行。</w:t>
      </w:r>
    </w:p>
    <w:p w14:paraId="2464BE8A">
      <w:pPr>
        <w:pStyle w:val="4"/>
        <w:spacing w:before="120" w:after="120" w:line="500" w:lineRule="exact"/>
        <w:rPr>
          <w:rFonts w:hint="default" w:ascii="Times New Roman" w:hAnsi="Times New Roman" w:eastAsia="华文中宋" w:cs="Times New Roman"/>
          <w:kern w:val="0"/>
          <w:sz w:val="24"/>
          <w:szCs w:val="24"/>
          <w:lang w:val="zh-CN" w:eastAsia="zh-CN"/>
        </w:rPr>
      </w:pPr>
      <w:bookmarkStart w:id="246" w:name="_Toc170970661"/>
      <w:bookmarkStart w:id="247" w:name="_Toc14751"/>
      <w:bookmarkStart w:id="248" w:name="_Toc180891774"/>
      <w:bookmarkStart w:id="249" w:name="_Toc245882771"/>
      <w:bookmarkStart w:id="250" w:name="_Toc179522816"/>
      <w:bookmarkStart w:id="251" w:name="_Toc187800037"/>
      <w:bookmarkStart w:id="252" w:name="_Toc172698663"/>
      <w:bookmarkStart w:id="253" w:name="_Toc170869065"/>
      <w:bookmarkStart w:id="254" w:name="_Toc179653275"/>
      <w:r>
        <w:rPr>
          <w:rFonts w:hint="default" w:ascii="Times New Roman" w:hAnsi="Times New Roman" w:eastAsia="华文中宋" w:cs="Times New Roman"/>
          <w:kern w:val="0"/>
          <w:sz w:val="24"/>
          <w:szCs w:val="24"/>
          <w:lang w:val="en-US" w:eastAsia="zh-CN"/>
        </w:rPr>
        <w:t>6</w:t>
      </w:r>
      <w:r>
        <w:rPr>
          <w:rFonts w:hint="default" w:ascii="Times New Roman" w:hAnsi="Times New Roman" w:eastAsia="华文中宋" w:cs="Times New Roman"/>
          <w:kern w:val="0"/>
          <w:sz w:val="24"/>
          <w:szCs w:val="24"/>
          <w:lang w:val="zh-CN" w:eastAsia="zh-CN"/>
        </w:rPr>
        <w:t>.2.4固体废物污染防治措施及可行性论证</w:t>
      </w:r>
      <w:bookmarkEnd w:id="246"/>
      <w:bookmarkEnd w:id="247"/>
      <w:bookmarkEnd w:id="248"/>
      <w:bookmarkEnd w:id="249"/>
      <w:bookmarkEnd w:id="250"/>
      <w:bookmarkEnd w:id="251"/>
      <w:bookmarkEnd w:id="252"/>
      <w:bookmarkEnd w:id="253"/>
      <w:bookmarkEnd w:id="254"/>
    </w:p>
    <w:p w14:paraId="7B47B941">
      <w:pPr>
        <w:pStyle w:val="24"/>
        <w:snapToGrid w:val="0"/>
        <w:ind w:left="0" w:leftChars="0" w:firstLine="0" w:firstLineChars="0"/>
        <w:jc w:val="left"/>
        <w:rPr>
          <w:rFonts w:hint="default" w:ascii="Times New Roman" w:hAnsi="Times New Roman" w:eastAsia="华文中宋" w:cs="Times New Roman"/>
          <w:b/>
          <w:bCs/>
          <w:color w:val="auto"/>
          <w:lang w:val="en-US" w:eastAsia="zh-CN"/>
        </w:rPr>
      </w:pPr>
      <w:r>
        <w:rPr>
          <w:rFonts w:hint="eastAsia" w:ascii="Times New Roman" w:hAnsi="Times New Roman" w:cs="Times New Roman"/>
          <w:b/>
          <w:bCs/>
          <w:color w:val="auto"/>
          <w:lang w:val="en-US" w:eastAsia="zh-CN"/>
        </w:rPr>
        <w:t>6.2.4.1</w:t>
      </w:r>
      <w:r>
        <w:rPr>
          <w:rFonts w:hint="default" w:ascii="Times New Roman" w:hAnsi="Times New Roman" w:eastAsia="华文中宋" w:cs="Times New Roman"/>
          <w:b/>
          <w:bCs/>
          <w:color w:val="auto"/>
          <w:lang w:val="en-US" w:eastAsia="zh-CN"/>
        </w:rPr>
        <w:t>一般固废</w:t>
      </w:r>
    </w:p>
    <w:p w14:paraId="11513EBC">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项目运营期固废多为一般固废，针对项目运营过程中产生的一般固体废物，根据《一般工业固体废物</w:t>
      </w:r>
      <w:r>
        <w:rPr>
          <w:rFonts w:hint="eastAsia" w:ascii="Times New Roman" w:hAnsi="Times New Roman" w:eastAsia="华文中宋" w:cs="Times New Roman"/>
          <w:color w:val="auto"/>
          <w:lang w:val="en-US" w:eastAsia="zh-CN"/>
        </w:rPr>
        <w:t>管理台账</w:t>
      </w:r>
      <w:r>
        <w:rPr>
          <w:rFonts w:hint="default" w:ascii="Times New Roman" w:hAnsi="Times New Roman" w:eastAsia="华文中宋" w:cs="Times New Roman"/>
          <w:color w:val="auto"/>
          <w:lang w:val="en-US" w:eastAsia="zh-CN"/>
        </w:rPr>
        <w:t>制定指南（试行）》和《一般工业固体废物贮存和填埋污染控制标准》（GB18599-2020）要求，拟采取以下治理措施：</w:t>
      </w:r>
    </w:p>
    <w:p w14:paraId="0F8C7F87">
      <w:pPr>
        <w:pStyle w:val="24"/>
        <w:snapToGrid w:val="0"/>
        <w:jc w:val="left"/>
        <w:rPr>
          <w:rFonts w:hint="default" w:ascii="Times New Roman" w:hAnsi="Times New Roman" w:eastAsia="华文中宋" w:cs="Times New Roman"/>
          <w:color w:val="auto"/>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1</w:t>
      </w:r>
      <w:r>
        <w:rPr>
          <w:rFonts w:hint="eastAsia" w:ascii="Times New Roman" w:hAnsi="Times New Roman" w:cs="Times New Roman"/>
          <w:color w:val="auto"/>
          <w:lang w:eastAsia="zh-CN"/>
        </w:rPr>
        <w:t>）</w:t>
      </w:r>
      <w:r>
        <w:rPr>
          <w:rFonts w:hint="default" w:ascii="Times New Roman" w:hAnsi="Times New Roman" w:eastAsia="华文中宋" w:cs="Times New Roman"/>
          <w:color w:val="auto"/>
        </w:rPr>
        <w:t>采矿废石</w:t>
      </w:r>
    </w:p>
    <w:p w14:paraId="2691126F">
      <w:pPr>
        <w:pStyle w:val="24"/>
        <w:snapToGrid w:val="0"/>
        <w:jc w:val="left"/>
        <w:rPr>
          <w:rFonts w:hint="default" w:ascii="Times New Roman" w:hAnsi="Times New Roman" w:eastAsia="华文中宋" w:cs="Times New Roman"/>
          <w:color w:val="auto"/>
          <w:highlight w:val="yellow"/>
          <w:lang w:val="en-US" w:eastAsia="zh-CN"/>
        </w:rPr>
      </w:pPr>
      <w:r>
        <w:rPr>
          <w:rFonts w:hint="default" w:ascii="Times New Roman" w:hAnsi="Times New Roman" w:eastAsia="华文中宋" w:cs="Times New Roman"/>
          <w:color w:val="auto"/>
          <w:lang w:val="en-US" w:eastAsia="zh-CN"/>
        </w:rPr>
        <w:t>本项目采矿废石堆放在废石堆放场，项目废石属于第Ⅰ类一般工业固体废物，根据《一般工业固体废物贮存和填埋污染控制标准》（18599-2020）中相关规定进行防渗，当天然基础层饱和渗透系数不大于1.0×10</w:t>
      </w:r>
      <w:r>
        <w:rPr>
          <w:rFonts w:hint="default" w:ascii="Times New Roman" w:hAnsi="Times New Roman" w:eastAsia="华文中宋" w:cs="Times New Roman"/>
          <w:color w:val="auto"/>
          <w:vertAlign w:val="superscript"/>
          <w:lang w:val="en-US" w:eastAsia="zh-CN"/>
        </w:rPr>
        <w:t>-5</w:t>
      </w:r>
      <w:r>
        <w:rPr>
          <w:rFonts w:hint="default" w:ascii="Times New Roman" w:hAnsi="Times New Roman" w:eastAsia="华文中宋" w:cs="Times New Roman"/>
          <w:color w:val="auto"/>
          <w:lang w:val="en-US" w:eastAsia="zh-CN"/>
        </w:rPr>
        <w:t>cm/s，且厚度不小于0.75m时，可以采用天然基础层作为防渗衬层，当天然基础层不能满足5.2.1条防渗要求时，可采用改性压实粘土类衬层或具有同等以上隔水效力的其他材料防渗衬层，其防渗性能应至少相当于渗透系数为1.0×10</w:t>
      </w:r>
      <w:r>
        <w:rPr>
          <w:rFonts w:hint="default" w:ascii="Times New Roman" w:hAnsi="Times New Roman" w:eastAsia="华文中宋" w:cs="Times New Roman"/>
          <w:color w:val="auto"/>
          <w:vertAlign w:val="superscript"/>
          <w:lang w:val="en-US" w:eastAsia="zh-CN"/>
        </w:rPr>
        <w:t>-5</w:t>
      </w:r>
      <w:r>
        <w:rPr>
          <w:rFonts w:hint="default" w:ascii="Times New Roman" w:hAnsi="Times New Roman" w:eastAsia="华文中宋" w:cs="Times New Roman"/>
          <w:color w:val="auto"/>
          <w:lang w:val="en-US" w:eastAsia="zh-CN"/>
        </w:rPr>
        <w:t>cm/s且厚度为0.75m的天然基础层。</w:t>
      </w:r>
    </w:p>
    <w:p w14:paraId="44AC6AD1">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eastAsia="zh-CN"/>
        </w:rPr>
        <w:t>本项目采矿废石一部分用于</w:t>
      </w:r>
      <w:r>
        <w:rPr>
          <w:rFonts w:hint="default" w:ascii="Times New Roman" w:hAnsi="Times New Roman" w:eastAsia="华文中宋" w:cs="Times New Roman"/>
          <w:color w:val="auto"/>
        </w:rPr>
        <w:t>矿区简易运输道路的铺填及修复、采矿场边坡修护、</w:t>
      </w:r>
      <w:r>
        <w:rPr>
          <w:rFonts w:hint="default" w:ascii="Times New Roman" w:hAnsi="Times New Roman" w:eastAsia="华文中宋" w:cs="Times New Roman"/>
          <w:color w:val="auto"/>
          <w:lang w:eastAsia="zh-CN"/>
        </w:rPr>
        <w:t>废石堆放场</w:t>
      </w:r>
      <w:r>
        <w:rPr>
          <w:rFonts w:hint="default" w:ascii="Times New Roman" w:hAnsi="Times New Roman" w:eastAsia="华文中宋" w:cs="Times New Roman"/>
          <w:color w:val="auto"/>
        </w:rPr>
        <w:t>挡土墙截排水沟的修建，</w:t>
      </w:r>
      <w:r>
        <w:rPr>
          <w:rFonts w:hint="default" w:ascii="Times New Roman" w:hAnsi="Times New Roman" w:eastAsia="华文中宋" w:cs="Times New Roman"/>
          <w:color w:val="auto"/>
          <w:lang w:eastAsia="zh-CN"/>
        </w:rPr>
        <w:t>一部分</w:t>
      </w:r>
      <w:r>
        <w:rPr>
          <w:rFonts w:hint="default" w:ascii="Times New Roman" w:hAnsi="Times New Roman" w:eastAsia="华文中宋" w:cs="Times New Roman"/>
          <w:color w:val="auto"/>
        </w:rPr>
        <w:t>无法利用的排放至</w:t>
      </w:r>
      <w:r>
        <w:rPr>
          <w:rFonts w:hint="default" w:ascii="Times New Roman" w:hAnsi="Times New Roman" w:eastAsia="华文中宋" w:cs="Times New Roman"/>
          <w:color w:val="auto"/>
          <w:lang w:eastAsia="zh-CN"/>
        </w:rPr>
        <w:t>废石堆放场，</w:t>
      </w:r>
      <w:r>
        <w:rPr>
          <w:rFonts w:hint="default" w:ascii="Times New Roman" w:hAnsi="Times New Roman" w:eastAsia="华文中宋" w:cs="Times New Roman"/>
          <w:color w:val="auto"/>
        </w:rPr>
        <w:t>后期产生废石全部回填于采坑</w:t>
      </w:r>
      <w:r>
        <w:rPr>
          <w:rFonts w:hint="default" w:ascii="Times New Roman" w:hAnsi="Times New Roman" w:eastAsia="华文中宋" w:cs="Times New Roman"/>
          <w:color w:val="auto"/>
          <w:lang w:eastAsia="zh-CN"/>
        </w:rPr>
        <w:t>。</w:t>
      </w:r>
    </w:p>
    <w:p w14:paraId="6BFE4D61">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（2）</w:t>
      </w:r>
      <w:r>
        <w:rPr>
          <w:rFonts w:hint="default" w:ascii="Times New Roman" w:hAnsi="Times New Roman" w:eastAsia="华文中宋" w:cs="Times New Roman"/>
          <w:color w:val="auto"/>
          <w:lang w:val="en-US" w:eastAsia="zh-CN"/>
        </w:rPr>
        <w:t>生活垃圾定点存放，集中收集，定期清运处置</w:t>
      </w:r>
    </w:p>
    <w:p w14:paraId="7E333695">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在矿山生活区配套垃圾桶，生活垃圾暂存于矿区垃圾桶内，定期拉运至就近乡镇生活垃圾填埋场填埋。同时还要加强矿山员工环保意识，做到生活垃圾集中收集，严禁随意丢弃。不会对区域土壤、地下水等环境造成二次污染影响。</w:t>
      </w:r>
    </w:p>
    <w:p w14:paraId="3447E163">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综上所述，本工程拟采用的一般固废处理处置措施可行，只要在工作中将各种处理措施落到实处，不会对环境产生大的不利影响。</w:t>
      </w:r>
    </w:p>
    <w:p w14:paraId="7579C096">
      <w:pPr>
        <w:pStyle w:val="24"/>
        <w:snapToGrid w:val="0"/>
        <w:ind w:left="0" w:leftChars="0" w:firstLine="0" w:firstLineChars="0"/>
        <w:jc w:val="left"/>
        <w:rPr>
          <w:rFonts w:hint="default" w:ascii="Times New Roman" w:hAnsi="Times New Roman" w:eastAsia="华文中宋" w:cs="Times New Roman"/>
          <w:b/>
          <w:bCs/>
          <w:color w:val="auto"/>
          <w:lang w:val="en-US" w:eastAsia="zh-CN"/>
        </w:rPr>
      </w:pPr>
      <w:r>
        <w:rPr>
          <w:rFonts w:hint="eastAsia" w:ascii="Times New Roman" w:hAnsi="Times New Roman" w:cs="Times New Roman"/>
          <w:b/>
          <w:bCs/>
          <w:color w:val="auto"/>
          <w:lang w:val="en-US" w:eastAsia="zh-CN"/>
        </w:rPr>
        <w:t>6.2.4.2</w:t>
      </w:r>
      <w:r>
        <w:rPr>
          <w:rFonts w:hint="default" w:ascii="Times New Roman" w:hAnsi="Times New Roman" w:eastAsia="华文中宋" w:cs="Times New Roman"/>
          <w:b/>
          <w:bCs/>
          <w:color w:val="auto"/>
          <w:lang w:val="en-US" w:eastAsia="zh-CN"/>
        </w:rPr>
        <w:t>危险废物</w:t>
      </w:r>
    </w:p>
    <w:p w14:paraId="1C1926BE">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废润滑油属于危险废物，应单独、分类收集，密闭容器盛放，在厂内危险废物暂存间临时贮存，废机油和废润滑油定期交由</w:t>
      </w:r>
      <w:r>
        <w:rPr>
          <w:rFonts w:hint="eastAsia" w:ascii="Times New Roman" w:hAnsi="Times New Roman" w:eastAsia="华文中宋" w:cs="Times New Roman"/>
          <w:color w:val="auto"/>
          <w:lang w:val="en-US" w:eastAsia="zh-CN"/>
        </w:rPr>
        <w:t>具有</w:t>
      </w:r>
      <w:r>
        <w:rPr>
          <w:rFonts w:hint="default" w:ascii="Times New Roman" w:hAnsi="Times New Roman" w:eastAsia="华文中宋" w:cs="Times New Roman"/>
          <w:color w:val="auto"/>
          <w:lang w:val="en-US" w:eastAsia="zh-CN"/>
        </w:rPr>
        <w:t>相应危险废物处置资质的单位回收处置。根据《排污许可证申请与核发技术规范工业固体废物（试行）》（HJ1200—2021）、《危险废物收集贮存运输技术规范》</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HJ 2025-2012</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、《危险废物管理计划和管理台账制定技术导则》（HJ 1259-2022）、《危险废物贮存污染控制标准》（GB18597—2023）中分类贮存、运输等措施和要求，采取如下措施：</w:t>
      </w:r>
    </w:p>
    <w:p w14:paraId="1BFBF1E4">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（1）</w:t>
      </w:r>
      <w:r>
        <w:rPr>
          <w:rFonts w:hint="default" w:ascii="Times New Roman" w:hAnsi="Times New Roman" w:eastAsia="华文中宋" w:cs="Times New Roman"/>
          <w:color w:val="auto"/>
          <w:lang w:val="en-US" w:eastAsia="zh-CN"/>
        </w:rPr>
        <w:t>危险废物临时堆放场所的控制要求</w:t>
      </w:r>
    </w:p>
    <w:p w14:paraId="335DB8FA">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①收集措施</w:t>
      </w:r>
    </w:p>
    <w:p w14:paraId="7C49036F">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为防止废弃物逸散、流失，采取有害废物分类集中堆放、专人负责等措施，可有效防止废物的二次污染。对危险废物的收集和管理，拟采用以下措施：</w:t>
      </w:r>
    </w:p>
    <w:p w14:paraId="3725C940">
      <w:pPr>
        <w:pStyle w:val="24"/>
        <w:snapToGrid w:val="0"/>
        <w:ind w:left="0" w:leftChars="0" w:firstLine="480" w:firstLineChars="20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a.</w:t>
      </w:r>
      <w:r>
        <w:rPr>
          <w:rFonts w:hint="default" w:ascii="Times New Roman" w:hAnsi="Times New Roman" w:eastAsia="华文中宋" w:cs="Times New Roman"/>
          <w:color w:val="auto"/>
          <w:lang w:val="en-US" w:eastAsia="zh-CN"/>
        </w:rPr>
        <w:t>危险废物应贴上专用标签，临时堆放在危险废物暂存间中，累计一定数量后由专用运输车辆外运危险废物处置单位处置。</w:t>
      </w:r>
    </w:p>
    <w:p w14:paraId="3B4C180B">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b.</w:t>
      </w:r>
      <w:r>
        <w:rPr>
          <w:rFonts w:hint="default" w:ascii="Times New Roman" w:hAnsi="Times New Roman" w:eastAsia="华文中宋" w:cs="Times New Roman"/>
          <w:color w:val="auto"/>
          <w:lang w:val="en-US" w:eastAsia="zh-CN"/>
        </w:rPr>
        <w:t>危险废物全部暂存于危险废物暂存间内，做到防风、防雨、防晒。上述危险废物的收集和管理，公司将委外专人负责，危废临时贮存场所按照</w:t>
      </w:r>
      <w:r>
        <w:rPr>
          <w:rFonts w:hint="eastAsia" w:ascii="Times New Roman" w:hAnsi="Times New Roman" w:eastAsia="华文中宋" w:cs="Times New Roman"/>
          <w:color w:val="auto"/>
          <w:lang w:val="en-US" w:eastAsia="zh-CN"/>
        </w:rPr>
        <w:t>GB 18597-2023</w:t>
      </w:r>
      <w:r>
        <w:rPr>
          <w:rFonts w:hint="default" w:ascii="Times New Roman" w:hAnsi="Times New Roman" w:eastAsia="华文中宋" w:cs="Times New Roman"/>
          <w:color w:val="auto"/>
          <w:lang w:val="en-US" w:eastAsia="zh-CN"/>
        </w:rPr>
        <w:t>相关要求进行防渗、防漏处理，安全可靠，不会受到风雨侵蚀，可有效防止临时存放过程中二次污染。</w:t>
      </w:r>
    </w:p>
    <w:p w14:paraId="0E29F2ED">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②管理措施</w:t>
      </w:r>
    </w:p>
    <w:p w14:paraId="1203F075">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项目单位必须按照国家有关规定制定危险废物管理计划，并向民丰县生态环境分局申报危险废物的种类、产生量、流向、贮存、处置等有关资料；</w:t>
      </w:r>
    </w:p>
    <w:p w14:paraId="412AEF81">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项目单位必须按照国家有关规定处置危险废物，不得擅自倾倒、堆放；</w:t>
      </w:r>
    </w:p>
    <w:p w14:paraId="606C3E17">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禁止项目单位将危险废物提供或者委托给无经营许可证的单位从事收集、贮存、利用、处置的经营活动；</w:t>
      </w:r>
    </w:p>
    <w:p w14:paraId="0B73C695">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收集、贮存危险废物、必须按照危险废物特性分类进行。禁止混合收集、贮存、运输、处置性质不相容而未经安全性处置的危险废物；</w:t>
      </w:r>
    </w:p>
    <w:p w14:paraId="1D01E250">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转移危险废物的，必须按照国家有关规定填写危险废物转移联单，并向危险废物移出地设区的市级以上地方人民政府生态环境局提出申请。运输危险废物，必须采取防止污染环境的措施，并遵守国家有关危险货物运输管理的规定。</w:t>
      </w:r>
    </w:p>
    <w:p w14:paraId="54491D0D">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③危废暂存间设置要求</w:t>
      </w:r>
    </w:p>
    <w:p w14:paraId="6DA73CBD">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需暂存的危废涉及类别主要为HW08，本项目新建1座危废暂存间（10m</w:t>
      </w:r>
      <w:r>
        <w:rPr>
          <w:rFonts w:hint="default" w:ascii="Times New Roman" w:hAnsi="Times New Roman" w:eastAsia="华文中宋" w:cs="Times New Roman"/>
          <w:color w:val="auto"/>
          <w:vertAlign w:val="superscript"/>
          <w:lang w:val="en-US" w:eastAsia="zh-CN"/>
        </w:rPr>
        <w:t>2</w:t>
      </w:r>
      <w:r>
        <w:rPr>
          <w:rFonts w:hint="default" w:ascii="Times New Roman" w:hAnsi="Times New Roman" w:eastAsia="华文中宋" w:cs="Times New Roman"/>
          <w:color w:val="auto"/>
          <w:lang w:val="en-US" w:eastAsia="zh-CN"/>
        </w:rPr>
        <w:t>），废润滑油采用铁桶盛装后在危险废物暂存间内再设置隔间分类存放。</w:t>
      </w:r>
    </w:p>
    <w:p w14:paraId="1F3BFBB0">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危废暂存间按照《危险废物贮存污染控制标准》（GB 18597-2023）要求进行选址、设计和建设，危废暂存间防渗层为至少1m厚黏土层（渗透系数不大于10</w:t>
      </w:r>
      <w:r>
        <w:rPr>
          <w:rFonts w:hint="eastAsia" w:ascii="Times New Roman" w:hAnsi="Times New Roman" w:eastAsia="华文中宋" w:cs="Times New Roman"/>
          <w:color w:val="auto"/>
          <w:vertAlign w:val="superscript"/>
          <w:lang w:val="en-US" w:eastAsia="zh-CN"/>
        </w:rPr>
        <w:t>-</w:t>
      </w:r>
      <w:r>
        <w:rPr>
          <w:rFonts w:hint="default" w:ascii="Times New Roman" w:hAnsi="Times New Roman" w:eastAsia="华文中宋" w:cs="Times New Roman"/>
          <w:color w:val="auto"/>
          <w:vertAlign w:val="superscript"/>
          <w:lang w:val="en-US" w:eastAsia="zh-CN"/>
        </w:rPr>
        <w:t>7</w:t>
      </w:r>
      <w:r>
        <w:rPr>
          <w:rFonts w:hint="default" w:ascii="Times New Roman" w:hAnsi="Times New Roman" w:eastAsia="华文中宋" w:cs="Times New Roman"/>
          <w:color w:val="auto"/>
          <w:lang w:val="en-US" w:eastAsia="zh-CN"/>
        </w:rPr>
        <w:t>cm/s），或至少2mm厚高密度聚乙烯膜等人工防渗材料（渗透系数不大于10</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vertAlign w:val="superscript"/>
          <w:lang w:val="en-US" w:eastAsia="zh-CN"/>
        </w:rPr>
        <w:t>10</w:t>
      </w:r>
      <w:r>
        <w:rPr>
          <w:rFonts w:hint="default" w:ascii="Times New Roman" w:hAnsi="Times New Roman" w:eastAsia="华文中宋" w:cs="Times New Roman"/>
          <w:color w:val="auto"/>
          <w:lang w:val="en-US" w:eastAsia="zh-CN"/>
        </w:rPr>
        <w:t>cm/s），或其他防渗性能等效的材料，且能够满足防风、防雨、防晒、防渗漏的要求，并按照规范设置警示标识，设排风口定期排风。另外，危废暂存间按照规范要求设置泄漏液体收集装置、库内设置裙角、导流沟，进行地面防渗防腐处理，并且使用符合标准及规范要求的容器盛装危险废物，容器上粘贴符合相应的标签。</w:t>
      </w:r>
    </w:p>
    <w:p w14:paraId="43E3854E">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本项目设置的危废暂存间可以满足本项目危废暂存1年的需求。</w:t>
      </w:r>
    </w:p>
    <w:p w14:paraId="5CE431CE">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（2）</w:t>
      </w:r>
      <w:r>
        <w:rPr>
          <w:rFonts w:hint="default" w:ascii="Times New Roman" w:hAnsi="Times New Roman" w:eastAsia="华文中宋" w:cs="Times New Roman"/>
          <w:color w:val="auto"/>
          <w:lang w:val="en-US" w:eastAsia="zh-CN"/>
        </w:rPr>
        <w:t>危险废物的贮存及转运要求</w:t>
      </w:r>
    </w:p>
    <w:p w14:paraId="11A59060">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①建立岗位责任制和危险废物管理档案，由专人负责危险废物收集和管理工作。建立危险废物管理台账，如实记录有关信息，并通过国家危险废物信息管理系统向所在地生态环境主管部门申报危险废物的种类、产生量、流向、贮存、处置等有关资料。</w:t>
      </w:r>
    </w:p>
    <w:p w14:paraId="6C9A11C7">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②贮存危险废物的危废暂存间，必须按国家规定设置统一识别标志。</w:t>
      </w:r>
    </w:p>
    <w:p w14:paraId="535ECE6C">
      <w:pPr>
        <w:pStyle w:val="24"/>
        <w:keepNext w:val="0"/>
        <w:keepLines w:val="0"/>
        <w:pageBreakBefore w:val="0"/>
        <w:widowControl w:val="0"/>
        <w:kinsoku/>
        <w:wordWrap w:val="0"/>
        <w:overflowPunct/>
        <w:topLinePunct w:val="0"/>
        <w:autoSpaceDE/>
        <w:autoSpaceDN/>
        <w:bidi w:val="0"/>
        <w:adjustRightInd w:val="0"/>
        <w:snapToGrid w:val="0"/>
        <w:jc w:val="left"/>
        <w:textAlignment w:val="baseline"/>
        <w:rPr>
          <w:rFonts w:hint="default" w:ascii="Times New Roman" w:hAnsi="Times New Roman" w:eastAsia="华文中宋" w:cs="Times New Roman"/>
          <w:color w:val="auto"/>
        </w:rPr>
      </w:pPr>
      <w:r>
        <w:rPr>
          <w:rFonts w:hint="default" w:ascii="Times New Roman" w:hAnsi="Times New Roman" w:eastAsia="华文中宋" w:cs="Times New Roman"/>
          <w:color w:val="auto"/>
          <w:lang w:val="en-US" w:eastAsia="zh-CN"/>
        </w:rPr>
        <w:t>③危险废物暂存间的设计按照《危险废物贮存污染控制标准》</w:t>
      </w:r>
      <w:r>
        <w:rPr>
          <w:rFonts w:hint="default" w:ascii="Times New Roman" w:hAnsi="Times New Roman" w:eastAsia="华文中宋" w:cs="Times New Roman"/>
          <w:color w:val="auto"/>
        </w:rPr>
        <w:t>（GB18597-20</w:t>
      </w:r>
      <w:r>
        <w:rPr>
          <w:rFonts w:hint="default" w:ascii="Times New Roman" w:hAnsi="Times New Roman" w:eastAsia="华文中宋" w:cs="Times New Roman"/>
          <w:color w:val="auto"/>
          <w:lang w:val="en-US" w:eastAsia="zh-CN"/>
        </w:rPr>
        <w:t>23</w:t>
      </w:r>
      <w:r>
        <w:rPr>
          <w:rFonts w:hint="default" w:ascii="Times New Roman" w:hAnsi="Times New Roman" w:eastAsia="华文中宋" w:cs="Times New Roman"/>
          <w:color w:val="auto"/>
        </w:rPr>
        <w:t>）要求进行。危险废物</w:t>
      </w:r>
      <w:r>
        <w:rPr>
          <w:rFonts w:hint="default" w:ascii="Times New Roman" w:hAnsi="Times New Roman" w:eastAsia="华文中宋" w:cs="Times New Roman"/>
          <w:color w:val="auto"/>
          <w:lang w:eastAsia="zh-CN"/>
        </w:rPr>
        <w:t>暂存间</w:t>
      </w:r>
      <w:r>
        <w:rPr>
          <w:rFonts w:hint="default" w:ascii="Times New Roman" w:hAnsi="Times New Roman" w:eastAsia="华文中宋" w:cs="Times New Roman"/>
          <w:color w:val="auto"/>
        </w:rPr>
        <w:t>要符合国家危险废物贮存场所的建设要求，危险废物</w:t>
      </w:r>
      <w:r>
        <w:rPr>
          <w:rFonts w:hint="default" w:ascii="Times New Roman" w:hAnsi="Times New Roman" w:eastAsia="华文中宋" w:cs="Times New Roman"/>
          <w:color w:val="auto"/>
          <w:lang w:eastAsia="zh-CN"/>
        </w:rPr>
        <w:t>暂存间</w:t>
      </w:r>
      <w:r>
        <w:rPr>
          <w:rFonts w:hint="default" w:ascii="Times New Roman" w:hAnsi="Times New Roman" w:eastAsia="华文中宋" w:cs="Times New Roman"/>
          <w:color w:val="auto"/>
        </w:rPr>
        <w:t>要建有堵截的裙脚，地面与裙脚用坚固的防渗材料建造，基础防渗层用2mm厚的高密度聚乙烯或其他人工防渗材料</w:t>
      </w:r>
      <w:r>
        <w:rPr>
          <w:rFonts w:hint="default" w:ascii="Times New Roman" w:hAnsi="Times New Roman" w:eastAsia="华文中宋" w:cs="Times New Roman"/>
          <w:color w:val="auto"/>
          <w:lang w:eastAsia="zh-CN"/>
        </w:rPr>
        <w:t>组成</w:t>
      </w:r>
      <w:r>
        <w:rPr>
          <w:rFonts w:hint="default" w:ascii="Times New Roman" w:hAnsi="Times New Roman" w:eastAsia="华文中宋" w:cs="Times New Roman"/>
          <w:color w:val="auto"/>
        </w:rPr>
        <w:t>，表面用耐腐蚀材料硬化。</w:t>
      </w:r>
    </w:p>
    <w:p w14:paraId="27AB7282">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eastAsia="zh-CN"/>
        </w:rPr>
        <w:t>④</w:t>
      </w:r>
      <w:r>
        <w:rPr>
          <w:rFonts w:hint="default" w:ascii="Times New Roman" w:hAnsi="Times New Roman" w:eastAsia="华文中宋" w:cs="Times New Roman"/>
          <w:color w:val="auto"/>
        </w:rPr>
        <w:t>采用专用车辆和专用容器运输贮存危险废物，禁止将危险废物混入生活垃圾或其他废物。</w:t>
      </w:r>
    </w:p>
    <w:p w14:paraId="2417F708">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eastAsia="zh-CN"/>
        </w:rPr>
        <w:t>⑤</w:t>
      </w:r>
      <w:r>
        <w:rPr>
          <w:rFonts w:hint="default" w:ascii="Times New Roman" w:hAnsi="Times New Roman" w:eastAsia="华文中宋" w:cs="Times New Roman"/>
          <w:color w:val="auto"/>
        </w:rPr>
        <w:t>在收集、贮存危险废物过程中，发生污染事故或其他突发性污染事件时，必须立即采取措施，消除或减轻污染危害，及时通知可能受到危害的单位和居民，并应于</w:t>
      </w:r>
      <w:r>
        <w:rPr>
          <w:rFonts w:hint="default" w:ascii="Times New Roman" w:hAnsi="Times New Roman" w:eastAsia="华文中宋" w:cs="Times New Roman"/>
          <w:color w:val="auto"/>
          <w:lang w:val="en-US" w:eastAsia="zh-CN"/>
        </w:rPr>
        <w:t>24</w:t>
      </w:r>
      <w:r>
        <w:rPr>
          <w:rFonts w:hint="default" w:ascii="Times New Roman" w:hAnsi="Times New Roman" w:eastAsia="华文中宋" w:cs="Times New Roman"/>
          <w:color w:val="auto"/>
        </w:rPr>
        <w:t>小时内向所在</w:t>
      </w:r>
      <w:r>
        <w:rPr>
          <w:rFonts w:hint="default" w:ascii="Times New Roman" w:hAnsi="Times New Roman" w:eastAsia="华文中宋" w:cs="Times New Roman"/>
          <w:color w:val="auto"/>
          <w:lang w:eastAsia="zh-CN"/>
        </w:rPr>
        <w:t>县</w:t>
      </w:r>
      <w:r>
        <w:rPr>
          <w:rFonts w:hint="default" w:ascii="Times New Roman" w:hAnsi="Times New Roman" w:eastAsia="华文中宋" w:cs="Times New Roman"/>
          <w:color w:val="auto"/>
        </w:rPr>
        <w:t>环境保护行政主管部门和有关部门报告，接受调查处理。</w:t>
      </w:r>
    </w:p>
    <w:p w14:paraId="062F79E6">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eastAsia="zh-CN"/>
        </w:rPr>
        <w:t>⑥</w:t>
      </w:r>
      <w:r>
        <w:rPr>
          <w:rFonts w:hint="default" w:ascii="Times New Roman" w:hAnsi="Times New Roman" w:eastAsia="华文中宋" w:cs="Times New Roman"/>
          <w:color w:val="auto"/>
        </w:rPr>
        <w:t>危险废物包装容器的外面必须有表示废物形态、性质的明显标志，并向运输者和</w:t>
      </w:r>
      <w:r>
        <w:rPr>
          <w:rFonts w:hint="eastAsia" w:ascii="Times New Roman" w:hAnsi="Times New Roman" w:eastAsia="华文中宋" w:cs="Times New Roman"/>
          <w:color w:val="auto"/>
          <w:lang w:eastAsia="zh-CN"/>
        </w:rPr>
        <w:t>接收者</w:t>
      </w:r>
      <w:r>
        <w:rPr>
          <w:rFonts w:hint="default" w:ascii="Times New Roman" w:hAnsi="Times New Roman" w:eastAsia="华文中宋" w:cs="Times New Roman"/>
          <w:color w:val="auto"/>
        </w:rPr>
        <w:t>提供安全保护要求的文字说明。</w:t>
      </w:r>
    </w:p>
    <w:p w14:paraId="25D34D3C">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eastAsia="zh-CN"/>
        </w:rPr>
        <w:t>⑦</w:t>
      </w:r>
      <w:r>
        <w:rPr>
          <w:rFonts w:hint="default" w:ascii="Times New Roman" w:hAnsi="Times New Roman" w:eastAsia="华文中宋" w:cs="Times New Roman"/>
          <w:color w:val="auto"/>
        </w:rPr>
        <w:t>危险废物的贮存设施必须符合国家标准和有关规定，有防渗漏、防雨淋、防流失措施，并必须设置识别危险废物的明显标志。</w:t>
      </w:r>
    </w:p>
    <w:p w14:paraId="0876328D">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eastAsia="zh-CN"/>
        </w:rPr>
        <w:t>⑧</w:t>
      </w:r>
      <w:r>
        <w:rPr>
          <w:rFonts w:hint="default" w:ascii="Times New Roman" w:hAnsi="Times New Roman" w:eastAsia="华文中宋" w:cs="Times New Roman"/>
          <w:color w:val="auto"/>
        </w:rPr>
        <w:t>危险废物的运输和处置必须委托有资质的单位进行处理。危险废物的运输应参照《危险废物收集贮存运输技术规范》</w:t>
      </w:r>
      <w:r>
        <w:rPr>
          <w:rFonts w:hint="default" w:ascii="Times New Roman" w:hAnsi="Times New Roman" w:eastAsia="华文中宋" w:cs="Times New Roman"/>
          <w:color w:val="auto"/>
          <w:lang w:eastAsia="zh-CN"/>
        </w:rPr>
        <w:t>（</w:t>
      </w:r>
      <w:r>
        <w:rPr>
          <w:rFonts w:hint="default" w:ascii="Times New Roman" w:hAnsi="Times New Roman" w:eastAsia="华文中宋" w:cs="Times New Roman"/>
          <w:color w:val="auto"/>
        </w:rPr>
        <w:t>HJ2025-2012</w:t>
      </w:r>
      <w:r>
        <w:rPr>
          <w:rFonts w:hint="default" w:ascii="Times New Roman" w:hAnsi="Times New Roman" w:eastAsia="华文中宋" w:cs="Times New Roman"/>
          <w:color w:val="auto"/>
          <w:lang w:eastAsia="zh-CN"/>
        </w:rPr>
        <w:t>）</w:t>
      </w:r>
      <w:r>
        <w:rPr>
          <w:rFonts w:hint="default" w:ascii="Times New Roman" w:hAnsi="Times New Roman" w:eastAsia="华文中宋" w:cs="Times New Roman"/>
          <w:color w:val="auto"/>
        </w:rPr>
        <w:t>制定出危险废物往返收集网络路线，确保危险废物的运输安全可靠，减少或避免运输过程中的二次污染和可能造成的环境风险。</w:t>
      </w:r>
    </w:p>
    <w:p w14:paraId="71A4FCDA">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（3）</w:t>
      </w:r>
      <w:r>
        <w:rPr>
          <w:rFonts w:hint="default" w:ascii="Times New Roman" w:hAnsi="Times New Roman" w:eastAsia="华文中宋" w:cs="Times New Roman"/>
          <w:color w:val="auto"/>
          <w:lang w:val="en-US" w:eastAsia="zh-CN"/>
        </w:rPr>
        <w:t>外委处置单位选择要求</w:t>
      </w:r>
    </w:p>
    <w:p w14:paraId="2DC7EE81">
      <w:pPr>
        <w:pStyle w:val="24"/>
        <w:snapToGrid w:val="0"/>
        <w:jc w:val="left"/>
        <w:rPr>
          <w:rFonts w:hint="default" w:ascii="Times New Roman" w:hAnsi="Times New Roman" w:eastAsia="华文中宋" w:cs="Times New Roman"/>
          <w:color w:val="auto"/>
          <w:lang w:eastAsia="zh-CN"/>
        </w:rPr>
      </w:pPr>
      <w:r>
        <w:rPr>
          <w:rFonts w:hint="default" w:ascii="Times New Roman" w:hAnsi="Times New Roman" w:eastAsia="华文中宋" w:cs="Times New Roman"/>
          <w:color w:val="auto"/>
          <w:lang w:val="en-US" w:eastAsia="zh-CN"/>
        </w:rPr>
        <w:t>①危险废物的转移遵从《危险废物转移联单管理办法》及其他有关规定的要求，</w:t>
      </w:r>
      <w:r>
        <w:rPr>
          <w:rFonts w:hint="default" w:ascii="Times New Roman" w:hAnsi="Times New Roman" w:eastAsia="华文中宋" w:cs="Times New Roman"/>
          <w:color w:val="auto"/>
        </w:rPr>
        <w:t>禁止在转移过程中将危险废物排放至环境中</w:t>
      </w:r>
      <w:r>
        <w:rPr>
          <w:rFonts w:hint="default" w:ascii="Times New Roman" w:hAnsi="Times New Roman" w:eastAsia="华文中宋" w:cs="Times New Roman"/>
          <w:color w:val="auto"/>
          <w:lang w:eastAsia="zh-CN"/>
        </w:rPr>
        <w:t>。</w:t>
      </w:r>
    </w:p>
    <w:p w14:paraId="64384964">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eastAsia="zh-CN"/>
        </w:rPr>
        <w:t>②</w:t>
      </w:r>
      <w:r>
        <w:rPr>
          <w:rFonts w:hint="default" w:ascii="Times New Roman" w:hAnsi="Times New Roman" w:eastAsia="华文中宋" w:cs="Times New Roman"/>
          <w:color w:val="auto"/>
        </w:rPr>
        <w:t>按照国家有关规定制定危险废物管理计划</w:t>
      </w:r>
      <w:r>
        <w:rPr>
          <w:rFonts w:hint="default" w:ascii="Times New Roman" w:hAnsi="Times New Roman" w:eastAsia="华文中宋" w:cs="Times New Roman"/>
          <w:color w:val="auto"/>
          <w:lang w:val="en-US" w:eastAsia="zh-CN"/>
        </w:rPr>
        <w:t>，</w:t>
      </w:r>
      <w:r>
        <w:rPr>
          <w:rFonts w:hint="default" w:ascii="Times New Roman" w:hAnsi="Times New Roman" w:eastAsia="华文中宋" w:cs="Times New Roman"/>
          <w:color w:val="auto"/>
        </w:rPr>
        <w:t>通过国家危险废物信息管理系统向所在地生态环境主管部门申报危险废物的种类、产生量、流向、贮存、处置等有关资料。危险废物管理计划应当报产生危险废物的单位所在地生态环境主管部门备案。</w:t>
      </w:r>
    </w:p>
    <w:p w14:paraId="25462737">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采取上述措施后，项目产生的危险废物能够得到妥善处置，措施可行。</w:t>
      </w:r>
    </w:p>
    <w:p w14:paraId="39158602">
      <w:pPr>
        <w:pStyle w:val="4"/>
        <w:spacing w:before="120" w:after="120" w:line="500" w:lineRule="exact"/>
        <w:rPr>
          <w:rFonts w:hint="default" w:ascii="Times New Roman" w:hAnsi="Times New Roman" w:eastAsia="华文中宋" w:cs="Times New Roman"/>
          <w:kern w:val="0"/>
          <w:sz w:val="24"/>
          <w:szCs w:val="24"/>
          <w:lang w:val="en-US" w:eastAsia="zh-CN"/>
        </w:rPr>
      </w:pPr>
      <w:bookmarkStart w:id="255" w:name="_Toc18270"/>
      <w:r>
        <w:rPr>
          <w:rFonts w:hint="default" w:ascii="Times New Roman" w:hAnsi="Times New Roman" w:eastAsia="华文中宋" w:cs="Times New Roman"/>
          <w:kern w:val="0"/>
          <w:sz w:val="24"/>
          <w:szCs w:val="24"/>
          <w:lang w:val="en-US" w:eastAsia="zh-CN"/>
        </w:rPr>
        <w:t>6.2.5土壤污染防治措施</w:t>
      </w:r>
      <w:bookmarkEnd w:id="255"/>
    </w:p>
    <w:p w14:paraId="283A5D3E">
      <w:pPr>
        <w:pStyle w:val="24"/>
        <w:snapToGrid w:val="0"/>
        <w:jc w:val="left"/>
        <w:rPr>
          <w:rFonts w:hint="default" w:ascii="Times New Roman" w:hAnsi="Times New Roman" w:eastAsia="华文中宋" w:cs="Times New Roman"/>
          <w:color w:val="auto"/>
          <w:lang w:val="en-GB" w:eastAsia="zh-CN"/>
        </w:rPr>
      </w:pPr>
      <w:r>
        <w:rPr>
          <w:rFonts w:hint="default" w:ascii="Times New Roman" w:hAnsi="Times New Roman" w:eastAsia="华文中宋" w:cs="Times New Roman"/>
          <w:color w:val="auto"/>
          <w:lang w:val="en-US" w:eastAsia="zh-CN"/>
        </w:rPr>
        <w:t>本项目土壤污染防治措施按照</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源头控制、过程防控和跟踪监控</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相结合的原则进行控制。</w:t>
      </w:r>
    </w:p>
    <w:p w14:paraId="09B7798A">
      <w:pPr>
        <w:pStyle w:val="24"/>
        <w:snapToGrid w:val="0"/>
        <w:jc w:val="left"/>
        <w:rPr>
          <w:rFonts w:hint="default" w:ascii="Times New Roman" w:hAnsi="Times New Roman" w:eastAsia="华文中宋" w:cs="Times New Roman"/>
          <w:color w:val="auto"/>
          <w:lang w:val="en-GB" w:eastAsia="zh-CN"/>
        </w:rPr>
      </w:pPr>
      <w:r>
        <w:rPr>
          <w:rFonts w:hint="default" w:ascii="Times New Roman" w:hAnsi="Times New Roman" w:eastAsia="华文中宋" w:cs="Times New Roman"/>
          <w:color w:val="auto"/>
          <w:lang w:val="en-US" w:eastAsia="zh-CN"/>
        </w:rPr>
        <w:t>（1）源头控制措施</w:t>
      </w:r>
    </w:p>
    <w:p w14:paraId="4880B5F2">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微软雅黑" w:cs="Times New Roman"/>
          <w:color w:val="auto"/>
          <w:lang w:val="en-US" w:eastAsia="zh-CN"/>
        </w:rPr>
        <w:t>①</w:t>
      </w:r>
      <w:r>
        <w:rPr>
          <w:rFonts w:hint="default" w:ascii="Times New Roman" w:hAnsi="Times New Roman" w:eastAsia="华文中宋" w:cs="Times New Roman"/>
          <w:color w:val="auto"/>
          <w:lang w:val="en-US" w:eastAsia="zh-CN"/>
        </w:rPr>
        <w:t>严格按照国家相关规范要求，对本项目</w:t>
      </w:r>
      <w:r>
        <w:rPr>
          <w:rFonts w:hint="eastAsia" w:ascii="Times New Roman" w:hAnsi="Times New Roman" w:cs="Times New Roman"/>
          <w:color w:val="auto"/>
          <w:lang w:val="en-US" w:eastAsia="zh-CN"/>
        </w:rPr>
        <w:t>设计土壤污染区域</w:t>
      </w:r>
      <w:r>
        <w:rPr>
          <w:rFonts w:hint="default" w:ascii="Times New Roman" w:hAnsi="Times New Roman" w:eastAsia="华文中宋" w:cs="Times New Roman"/>
          <w:color w:val="auto"/>
          <w:lang w:val="en-US" w:eastAsia="zh-CN"/>
        </w:rPr>
        <w:t>等采取相应措施，以防止和降低污染物的跑、冒、滴、漏，将污染物泄漏的环境风险事故降到最低程度。</w:t>
      </w:r>
    </w:p>
    <w:p w14:paraId="592B485E">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微软雅黑" w:cs="Times New Roman"/>
          <w:color w:val="auto"/>
          <w:lang w:val="en-US" w:eastAsia="zh-CN"/>
        </w:rPr>
        <w:t>②</w:t>
      </w:r>
      <w:r>
        <w:rPr>
          <w:rFonts w:hint="default" w:ascii="Times New Roman" w:hAnsi="Times New Roman" w:eastAsia="华文中宋" w:cs="Times New Roman"/>
          <w:color w:val="auto"/>
          <w:lang w:val="en-US" w:eastAsia="zh-CN"/>
        </w:rPr>
        <w:t>堆放固体废物的废石堆放场按照国家相关规范要求，采取防泄漏措施。</w:t>
      </w:r>
    </w:p>
    <w:p w14:paraId="383D99EF">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微软雅黑" w:cs="Times New Roman"/>
          <w:color w:val="auto"/>
          <w:lang w:val="en-US" w:eastAsia="zh-CN"/>
        </w:rPr>
        <w:t>③</w:t>
      </w:r>
      <w:r>
        <w:rPr>
          <w:rFonts w:hint="default" w:ascii="Times New Roman" w:hAnsi="Times New Roman" w:eastAsia="华文中宋" w:cs="Times New Roman"/>
          <w:color w:val="auto"/>
          <w:lang w:val="en-US" w:eastAsia="zh-CN"/>
        </w:rPr>
        <w:t>严格固体废物管理，不接触外界降水，使其不产生淋溶水，严防污染物泄漏到地下水及土壤中。</w:t>
      </w:r>
    </w:p>
    <w:p w14:paraId="1E421F4D">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微软雅黑" w:cs="Times New Roman"/>
          <w:color w:val="auto"/>
          <w:lang w:val="en-US" w:eastAsia="zh-CN"/>
        </w:rPr>
        <w:t>④</w:t>
      </w:r>
      <w:r>
        <w:rPr>
          <w:rFonts w:hint="default" w:ascii="Times New Roman" w:hAnsi="Times New Roman" w:eastAsia="华文中宋" w:cs="Times New Roman"/>
          <w:color w:val="auto"/>
          <w:lang w:val="en-US" w:eastAsia="zh-CN"/>
        </w:rPr>
        <w:t>运营期废水应循环利用，不得外排，避免污染项目区土壤环境。</w:t>
      </w:r>
    </w:p>
    <w:p w14:paraId="4FDD174F">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微软雅黑" w:cs="Times New Roman"/>
          <w:color w:val="auto"/>
          <w:lang w:val="en-US" w:eastAsia="zh-CN"/>
        </w:rPr>
        <w:t>⑤</w:t>
      </w:r>
      <w:r>
        <w:rPr>
          <w:rFonts w:hint="default" w:ascii="Times New Roman" w:hAnsi="Times New Roman" w:eastAsia="华文中宋" w:cs="Times New Roman"/>
          <w:color w:val="auto"/>
          <w:lang w:val="en-US" w:eastAsia="zh-CN"/>
        </w:rPr>
        <w:t>运营期使用的废油桶及沾有油污的废料不得随意堆放在未做防护设施的地面上，防止土壤污染。</w:t>
      </w:r>
    </w:p>
    <w:p w14:paraId="2F6683A2">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微软雅黑" w:cs="Times New Roman"/>
          <w:color w:val="auto"/>
          <w:lang w:val="en-US" w:eastAsia="zh-CN"/>
        </w:rPr>
        <w:t>⑥</w:t>
      </w:r>
      <w:r>
        <w:rPr>
          <w:rFonts w:hint="default" w:ascii="Times New Roman" w:hAnsi="Times New Roman" w:eastAsia="华文中宋" w:cs="Times New Roman"/>
          <w:color w:val="auto"/>
          <w:lang w:val="en-US" w:eastAsia="zh-CN"/>
        </w:rPr>
        <w:t>运营期开采废石全部用作采坑填充；生活垃圾在生活区设垃圾箱集中收集后，定期清运至最近的环卫部分指定的生活垃圾填埋场处置；废</w:t>
      </w:r>
      <w:r>
        <w:rPr>
          <w:rFonts w:hint="eastAsia" w:ascii="Times New Roman" w:hAnsi="Times New Roman" w:cs="Times New Roman"/>
          <w:color w:val="auto"/>
          <w:lang w:val="en-US" w:eastAsia="zh-CN"/>
        </w:rPr>
        <w:t>润滑油</w:t>
      </w:r>
      <w:r>
        <w:rPr>
          <w:rFonts w:hint="default" w:ascii="Times New Roman" w:hAnsi="Times New Roman" w:eastAsia="华文中宋" w:cs="Times New Roman"/>
          <w:color w:val="auto"/>
          <w:lang w:val="en-US" w:eastAsia="zh-CN"/>
        </w:rPr>
        <w:t>等危险废物定期交由有资质单位处置。</w:t>
      </w:r>
    </w:p>
    <w:p w14:paraId="2A3C68B7">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（2）分区防渗</w:t>
      </w:r>
    </w:p>
    <w:p w14:paraId="453838FF">
      <w:pPr>
        <w:pStyle w:val="24"/>
        <w:snapToGrid w:val="0"/>
        <w:jc w:val="left"/>
        <w:rPr>
          <w:rFonts w:hint="default" w:ascii="Times New Roman" w:hAnsi="Times New Roman" w:eastAsia="华文中宋" w:cs="Times New Roman"/>
          <w:color w:val="auto"/>
        </w:rPr>
      </w:pPr>
      <w:r>
        <w:rPr>
          <w:rFonts w:hint="eastAsia" w:ascii="Times New Roman" w:hAnsi="Times New Roman" w:cs="Times New Roman"/>
          <w:color w:val="auto"/>
          <w:lang w:val="en-US" w:eastAsia="zh-CN"/>
        </w:rPr>
        <w:t>项目矿区</w:t>
      </w:r>
      <w:r>
        <w:rPr>
          <w:rFonts w:hint="default" w:ascii="Times New Roman" w:hAnsi="Times New Roman" w:eastAsia="华文中宋" w:cs="Times New Roman"/>
          <w:color w:val="auto"/>
        </w:rPr>
        <w:t>设置地面防渗措施，划分为重点防渗区、一般防渗区和简单防渗区，其中</w:t>
      </w:r>
      <w:r>
        <w:rPr>
          <w:rFonts w:hint="default" w:ascii="Times New Roman" w:hAnsi="Times New Roman" w:eastAsia="华文中宋" w:cs="Times New Roman"/>
          <w:color w:val="auto"/>
          <w:lang w:eastAsia="zh-CN"/>
        </w:rPr>
        <w:t>柴油</w:t>
      </w:r>
      <w:r>
        <w:rPr>
          <w:rFonts w:hint="default" w:ascii="Times New Roman" w:hAnsi="Times New Roman" w:eastAsia="华文中宋" w:cs="Times New Roman"/>
          <w:color w:val="auto"/>
          <w:lang w:val="en-US" w:eastAsia="zh-CN"/>
        </w:rPr>
        <w:t>储存区</w:t>
      </w:r>
      <w:r>
        <w:rPr>
          <w:rFonts w:hint="default" w:ascii="Times New Roman" w:hAnsi="Times New Roman" w:eastAsia="华文中宋" w:cs="Times New Roman"/>
          <w:color w:val="auto"/>
        </w:rPr>
        <w:t>及危险废物暂存间为重点防渗区，</w:t>
      </w:r>
      <w:r>
        <w:rPr>
          <w:rFonts w:hint="eastAsia" w:ascii="Times New Roman" w:hAnsi="Times New Roman" w:cs="Times New Roman"/>
          <w:color w:val="auto"/>
          <w:lang w:val="en-US" w:eastAsia="zh-CN"/>
        </w:rPr>
        <w:t>露天</w:t>
      </w:r>
      <w:r>
        <w:rPr>
          <w:rFonts w:hint="default" w:ascii="Times New Roman" w:hAnsi="Times New Roman" w:eastAsia="华文中宋" w:cs="Times New Roman"/>
          <w:color w:val="auto"/>
          <w:lang w:val="en-US" w:eastAsia="zh-CN"/>
        </w:rPr>
        <w:t>堆场、</w:t>
      </w:r>
      <w:r>
        <w:rPr>
          <w:rFonts w:hint="default" w:ascii="Times New Roman" w:hAnsi="Times New Roman" w:eastAsia="华文中宋" w:cs="Times New Roman"/>
          <w:color w:val="auto"/>
        </w:rPr>
        <w:t>生活污水</w:t>
      </w:r>
      <w:r>
        <w:rPr>
          <w:rFonts w:hint="eastAsia" w:ascii="Times New Roman" w:hAnsi="Times New Roman" w:cs="Times New Roman"/>
          <w:color w:val="auto"/>
          <w:lang w:val="en-US" w:eastAsia="zh-CN"/>
        </w:rPr>
        <w:t>设施、矿坑水处理设施</w:t>
      </w:r>
      <w:r>
        <w:rPr>
          <w:rFonts w:hint="default" w:ascii="Times New Roman" w:hAnsi="Times New Roman" w:eastAsia="华文中宋" w:cs="Times New Roman"/>
          <w:color w:val="auto"/>
        </w:rPr>
        <w:t>等为一般防渗区，其他</w:t>
      </w:r>
      <w:r>
        <w:rPr>
          <w:rFonts w:hint="eastAsia" w:ascii="Times New Roman" w:hAnsi="Times New Roman" w:cs="Times New Roman"/>
          <w:color w:val="auto"/>
          <w:lang w:val="en-US" w:eastAsia="zh-CN"/>
        </w:rPr>
        <w:t>生活办公区等</w:t>
      </w:r>
      <w:r>
        <w:rPr>
          <w:rFonts w:hint="default" w:ascii="Times New Roman" w:hAnsi="Times New Roman" w:eastAsia="华文中宋" w:cs="Times New Roman"/>
          <w:color w:val="auto"/>
        </w:rPr>
        <w:t>位置为简单防渗区。同时，</w:t>
      </w:r>
      <w:r>
        <w:rPr>
          <w:rFonts w:hint="default" w:ascii="Times New Roman" w:hAnsi="Times New Roman" w:eastAsia="华文中宋" w:cs="Times New Roman"/>
          <w:color w:val="auto"/>
          <w:lang w:eastAsia="zh-CN"/>
        </w:rPr>
        <w:t>要求</w:t>
      </w:r>
      <w:r>
        <w:rPr>
          <w:rFonts w:hint="default" w:ascii="Times New Roman" w:hAnsi="Times New Roman" w:eastAsia="华文中宋" w:cs="Times New Roman"/>
          <w:color w:val="auto"/>
        </w:rPr>
        <w:t>危险废物暂存间设置事故水池和导流槽，用于泄漏液体的收集，并设置堵截泄漏的</w:t>
      </w:r>
      <w:r>
        <w:rPr>
          <w:rFonts w:hint="eastAsia" w:ascii="Times New Roman" w:hAnsi="Times New Roman" w:eastAsia="华文中宋" w:cs="Times New Roman"/>
          <w:color w:val="auto"/>
          <w:lang w:eastAsia="zh-CN"/>
        </w:rPr>
        <w:t>裙角</w:t>
      </w:r>
      <w:r>
        <w:rPr>
          <w:rFonts w:hint="default" w:ascii="Times New Roman" w:hAnsi="Times New Roman" w:eastAsia="华文中宋" w:cs="Times New Roman"/>
          <w:color w:val="auto"/>
        </w:rPr>
        <w:t>，危险废物及时委托有资质单位有专用车运输，整个过程基本上可以杜绝危险废物接触土壤。</w:t>
      </w:r>
    </w:p>
    <w:p w14:paraId="3916C079">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（3）其他措施</w:t>
      </w:r>
    </w:p>
    <w:p w14:paraId="399ACE64">
      <w:pPr>
        <w:pStyle w:val="24"/>
        <w:snapToGrid w:val="0"/>
        <w:jc w:val="left"/>
        <w:rPr>
          <w:rFonts w:hint="default" w:ascii="Times New Roman" w:hAnsi="Times New Roman" w:eastAsia="华文中宋" w:cs="Times New Roman"/>
          <w:color w:val="auto"/>
        </w:rPr>
      </w:pPr>
      <w:r>
        <w:rPr>
          <w:rFonts w:hint="default" w:ascii="Times New Roman" w:hAnsi="Times New Roman" w:eastAsia="微软雅黑" w:cs="Times New Roman"/>
          <w:color w:val="auto"/>
          <w:lang w:val="en-US" w:eastAsia="zh-CN"/>
        </w:rPr>
        <w:t>①</w:t>
      </w:r>
      <w:r>
        <w:rPr>
          <w:rFonts w:hint="default" w:ascii="Times New Roman" w:hAnsi="Times New Roman" w:eastAsia="华文中宋" w:cs="Times New Roman"/>
          <w:color w:val="auto"/>
        </w:rPr>
        <w:t>利用废石</w:t>
      </w:r>
      <w:r>
        <w:rPr>
          <w:rFonts w:hint="default" w:ascii="Times New Roman" w:hAnsi="Times New Roman" w:eastAsia="华文中宋" w:cs="Times New Roman"/>
          <w:color w:val="auto"/>
          <w:lang w:val="en-US" w:eastAsia="zh-CN"/>
        </w:rPr>
        <w:t>修建</w:t>
      </w:r>
      <w:r>
        <w:rPr>
          <w:rFonts w:hint="default" w:ascii="Times New Roman" w:hAnsi="Times New Roman" w:eastAsia="华文中宋" w:cs="Times New Roman"/>
          <w:color w:val="auto"/>
        </w:rPr>
        <w:t>道路与</w:t>
      </w:r>
      <w:r>
        <w:rPr>
          <w:rFonts w:hint="eastAsia" w:ascii="Times New Roman" w:hAnsi="Times New Roman" w:cs="Times New Roman"/>
          <w:color w:val="auto"/>
          <w:lang w:val="en-US" w:eastAsia="zh-CN"/>
        </w:rPr>
        <w:t>矿区内堆场及生活办公区</w:t>
      </w:r>
      <w:r>
        <w:rPr>
          <w:rFonts w:hint="default" w:ascii="Times New Roman" w:hAnsi="Times New Roman" w:eastAsia="华文中宋" w:cs="Times New Roman"/>
          <w:color w:val="auto"/>
        </w:rPr>
        <w:t>、提高废石利用率，减少废石堆放量和占用土地面积。</w:t>
      </w:r>
    </w:p>
    <w:p w14:paraId="15E36D76">
      <w:pPr>
        <w:pStyle w:val="24"/>
        <w:snapToGrid w:val="0"/>
        <w:jc w:val="left"/>
        <w:rPr>
          <w:rFonts w:hint="default" w:ascii="Times New Roman" w:hAnsi="Times New Roman" w:eastAsia="华文中宋" w:cs="Times New Roman"/>
          <w:color w:val="auto"/>
        </w:rPr>
      </w:pPr>
      <w:r>
        <w:rPr>
          <w:rFonts w:hint="default" w:ascii="Times New Roman" w:hAnsi="Times New Roman" w:eastAsia="微软雅黑" w:cs="Times New Roman"/>
          <w:color w:val="auto"/>
          <w:lang w:val="en-US" w:eastAsia="zh-CN"/>
        </w:rPr>
        <w:t>②</w:t>
      </w:r>
      <w:r>
        <w:rPr>
          <w:rFonts w:hint="default" w:ascii="Times New Roman" w:hAnsi="Times New Roman" w:eastAsia="华文中宋" w:cs="Times New Roman"/>
          <w:color w:val="auto"/>
        </w:rPr>
        <w:t>保护矿区内不扰动区域土壤环境，禁止开垦、焚烧及采挖石料等。</w:t>
      </w:r>
    </w:p>
    <w:p w14:paraId="399EFF8C">
      <w:pPr>
        <w:pStyle w:val="24"/>
        <w:snapToGrid w:val="0"/>
        <w:jc w:val="left"/>
        <w:rPr>
          <w:rFonts w:hint="default" w:ascii="Times New Roman" w:hAnsi="Times New Roman" w:eastAsia="华文中宋" w:cs="Times New Roman"/>
          <w:color w:val="auto"/>
        </w:rPr>
      </w:pPr>
      <w:r>
        <w:rPr>
          <w:rFonts w:hint="default" w:ascii="Times New Roman" w:hAnsi="Times New Roman" w:eastAsia="微软雅黑" w:cs="Times New Roman"/>
          <w:color w:val="auto"/>
          <w:lang w:val="en-US" w:eastAsia="zh-CN"/>
        </w:rPr>
        <w:t>③</w:t>
      </w:r>
      <w:r>
        <w:rPr>
          <w:rFonts w:hint="default" w:ascii="Times New Roman" w:hAnsi="Times New Roman" w:eastAsia="华文中宋" w:cs="Times New Roman"/>
          <w:color w:val="auto"/>
        </w:rPr>
        <w:t>矿区未破坏区域保持原土地利用类型，保护地表砾幕层，减少风蚀类水土流失量。</w:t>
      </w:r>
    </w:p>
    <w:p w14:paraId="208FE148">
      <w:pPr>
        <w:pStyle w:val="4"/>
        <w:spacing w:before="120" w:after="120" w:line="500" w:lineRule="exact"/>
      </w:pPr>
      <w:bookmarkStart w:id="256" w:name="_Toc10535"/>
      <w:bookmarkStart w:id="257" w:name="_Toc19490"/>
      <w:bookmarkStart w:id="258" w:name="_Toc19107"/>
      <w:bookmarkStart w:id="259" w:name="_Toc10136"/>
      <w:r>
        <w:rPr>
          <w:rFonts w:hint="default" w:ascii="Times New Roman" w:hAnsi="Times New Roman" w:eastAsia="华文中宋" w:cs="Times New Roman"/>
          <w:kern w:val="0"/>
          <w:sz w:val="24"/>
          <w:szCs w:val="24"/>
          <w:lang w:val="en-US" w:eastAsia="zh-CN"/>
        </w:rPr>
        <w:t>6.2.6生态保护与恢复治理措施</w:t>
      </w:r>
      <w:bookmarkEnd w:id="256"/>
      <w:bookmarkEnd w:id="257"/>
      <w:bookmarkEnd w:id="258"/>
      <w:bookmarkEnd w:id="259"/>
    </w:p>
    <w:p w14:paraId="02CAFCD9">
      <w:pPr>
        <w:pStyle w:val="24"/>
        <w:snapToGrid w:val="0"/>
        <w:ind w:left="0" w:leftChars="0" w:firstLine="0" w:firstLineChars="0"/>
        <w:jc w:val="left"/>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6.2.6.1矿山生态保护与恢复方案</w:t>
      </w:r>
    </w:p>
    <w:p w14:paraId="39DB53D8">
      <w:pPr>
        <w:pStyle w:val="24"/>
        <w:snapToGrid w:val="0"/>
        <w:ind w:left="0" w:leftChars="0" w:firstLine="480" w:firstLineChars="200"/>
        <w:jc w:val="left"/>
        <w:rPr>
          <w:rFonts w:hint="eastAsia" w:ascii="Times New Roman" w:hAnsi="Times New Roman" w:eastAsia="华文中宋" w:cs="Times New Roman"/>
          <w:color w:val="auto"/>
          <w:lang w:eastAsia="zh-CN"/>
        </w:rPr>
      </w:pPr>
      <w:r>
        <w:rPr>
          <w:rFonts w:hint="eastAsia" w:ascii="Times New Roman" w:hAnsi="Times New Roman" w:eastAsia="华文中宋" w:cs="Times New Roman"/>
          <w:color w:val="auto"/>
          <w:lang w:val="en-US" w:eastAsia="zh-CN"/>
        </w:rPr>
        <w:t>结合本矿山的生态环境现状和当地土地利用规划，根据《新疆维吾尔自治区主体功能区规划》《新疆生态功能区划》《矿山生态环境保护与恢复治理技术规范</w:t>
      </w:r>
      <w:r>
        <w:rPr>
          <w:rFonts w:hint="eastAsia" w:ascii="Times New Roman" w:hAnsi="Times New Roman" w:cs="Times New Roman"/>
          <w:color w:val="auto"/>
          <w:lang w:val="en-US" w:eastAsia="zh-CN"/>
        </w:rPr>
        <w:t>（试行）</w:t>
      </w:r>
      <w:r>
        <w:rPr>
          <w:rFonts w:hint="eastAsia" w:ascii="Times New Roman" w:hAnsi="Times New Roman" w:eastAsia="华文中宋" w:cs="Times New Roman"/>
          <w:color w:val="auto"/>
          <w:lang w:val="en-US" w:eastAsia="zh-CN"/>
        </w:rPr>
        <w:t>》同时结合评价区实际的生态环境现状调查结果和当地土地利用规划，按照不同的生态建设分区、分阶段提出了具体的生态综合整治目标、措施</w:t>
      </w:r>
      <w:r>
        <w:rPr>
          <w:rFonts w:hint="eastAsia" w:ascii="Times New Roman" w:hAnsi="Times New Roman" w:cs="Times New Roman"/>
          <w:color w:val="auto"/>
          <w:lang w:val="en-US" w:eastAsia="zh-CN"/>
        </w:rPr>
        <w:t>，项目复垦责任范围示意图见图6.2-1</w:t>
      </w:r>
      <w:r>
        <w:rPr>
          <w:rFonts w:hint="eastAsia" w:ascii="Times New Roman" w:hAnsi="Times New Roman" w:eastAsia="华文中宋" w:cs="Times New Roman"/>
          <w:color w:val="auto"/>
          <w:lang w:val="en-US" w:eastAsia="zh-CN"/>
        </w:rPr>
        <w:t>。</w:t>
      </w:r>
    </w:p>
    <w:p w14:paraId="1B529ACD">
      <w:pPr>
        <w:pStyle w:val="24"/>
        <w:snapToGrid w:val="0"/>
        <w:ind w:left="0" w:leftChars="0" w:firstLine="0" w:firstLineChars="0"/>
        <w:jc w:val="left"/>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6.2.6.2矿山生态保护与恢复治理的一般要求</w:t>
      </w:r>
    </w:p>
    <w:p w14:paraId="4DC2FA3A">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val="en-US" w:eastAsia="zh-CN"/>
        </w:rPr>
        <w:t>矿山生态保护与恢复治理的一般要求见表6.2-</w:t>
      </w:r>
      <w:r>
        <w:rPr>
          <w:rFonts w:hint="eastAsia" w:ascii="Times New Roman" w:hAnsi="Times New Roman" w:cs="Times New Roman"/>
          <w:color w:val="auto"/>
          <w:lang w:val="en-US" w:eastAsia="zh-CN"/>
        </w:rPr>
        <w:t>2</w:t>
      </w:r>
      <w:r>
        <w:rPr>
          <w:rFonts w:hint="default" w:ascii="Times New Roman" w:hAnsi="Times New Roman" w:eastAsia="华文中宋" w:cs="Times New Roman"/>
          <w:color w:val="auto"/>
          <w:lang w:val="en-US" w:eastAsia="zh-CN"/>
        </w:rPr>
        <w:t>。</w:t>
      </w:r>
    </w:p>
    <w:p w14:paraId="1C43DDB3">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eastAsia" w:ascii="Times New Roman" w:hAnsi="Times New Roman" w:eastAsia="华文中宋" w:cs="Times New Roman"/>
          <w:b/>
          <w:szCs w:val="21"/>
          <w:lang w:val="en-US" w:eastAsia="zh-CN"/>
        </w:rPr>
        <w:t>表6.2-2  矿山保护与恢复治理的一般要求</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6585"/>
        <w:gridCol w:w="1167"/>
      </w:tblGrid>
      <w:tr w14:paraId="7BAA8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14:paraId="2B001B20">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序号</w:t>
            </w:r>
          </w:p>
        </w:tc>
        <w:tc>
          <w:tcPr>
            <w:tcW w:w="6585" w:type="dxa"/>
            <w:vAlign w:val="center"/>
          </w:tcPr>
          <w:p w14:paraId="4F75F45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保护与恢复治理要求</w:t>
            </w:r>
          </w:p>
        </w:tc>
        <w:tc>
          <w:tcPr>
            <w:tcW w:w="1167" w:type="dxa"/>
            <w:vAlign w:val="center"/>
          </w:tcPr>
          <w:p w14:paraId="6F7FFC8A">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符合情况</w:t>
            </w:r>
          </w:p>
        </w:tc>
      </w:tr>
      <w:tr w14:paraId="609E5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14:paraId="5E20173F">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w:t>
            </w:r>
          </w:p>
        </w:tc>
        <w:tc>
          <w:tcPr>
            <w:tcW w:w="6585" w:type="dxa"/>
            <w:vAlign w:val="center"/>
          </w:tcPr>
          <w:p w14:paraId="184DAEA0">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禁止在依法划定的自然保护区、风景名胜区、森林公园、饮用水水源保护区、文物古迹所在地、地质遗迹保护区、基本农田保护区等重要生态保护地以及其他法律法规规定的禁采区域内采矿。</w:t>
            </w:r>
          </w:p>
        </w:tc>
        <w:tc>
          <w:tcPr>
            <w:tcW w:w="1167" w:type="dxa"/>
            <w:vAlign w:val="center"/>
          </w:tcPr>
          <w:p w14:paraId="69B9E50D">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符合</w:t>
            </w:r>
          </w:p>
        </w:tc>
      </w:tr>
      <w:tr w14:paraId="5C311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14:paraId="3C607659">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w:t>
            </w:r>
          </w:p>
        </w:tc>
        <w:tc>
          <w:tcPr>
            <w:tcW w:w="6585" w:type="dxa"/>
            <w:vAlign w:val="center"/>
          </w:tcPr>
          <w:p w14:paraId="6483CD83">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矿产资源开发活动应符合国家和区域主体功能区规划、生态功能区划、生态环境保护规划的要求，采取有效预防和保护措施，避免或减轻矿产资源开发活动造成的生态破坏和环境污染。</w:t>
            </w:r>
          </w:p>
        </w:tc>
        <w:tc>
          <w:tcPr>
            <w:tcW w:w="1167" w:type="dxa"/>
            <w:vAlign w:val="center"/>
          </w:tcPr>
          <w:p w14:paraId="6A370AA6">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符合</w:t>
            </w:r>
          </w:p>
        </w:tc>
      </w:tr>
      <w:tr w14:paraId="18175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14:paraId="0942F44A">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w:t>
            </w:r>
          </w:p>
        </w:tc>
        <w:tc>
          <w:tcPr>
            <w:tcW w:w="6585" w:type="dxa"/>
            <w:vAlign w:val="center"/>
          </w:tcPr>
          <w:p w14:paraId="651BAB47">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坚持预防为主、防治结合、过程控制的原则，将矿山生态环境保护与恢复治理贯穿矿产资源开采的全过程。根据矿山生态环境保护与恢复治理的重点任务，合理确定矿山生态保护与恢复治理分区，优化矿区生产与生活空间格局。采用新技术、新方法、新工艺提高矿山生态环境保护和恢复治理水平。</w:t>
            </w:r>
          </w:p>
        </w:tc>
        <w:tc>
          <w:tcPr>
            <w:tcW w:w="1167" w:type="dxa"/>
            <w:vAlign w:val="center"/>
          </w:tcPr>
          <w:p w14:paraId="34674819">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符合</w:t>
            </w:r>
          </w:p>
        </w:tc>
      </w:tr>
      <w:tr w14:paraId="70526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14:paraId="41FD6FC1">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4</w:t>
            </w:r>
          </w:p>
        </w:tc>
        <w:tc>
          <w:tcPr>
            <w:tcW w:w="6585" w:type="dxa"/>
            <w:vAlign w:val="center"/>
          </w:tcPr>
          <w:p w14:paraId="1C85506C">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所有矿山企业均应对照本标准各项要求，编制实施矿山生态环境保护与恢复治理方案。</w:t>
            </w:r>
          </w:p>
        </w:tc>
        <w:tc>
          <w:tcPr>
            <w:tcW w:w="1167" w:type="dxa"/>
            <w:vAlign w:val="center"/>
          </w:tcPr>
          <w:p w14:paraId="424EC8FF">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符合</w:t>
            </w:r>
          </w:p>
        </w:tc>
      </w:tr>
      <w:tr w14:paraId="245B9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vAlign w:val="center"/>
          </w:tcPr>
          <w:p w14:paraId="36466610">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w:t>
            </w:r>
          </w:p>
        </w:tc>
        <w:tc>
          <w:tcPr>
            <w:tcW w:w="6585" w:type="dxa"/>
            <w:vAlign w:val="center"/>
          </w:tcPr>
          <w:p w14:paraId="28D291E5">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恢复治理后的各类场地应实现：安全稳定，对人类和动植物不造成威胁；对周边环境不产生污染；与周边自然环境和景观相协调；恢复土地基本功能，因地制宜实现土地可持续利用；区域整体生态功能得到保护和恢复。</w:t>
            </w:r>
          </w:p>
        </w:tc>
        <w:tc>
          <w:tcPr>
            <w:tcW w:w="1167" w:type="dxa"/>
            <w:vAlign w:val="center"/>
          </w:tcPr>
          <w:p w14:paraId="49DDE260">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符合</w:t>
            </w:r>
          </w:p>
        </w:tc>
      </w:tr>
    </w:tbl>
    <w:p w14:paraId="66E1BDD1">
      <w:pPr>
        <w:pStyle w:val="24"/>
        <w:snapToGrid w:val="0"/>
        <w:ind w:left="0" w:leftChars="0" w:firstLine="0" w:firstLineChars="0"/>
        <w:jc w:val="left"/>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6.2.6.3生产运营期间生态恢复措施</w:t>
      </w:r>
    </w:p>
    <w:p w14:paraId="357C1E7B">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结合矿区的自然条件、自然资源、社会经济状况和区域经济的开发、建设、发展对环境保护综合治理的要求，按照因地制宜、因害设防、科学治理、保护开发并举，遏制采矿活动导致的生态环境的恶化，减少各种自然灾害的发生。进一步改善环境质量，保持生态自然修复功能，增强社会经济和人民生活生产所依赖的生态屏障功能。</w:t>
      </w:r>
    </w:p>
    <w:p w14:paraId="282C3729">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按照边开采边恢复、终止采矿活动时必须完成恢复治理的原则，要做到预防为主，针对存在的问题，制定出预防措施，对生产中出现的问题要及时采取相应的措施予以解决，达到防灾、减灾的目的。</w:t>
      </w:r>
    </w:p>
    <w:p w14:paraId="73F28DF8">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（1）废石堆放场生态环境恢复措施</w:t>
      </w:r>
    </w:p>
    <w:p w14:paraId="3E1A56EC">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①</w:t>
      </w:r>
      <w:r>
        <w:rPr>
          <w:rFonts w:hint="eastAsia" w:ascii="Times New Roman" w:hAnsi="Times New Roman" w:eastAsia="华文中宋" w:cs="Times New Roman"/>
          <w:color w:val="auto"/>
          <w:lang w:val="en-US" w:eastAsia="zh-CN"/>
        </w:rPr>
        <w:t>废石堆放</w:t>
      </w:r>
      <w:r>
        <w:rPr>
          <w:rFonts w:hint="default" w:ascii="Times New Roman" w:hAnsi="Times New Roman" w:eastAsia="华文中宋" w:cs="Times New Roman"/>
          <w:color w:val="auto"/>
          <w:lang w:val="en-US" w:eastAsia="zh-CN"/>
        </w:rPr>
        <w:t>水土保持与稳定性要求</w:t>
      </w:r>
    </w:p>
    <w:p w14:paraId="52DF741D">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项目废石堆放场</w:t>
      </w:r>
      <w:r>
        <w:rPr>
          <w:rFonts w:hint="default" w:ascii="Times New Roman" w:hAnsi="Times New Roman" w:eastAsia="华文中宋" w:cs="Times New Roman"/>
          <w:color w:val="auto"/>
          <w:lang w:val="en-US" w:eastAsia="zh-CN"/>
        </w:rPr>
        <w:t>按照《一般工业固体废物贮存和填埋污染控制标准》（GB18599-2020）中的有关规定进行设计、建设，使其满足一般工业固体废物贮存场所设计要求。</w:t>
      </w:r>
    </w:p>
    <w:p w14:paraId="20281069">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②</w:t>
      </w:r>
      <w:r>
        <w:rPr>
          <w:rFonts w:hint="eastAsia" w:ascii="Times New Roman" w:hAnsi="Times New Roman" w:eastAsia="华文中宋" w:cs="Times New Roman"/>
          <w:color w:val="auto"/>
          <w:lang w:val="en-US" w:eastAsia="zh-CN"/>
        </w:rPr>
        <w:t>废石堆放</w:t>
      </w:r>
      <w:r>
        <w:rPr>
          <w:rFonts w:hint="default" w:ascii="Times New Roman" w:hAnsi="Times New Roman" w:eastAsia="华文中宋" w:cs="Times New Roman"/>
          <w:color w:val="auto"/>
          <w:lang w:val="en-US" w:eastAsia="zh-CN"/>
        </w:rPr>
        <w:t>场设置防护围栏和悬挂多种文字的警示牌；采取“先拦后弃”，按规范做好边坡防护和废石稳定工作，定期对</w:t>
      </w:r>
      <w:r>
        <w:rPr>
          <w:rFonts w:hint="eastAsia" w:ascii="Times New Roman" w:hAnsi="Times New Roman" w:eastAsia="华文中宋" w:cs="Times New Roman"/>
          <w:color w:val="auto"/>
          <w:lang w:val="en-US" w:eastAsia="zh-CN"/>
        </w:rPr>
        <w:t>废石堆放</w:t>
      </w:r>
      <w:r>
        <w:rPr>
          <w:rFonts w:hint="default" w:ascii="Times New Roman" w:hAnsi="Times New Roman" w:eastAsia="华文中宋" w:cs="Times New Roman"/>
          <w:color w:val="auto"/>
          <w:lang w:val="en-US" w:eastAsia="zh-CN"/>
        </w:rPr>
        <w:t>场进行巡检，及时发现隐患并安全处置；加强监督管理，在废石滚落范围内不允许修建道路和建筑物，竖警示牌。</w:t>
      </w:r>
    </w:p>
    <w:p w14:paraId="3EF592BB">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③采矿产生的废石集中堆放在</w:t>
      </w:r>
      <w:r>
        <w:rPr>
          <w:rFonts w:hint="eastAsia" w:ascii="Times New Roman" w:hAnsi="Times New Roman" w:eastAsia="华文中宋" w:cs="Times New Roman"/>
          <w:color w:val="auto"/>
          <w:lang w:val="en-US" w:eastAsia="zh-CN"/>
        </w:rPr>
        <w:t>废石堆放</w:t>
      </w:r>
      <w:r>
        <w:rPr>
          <w:rFonts w:hint="default" w:ascii="Times New Roman" w:hAnsi="Times New Roman" w:eastAsia="华文中宋" w:cs="Times New Roman"/>
          <w:color w:val="auto"/>
          <w:lang w:val="en-US" w:eastAsia="zh-CN"/>
        </w:rPr>
        <w:t>场。</w:t>
      </w:r>
      <w:r>
        <w:rPr>
          <w:rFonts w:hint="eastAsia" w:ascii="Times New Roman" w:hAnsi="Times New Roman" w:eastAsia="华文中宋" w:cs="Times New Roman"/>
          <w:color w:val="auto"/>
          <w:lang w:val="en-US" w:eastAsia="zh-CN"/>
        </w:rPr>
        <w:t>废石堆放</w:t>
      </w:r>
      <w:r>
        <w:rPr>
          <w:rFonts w:hint="default" w:ascii="Times New Roman" w:hAnsi="Times New Roman" w:eastAsia="华文中宋" w:cs="Times New Roman"/>
          <w:color w:val="auto"/>
          <w:lang w:val="en-US" w:eastAsia="zh-CN"/>
        </w:rPr>
        <w:t>场堆放作业时严格执行《金属非金属矿山排土场安全生产规则》要求。排土场服务期满后进行场地平整清理，自然恢复植被，使排土场与周围地貌相协调，保持矿山环境与周边生态环境相协调</w:t>
      </w:r>
      <w:r>
        <w:rPr>
          <w:rFonts w:hint="eastAsia" w:ascii="Times New Roman" w:hAnsi="Times New Roman" w:eastAsia="华文中宋" w:cs="Times New Roman"/>
          <w:color w:val="auto"/>
          <w:lang w:val="en-US" w:eastAsia="zh-CN"/>
        </w:rPr>
        <w:t>。</w:t>
      </w:r>
    </w:p>
    <w:p w14:paraId="6B175092">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（2）</w:t>
      </w:r>
      <w:r>
        <w:rPr>
          <w:rFonts w:hint="default" w:ascii="Times New Roman" w:hAnsi="Times New Roman" w:eastAsia="华文中宋" w:cs="Times New Roman"/>
          <w:color w:val="auto"/>
          <w:lang w:val="en-US" w:eastAsia="zh-CN"/>
        </w:rPr>
        <w:t>露天采坑生态恢复</w:t>
      </w:r>
    </w:p>
    <w:p w14:paraId="0D6A2371">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露天采坑出现新的滑坡区域需及时进行恢复治理。针对岩质边坡及滑坡体进行治理，综合考虑采取削坡减载、疏排水和工程加固的方法。</w:t>
      </w:r>
    </w:p>
    <w:p w14:paraId="4748B22F">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对露天采坑回填治理设计采用装载机配合自卸汽车进行拉运回填，基本可以满足本项目露天采坑回填作业要求。</w:t>
      </w:r>
    </w:p>
    <w:p w14:paraId="3BFBDD8B">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（3）</w:t>
      </w:r>
      <w:r>
        <w:rPr>
          <w:rFonts w:hint="default" w:ascii="Times New Roman" w:hAnsi="Times New Roman" w:eastAsia="华文中宋" w:cs="Times New Roman"/>
          <w:color w:val="auto"/>
          <w:lang w:val="en-US" w:eastAsia="zh-CN"/>
        </w:rPr>
        <w:t>景观恢复措施</w:t>
      </w:r>
    </w:p>
    <w:p w14:paraId="5486DFB6">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《国土资源部 财政部 环境保护部 国家质量监督检验检疫总局</w:t>
      </w:r>
      <w:r>
        <w:rPr>
          <w:rFonts w:hint="eastAsia" w:ascii="Times New Roman" w:hAnsi="Times New Roman" w:cs="Times New Roman"/>
          <w:color w:val="auto"/>
          <w:lang w:val="en-US" w:eastAsia="zh-CN"/>
        </w:rPr>
        <w:t xml:space="preserve"> </w:t>
      </w:r>
      <w:r>
        <w:rPr>
          <w:rFonts w:hint="default" w:ascii="Times New Roman" w:hAnsi="Times New Roman" w:eastAsia="华文中宋" w:cs="Times New Roman"/>
          <w:color w:val="auto"/>
          <w:lang w:val="en-US" w:eastAsia="zh-CN"/>
        </w:rPr>
        <w:t xml:space="preserve">中国银行业监督管理委员会 </w:t>
      </w:r>
      <w:r>
        <w:rPr>
          <w:rFonts w:hint="eastAsia" w:ascii="Times New Roman" w:hAnsi="Times New Roman" w:cs="Times New Roman"/>
          <w:color w:val="auto"/>
          <w:lang w:val="en-US" w:eastAsia="zh-CN"/>
        </w:rPr>
        <w:t>中</w:t>
      </w:r>
      <w:r>
        <w:rPr>
          <w:rFonts w:hint="default" w:ascii="Times New Roman" w:hAnsi="Times New Roman" w:eastAsia="华文中宋" w:cs="Times New Roman"/>
          <w:color w:val="auto"/>
          <w:lang w:val="en-US" w:eastAsia="zh-CN"/>
        </w:rPr>
        <w:t>国证券监督管理委员会关于加快建设绿色矿山的实施意见》（国土资规〔2017〕4号）和《国土资源部关于贯彻落实全国矿产资源规划发展绿色矿业建设绿色矿山工作的指导意见》，为发展绿色矿业、建设绿色矿山，体现和强化绿色开采。为进一步降低和控制景观影响的范围，本环评建议应采取的景观影响减缓措施如下：</w:t>
      </w:r>
    </w:p>
    <w:p w14:paraId="1F5D6688">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①</w:t>
      </w:r>
      <w:r>
        <w:rPr>
          <w:rFonts w:hint="default" w:ascii="Times New Roman" w:hAnsi="Times New Roman" w:eastAsia="华文中宋" w:cs="Times New Roman"/>
          <w:color w:val="auto"/>
          <w:lang w:val="en-US" w:eastAsia="zh-CN"/>
        </w:rPr>
        <w:t>矿山企业按照绿色矿山建设要求和条件，结合自身发展目标和进程，从提高资源利用水平、节能减排、保护矿山地质环境等角度出发，按照规划积极推进各项工作。</w:t>
      </w:r>
    </w:p>
    <w:p w14:paraId="64C8B88A">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②</w:t>
      </w:r>
      <w:r>
        <w:rPr>
          <w:rFonts w:hint="default" w:ascii="Times New Roman" w:hAnsi="Times New Roman" w:eastAsia="华文中宋" w:cs="Times New Roman"/>
          <w:color w:val="auto"/>
          <w:lang w:val="en-US" w:eastAsia="zh-CN"/>
        </w:rPr>
        <w:t>各级国土资源部门要切实发挥职能作用，结合地方实际情况和矿业发展特点，通过加强对绿色矿山建设工作的指导，落实鼓励和支持政策，引导企业按照绿色矿山发展模式建设和经营矿山，协调解决试点过程中遇到的问题，通过不断完善管理制度和加强监督，努力使企业的发展和地方经济发展协调一致。</w:t>
      </w:r>
    </w:p>
    <w:p w14:paraId="3357770E">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③</w:t>
      </w:r>
      <w:r>
        <w:rPr>
          <w:rFonts w:hint="default" w:ascii="Times New Roman" w:hAnsi="Times New Roman" w:eastAsia="华文中宋" w:cs="Times New Roman"/>
          <w:color w:val="auto"/>
          <w:lang w:val="en-US" w:eastAsia="zh-CN"/>
        </w:rPr>
        <w:t>用绿色矿山建设标准规范矿产资源开发利用与保护的各项活动，督促矿山企业自觉按照绿色矿山建设标准不断改进开发利用方式，提高开发利用水平，促进节能减排，落实企业社会责任，实现合理开发、节约资源、保护环境和安全生产，为绿色矿山建设工作营造良好环境。</w:t>
      </w:r>
    </w:p>
    <w:p w14:paraId="047EAE33">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④</w:t>
      </w:r>
      <w:r>
        <w:rPr>
          <w:rFonts w:hint="default" w:ascii="Times New Roman" w:hAnsi="Times New Roman" w:eastAsia="华文中宋" w:cs="Times New Roman"/>
          <w:color w:val="auto"/>
          <w:lang w:val="en-US" w:eastAsia="zh-CN"/>
        </w:rPr>
        <w:t>各种临时占地在施工完成后应尽快进行迹地恢复。施工结束后，应对场地内各种生活、生产垃圾、废料进行清理，不得影响周围环境景观。生活垃圾统一收集，严禁随意乱丢乱弃；生活废水统一收集处理，严禁随意排放，严禁污水横流，污染当地水环境，形成视觉污染。</w:t>
      </w:r>
    </w:p>
    <w:p w14:paraId="2694BEBB">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⑤</w:t>
      </w:r>
      <w:r>
        <w:rPr>
          <w:rFonts w:hint="default" w:ascii="Times New Roman" w:hAnsi="Times New Roman" w:eastAsia="华文中宋" w:cs="Times New Roman"/>
          <w:color w:val="auto"/>
          <w:lang w:val="en-US" w:eastAsia="zh-CN"/>
        </w:rPr>
        <w:t>严格规范施工范围和活动，加强组织安排和对施工、生产人员的生态、环保宣传教育，提高环保意识，将人为活动对工程区原有的生态和自然景观的干扰控制在最低程度。</w:t>
      </w:r>
    </w:p>
    <w:p w14:paraId="7E7EDF94">
      <w:pPr>
        <w:pageBreakBefore w:val="0"/>
        <w:widowControl w:val="0"/>
        <w:kinsoku/>
        <w:wordWrap/>
        <w:overflowPunct/>
        <w:topLinePunct w:val="0"/>
        <w:autoSpaceDE/>
        <w:autoSpaceDN/>
        <w:bidi w:val="0"/>
        <w:adjustRightInd/>
        <w:snapToGrid/>
        <w:spacing w:line="480" w:lineRule="exact"/>
        <w:ind w:firstLine="420" w:firstLineChars="200"/>
        <w:textAlignment w:val="auto"/>
        <w:rPr>
          <w:rFonts w:hint="default" w:ascii="Times New Roman" w:hAnsi="Times New Roman" w:eastAsia="宋体" w:cs="Times New Roman"/>
          <w:color w:val="auto"/>
          <w:kern w:val="0"/>
          <w:sz w:val="24"/>
          <w:szCs w:val="24"/>
          <w:highlight w:val="none"/>
          <w:vertAlign w:val="baseline"/>
          <w:lang w:val="en-US" w:eastAsia="zh-CN"/>
        </w:rPr>
      </w:pPr>
      <w:r>
        <w:rPr>
          <w:rFonts w:hint="eastAsia" w:ascii="Times New Roman" w:hAnsi="Times New Roman" w:cs="Times New Roman"/>
          <w:color w:val="auto"/>
          <w:lang w:val="en-US" w:eastAsia="zh-CN"/>
        </w:rPr>
        <w:t>（4）</w:t>
      </w:r>
      <w:r>
        <w:rPr>
          <w:rFonts w:hint="default" w:ascii="Times New Roman" w:hAnsi="Times New Roman" w:eastAsia="宋体" w:cs="Times New Roman"/>
          <w:color w:val="auto"/>
          <w:kern w:val="0"/>
          <w:sz w:val="24"/>
          <w:szCs w:val="24"/>
          <w:highlight w:val="none"/>
          <w:vertAlign w:val="baseline"/>
          <w:lang w:val="en-US" w:eastAsia="zh-CN"/>
        </w:rPr>
        <w:t>防沙治沙措施</w:t>
      </w:r>
    </w:p>
    <w:p w14:paraId="15EA0DB4">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项目施工期、运营期及服务期满等阶段，均应加强防沙治沙措施的实施，防止土地沙化。</w:t>
      </w:r>
    </w:p>
    <w:p w14:paraId="73A8A190">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1</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采取的技术规范、标准</w:t>
      </w:r>
    </w:p>
    <w:p w14:paraId="6744BE53">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①《中华人民共和国防沙治沙法》（2018年11月14日修订）；</w:t>
      </w:r>
    </w:p>
    <w:p w14:paraId="7236CCAD">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②《关于做好沙区开发建设项目环评中防沙治沙内容评价工作的意见》（林沙发</w:t>
      </w:r>
      <w:r>
        <w:rPr>
          <w:rFonts w:hint="eastAsia" w:ascii="Times New Roman" w:hAnsi="Times New Roman" w:eastAsia="华文中宋" w:cs="Times New Roman"/>
          <w:color w:val="auto"/>
          <w:lang w:val="en-US" w:eastAsia="zh-CN"/>
        </w:rPr>
        <w:t>〔2013〕136号</w:t>
      </w:r>
      <w:r>
        <w:rPr>
          <w:rFonts w:hint="default" w:ascii="Times New Roman" w:hAnsi="Times New Roman" w:eastAsia="华文中宋" w:cs="Times New Roman"/>
          <w:color w:val="auto"/>
          <w:lang w:val="en-US" w:eastAsia="zh-CN"/>
        </w:rPr>
        <w:t>）；</w:t>
      </w:r>
    </w:p>
    <w:p w14:paraId="32BBA9BB">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③《关于加强沙区建设项目环境影响评价工作的通知》（新环环评发</w:t>
      </w:r>
      <w:r>
        <w:rPr>
          <w:rFonts w:hint="eastAsia" w:ascii="Times New Roman" w:hAnsi="Times New Roman" w:eastAsia="华文中宋" w:cs="Times New Roman"/>
          <w:color w:val="auto"/>
          <w:lang w:val="en-US" w:eastAsia="zh-CN"/>
        </w:rPr>
        <w:t>〔2020〕138号</w:t>
      </w:r>
      <w:r>
        <w:rPr>
          <w:rFonts w:hint="default" w:ascii="Times New Roman" w:hAnsi="Times New Roman" w:eastAsia="华文中宋" w:cs="Times New Roman"/>
          <w:color w:val="auto"/>
          <w:lang w:val="en-US" w:eastAsia="zh-CN"/>
        </w:rPr>
        <w:t>）；</w:t>
      </w:r>
    </w:p>
    <w:p w14:paraId="20C0E747">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④《防沙治沙技术规范》（GB/T21141-2007）；</w:t>
      </w:r>
    </w:p>
    <w:p w14:paraId="2A98D327">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2</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制定方案的原则与目标</w:t>
      </w:r>
    </w:p>
    <w:p w14:paraId="025ADDF4">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制定方案的原则：①科学性、前瞻性与可行性相结合；②定性目标与定量指标相结合；③注重生态效益与关注民生、发展产业相结合；④节约用水和合理用水相结合；⑤坚持因地制宜的原则。</w:t>
      </w:r>
    </w:p>
    <w:p w14:paraId="1D4FDC09">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制定方案的目标：通过工程建设及后期运营，维持现有区域植被覆盖度，沙化土地扩展趋势得到遏制，区域生态环境显著改善。</w:t>
      </w:r>
    </w:p>
    <w:p w14:paraId="38C343CB">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3</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工程措施</w:t>
      </w:r>
    </w:p>
    <w:p w14:paraId="6759D615">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①严格依法坚持封禁保护，加强管理，严禁不合理利用土地、草地等资源行为，避免沙区植被资源遭到破坏。</w:t>
      </w:r>
      <w:r>
        <w:rPr>
          <w:rFonts w:hint="eastAsia" w:ascii="Times New Roman" w:hAnsi="Times New Roman" w:eastAsia="华文中宋" w:cs="Times New Roman"/>
          <w:color w:val="auto"/>
          <w:lang w:val="en-US" w:eastAsia="zh-CN"/>
        </w:rPr>
        <w:t>应相应</w:t>
      </w:r>
      <w:r>
        <w:rPr>
          <w:rFonts w:hint="default" w:ascii="Times New Roman" w:hAnsi="Times New Roman" w:eastAsia="华文中宋" w:cs="Times New Roman"/>
          <w:color w:val="auto"/>
          <w:lang w:val="en-US" w:eastAsia="zh-CN"/>
        </w:rPr>
        <w:t>提高矿区植被的覆盖率</w:t>
      </w:r>
      <w:r>
        <w:rPr>
          <w:rFonts w:hint="eastAsia" w:ascii="Times New Roman" w:hAnsi="Times New Roman" w:eastAsia="华文中宋" w:cs="Times New Roman"/>
          <w:color w:val="auto"/>
          <w:lang w:val="en-US" w:eastAsia="zh-CN"/>
        </w:rPr>
        <w:t>，对矿区</w:t>
      </w:r>
      <w:r>
        <w:rPr>
          <w:rFonts w:hint="default" w:ascii="Times New Roman" w:hAnsi="Times New Roman" w:eastAsia="华文中宋" w:cs="Times New Roman"/>
          <w:color w:val="auto"/>
          <w:lang w:val="en-US" w:eastAsia="zh-CN"/>
        </w:rPr>
        <w:t>进行人工封沙种草。</w:t>
      </w:r>
    </w:p>
    <w:p w14:paraId="56AC356C">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②建设单位要重视防沙固沙工作，有效利用周围的环境条件，如在风沙区域增设沙障、固定沙丘，避免沙丘随大风肆意扩散，减少沙土的扩散范围。</w:t>
      </w:r>
    </w:p>
    <w:p w14:paraId="3FA5F23A">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③对现有植被加大保护力度。对现有植被资源加强保护，将其作为</w:t>
      </w:r>
      <w:r>
        <w:rPr>
          <w:rFonts w:hint="eastAsia" w:ascii="Times New Roman" w:hAnsi="Times New Roman" w:eastAsia="华文中宋" w:cs="Times New Roman"/>
          <w:color w:val="auto"/>
          <w:lang w:val="en-US" w:eastAsia="zh-CN"/>
        </w:rPr>
        <w:t>土壤沙化</w:t>
      </w:r>
      <w:r>
        <w:rPr>
          <w:rFonts w:hint="default" w:ascii="Times New Roman" w:hAnsi="Times New Roman" w:eastAsia="华文中宋" w:cs="Times New Roman"/>
          <w:color w:val="auto"/>
          <w:lang w:val="en-US" w:eastAsia="zh-CN"/>
        </w:rPr>
        <w:t>治理工作的重中之重，原生植被具有较强的防风固沙作用，必须加大保护力度。</w:t>
      </w:r>
    </w:p>
    <w:p w14:paraId="7C8458F2">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本工程不涉及物理、化学固沙及其他机械固沙措施。</w:t>
      </w:r>
    </w:p>
    <w:p w14:paraId="6CDE27C7">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4）</w:t>
      </w:r>
      <w:r>
        <w:rPr>
          <w:rFonts w:hint="default" w:ascii="Times New Roman" w:hAnsi="Times New Roman" w:eastAsia="华文中宋" w:cs="Times New Roman"/>
          <w:color w:val="auto"/>
          <w:lang w:val="en-US" w:eastAsia="zh-CN"/>
        </w:rPr>
        <w:t>其他措施</w:t>
      </w:r>
    </w:p>
    <w:p w14:paraId="4DC709E7">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①</w:t>
      </w:r>
      <w:r>
        <w:rPr>
          <w:rFonts w:hint="default" w:ascii="Times New Roman" w:hAnsi="Times New Roman" w:eastAsia="华文中宋" w:cs="Times New Roman"/>
          <w:color w:val="auto"/>
          <w:lang w:val="en-US" w:eastAsia="zh-CN"/>
        </w:rPr>
        <w:t>严格控制工业活动范围，严禁乱碾乱轧，避免对项目占地范围外的区域造成扰动。</w:t>
      </w:r>
    </w:p>
    <w:p w14:paraId="33705F17">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华文中宋" w:cs="Times New Roman"/>
          <w:snapToGrid w:val="0"/>
          <w:color w:val="auto"/>
          <w:kern w:val="0"/>
          <w:sz w:val="24"/>
          <w:szCs w:val="20"/>
          <w:lang w:val="en-US" w:eastAsia="zh-CN" w:bidi="ar-SA"/>
        </w:rPr>
      </w:pPr>
      <w:r>
        <w:rPr>
          <w:rFonts w:hint="eastAsia" w:ascii="Times New Roman" w:hAnsi="Times New Roman" w:eastAsia="华文中宋" w:cs="Times New Roman"/>
          <w:snapToGrid w:val="0"/>
          <w:color w:val="auto"/>
          <w:kern w:val="0"/>
          <w:sz w:val="24"/>
          <w:szCs w:val="20"/>
          <w:lang w:val="en-US" w:eastAsia="zh-CN" w:bidi="ar-SA"/>
        </w:rPr>
        <w:t>②</w:t>
      </w:r>
      <w:r>
        <w:rPr>
          <w:rFonts w:hint="default" w:ascii="Times New Roman" w:hAnsi="Times New Roman" w:eastAsia="华文中宋" w:cs="Times New Roman"/>
          <w:snapToGrid w:val="0"/>
          <w:color w:val="auto"/>
          <w:kern w:val="0"/>
          <w:sz w:val="24"/>
          <w:szCs w:val="20"/>
          <w:lang w:val="en-US" w:eastAsia="zh-CN" w:bidi="ar-SA"/>
        </w:rPr>
        <w:t>优化施工组织，缩短施工时间，施工作业时应分段作业，开挖的土方应分层开挖、分层堆放、分层回填，避免在风天气作业，以免造成土壤风蚀影响。</w:t>
      </w:r>
    </w:p>
    <w:p w14:paraId="463D768E">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华文中宋" w:cs="Times New Roman"/>
          <w:snapToGrid w:val="0"/>
          <w:color w:val="auto"/>
          <w:kern w:val="0"/>
          <w:sz w:val="24"/>
          <w:szCs w:val="20"/>
          <w:lang w:val="en-US" w:eastAsia="zh-CN" w:bidi="ar-SA"/>
        </w:rPr>
      </w:pPr>
      <w:r>
        <w:rPr>
          <w:rFonts w:hint="eastAsia" w:ascii="Times New Roman" w:hAnsi="Times New Roman" w:eastAsia="华文中宋" w:cs="Times New Roman"/>
          <w:snapToGrid w:val="0"/>
          <w:color w:val="auto"/>
          <w:kern w:val="0"/>
          <w:sz w:val="24"/>
          <w:szCs w:val="20"/>
          <w:lang w:val="en-US" w:eastAsia="zh-CN" w:bidi="ar-SA"/>
        </w:rPr>
        <w:t>③</w:t>
      </w:r>
      <w:r>
        <w:rPr>
          <w:rFonts w:hint="default" w:ascii="Times New Roman" w:hAnsi="Times New Roman" w:eastAsia="华文中宋" w:cs="Times New Roman"/>
          <w:snapToGrid w:val="0"/>
          <w:color w:val="auto"/>
          <w:kern w:val="0"/>
          <w:sz w:val="24"/>
          <w:szCs w:val="20"/>
          <w:lang w:val="en-US" w:eastAsia="zh-CN" w:bidi="ar-SA"/>
        </w:rPr>
        <w:t>施工结束后对场地进行清理、平整并压实，场地实施场地硬化，避免水土流失影响。</w:t>
      </w:r>
    </w:p>
    <w:p w14:paraId="3BE078C1">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华文中宋" w:cs="Times New Roman"/>
          <w:snapToGrid w:val="0"/>
          <w:color w:val="auto"/>
          <w:kern w:val="0"/>
          <w:sz w:val="24"/>
          <w:szCs w:val="20"/>
          <w:lang w:val="en-US" w:eastAsia="zh-CN" w:bidi="ar-SA"/>
        </w:rPr>
      </w:pPr>
      <w:r>
        <w:rPr>
          <w:rFonts w:hint="eastAsia" w:ascii="Times New Roman" w:hAnsi="Times New Roman" w:eastAsia="华文中宋" w:cs="Times New Roman"/>
          <w:snapToGrid w:val="0"/>
          <w:color w:val="auto"/>
          <w:kern w:val="0"/>
          <w:sz w:val="24"/>
          <w:szCs w:val="20"/>
          <w:lang w:val="en-US" w:eastAsia="zh-CN" w:bidi="ar-SA"/>
        </w:rPr>
        <w:t>④</w:t>
      </w:r>
      <w:r>
        <w:rPr>
          <w:rFonts w:hint="default" w:ascii="Times New Roman" w:hAnsi="Times New Roman" w:eastAsia="华文中宋" w:cs="Times New Roman"/>
          <w:snapToGrid w:val="0"/>
          <w:color w:val="auto"/>
          <w:kern w:val="0"/>
          <w:sz w:val="24"/>
          <w:szCs w:val="20"/>
          <w:lang w:val="en-US" w:eastAsia="zh-CN" w:bidi="ar-SA"/>
        </w:rPr>
        <w:t>严禁破坏占地范围外的植被。</w:t>
      </w:r>
    </w:p>
    <w:p w14:paraId="79C4C757">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华文中宋" w:cs="Times New Roman"/>
          <w:snapToGrid w:val="0"/>
          <w:color w:val="auto"/>
          <w:kern w:val="0"/>
          <w:sz w:val="24"/>
          <w:szCs w:val="20"/>
          <w:lang w:val="en-US" w:eastAsia="zh-CN" w:bidi="ar-SA"/>
        </w:rPr>
      </w:pPr>
      <w:r>
        <w:rPr>
          <w:rFonts w:hint="eastAsia" w:ascii="Times New Roman" w:hAnsi="Times New Roman" w:eastAsia="华文中宋" w:cs="Times New Roman"/>
          <w:snapToGrid w:val="0"/>
          <w:color w:val="auto"/>
          <w:kern w:val="0"/>
          <w:sz w:val="24"/>
          <w:szCs w:val="20"/>
          <w:lang w:val="en-US" w:eastAsia="zh-CN" w:bidi="ar-SA"/>
        </w:rPr>
        <w:t>⑤</w:t>
      </w:r>
      <w:r>
        <w:rPr>
          <w:rFonts w:hint="default" w:ascii="Times New Roman" w:hAnsi="Times New Roman" w:eastAsia="华文中宋" w:cs="Times New Roman"/>
          <w:snapToGrid w:val="0"/>
          <w:color w:val="auto"/>
          <w:kern w:val="0"/>
          <w:sz w:val="24"/>
          <w:szCs w:val="20"/>
          <w:lang w:val="en-US" w:eastAsia="zh-CN" w:bidi="ar-SA"/>
        </w:rPr>
        <w:t>严禁在大风天气进行土方作业。粉状材料及临时土方等在堆场应采取覆盖防尘布，逸散性材料运输采用篷布遮盖，减少施工扬尘产生量和起沙量。</w:t>
      </w:r>
    </w:p>
    <w:p w14:paraId="1B3DFBBD">
      <w:pPr>
        <w:pStyle w:val="17"/>
        <w:pageBreakBefore w:val="0"/>
        <w:widowControl w:val="0"/>
        <w:kinsoku/>
        <w:wordWrap/>
        <w:overflowPunct/>
        <w:topLinePunct w:val="0"/>
        <w:autoSpaceDE/>
        <w:autoSpaceDN/>
        <w:bidi w:val="0"/>
        <w:adjustRightInd/>
        <w:snapToGrid/>
        <w:spacing w:before="0" w:beforeAutospacing="0" w:after="0" w:afterAutospacing="0" w:line="480" w:lineRule="exact"/>
        <w:ind w:firstLine="480" w:firstLineChars="200"/>
        <w:textAlignment w:val="auto"/>
        <w:rPr>
          <w:rFonts w:hint="default" w:ascii="Times New Roman" w:hAnsi="Times New Roman" w:eastAsia="华文中宋" w:cs="Times New Roman"/>
          <w:snapToGrid w:val="0"/>
          <w:color w:val="auto"/>
          <w:kern w:val="0"/>
          <w:sz w:val="24"/>
          <w:szCs w:val="20"/>
          <w:lang w:val="en-US" w:eastAsia="zh-CN" w:bidi="ar-SA"/>
        </w:rPr>
      </w:pPr>
      <w:r>
        <w:rPr>
          <w:rFonts w:hint="default" w:ascii="Times New Roman" w:hAnsi="Times New Roman" w:eastAsia="华文中宋" w:cs="Times New Roman"/>
          <w:snapToGrid w:val="0"/>
          <w:color w:val="auto"/>
          <w:kern w:val="0"/>
          <w:sz w:val="24"/>
          <w:szCs w:val="20"/>
          <w:lang w:val="en-US" w:eastAsia="zh-CN" w:bidi="ar-SA"/>
        </w:rPr>
        <w:t>针对施工机械及运输车辆，提出如下措施：施工期间应划定施工活动范围，严格控制和管理运输车辆及重型机械的运行线路和范围，不得离开运输道路及随意行驶，由专人负责，以防破坏土壤和植被，加剧土地荒漠化。</w:t>
      </w:r>
    </w:p>
    <w:p w14:paraId="31B47BD7">
      <w:pPr>
        <w:pStyle w:val="24"/>
        <w:snapToGrid w:val="0"/>
        <w:ind w:left="0" w:leftChars="0" w:firstLine="0" w:firstLineChars="0"/>
        <w:jc w:val="left"/>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6.2.6.4矿山的生态治理工程实施计划</w:t>
      </w:r>
    </w:p>
    <w:p w14:paraId="4671F0AE">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本矿山的生态治理工程实施计划</w:t>
      </w:r>
      <w:r>
        <w:rPr>
          <w:rFonts w:hint="eastAsia" w:ascii="Times New Roman" w:hAnsi="Times New Roman" w:cs="Times New Roman"/>
          <w:color w:val="auto"/>
          <w:lang w:val="en-US" w:eastAsia="zh-CN"/>
        </w:rPr>
        <w:t>见</w:t>
      </w:r>
      <w:r>
        <w:rPr>
          <w:rFonts w:hint="default" w:ascii="Times New Roman" w:hAnsi="Times New Roman" w:eastAsia="华文中宋" w:cs="Times New Roman"/>
          <w:color w:val="auto"/>
          <w:lang w:val="en-US" w:eastAsia="zh-CN"/>
        </w:rPr>
        <w:t>下表6.2-</w:t>
      </w:r>
      <w:r>
        <w:rPr>
          <w:rFonts w:hint="eastAsia" w:ascii="Times New Roman" w:hAnsi="Times New Roman" w:cs="Times New Roman"/>
          <w:color w:val="auto"/>
          <w:lang w:val="en-US" w:eastAsia="zh-CN"/>
        </w:rPr>
        <w:t>3。</w:t>
      </w:r>
    </w:p>
    <w:p w14:paraId="2B6DCC14">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eastAsia" w:ascii="Times New Roman" w:hAnsi="Times New Roman" w:eastAsia="华文中宋" w:cs="Times New Roman"/>
          <w:b/>
          <w:szCs w:val="21"/>
          <w:lang w:val="en-US" w:eastAsia="zh-CN"/>
        </w:rPr>
        <w:t>表6.2-3  本工程矿山生态修复方案一览表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7815"/>
      </w:tblGrid>
      <w:tr w14:paraId="7EDDA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 w:type="pct"/>
            <w:vAlign w:val="center"/>
          </w:tcPr>
          <w:p w14:paraId="205F284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时期</w:t>
            </w:r>
          </w:p>
        </w:tc>
        <w:tc>
          <w:tcPr>
            <w:tcW w:w="4584" w:type="pct"/>
            <w:vAlign w:val="center"/>
          </w:tcPr>
          <w:p w14:paraId="165CABA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生态修复方案</w:t>
            </w:r>
          </w:p>
        </w:tc>
      </w:tr>
      <w:tr w14:paraId="00266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 w:type="pct"/>
            <w:vAlign w:val="center"/>
          </w:tcPr>
          <w:p w14:paraId="5295B946">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基建期</w:t>
            </w:r>
          </w:p>
        </w:tc>
        <w:tc>
          <w:tcPr>
            <w:tcW w:w="4584" w:type="pct"/>
            <w:vAlign w:val="center"/>
          </w:tcPr>
          <w:p w14:paraId="7D9557A0">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（1）做好本工程的施工组织规划工作，明确工程可能扰动和破坏的范围，要做到少占地。</w:t>
            </w:r>
          </w:p>
          <w:p w14:paraId="53F70476">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高度重视原有地表对维护本区生态稳定的重要性，加强对施工队伍的宣传、教育和管理。做好施工组织规划工作，严禁将建设施工材料乱堆乱放，划定适宜的堆料场等临时性场所，以防止土壤破坏的范围增大。</w:t>
            </w:r>
          </w:p>
          <w:p w14:paraId="70F70DB0">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（3）加强宣传教育，严禁采矿人员碾踩土壤，尽量避免因人为活动对植被和土壤造成的不利影响；不得捕杀野生动物或随意捣毁动物的巢穴。</w:t>
            </w:r>
          </w:p>
          <w:p w14:paraId="454EB850">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（4）加强对工作人员进行环境保护知识教育，提高工作人员的环境保护意识，以减少人为因素对植被的破坏。</w:t>
            </w:r>
          </w:p>
          <w:p w14:paraId="31E93F2B">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（5）施工机械和运输工具应在规划的道路上行驶，严禁随意行驶，碾压植被，严禁破坏工程区内的植被，将植被损失降至最低。施工结束后，应选择适应当地环境的</w:t>
            </w:r>
            <w:r>
              <w:rPr>
                <w:rFonts w:hint="eastAsia" w:ascii="Times New Roman" w:hAnsi="Times New Roman" w:eastAsia="华文中宋" w:cs="Times New Roman"/>
                <w:szCs w:val="21"/>
                <w:lang w:val="en-US" w:eastAsia="zh-CN"/>
              </w:rPr>
              <w:t>树种</w:t>
            </w:r>
            <w:r>
              <w:rPr>
                <w:rFonts w:hint="default" w:ascii="Times New Roman" w:hAnsi="Times New Roman" w:eastAsia="华文中宋" w:cs="Times New Roman"/>
                <w:szCs w:val="21"/>
                <w:lang w:val="en-US" w:eastAsia="zh-CN"/>
              </w:rPr>
              <w:t>对生活区进行绿化。</w:t>
            </w:r>
          </w:p>
          <w:p w14:paraId="0D332F19">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工程施工活动严格控制在划定的范围内，为防止对天然植被及土壤的破坏，对地面建（构）筑物的布置应以“尽量减少占地、避免对植被的破坏”为原则，在总平面布置上充分利用自然地形，尽量减少占地面积，提高场地利用系数。</w:t>
            </w:r>
          </w:p>
          <w:p w14:paraId="73F37509">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（7）合理规划线路，防止汽车乱轧乱碾。</w:t>
            </w:r>
          </w:p>
          <w:p w14:paraId="6E49A508">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（8）在施工过程中，要严格控制扰动面积，特别是加强施工过程的管理。认真做好矿区绿化。</w:t>
            </w:r>
          </w:p>
          <w:p w14:paraId="614621D3">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（9）尽量采取清洁和高效的生产技术及减少生态环境破坏的施工方式，并且优化施工布局，精心组织管理。</w:t>
            </w:r>
          </w:p>
          <w:p w14:paraId="3906EBBE">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（11）设置好动物保护警示标牌并及时维护和更新，加强矿山人员对野生动物的保护意识。</w:t>
            </w:r>
          </w:p>
        </w:tc>
      </w:tr>
      <w:tr w14:paraId="70B5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 w:type="pct"/>
            <w:vAlign w:val="center"/>
          </w:tcPr>
          <w:p w14:paraId="0ACC97CD">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运营期</w:t>
            </w:r>
          </w:p>
        </w:tc>
        <w:tc>
          <w:tcPr>
            <w:tcW w:w="4584" w:type="pct"/>
            <w:vAlign w:val="center"/>
          </w:tcPr>
          <w:p w14:paraId="18D69578">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（1）加强矿区绿化，绿化植被采用当地的乡土植被和树种，绿化用水优先取自处理后的生活污水。</w:t>
            </w:r>
          </w:p>
          <w:p w14:paraId="6B9967A2">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（2）加强宣传教育，严禁采矿人员碾踩土壤，尽量避免因人为活动对植被和土壤造成的不利影响。</w:t>
            </w:r>
          </w:p>
          <w:p w14:paraId="335D58CA">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（3）加强矿山人员对动植物的保护意识。</w:t>
            </w:r>
          </w:p>
          <w:p w14:paraId="792D6442">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（4）在生产过程中，废土石有序堆存至排土场。</w:t>
            </w:r>
          </w:p>
          <w:p w14:paraId="1DB6B8C7">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（5）做好矿区道路、临时排土场洒水降尘工作，以减少扬尘、粉尘等对植被的污染。</w:t>
            </w:r>
          </w:p>
          <w:p w14:paraId="25D573E7">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（6）排土场设置防护围栏和悬挂多种文字的警示牌。</w:t>
            </w:r>
          </w:p>
          <w:p w14:paraId="4D63BF85">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（7）采取“先拦后弃”，做好边坡防护稳定工作，定期对排土场拦渣坝进行巡检，及时发现隐患并安全处置。</w:t>
            </w:r>
          </w:p>
          <w:p w14:paraId="482BE87E">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（8）生活垃圾定期集中运往</w:t>
            </w:r>
            <w:r>
              <w:rPr>
                <w:rFonts w:hint="eastAsia" w:ascii="Times New Roman" w:hAnsi="Times New Roman" w:eastAsia="华文中宋" w:cs="Times New Roman"/>
                <w:szCs w:val="21"/>
                <w:lang w:val="en-US" w:eastAsia="zh-CN"/>
              </w:rPr>
              <w:t>民丰县</w:t>
            </w:r>
            <w:r>
              <w:rPr>
                <w:rFonts w:hint="default" w:ascii="Times New Roman" w:hAnsi="Times New Roman" w:eastAsia="华文中宋" w:cs="Times New Roman"/>
                <w:szCs w:val="21"/>
                <w:lang w:val="en-US" w:eastAsia="zh-CN"/>
              </w:rPr>
              <w:t>生活垃圾填埋场处置。</w:t>
            </w:r>
          </w:p>
        </w:tc>
      </w:tr>
      <w:tr w14:paraId="18E23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 w:type="pct"/>
            <w:vAlign w:val="center"/>
          </w:tcPr>
          <w:p w14:paraId="04F65AB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服务期满后</w:t>
            </w:r>
          </w:p>
        </w:tc>
        <w:tc>
          <w:tcPr>
            <w:tcW w:w="4584" w:type="pct"/>
            <w:vAlign w:val="center"/>
          </w:tcPr>
          <w:p w14:paraId="369A97E1">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（1）服役期满后，首先做好“退地工作”，清理开采区的弃石。</w:t>
            </w:r>
          </w:p>
          <w:p w14:paraId="4039810E">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（2）生产、生活设施用地尽可能恢复原貌，拆除地面设施、平整土地。</w:t>
            </w:r>
          </w:p>
          <w:p w14:paraId="5CF4E41A">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（3）及时对采坑进行回填治理。</w:t>
            </w:r>
          </w:p>
          <w:p w14:paraId="75DF2EB7">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（4）排土场进行推平、压实、表层覆土进行生态恢复。</w:t>
            </w:r>
          </w:p>
        </w:tc>
      </w:tr>
    </w:tbl>
    <w:p w14:paraId="28D2A63F">
      <w:pPr>
        <w:pStyle w:val="24"/>
        <w:snapToGrid w:val="0"/>
        <w:ind w:left="0" w:leftChars="0" w:firstLine="0" w:firstLineChars="0"/>
        <w:jc w:val="left"/>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6.2.6.6绿色矿山建设</w:t>
      </w:r>
    </w:p>
    <w:p w14:paraId="061A54DF">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根据《矿山生态环境保护与污染防治技术政策》及《矿山生态环境保护与恢复治理技术规范（试行）》（HJ651-2013）、《矿山生态环境保护与恢复治理方案（规划）编制规范（试行）》（HJ652-2013）、《矿山地质环境保护与土地复垦方案编制指南》等相关内容，对本工程绿色矿山建设提出以下要求：</w:t>
      </w:r>
    </w:p>
    <w:p w14:paraId="22971537">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（1）基本要求</w:t>
      </w:r>
    </w:p>
    <w:p w14:paraId="3A745CF1">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①</w:t>
      </w:r>
      <w:r>
        <w:rPr>
          <w:rFonts w:hint="default" w:ascii="Times New Roman" w:hAnsi="Times New Roman" w:eastAsia="华文中宋" w:cs="Times New Roman"/>
          <w:color w:val="auto"/>
          <w:lang w:val="en-US" w:eastAsia="zh-CN"/>
        </w:rPr>
        <w:t>矿区功能分区布局合理；矿区应绿化、美化，整体环境整洁美观。</w:t>
      </w:r>
    </w:p>
    <w:p w14:paraId="49A03AFD">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②</w:t>
      </w:r>
      <w:r>
        <w:rPr>
          <w:rFonts w:hint="default" w:ascii="Times New Roman" w:hAnsi="Times New Roman" w:eastAsia="华文中宋" w:cs="Times New Roman"/>
          <w:color w:val="auto"/>
          <w:lang w:val="en-US" w:eastAsia="zh-CN"/>
        </w:rPr>
        <w:t>生产、运输、贮存管理规范有序。</w:t>
      </w:r>
    </w:p>
    <w:p w14:paraId="69B8EB4D">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（2）矿容矿貌</w:t>
      </w:r>
    </w:p>
    <w:p w14:paraId="036C1552">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①</w:t>
      </w:r>
      <w:r>
        <w:rPr>
          <w:rFonts w:hint="default" w:ascii="Times New Roman" w:hAnsi="Times New Roman" w:eastAsia="华文中宋" w:cs="Times New Roman"/>
          <w:color w:val="auto"/>
          <w:lang w:val="en-US" w:eastAsia="zh-CN"/>
        </w:rPr>
        <w:t>矿区按生产区、管理区、生活区和生态区等功能分区，各功能区应符合GB50187的规定；生产、生活、管理等功能区应有相应的管理机构和管理制度，运行有序、管理规范。</w:t>
      </w:r>
    </w:p>
    <w:p w14:paraId="1C1EF9C4">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②</w:t>
      </w:r>
      <w:r>
        <w:rPr>
          <w:rFonts w:hint="default" w:ascii="Times New Roman" w:hAnsi="Times New Roman" w:eastAsia="华文中宋" w:cs="Times New Roman"/>
          <w:color w:val="auto"/>
          <w:lang w:val="en-US" w:eastAsia="zh-CN"/>
        </w:rPr>
        <w:t>矿区地面道路、供水、供电、卫生、环保等配套设施齐全；在生产区应设置操作提示牌、说明牌、线路示意图牌等标牌，标牌符合GB/T13306的规定；在需警示安全的区域应设置安全标志，安全标志符合</w:t>
      </w:r>
      <w:r>
        <w:rPr>
          <w:rFonts w:hint="eastAsia" w:ascii="Times New Roman" w:hAnsi="Times New Roman" w:cs="Times New Roman"/>
          <w:color w:val="auto"/>
          <w:lang w:val="en-US" w:eastAsia="zh-CN"/>
        </w:rPr>
        <w:t>GB/T 14161-2008</w:t>
      </w:r>
      <w:r>
        <w:rPr>
          <w:rFonts w:hint="default" w:ascii="Times New Roman" w:hAnsi="Times New Roman" w:eastAsia="华文中宋" w:cs="Times New Roman"/>
          <w:color w:val="auto"/>
          <w:lang w:val="en-US" w:eastAsia="zh-CN"/>
        </w:rPr>
        <w:t>的规定。</w:t>
      </w:r>
    </w:p>
    <w:p w14:paraId="1CC79F3D">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③</w:t>
      </w:r>
      <w:r>
        <w:rPr>
          <w:rFonts w:hint="default" w:ascii="Times New Roman" w:hAnsi="Times New Roman" w:eastAsia="华文中宋" w:cs="Times New Roman"/>
          <w:color w:val="auto"/>
          <w:lang w:val="en-US" w:eastAsia="zh-CN"/>
        </w:rPr>
        <w:t>矿山废石等固体废弃物应有专用贮存、处置场所，其建设、运行和监督管理应符合GB18599的规定。</w:t>
      </w:r>
    </w:p>
    <w:p w14:paraId="4770C1F4">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④</w:t>
      </w:r>
      <w:r>
        <w:rPr>
          <w:rFonts w:hint="default" w:ascii="Times New Roman" w:hAnsi="Times New Roman" w:eastAsia="华文中宋" w:cs="Times New Roman"/>
          <w:color w:val="auto"/>
          <w:lang w:val="en-US" w:eastAsia="zh-CN"/>
        </w:rPr>
        <w:t>矿山应实施清污分流，污水排放应符合GB8978的规定。</w:t>
      </w:r>
    </w:p>
    <w:p w14:paraId="08758DAA">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⑤</w:t>
      </w:r>
      <w:r>
        <w:rPr>
          <w:rFonts w:hint="default" w:ascii="Times New Roman" w:hAnsi="Times New Roman" w:eastAsia="华文中宋" w:cs="Times New Roman"/>
          <w:color w:val="auto"/>
          <w:lang w:val="en-US" w:eastAsia="zh-CN"/>
        </w:rPr>
        <w:t>矿山应具备废气处理设施，气体排放应符合GB3095和GB16297的规定。</w:t>
      </w:r>
    </w:p>
    <w:p w14:paraId="0723984E">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⑥</w:t>
      </w:r>
      <w:r>
        <w:rPr>
          <w:rFonts w:hint="default" w:ascii="Times New Roman" w:hAnsi="Times New Roman" w:eastAsia="华文中宋" w:cs="Times New Roman"/>
          <w:color w:val="auto"/>
          <w:lang w:val="en-US" w:eastAsia="zh-CN"/>
        </w:rPr>
        <w:t>矿山应采取消声、减振、隔振等措施降低采选、运输等过程中产生的噪声，厂界环境噪声排放限值应符合GB12348的规定。</w:t>
      </w:r>
    </w:p>
    <w:p w14:paraId="27E5077C">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（3）资源开发方式</w:t>
      </w:r>
    </w:p>
    <w:p w14:paraId="624ADFC7">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应贯彻“边开采、边治理、边恢复”的原则，及时治理恢复矿山地质环境，复垦矿山压占和损毁土地。矿山占用土地和损毁土地治理率和复垦率应达到矿山地质环境保护与土地复垦方案的要求。</w:t>
      </w:r>
    </w:p>
    <w:p w14:paraId="22EB9215">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（4）生态环境保护与恢复</w:t>
      </w:r>
    </w:p>
    <w:p w14:paraId="7EF523CD">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按照矿山地质环境保护与土地复垦方案，建立责任机制，将治理和复垦与生产建设活动统一部署、统筹实施，制定年度计划，及时完成地质环境治理和土地复垦。</w:t>
      </w:r>
    </w:p>
    <w:p w14:paraId="01C6F968">
      <w:pPr>
        <w:pStyle w:val="3"/>
        <w:spacing w:before="120" w:after="120" w:line="500" w:lineRule="exact"/>
        <w:ind w:left="375" w:hanging="375" w:firstLineChars="0"/>
        <w:contextualSpacing/>
        <w:rPr>
          <w:rFonts w:hint="eastAsia" w:ascii="Times New Roman" w:hAnsi="Times New Roman" w:eastAsia="华文中宋" w:cs="Times New Roman"/>
          <w:snapToGrid w:val="0"/>
          <w:kern w:val="0"/>
          <w:sz w:val="28"/>
          <w:szCs w:val="28"/>
          <w:lang w:val="en-US" w:eastAsia="zh-CN"/>
        </w:rPr>
      </w:pPr>
      <w:bookmarkStart w:id="260" w:name="_Toc26421"/>
      <w:r>
        <w:rPr>
          <w:rFonts w:hint="eastAsia" w:ascii="Times New Roman" w:hAnsi="Times New Roman" w:eastAsia="华文中宋" w:cs="Times New Roman"/>
          <w:snapToGrid w:val="0"/>
          <w:kern w:val="0"/>
          <w:sz w:val="28"/>
          <w:szCs w:val="28"/>
          <w:lang w:val="en-US" w:eastAsia="zh-CN"/>
        </w:rPr>
        <w:t>6.3闭矿期环境保护措施</w:t>
      </w:r>
      <w:bookmarkEnd w:id="260"/>
    </w:p>
    <w:p w14:paraId="2C69CF08">
      <w:pPr>
        <w:pStyle w:val="4"/>
        <w:spacing w:before="120" w:after="120" w:line="500" w:lineRule="exact"/>
        <w:rPr>
          <w:rFonts w:hint="eastAsia" w:ascii="Times New Roman" w:hAnsi="Times New Roman" w:eastAsia="华文中宋" w:cs="Times New Roman"/>
          <w:kern w:val="0"/>
          <w:sz w:val="24"/>
          <w:szCs w:val="24"/>
          <w:lang w:val="en-US" w:eastAsia="zh-CN"/>
        </w:rPr>
      </w:pPr>
      <w:bookmarkStart w:id="261" w:name="_Toc20850"/>
      <w:r>
        <w:rPr>
          <w:rFonts w:hint="eastAsia" w:ascii="Times New Roman" w:hAnsi="Times New Roman" w:eastAsia="华文中宋" w:cs="Times New Roman"/>
          <w:kern w:val="0"/>
          <w:sz w:val="24"/>
          <w:szCs w:val="24"/>
          <w:lang w:val="en-US" w:eastAsia="zh-CN"/>
        </w:rPr>
        <w:t>6.3.1闭矿期大气环境保护措施</w:t>
      </w:r>
      <w:bookmarkEnd w:id="261"/>
    </w:p>
    <w:p w14:paraId="6B15C144">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（1）运输车辆使用符合国家标准的油品。</w:t>
      </w:r>
    </w:p>
    <w:p w14:paraId="02B02333">
      <w:pPr>
        <w:pStyle w:val="24"/>
        <w:snapToGrid w:val="0"/>
        <w:jc w:val="left"/>
        <w:rPr>
          <w:rFonts w:hint="eastAsia"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（2）在设备建筑拆除时及时洒水，可有效降低瞬时扬尘产生的影响。</w:t>
      </w:r>
    </w:p>
    <w:p w14:paraId="6A50EF2A">
      <w:pPr>
        <w:pStyle w:val="24"/>
        <w:snapToGrid w:val="0"/>
        <w:jc w:val="left"/>
        <w:rPr>
          <w:rFonts w:hint="eastAsia"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（3）严格规划项目地表建筑拆除工作时段，避免大风天气进行地表建筑拆除工作。</w:t>
      </w:r>
    </w:p>
    <w:p w14:paraId="4983AA83">
      <w:pPr>
        <w:pStyle w:val="4"/>
        <w:spacing w:before="120" w:after="120" w:line="500" w:lineRule="exact"/>
        <w:rPr>
          <w:rFonts w:hint="eastAsia" w:ascii="Times New Roman" w:hAnsi="Times New Roman" w:eastAsia="华文中宋" w:cs="Times New Roman"/>
          <w:kern w:val="0"/>
          <w:sz w:val="24"/>
          <w:szCs w:val="24"/>
          <w:lang w:val="en-US" w:eastAsia="zh-CN"/>
        </w:rPr>
      </w:pPr>
      <w:bookmarkStart w:id="262" w:name="_Toc31155"/>
      <w:r>
        <w:rPr>
          <w:rFonts w:hint="eastAsia" w:ascii="Times New Roman" w:hAnsi="Times New Roman" w:eastAsia="华文中宋" w:cs="Times New Roman"/>
          <w:kern w:val="0"/>
          <w:sz w:val="24"/>
          <w:szCs w:val="24"/>
          <w:lang w:val="en-US" w:eastAsia="zh-CN"/>
        </w:rPr>
        <w:t>6.3.2闭矿期水环境保护措施</w:t>
      </w:r>
      <w:bookmarkEnd w:id="262"/>
    </w:p>
    <w:p w14:paraId="0843F3CD">
      <w:pPr>
        <w:pStyle w:val="24"/>
        <w:snapToGrid w:val="0"/>
        <w:jc w:val="left"/>
        <w:rPr>
          <w:rFonts w:hint="eastAsia"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（1）项目退役期拆除设备、清理站场时，施工时间较短，施工人员产生的生活污</w:t>
      </w:r>
      <w:r>
        <w:rPr>
          <w:rFonts w:hint="default" w:ascii="Times New Roman" w:hAnsi="Times New Roman" w:eastAsia="华文中宋" w:cs="Times New Roman"/>
          <w:color w:val="auto"/>
          <w:lang w:val="en-US" w:eastAsia="zh-CN"/>
        </w:rPr>
        <w:t>水量较少，依托</w:t>
      </w:r>
      <w:r>
        <w:rPr>
          <w:rFonts w:hint="eastAsia" w:ascii="Times New Roman" w:hAnsi="Times New Roman" w:eastAsia="华文中宋" w:cs="Times New Roman"/>
          <w:color w:val="auto"/>
          <w:lang w:val="en-US" w:eastAsia="zh-CN"/>
        </w:rPr>
        <w:t>原有</w:t>
      </w:r>
      <w:r>
        <w:rPr>
          <w:rFonts w:hint="default" w:ascii="Times New Roman" w:hAnsi="Times New Roman" w:eastAsia="华文中宋" w:cs="Times New Roman"/>
          <w:color w:val="auto"/>
          <w:lang w:val="en-US" w:eastAsia="zh-CN"/>
        </w:rPr>
        <w:t>生活设施处理，不外排，对周围水环境影响较小</w:t>
      </w:r>
      <w:r>
        <w:rPr>
          <w:rFonts w:hint="eastAsia" w:ascii="Times New Roman" w:hAnsi="Times New Roman" w:eastAsia="华文中宋" w:cs="Times New Roman"/>
          <w:color w:val="auto"/>
          <w:lang w:val="en-US" w:eastAsia="zh-CN"/>
        </w:rPr>
        <w:t>。</w:t>
      </w:r>
    </w:p>
    <w:p w14:paraId="398841E9">
      <w:pPr>
        <w:pStyle w:val="24"/>
        <w:snapToGrid w:val="0"/>
        <w:jc w:val="left"/>
        <w:rPr>
          <w:rFonts w:hint="eastAsia" w:ascii="Times New Roman" w:hAnsi="Times New Roman" w:cs="Times New Roman"/>
          <w:color w:val="auto"/>
          <w:lang w:val="en-US" w:eastAsia="zh-CN"/>
        </w:rPr>
      </w:pPr>
      <w:r>
        <w:rPr>
          <w:rFonts w:hint="eastAsia" w:ascii="Times New Roman" w:hAnsi="Times New Roman" w:eastAsia="华文中宋" w:cs="Times New Roman"/>
          <w:color w:val="auto"/>
          <w:lang w:val="en-US" w:eastAsia="zh-CN"/>
        </w:rPr>
        <w:t>（2）</w:t>
      </w:r>
      <w:r>
        <w:rPr>
          <w:rFonts w:hint="default" w:ascii="Times New Roman" w:hAnsi="Times New Roman" w:eastAsia="华文中宋" w:cs="Times New Roman"/>
          <w:color w:val="auto"/>
          <w:lang w:val="en-US" w:eastAsia="zh-CN"/>
        </w:rPr>
        <w:t>储水构筑物在拆除前应清空内部存水，拆除过程基本不产生生产废水</w:t>
      </w:r>
      <w:r>
        <w:rPr>
          <w:rFonts w:hint="eastAsia" w:ascii="Times New Roman" w:hAnsi="Times New Roman" w:cs="Times New Roman"/>
          <w:color w:val="auto"/>
          <w:lang w:val="en-US" w:eastAsia="zh-CN"/>
        </w:rPr>
        <w:t>，在拆除过程中基本不产生污水，对水环境无影响。</w:t>
      </w:r>
    </w:p>
    <w:p w14:paraId="63BB82CE">
      <w:pPr>
        <w:pStyle w:val="24"/>
        <w:snapToGrid w:val="0"/>
        <w:jc w:val="left"/>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（3）保留废石堆放场截水沟和排水沟，闭矿后因降水形成的淋溶液对周边水环境影响较小。</w:t>
      </w:r>
    </w:p>
    <w:p w14:paraId="7A261418">
      <w:pPr>
        <w:pStyle w:val="4"/>
        <w:spacing w:before="120" w:after="120" w:line="500" w:lineRule="exact"/>
        <w:rPr>
          <w:rFonts w:hint="eastAsia" w:ascii="Times New Roman" w:hAnsi="Times New Roman" w:eastAsia="华文中宋" w:cs="Times New Roman"/>
          <w:kern w:val="0"/>
          <w:sz w:val="24"/>
          <w:szCs w:val="24"/>
          <w:lang w:val="en-US" w:eastAsia="zh-CN"/>
        </w:rPr>
      </w:pPr>
      <w:bookmarkStart w:id="263" w:name="_Toc25976"/>
      <w:r>
        <w:rPr>
          <w:rFonts w:hint="eastAsia" w:ascii="Times New Roman" w:hAnsi="Times New Roman" w:eastAsia="华文中宋" w:cs="Times New Roman"/>
          <w:kern w:val="0"/>
          <w:sz w:val="24"/>
          <w:szCs w:val="24"/>
          <w:lang w:val="en-US" w:eastAsia="zh-CN"/>
        </w:rPr>
        <w:t>6.3.3闭矿期噪声污染防治措施</w:t>
      </w:r>
      <w:bookmarkEnd w:id="263"/>
    </w:p>
    <w:p w14:paraId="6D60094C">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（1）</w:t>
      </w:r>
      <w:r>
        <w:rPr>
          <w:rFonts w:hint="default" w:ascii="Times New Roman" w:hAnsi="Times New Roman" w:eastAsia="华文中宋" w:cs="Times New Roman"/>
          <w:color w:val="auto"/>
          <w:lang w:val="en-US" w:eastAsia="zh-CN"/>
        </w:rPr>
        <w:t>选用低噪声机械和车辆。</w:t>
      </w:r>
    </w:p>
    <w:p w14:paraId="2DC3AF93">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（2）</w:t>
      </w:r>
      <w:r>
        <w:rPr>
          <w:rFonts w:hint="default" w:ascii="Times New Roman" w:hAnsi="Times New Roman" w:eastAsia="华文中宋" w:cs="Times New Roman"/>
          <w:color w:val="auto"/>
          <w:lang w:val="en-US" w:eastAsia="zh-CN"/>
        </w:rPr>
        <w:t>加强设备检查维修，保证其正常运行。</w:t>
      </w:r>
    </w:p>
    <w:p w14:paraId="7C49DAB6">
      <w:pPr>
        <w:pStyle w:val="24"/>
        <w:snapToGrid w:val="0"/>
        <w:jc w:val="left"/>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w:t>
      </w:r>
      <w:r>
        <w:rPr>
          <w:rFonts w:hint="default" w:ascii="Times New Roman" w:hAnsi="Times New Roman" w:eastAsia="华文中宋" w:cs="Times New Roman"/>
          <w:color w:val="auto"/>
          <w:lang w:val="en-US" w:eastAsia="zh-CN"/>
        </w:rPr>
        <w:t>加强运输车辆管理，合理规划运输路线，禁止运输车辆随意高声鸣笛</w:t>
      </w:r>
      <w:r>
        <w:rPr>
          <w:rFonts w:hint="eastAsia" w:ascii="Times New Roman" w:hAnsi="Times New Roman" w:cs="Times New Roman"/>
          <w:color w:val="auto"/>
          <w:lang w:val="en-US" w:eastAsia="zh-CN"/>
        </w:rPr>
        <w:t>。</w:t>
      </w:r>
    </w:p>
    <w:p w14:paraId="3C0C76F8">
      <w:pPr>
        <w:pStyle w:val="4"/>
        <w:spacing w:before="120" w:after="120" w:line="500" w:lineRule="exact"/>
        <w:rPr>
          <w:rFonts w:hint="eastAsia" w:ascii="Times New Roman" w:hAnsi="Times New Roman" w:eastAsia="华文中宋" w:cs="Times New Roman"/>
          <w:kern w:val="0"/>
          <w:sz w:val="24"/>
          <w:szCs w:val="24"/>
          <w:lang w:val="en-US" w:eastAsia="zh-CN"/>
        </w:rPr>
      </w:pPr>
      <w:bookmarkStart w:id="264" w:name="_Toc26685"/>
      <w:r>
        <w:rPr>
          <w:rFonts w:hint="eastAsia" w:ascii="Times New Roman" w:hAnsi="Times New Roman" w:eastAsia="华文中宋" w:cs="Times New Roman"/>
          <w:kern w:val="0"/>
          <w:sz w:val="24"/>
          <w:szCs w:val="24"/>
          <w:lang w:val="en-US" w:eastAsia="zh-CN"/>
        </w:rPr>
        <w:t>6.3.4闭矿期固废和土壤污染防治措施</w:t>
      </w:r>
      <w:bookmarkEnd w:id="264"/>
    </w:p>
    <w:p w14:paraId="5441FA2D">
      <w:pPr>
        <w:pStyle w:val="24"/>
        <w:numPr>
          <w:ilvl w:val="0"/>
          <w:numId w:val="0"/>
        </w:numPr>
        <w:snapToGrid w:val="0"/>
        <w:ind w:firstLine="480" w:firstLineChars="200"/>
        <w:jc w:val="left"/>
        <w:rPr>
          <w:rFonts w:hint="eastAsia" w:ascii="Times New Roman" w:hAnsi="Times New Roman" w:cs="Times New Roman"/>
          <w:color w:val="auto"/>
          <w:lang w:val="en-US" w:eastAsia="zh-CN"/>
        </w:rPr>
      </w:pPr>
      <w:r>
        <w:rPr>
          <w:rFonts w:hint="eastAsia" w:ascii="Times New Roman" w:hAnsi="Times New Roman" w:eastAsia="华文中宋" w:cs="Times New Roman"/>
          <w:snapToGrid w:val="0"/>
          <w:color w:val="auto"/>
          <w:kern w:val="0"/>
          <w:sz w:val="24"/>
          <w:szCs w:val="20"/>
          <w:lang w:val="en-US" w:eastAsia="zh-CN" w:bidi="ar-SA"/>
        </w:rPr>
        <w:t>（1）</w:t>
      </w:r>
      <w:r>
        <w:rPr>
          <w:rFonts w:hint="eastAsia" w:ascii="Times New Roman" w:hAnsi="Times New Roman" w:cs="Times New Roman"/>
          <w:color w:val="auto"/>
          <w:lang w:val="en-US" w:eastAsia="zh-CN"/>
        </w:rPr>
        <w:t>项目在固废运输过程中运输车辆均加盖篷布，防止行驶过程中固体废物散落，对周边土壤环境造成影响。</w:t>
      </w:r>
    </w:p>
    <w:p w14:paraId="25F09505">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（2）拆除产生的</w:t>
      </w:r>
      <w:r>
        <w:rPr>
          <w:rFonts w:hint="default" w:ascii="Times New Roman" w:hAnsi="Times New Roman" w:eastAsia="华文中宋" w:cs="Times New Roman"/>
          <w:color w:val="auto"/>
          <w:lang w:val="en-US" w:eastAsia="zh-CN"/>
        </w:rPr>
        <w:t>废弃物主要为设备的零部件以及破损碎块。收集的设备零部件、破损碎块尽可能循环利用。无法再利用的外运处理。</w:t>
      </w:r>
    </w:p>
    <w:p w14:paraId="610B7B1C">
      <w:pPr>
        <w:pStyle w:val="24"/>
        <w:numPr>
          <w:ilvl w:val="0"/>
          <w:numId w:val="0"/>
        </w:numPr>
        <w:snapToGrid w:val="0"/>
        <w:ind w:firstLine="480" w:firstLineChars="200"/>
        <w:jc w:val="left"/>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w:t>
      </w:r>
      <w:r>
        <w:rPr>
          <w:rFonts w:hint="default" w:ascii="Times New Roman" w:hAnsi="Times New Roman" w:eastAsia="华文中宋" w:cs="Times New Roman"/>
          <w:color w:val="auto"/>
          <w:lang w:val="en-US" w:eastAsia="zh-CN"/>
        </w:rPr>
        <w:t>拆除建、构筑物产生的砖、石、渣土等建筑垃圾，分门别类回收利用，无法回收利用部分拉运至对应填埋场</w:t>
      </w:r>
      <w:r>
        <w:rPr>
          <w:rFonts w:hint="eastAsia" w:ascii="Times New Roman" w:hAnsi="Times New Roman" w:cs="Times New Roman"/>
          <w:color w:val="auto"/>
          <w:lang w:val="en-US" w:eastAsia="zh-CN"/>
        </w:rPr>
        <w:t>。</w:t>
      </w:r>
    </w:p>
    <w:p w14:paraId="2AEAFE7E">
      <w:pPr>
        <w:pStyle w:val="24"/>
        <w:numPr>
          <w:ilvl w:val="0"/>
          <w:numId w:val="0"/>
        </w:numPr>
        <w:snapToGrid w:val="0"/>
        <w:ind w:firstLine="480" w:firstLineChars="200"/>
        <w:jc w:val="left"/>
        <w:rPr>
          <w:rFonts w:hint="eastAsia"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（4）</w:t>
      </w:r>
      <w:r>
        <w:rPr>
          <w:rFonts w:hint="eastAsia" w:ascii="Times New Roman" w:hAnsi="Times New Roman" w:eastAsia="华文中宋" w:cs="Times New Roman"/>
          <w:color w:val="auto"/>
          <w:lang w:val="en-US" w:eastAsia="zh-CN"/>
        </w:rPr>
        <w:t>采取合理适用的生态恢复治理措施后尽可能与周边生态环境相协调，尽可能恢复原土地使用功能。能够恢复原始地形地貌的场地治理后恢复原土地利用类型。</w:t>
      </w:r>
    </w:p>
    <w:p w14:paraId="4F406F05">
      <w:pPr>
        <w:pStyle w:val="4"/>
        <w:spacing w:before="120" w:after="120" w:line="500" w:lineRule="exact"/>
        <w:rPr>
          <w:rFonts w:hint="eastAsia" w:ascii="Times New Roman" w:hAnsi="Times New Roman" w:eastAsia="华文中宋" w:cs="Times New Roman"/>
          <w:kern w:val="0"/>
          <w:sz w:val="24"/>
          <w:szCs w:val="24"/>
          <w:lang w:val="en-US" w:eastAsia="zh-CN"/>
        </w:rPr>
      </w:pPr>
      <w:bookmarkStart w:id="265" w:name="_Toc29344"/>
      <w:r>
        <w:rPr>
          <w:rFonts w:hint="eastAsia" w:ascii="Times New Roman" w:hAnsi="Times New Roman" w:eastAsia="华文中宋" w:cs="Times New Roman"/>
          <w:kern w:val="0"/>
          <w:sz w:val="24"/>
          <w:szCs w:val="24"/>
          <w:lang w:val="en-US" w:eastAsia="zh-CN"/>
        </w:rPr>
        <w:t>6.3.5闭矿期生态环境保护措施</w:t>
      </w:r>
      <w:bookmarkEnd w:id="265"/>
    </w:p>
    <w:p w14:paraId="28F198BB">
      <w:pPr>
        <w:pStyle w:val="24"/>
        <w:snapToGrid w:val="0"/>
        <w:jc w:val="left"/>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r>
        <w:rPr>
          <w:rFonts w:hint="default" w:ascii="Times New Roman" w:hAnsi="Times New Roman" w:cs="Times New Roman"/>
          <w:color w:val="auto"/>
          <w:lang w:val="en-US" w:eastAsia="zh-CN"/>
        </w:rPr>
        <w:t>闭矿期，利用废石回填</w:t>
      </w:r>
      <w:r>
        <w:rPr>
          <w:rFonts w:hint="eastAsia" w:ascii="Times New Roman" w:hAnsi="Times New Roman" w:cs="Times New Roman"/>
          <w:color w:val="auto"/>
          <w:lang w:val="en-US" w:eastAsia="zh-CN"/>
        </w:rPr>
        <w:t>南北露天采场，剩余废石堆存在废石堆放场中，按设计要求保持分层高度和台阶边坡角并进行生态恢复治理。回填后的露天开采区与区域景观基本一致，废石堆场中废石堆存量也相应减少，区域景观协调性较运营期增强。</w:t>
      </w:r>
    </w:p>
    <w:p w14:paraId="64C6FADB">
      <w:pPr>
        <w:pStyle w:val="24"/>
        <w:snapToGrid w:val="0"/>
        <w:jc w:val="left"/>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w:t>
      </w:r>
      <w:r>
        <w:rPr>
          <w:rFonts w:hint="default" w:ascii="Times New Roman" w:hAnsi="Times New Roman" w:cs="Times New Roman"/>
          <w:color w:val="auto"/>
          <w:lang w:val="en-US" w:eastAsia="zh-CN"/>
        </w:rPr>
        <w:t>除了未利用完的废石继续堆存在废石堆</w:t>
      </w:r>
      <w:r>
        <w:rPr>
          <w:rFonts w:hint="eastAsia" w:ascii="Times New Roman" w:hAnsi="Times New Roman" w:cs="Times New Roman"/>
          <w:color w:val="auto"/>
          <w:lang w:val="en-US" w:eastAsia="zh-CN"/>
        </w:rPr>
        <w:t>放</w:t>
      </w:r>
      <w:r>
        <w:rPr>
          <w:rFonts w:hint="default" w:ascii="Times New Roman" w:hAnsi="Times New Roman" w:cs="Times New Roman"/>
          <w:color w:val="auto"/>
          <w:lang w:val="en-US" w:eastAsia="zh-CN"/>
        </w:rPr>
        <w:t>场中外，其余永久占地工程全部退出，永久占地面积大幅缩减，大部分区域生态功能得以恢复。</w:t>
      </w:r>
    </w:p>
    <w:p w14:paraId="13C292B5">
      <w:pPr>
        <w:pStyle w:val="24"/>
        <w:snapToGrid w:val="0"/>
        <w:jc w:val="left"/>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（3）对项目区工业场地进行复垦，播撒草籽尽可能恢复原有生态状况。</w:t>
      </w:r>
    </w:p>
    <w:p w14:paraId="3C12CD33">
      <w:pPr>
        <w:pStyle w:val="24"/>
        <w:snapToGrid w:val="0"/>
        <w:jc w:val="left"/>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（4）随着矿区生态环境逐步恢复，野生动物也将逐渐回迁。</w:t>
      </w:r>
    </w:p>
    <w:p w14:paraId="1FCFB486">
      <w:pPr>
        <w:pStyle w:val="3"/>
        <w:spacing w:before="120" w:after="120" w:line="500" w:lineRule="exact"/>
        <w:ind w:left="375" w:hanging="375" w:firstLineChars="0"/>
        <w:contextualSpacing/>
        <w:rPr>
          <w:rFonts w:hint="default" w:ascii="Times New Roman" w:hAnsi="Times New Roman" w:eastAsia="华文中宋" w:cs="Times New Roman"/>
          <w:snapToGrid w:val="0"/>
          <w:kern w:val="0"/>
          <w:sz w:val="28"/>
          <w:szCs w:val="28"/>
          <w:lang w:val="en-US" w:eastAsia="zh-CN"/>
        </w:rPr>
      </w:pPr>
      <w:bookmarkStart w:id="266" w:name="_Toc11407"/>
      <w:r>
        <w:rPr>
          <w:rFonts w:hint="eastAsia" w:ascii="Times New Roman" w:hAnsi="Times New Roman" w:eastAsia="华文中宋" w:cs="Times New Roman"/>
          <w:snapToGrid w:val="0"/>
          <w:kern w:val="0"/>
          <w:sz w:val="28"/>
          <w:szCs w:val="28"/>
          <w:lang w:val="en-US" w:eastAsia="zh-CN"/>
        </w:rPr>
        <w:t>6.4闭矿期土地复垦</w:t>
      </w:r>
      <w:bookmarkEnd w:id="266"/>
    </w:p>
    <w:p w14:paraId="726A1111">
      <w:pPr>
        <w:pStyle w:val="4"/>
        <w:spacing w:before="120" w:after="120" w:line="500" w:lineRule="exact"/>
        <w:rPr>
          <w:rFonts w:hint="eastAsia" w:ascii="Times New Roman" w:hAnsi="Times New Roman" w:eastAsia="华文中宋" w:cs="Times New Roman"/>
          <w:kern w:val="0"/>
          <w:sz w:val="24"/>
          <w:szCs w:val="24"/>
          <w:lang w:val="en-US" w:eastAsia="zh-CN"/>
        </w:rPr>
      </w:pPr>
      <w:bookmarkStart w:id="267" w:name="_Toc32747"/>
      <w:r>
        <w:rPr>
          <w:rFonts w:hint="eastAsia" w:ascii="Times New Roman" w:hAnsi="Times New Roman" w:eastAsia="华文中宋" w:cs="Times New Roman"/>
          <w:kern w:val="0"/>
          <w:sz w:val="24"/>
          <w:szCs w:val="24"/>
          <w:lang w:val="en-US" w:eastAsia="zh-CN"/>
        </w:rPr>
        <w:t>6.4.1土地复垦质量要求</w:t>
      </w:r>
      <w:bookmarkEnd w:id="267"/>
    </w:p>
    <w:p w14:paraId="205D8B4B">
      <w:pPr>
        <w:adjustRightInd w:val="0"/>
        <w:snapToGrid w:val="0"/>
        <w:spacing w:line="500" w:lineRule="exact"/>
        <w:jc w:val="left"/>
        <w:rPr>
          <w:rFonts w:hint="eastAsia" w:ascii="Times New Roman" w:hAnsi="Times New Roman" w:eastAsia="华文中宋" w:cs="Times New Roman"/>
          <w:b/>
          <w:bCs/>
          <w:sz w:val="24"/>
          <w:lang w:val="en-US" w:eastAsia="zh-CN"/>
        </w:rPr>
      </w:pPr>
      <w:r>
        <w:rPr>
          <w:rFonts w:hint="eastAsia" w:ascii="Times New Roman" w:hAnsi="Times New Roman" w:eastAsia="华文中宋" w:cs="Times New Roman"/>
          <w:b/>
          <w:bCs/>
          <w:sz w:val="24"/>
          <w:lang w:val="en-US" w:eastAsia="zh-CN"/>
        </w:rPr>
        <w:t>6.4.1.1土地复垦质量要求制定依据</w:t>
      </w:r>
    </w:p>
    <w:p w14:paraId="14A68409">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（1）国家及行业的技术标准</w:t>
      </w:r>
    </w:p>
    <w:p w14:paraId="1B024812">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1）《国土空间调查、规划、用途管制用地用海分类指南（试行）》（自然资办发〔2020〕51号）；</w:t>
      </w:r>
    </w:p>
    <w:p w14:paraId="572C1B9A">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2）《土地复垦条例》（2011年）；</w:t>
      </w:r>
    </w:p>
    <w:p w14:paraId="189D00E8">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3）《土地复垦质量控制标准》（TD/T1036-2013）。</w:t>
      </w:r>
    </w:p>
    <w:p w14:paraId="6A5CF87D">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（2）项目区土地利用水平</w:t>
      </w:r>
    </w:p>
    <w:p w14:paraId="747216C1">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考虑到矿区损毁土地的特点，土地复垦工作应根据矿区自身生态环境特征，遵循因地制宜的原则，确保复垦方向与原（或周边）土地利用类型尽可能保持一致。采取合适的预防控制措施和工程措施，使损毁的土地恢复到原生产利用条件，制定的复垦标准原则上不能低于原（或周边）土地利用类型的土壤质量和生产水平。</w:t>
      </w:r>
    </w:p>
    <w:p w14:paraId="2DCB076A">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（3）土地复垦适宜性分析的结果</w:t>
      </w:r>
    </w:p>
    <w:p w14:paraId="038CD100">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根据国际及行业标准、矿区自然和社会经济条件，结合土地复垦适宜性分析结果，针对复垦方向制定相应的复垦标准，选择相适宜的复垦措施。</w:t>
      </w:r>
    </w:p>
    <w:p w14:paraId="6F096661">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（4）项目所在地相关权利人的调查意见</w:t>
      </w:r>
    </w:p>
    <w:p w14:paraId="278DBD3E">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积极调查和听取相关权利人的相关意见和建议，可以提高土地复垦标准的合理性和可行性。本方案在制定复垦标准时，积极与当地自然资源主管部门进行意见交流，深入调查走访损毁土地的原土地使用权人，结合调查咨询结果，合理确定复垦标准。</w:t>
      </w:r>
    </w:p>
    <w:p w14:paraId="101A3E6F">
      <w:pPr>
        <w:adjustRightInd w:val="0"/>
        <w:snapToGrid w:val="0"/>
        <w:spacing w:line="500" w:lineRule="exact"/>
        <w:jc w:val="left"/>
        <w:rPr>
          <w:rFonts w:hint="eastAsia" w:ascii="Times New Roman" w:hAnsi="Times New Roman" w:eastAsia="华文中宋" w:cs="Times New Roman"/>
          <w:b/>
          <w:bCs/>
          <w:sz w:val="24"/>
          <w:lang w:val="en-US" w:eastAsia="zh-CN"/>
        </w:rPr>
      </w:pPr>
      <w:r>
        <w:rPr>
          <w:rFonts w:hint="eastAsia" w:ascii="Times New Roman" w:hAnsi="Times New Roman" w:eastAsia="华文中宋" w:cs="Times New Roman"/>
          <w:b/>
          <w:bCs/>
          <w:sz w:val="24"/>
          <w:lang w:val="en-US" w:eastAsia="zh-CN"/>
        </w:rPr>
        <w:t>6.4.1.2土地复垦质量要求</w:t>
      </w:r>
    </w:p>
    <w:p w14:paraId="547CDF9F">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本项目区各复垦单元复垦方向为天然牧草地，依据《土地复垦质量控制标准》（TD/T 1036-2013）中西北干旱地区土地复垦质量控制标准表D.9及《土地整治工程建设标准》（新疆维吾尔自治区地方标准 DB65/T 3722-2015），结合当地实际制定天然牧草地复垦质量控制标准，见下表6.4-1。</w:t>
      </w:r>
    </w:p>
    <w:p w14:paraId="58F35EDD">
      <w:pPr>
        <w:adjustRightInd w:val="0"/>
        <w:snapToGrid w:val="0"/>
        <w:spacing w:before="250" w:beforeLines="50"/>
        <w:ind w:firstLine="422" w:firstLineChars="200"/>
        <w:jc w:val="center"/>
        <w:rPr>
          <w:rFonts w:hint="eastAsia" w:ascii="Times New Roman" w:hAnsi="Times New Roman" w:eastAsia="华文中宋" w:cs="Times New Roman"/>
          <w:b/>
          <w:szCs w:val="21"/>
          <w:lang w:val="en-US" w:eastAsia="zh-CN"/>
        </w:rPr>
      </w:pPr>
      <w:r>
        <w:rPr>
          <w:rFonts w:hint="eastAsia" w:ascii="Times New Roman" w:hAnsi="Times New Roman" w:eastAsia="华文中宋" w:cs="Times New Roman"/>
          <w:b/>
          <w:szCs w:val="21"/>
          <w:lang w:val="en-US" w:eastAsia="zh-CN"/>
        </w:rPr>
        <w:t>表6.4-1  天然牧草地复垦质量要求</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58"/>
        <w:gridCol w:w="1183"/>
        <w:gridCol w:w="1635"/>
        <w:gridCol w:w="2515"/>
        <w:gridCol w:w="2500"/>
      </w:tblGrid>
      <w:tr w14:paraId="7E681D5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58" w:type="dxa"/>
            <w:tcBorders>
              <w:bottom w:val="single" w:color="auto" w:sz="6" w:space="0"/>
              <w:right w:val="single" w:color="auto" w:sz="6" w:space="0"/>
            </w:tcBorders>
            <w:noWrap w:val="0"/>
            <w:vAlign w:val="center"/>
          </w:tcPr>
          <w:p w14:paraId="4BB84C21">
            <w:pPr>
              <w:spacing w:line="300" w:lineRule="exact"/>
              <w:jc w:val="center"/>
              <w:rPr>
                <w:rFonts w:hint="eastAsia" w:ascii="Times New Roman" w:hAnsi="Times New Roman" w:eastAsia="华文中宋" w:cs="Times New Roman"/>
                <w:b/>
                <w:bCs/>
                <w:szCs w:val="21"/>
                <w:lang w:val="en-US" w:eastAsia="zh-CN"/>
              </w:rPr>
            </w:pPr>
            <w:r>
              <w:rPr>
                <w:rFonts w:hint="eastAsia" w:ascii="Times New Roman" w:hAnsi="Times New Roman" w:eastAsia="华文中宋" w:cs="Times New Roman"/>
                <w:b/>
                <w:bCs/>
                <w:szCs w:val="21"/>
                <w:lang w:val="en-US" w:eastAsia="zh-CN"/>
              </w:rPr>
              <w:t>序号</w:t>
            </w:r>
          </w:p>
        </w:tc>
        <w:tc>
          <w:tcPr>
            <w:tcW w:w="1183" w:type="dxa"/>
            <w:tcBorders>
              <w:left w:val="single" w:color="auto" w:sz="6" w:space="0"/>
              <w:bottom w:val="single" w:color="auto" w:sz="6" w:space="0"/>
              <w:right w:val="single" w:color="auto" w:sz="6" w:space="0"/>
            </w:tcBorders>
            <w:noWrap w:val="0"/>
            <w:vAlign w:val="center"/>
          </w:tcPr>
          <w:p w14:paraId="00E4B3E2">
            <w:pPr>
              <w:spacing w:line="300" w:lineRule="exact"/>
              <w:jc w:val="center"/>
              <w:rPr>
                <w:rFonts w:hint="eastAsia" w:ascii="Times New Roman" w:hAnsi="Times New Roman" w:eastAsia="华文中宋" w:cs="Times New Roman"/>
                <w:b/>
                <w:bCs/>
                <w:szCs w:val="21"/>
                <w:lang w:val="en-US" w:eastAsia="zh-CN"/>
              </w:rPr>
            </w:pPr>
            <w:r>
              <w:rPr>
                <w:rFonts w:hint="eastAsia" w:ascii="Times New Roman" w:hAnsi="Times New Roman" w:eastAsia="华文中宋" w:cs="Times New Roman"/>
                <w:b/>
                <w:bCs/>
                <w:szCs w:val="21"/>
                <w:lang w:val="en-US" w:eastAsia="zh-CN"/>
              </w:rPr>
              <w:t>复垦单元</w:t>
            </w:r>
          </w:p>
        </w:tc>
        <w:tc>
          <w:tcPr>
            <w:tcW w:w="1635" w:type="dxa"/>
            <w:tcBorders>
              <w:left w:val="single" w:color="auto" w:sz="6" w:space="0"/>
              <w:bottom w:val="single" w:color="auto" w:sz="6" w:space="0"/>
              <w:right w:val="single" w:color="auto" w:sz="6" w:space="0"/>
            </w:tcBorders>
            <w:noWrap w:val="0"/>
            <w:vAlign w:val="center"/>
          </w:tcPr>
          <w:p w14:paraId="402E2AEF">
            <w:pPr>
              <w:spacing w:line="300" w:lineRule="exact"/>
              <w:jc w:val="center"/>
              <w:rPr>
                <w:rFonts w:hint="eastAsia" w:ascii="Times New Roman" w:hAnsi="Times New Roman" w:eastAsia="华文中宋" w:cs="Times New Roman"/>
                <w:b/>
                <w:bCs/>
                <w:szCs w:val="21"/>
                <w:lang w:val="en-US" w:eastAsia="zh-CN"/>
              </w:rPr>
            </w:pPr>
            <w:r>
              <w:rPr>
                <w:rFonts w:hint="eastAsia" w:ascii="Times New Roman" w:hAnsi="Times New Roman" w:eastAsia="华文中宋" w:cs="Times New Roman"/>
                <w:b/>
                <w:bCs/>
                <w:szCs w:val="21"/>
                <w:lang w:val="en-US" w:eastAsia="zh-CN"/>
              </w:rPr>
              <w:t>基本指标</w:t>
            </w:r>
          </w:p>
        </w:tc>
        <w:tc>
          <w:tcPr>
            <w:tcW w:w="2515" w:type="dxa"/>
            <w:tcBorders>
              <w:left w:val="single" w:color="auto" w:sz="6" w:space="0"/>
              <w:bottom w:val="single" w:color="auto" w:sz="6" w:space="0"/>
              <w:right w:val="single" w:color="auto" w:sz="6" w:space="0"/>
            </w:tcBorders>
            <w:noWrap w:val="0"/>
            <w:vAlign w:val="center"/>
          </w:tcPr>
          <w:p w14:paraId="24FFCF9C">
            <w:pPr>
              <w:spacing w:line="300" w:lineRule="exact"/>
              <w:jc w:val="center"/>
              <w:rPr>
                <w:rFonts w:hint="eastAsia" w:ascii="Times New Roman" w:hAnsi="Times New Roman" w:eastAsia="华文中宋" w:cs="Times New Roman"/>
                <w:b/>
                <w:bCs/>
                <w:szCs w:val="21"/>
                <w:lang w:val="en-US" w:eastAsia="zh-CN"/>
              </w:rPr>
            </w:pPr>
            <w:r>
              <w:rPr>
                <w:rFonts w:hint="eastAsia" w:ascii="Times New Roman" w:hAnsi="Times New Roman" w:eastAsia="华文中宋" w:cs="Times New Roman"/>
                <w:b/>
                <w:bCs/>
                <w:szCs w:val="21"/>
                <w:lang w:val="en-US" w:eastAsia="zh-CN"/>
              </w:rPr>
              <w:t>现状</w:t>
            </w:r>
          </w:p>
        </w:tc>
        <w:tc>
          <w:tcPr>
            <w:tcW w:w="2500" w:type="dxa"/>
            <w:tcBorders>
              <w:left w:val="single" w:color="auto" w:sz="6" w:space="0"/>
              <w:bottom w:val="single" w:color="auto" w:sz="6" w:space="0"/>
            </w:tcBorders>
            <w:noWrap w:val="0"/>
            <w:vAlign w:val="center"/>
          </w:tcPr>
          <w:p w14:paraId="0D7EF1D8">
            <w:pPr>
              <w:spacing w:line="300" w:lineRule="exact"/>
              <w:jc w:val="center"/>
              <w:rPr>
                <w:rFonts w:hint="eastAsia" w:ascii="Times New Roman" w:hAnsi="Times New Roman" w:eastAsia="华文中宋" w:cs="Times New Roman"/>
                <w:b/>
                <w:bCs/>
                <w:szCs w:val="21"/>
                <w:lang w:val="en-US" w:eastAsia="zh-CN"/>
              </w:rPr>
            </w:pPr>
            <w:r>
              <w:rPr>
                <w:rFonts w:hint="eastAsia" w:ascii="Times New Roman" w:hAnsi="Times New Roman" w:eastAsia="华文中宋" w:cs="Times New Roman"/>
                <w:b/>
                <w:bCs/>
                <w:szCs w:val="21"/>
                <w:lang w:val="en-US" w:eastAsia="zh-CN"/>
              </w:rPr>
              <w:t>本次复垦质量控制标准</w:t>
            </w:r>
          </w:p>
        </w:tc>
      </w:tr>
      <w:tr w14:paraId="557BA9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1" w:hRule="atLeast"/>
          <w:jc w:val="center"/>
        </w:trPr>
        <w:tc>
          <w:tcPr>
            <w:tcW w:w="658" w:type="dxa"/>
            <w:vMerge w:val="restart"/>
            <w:tcBorders>
              <w:top w:val="single" w:color="auto" w:sz="6" w:space="0"/>
              <w:right w:val="single" w:color="auto" w:sz="6" w:space="0"/>
            </w:tcBorders>
            <w:noWrap w:val="0"/>
            <w:vAlign w:val="center"/>
          </w:tcPr>
          <w:p w14:paraId="57A49A57">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w:t>
            </w:r>
          </w:p>
        </w:tc>
        <w:tc>
          <w:tcPr>
            <w:tcW w:w="1183" w:type="dxa"/>
            <w:vMerge w:val="restart"/>
            <w:tcBorders>
              <w:top w:val="single" w:color="auto" w:sz="6" w:space="0"/>
              <w:left w:val="single" w:color="auto" w:sz="6" w:space="0"/>
              <w:right w:val="single" w:color="auto" w:sz="6" w:space="0"/>
            </w:tcBorders>
            <w:noWrap w:val="0"/>
            <w:vAlign w:val="center"/>
          </w:tcPr>
          <w:p w14:paraId="76320DAD">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露天采场</w:t>
            </w:r>
          </w:p>
        </w:tc>
        <w:tc>
          <w:tcPr>
            <w:tcW w:w="1635" w:type="dxa"/>
            <w:tcBorders>
              <w:top w:val="single" w:color="auto" w:sz="6" w:space="0"/>
              <w:left w:val="single" w:color="auto" w:sz="6" w:space="0"/>
              <w:bottom w:val="single" w:color="auto" w:sz="6" w:space="0"/>
              <w:right w:val="single" w:color="auto" w:sz="6" w:space="0"/>
            </w:tcBorders>
            <w:noWrap w:val="0"/>
            <w:vAlign w:val="center"/>
          </w:tcPr>
          <w:p w14:paraId="1A224E9F">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土地类型/复垦方向</w:t>
            </w:r>
          </w:p>
        </w:tc>
        <w:tc>
          <w:tcPr>
            <w:tcW w:w="2515" w:type="dxa"/>
            <w:tcBorders>
              <w:top w:val="single" w:color="auto" w:sz="6" w:space="0"/>
              <w:left w:val="single" w:color="auto" w:sz="6" w:space="0"/>
              <w:bottom w:val="single" w:color="auto" w:sz="6" w:space="0"/>
              <w:right w:val="single" w:color="auto" w:sz="6" w:space="0"/>
            </w:tcBorders>
            <w:noWrap w:val="0"/>
            <w:vAlign w:val="center"/>
          </w:tcPr>
          <w:p w14:paraId="79DB04AC">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天然牧草地</w:t>
            </w:r>
          </w:p>
        </w:tc>
        <w:tc>
          <w:tcPr>
            <w:tcW w:w="2500" w:type="dxa"/>
            <w:tcBorders>
              <w:top w:val="single" w:color="auto" w:sz="6" w:space="0"/>
              <w:left w:val="single" w:color="auto" w:sz="6" w:space="0"/>
              <w:bottom w:val="single" w:color="auto" w:sz="6" w:space="0"/>
            </w:tcBorders>
            <w:noWrap w:val="0"/>
            <w:vAlign w:val="center"/>
          </w:tcPr>
          <w:p w14:paraId="0678C8A1">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天然牧草地</w:t>
            </w:r>
          </w:p>
        </w:tc>
      </w:tr>
      <w:tr w14:paraId="37250F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1" w:hRule="atLeast"/>
          <w:jc w:val="center"/>
        </w:trPr>
        <w:tc>
          <w:tcPr>
            <w:tcW w:w="658" w:type="dxa"/>
            <w:vMerge w:val="continue"/>
            <w:tcBorders>
              <w:right w:val="single" w:color="auto" w:sz="6" w:space="0"/>
            </w:tcBorders>
            <w:noWrap w:val="0"/>
            <w:vAlign w:val="center"/>
          </w:tcPr>
          <w:p w14:paraId="519B2AB5">
            <w:pPr>
              <w:spacing w:line="300" w:lineRule="exact"/>
              <w:jc w:val="center"/>
              <w:rPr>
                <w:rFonts w:hint="eastAsia" w:ascii="Times New Roman" w:hAnsi="Times New Roman" w:eastAsia="华文中宋" w:cs="Times New Roman"/>
                <w:szCs w:val="21"/>
                <w:lang w:val="en-US" w:eastAsia="zh-CN"/>
              </w:rPr>
            </w:pPr>
          </w:p>
        </w:tc>
        <w:tc>
          <w:tcPr>
            <w:tcW w:w="1183" w:type="dxa"/>
            <w:vMerge w:val="continue"/>
            <w:tcBorders>
              <w:left w:val="single" w:color="auto" w:sz="6" w:space="0"/>
              <w:right w:val="single" w:color="auto" w:sz="6" w:space="0"/>
            </w:tcBorders>
            <w:noWrap w:val="0"/>
            <w:vAlign w:val="center"/>
          </w:tcPr>
          <w:p w14:paraId="64805056">
            <w:pPr>
              <w:spacing w:line="300" w:lineRule="exact"/>
              <w:jc w:val="center"/>
              <w:rPr>
                <w:rFonts w:hint="eastAsia" w:ascii="Times New Roman" w:hAnsi="Times New Roman" w:eastAsia="华文中宋" w:cs="Times New Roman"/>
                <w:szCs w:val="21"/>
                <w:lang w:val="en-US" w:eastAsia="zh-CN"/>
              </w:rPr>
            </w:pPr>
          </w:p>
        </w:tc>
        <w:tc>
          <w:tcPr>
            <w:tcW w:w="1635" w:type="dxa"/>
            <w:tcBorders>
              <w:top w:val="single" w:color="auto" w:sz="6" w:space="0"/>
              <w:left w:val="single" w:color="auto" w:sz="6" w:space="0"/>
              <w:bottom w:val="single" w:color="auto" w:sz="6" w:space="0"/>
              <w:right w:val="single" w:color="auto" w:sz="6" w:space="0"/>
            </w:tcBorders>
            <w:noWrap w:val="0"/>
            <w:vAlign w:val="center"/>
          </w:tcPr>
          <w:p w14:paraId="409A95F0">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地形坡度</w:t>
            </w:r>
          </w:p>
        </w:tc>
        <w:tc>
          <w:tcPr>
            <w:tcW w:w="2515" w:type="dxa"/>
            <w:tcBorders>
              <w:top w:val="single" w:color="auto" w:sz="6" w:space="0"/>
              <w:left w:val="single" w:color="auto" w:sz="6" w:space="0"/>
              <w:bottom w:val="single" w:color="auto" w:sz="6" w:space="0"/>
              <w:right w:val="single" w:color="auto" w:sz="6" w:space="0"/>
            </w:tcBorders>
            <w:noWrap w:val="0"/>
            <w:vAlign w:val="center"/>
          </w:tcPr>
          <w:p w14:paraId="15C37148">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原始地貌，地形坡度约5-20°</w:t>
            </w:r>
          </w:p>
        </w:tc>
        <w:tc>
          <w:tcPr>
            <w:tcW w:w="2500" w:type="dxa"/>
            <w:tcBorders>
              <w:top w:val="single" w:color="auto" w:sz="6" w:space="0"/>
              <w:left w:val="single" w:color="auto" w:sz="6" w:space="0"/>
              <w:bottom w:val="single" w:color="auto" w:sz="6" w:space="0"/>
            </w:tcBorders>
            <w:noWrap w:val="0"/>
            <w:vAlign w:val="center"/>
          </w:tcPr>
          <w:p w14:paraId="08975D21">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帮坡50～58°，底部及平台1-5°</w:t>
            </w:r>
          </w:p>
        </w:tc>
      </w:tr>
      <w:tr w14:paraId="472325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02" w:hRule="atLeast"/>
          <w:jc w:val="center"/>
        </w:trPr>
        <w:tc>
          <w:tcPr>
            <w:tcW w:w="658" w:type="dxa"/>
            <w:vMerge w:val="continue"/>
            <w:tcBorders>
              <w:right w:val="single" w:color="auto" w:sz="6" w:space="0"/>
            </w:tcBorders>
            <w:noWrap w:val="0"/>
            <w:vAlign w:val="center"/>
          </w:tcPr>
          <w:p w14:paraId="39F23DFA">
            <w:pPr>
              <w:spacing w:line="300" w:lineRule="exact"/>
              <w:jc w:val="center"/>
              <w:rPr>
                <w:rFonts w:hint="eastAsia" w:ascii="Times New Roman" w:hAnsi="Times New Roman" w:eastAsia="华文中宋" w:cs="Times New Roman"/>
                <w:szCs w:val="21"/>
                <w:lang w:val="en-US" w:eastAsia="zh-CN"/>
              </w:rPr>
            </w:pPr>
          </w:p>
        </w:tc>
        <w:tc>
          <w:tcPr>
            <w:tcW w:w="1183" w:type="dxa"/>
            <w:vMerge w:val="continue"/>
            <w:tcBorders>
              <w:left w:val="single" w:color="auto" w:sz="6" w:space="0"/>
              <w:right w:val="single" w:color="auto" w:sz="6" w:space="0"/>
            </w:tcBorders>
            <w:noWrap w:val="0"/>
            <w:vAlign w:val="center"/>
          </w:tcPr>
          <w:p w14:paraId="02BC1307">
            <w:pPr>
              <w:spacing w:line="300" w:lineRule="exact"/>
              <w:jc w:val="center"/>
              <w:rPr>
                <w:rFonts w:hint="eastAsia" w:ascii="Times New Roman" w:hAnsi="Times New Roman" w:eastAsia="华文中宋" w:cs="Times New Roman"/>
                <w:szCs w:val="21"/>
                <w:lang w:val="en-US" w:eastAsia="zh-CN"/>
              </w:rPr>
            </w:pPr>
          </w:p>
        </w:tc>
        <w:tc>
          <w:tcPr>
            <w:tcW w:w="1635" w:type="dxa"/>
            <w:tcBorders>
              <w:top w:val="single" w:color="auto" w:sz="6" w:space="0"/>
              <w:left w:val="single" w:color="auto" w:sz="6" w:space="0"/>
              <w:bottom w:val="single" w:color="auto" w:sz="6" w:space="0"/>
              <w:right w:val="single" w:color="auto" w:sz="6" w:space="0"/>
            </w:tcBorders>
            <w:noWrap w:val="0"/>
            <w:vAlign w:val="center"/>
          </w:tcPr>
          <w:p w14:paraId="1984ACFA">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稳定性</w:t>
            </w:r>
          </w:p>
        </w:tc>
        <w:tc>
          <w:tcPr>
            <w:tcW w:w="2515" w:type="dxa"/>
            <w:tcBorders>
              <w:top w:val="single" w:color="auto" w:sz="6" w:space="0"/>
              <w:left w:val="single" w:color="auto" w:sz="6" w:space="0"/>
              <w:bottom w:val="single" w:color="auto" w:sz="6" w:space="0"/>
              <w:right w:val="single" w:color="auto" w:sz="6" w:space="0"/>
            </w:tcBorders>
            <w:noWrap w:val="0"/>
            <w:vAlign w:val="center"/>
          </w:tcPr>
          <w:p w14:paraId="03E8659F">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山坡较缓，稳定</w:t>
            </w:r>
          </w:p>
        </w:tc>
        <w:tc>
          <w:tcPr>
            <w:tcW w:w="2500" w:type="dxa"/>
            <w:tcBorders>
              <w:top w:val="single" w:color="auto" w:sz="6" w:space="0"/>
              <w:left w:val="single" w:color="auto" w:sz="6" w:space="0"/>
              <w:bottom w:val="single" w:color="auto" w:sz="6" w:space="0"/>
            </w:tcBorders>
            <w:noWrap w:val="0"/>
            <w:vAlign w:val="center"/>
          </w:tcPr>
          <w:p w14:paraId="08223328">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边坡稳定、无灾害隐患</w:t>
            </w:r>
          </w:p>
        </w:tc>
      </w:tr>
      <w:tr w14:paraId="0D0FA00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658" w:type="dxa"/>
            <w:vMerge w:val="continue"/>
            <w:tcBorders>
              <w:right w:val="single" w:color="auto" w:sz="6" w:space="0"/>
            </w:tcBorders>
            <w:noWrap w:val="0"/>
            <w:vAlign w:val="center"/>
          </w:tcPr>
          <w:p w14:paraId="10363E5D">
            <w:pPr>
              <w:spacing w:line="300" w:lineRule="exact"/>
              <w:jc w:val="center"/>
              <w:rPr>
                <w:rFonts w:hint="eastAsia" w:ascii="Times New Roman" w:hAnsi="Times New Roman" w:eastAsia="华文中宋" w:cs="Times New Roman"/>
                <w:szCs w:val="21"/>
                <w:lang w:val="en-US" w:eastAsia="zh-CN"/>
              </w:rPr>
            </w:pPr>
          </w:p>
        </w:tc>
        <w:tc>
          <w:tcPr>
            <w:tcW w:w="1183" w:type="dxa"/>
            <w:vMerge w:val="continue"/>
            <w:tcBorders>
              <w:left w:val="single" w:color="auto" w:sz="6" w:space="0"/>
              <w:right w:val="single" w:color="auto" w:sz="6" w:space="0"/>
            </w:tcBorders>
            <w:noWrap w:val="0"/>
            <w:vAlign w:val="center"/>
          </w:tcPr>
          <w:p w14:paraId="6A3CC9A2">
            <w:pPr>
              <w:spacing w:line="300" w:lineRule="exact"/>
              <w:jc w:val="center"/>
              <w:rPr>
                <w:rFonts w:hint="eastAsia" w:ascii="Times New Roman" w:hAnsi="Times New Roman" w:eastAsia="华文中宋" w:cs="Times New Roman"/>
                <w:szCs w:val="21"/>
                <w:lang w:val="en-US" w:eastAsia="zh-CN"/>
              </w:rPr>
            </w:pPr>
          </w:p>
        </w:tc>
        <w:tc>
          <w:tcPr>
            <w:tcW w:w="1635" w:type="dxa"/>
            <w:tcBorders>
              <w:top w:val="single" w:color="auto" w:sz="6" w:space="0"/>
              <w:left w:val="single" w:color="auto" w:sz="6" w:space="0"/>
              <w:bottom w:val="single" w:color="auto" w:sz="6" w:space="0"/>
              <w:right w:val="single" w:color="auto" w:sz="6" w:space="0"/>
            </w:tcBorders>
            <w:noWrap w:val="0"/>
            <w:vAlign w:val="center"/>
          </w:tcPr>
          <w:p w14:paraId="7E43C667">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有效土层厚度</w:t>
            </w:r>
          </w:p>
        </w:tc>
        <w:tc>
          <w:tcPr>
            <w:tcW w:w="2515" w:type="dxa"/>
            <w:tcBorders>
              <w:top w:val="single" w:color="auto" w:sz="6" w:space="0"/>
              <w:left w:val="single" w:color="auto" w:sz="6" w:space="0"/>
              <w:bottom w:val="single" w:color="auto" w:sz="6" w:space="0"/>
              <w:right w:val="single" w:color="auto" w:sz="6" w:space="0"/>
            </w:tcBorders>
            <w:noWrap w:val="0"/>
            <w:vAlign w:val="center"/>
          </w:tcPr>
          <w:p w14:paraId="52CF35E1">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厚度0-50cm</w:t>
            </w:r>
          </w:p>
        </w:tc>
        <w:tc>
          <w:tcPr>
            <w:tcW w:w="2500" w:type="dxa"/>
            <w:tcBorders>
              <w:top w:val="single" w:color="auto" w:sz="6" w:space="0"/>
              <w:left w:val="single" w:color="auto" w:sz="6" w:space="0"/>
              <w:bottom w:val="single" w:color="auto" w:sz="6" w:space="0"/>
            </w:tcBorders>
            <w:noWrap w:val="0"/>
            <w:vAlign w:val="center"/>
          </w:tcPr>
          <w:p w14:paraId="2924836C">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覆土厚度30cm</w:t>
            </w:r>
          </w:p>
        </w:tc>
      </w:tr>
      <w:tr w14:paraId="5D7DDE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exact"/>
          <w:jc w:val="center"/>
        </w:trPr>
        <w:tc>
          <w:tcPr>
            <w:tcW w:w="658" w:type="dxa"/>
            <w:vMerge w:val="continue"/>
            <w:tcBorders>
              <w:right w:val="single" w:color="auto" w:sz="6" w:space="0"/>
            </w:tcBorders>
            <w:noWrap w:val="0"/>
            <w:vAlign w:val="center"/>
          </w:tcPr>
          <w:p w14:paraId="0CCEF756">
            <w:pPr>
              <w:spacing w:line="300" w:lineRule="exact"/>
              <w:jc w:val="center"/>
              <w:rPr>
                <w:rFonts w:hint="eastAsia" w:ascii="Times New Roman" w:hAnsi="Times New Roman" w:eastAsia="华文中宋" w:cs="Times New Roman"/>
                <w:szCs w:val="21"/>
                <w:lang w:val="en-US" w:eastAsia="zh-CN"/>
              </w:rPr>
            </w:pPr>
          </w:p>
        </w:tc>
        <w:tc>
          <w:tcPr>
            <w:tcW w:w="1183" w:type="dxa"/>
            <w:vMerge w:val="continue"/>
            <w:tcBorders>
              <w:left w:val="single" w:color="auto" w:sz="6" w:space="0"/>
              <w:right w:val="single" w:color="auto" w:sz="6" w:space="0"/>
            </w:tcBorders>
            <w:noWrap w:val="0"/>
            <w:vAlign w:val="center"/>
          </w:tcPr>
          <w:p w14:paraId="5C7A9A80">
            <w:pPr>
              <w:spacing w:line="300" w:lineRule="exact"/>
              <w:jc w:val="center"/>
              <w:rPr>
                <w:rFonts w:hint="eastAsia" w:ascii="Times New Roman" w:hAnsi="Times New Roman" w:eastAsia="华文中宋" w:cs="Times New Roman"/>
                <w:szCs w:val="21"/>
                <w:lang w:val="en-US" w:eastAsia="zh-CN"/>
              </w:rPr>
            </w:pPr>
          </w:p>
        </w:tc>
        <w:tc>
          <w:tcPr>
            <w:tcW w:w="1635" w:type="dxa"/>
            <w:tcBorders>
              <w:top w:val="single" w:color="auto" w:sz="6" w:space="0"/>
              <w:left w:val="single" w:color="auto" w:sz="6" w:space="0"/>
              <w:bottom w:val="single" w:color="auto" w:sz="6" w:space="0"/>
              <w:right w:val="single" w:color="auto" w:sz="6" w:space="0"/>
            </w:tcBorders>
            <w:noWrap w:val="0"/>
            <w:vAlign w:val="center"/>
          </w:tcPr>
          <w:p w14:paraId="59DCD250">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土壤容重</w:t>
            </w:r>
          </w:p>
        </w:tc>
        <w:tc>
          <w:tcPr>
            <w:tcW w:w="2515" w:type="dxa"/>
            <w:tcBorders>
              <w:top w:val="single" w:color="auto" w:sz="6" w:space="0"/>
              <w:left w:val="single" w:color="auto" w:sz="6" w:space="0"/>
              <w:bottom w:val="single" w:color="auto" w:sz="6" w:space="0"/>
              <w:right w:val="single" w:color="auto" w:sz="6" w:space="0"/>
            </w:tcBorders>
            <w:noWrap w:val="0"/>
            <w:vAlign w:val="center"/>
          </w:tcPr>
          <w:p w14:paraId="2A10D186">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土壤容重1.4-1.51g/cm</w:t>
            </w:r>
            <w:r>
              <w:rPr>
                <w:rFonts w:hint="eastAsia" w:ascii="Times New Roman" w:hAnsi="Times New Roman" w:eastAsia="华文中宋" w:cs="Times New Roman"/>
                <w:szCs w:val="21"/>
                <w:vertAlign w:val="superscript"/>
                <w:lang w:val="en-US" w:eastAsia="zh-CN"/>
              </w:rPr>
              <w:t>3</w:t>
            </w:r>
          </w:p>
        </w:tc>
        <w:tc>
          <w:tcPr>
            <w:tcW w:w="2500" w:type="dxa"/>
            <w:tcBorders>
              <w:top w:val="single" w:color="auto" w:sz="6" w:space="0"/>
              <w:left w:val="single" w:color="auto" w:sz="6" w:space="0"/>
              <w:bottom w:val="single" w:color="auto" w:sz="6" w:space="0"/>
            </w:tcBorders>
            <w:noWrap w:val="0"/>
            <w:vAlign w:val="center"/>
          </w:tcPr>
          <w:p w14:paraId="67B355C7">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土壤容重1.4-1.51g/cm</w:t>
            </w:r>
            <w:r>
              <w:rPr>
                <w:rFonts w:hint="eastAsia" w:ascii="Times New Roman" w:hAnsi="Times New Roman" w:eastAsia="华文中宋" w:cs="Times New Roman"/>
                <w:szCs w:val="21"/>
                <w:vertAlign w:val="superscript"/>
                <w:lang w:val="en-US" w:eastAsia="zh-CN"/>
              </w:rPr>
              <w:t>3</w:t>
            </w:r>
          </w:p>
        </w:tc>
      </w:tr>
      <w:tr w14:paraId="0F03EDC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exact"/>
          <w:jc w:val="center"/>
        </w:trPr>
        <w:tc>
          <w:tcPr>
            <w:tcW w:w="658" w:type="dxa"/>
            <w:vMerge w:val="continue"/>
            <w:tcBorders>
              <w:right w:val="single" w:color="auto" w:sz="6" w:space="0"/>
            </w:tcBorders>
            <w:noWrap w:val="0"/>
            <w:vAlign w:val="center"/>
          </w:tcPr>
          <w:p w14:paraId="10F26B4C">
            <w:pPr>
              <w:spacing w:line="300" w:lineRule="exact"/>
              <w:jc w:val="center"/>
              <w:rPr>
                <w:rFonts w:hint="eastAsia" w:ascii="Times New Roman" w:hAnsi="Times New Roman" w:eastAsia="华文中宋" w:cs="Times New Roman"/>
                <w:szCs w:val="21"/>
                <w:lang w:val="en-US" w:eastAsia="zh-CN"/>
              </w:rPr>
            </w:pPr>
          </w:p>
        </w:tc>
        <w:tc>
          <w:tcPr>
            <w:tcW w:w="1183" w:type="dxa"/>
            <w:vMerge w:val="continue"/>
            <w:tcBorders>
              <w:left w:val="single" w:color="auto" w:sz="6" w:space="0"/>
              <w:right w:val="single" w:color="auto" w:sz="6" w:space="0"/>
            </w:tcBorders>
            <w:noWrap w:val="0"/>
            <w:vAlign w:val="center"/>
          </w:tcPr>
          <w:p w14:paraId="6FE2F360">
            <w:pPr>
              <w:spacing w:line="300" w:lineRule="exact"/>
              <w:jc w:val="center"/>
              <w:rPr>
                <w:rFonts w:hint="eastAsia" w:ascii="Times New Roman" w:hAnsi="Times New Roman" w:eastAsia="华文中宋" w:cs="Times New Roman"/>
                <w:szCs w:val="21"/>
                <w:lang w:val="en-US" w:eastAsia="zh-CN"/>
              </w:rPr>
            </w:pPr>
          </w:p>
        </w:tc>
        <w:tc>
          <w:tcPr>
            <w:tcW w:w="1635" w:type="dxa"/>
            <w:tcBorders>
              <w:top w:val="single" w:color="auto" w:sz="6" w:space="0"/>
              <w:left w:val="single" w:color="auto" w:sz="6" w:space="0"/>
              <w:bottom w:val="single" w:color="auto" w:sz="6" w:space="0"/>
              <w:right w:val="single" w:color="auto" w:sz="6" w:space="0"/>
            </w:tcBorders>
            <w:noWrap w:val="0"/>
            <w:vAlign w:val="center"/>
          </w:tcPr>
          <w:p w14:paraId="61C4E91E">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土壤质地</w:t>
            </w:r>
          </w:p>
        </w:tc>
        <w:tc>
          <w:tcPr>
            <w:tcW w:w="2515" w:type="dxa"/>
            <w:tcBorders>
              <w:top w:val="single" w:color="auto" w:sz="6" w:space="0"/>
              <w:left w:val="single" w:color="auto" w:sz="6" w:space="0"/>
              <w:bottom w:val="single" w:color="auto" w:sz="6" w:space="0"/>
              <w:right w:val="single" w:color="auto" w:sz="6" w:space="0"/>
            </w:tcBorders>
            <w:noWrap w:val="0"/>
            <w:vAlign w:val="center"/>
          </w:tcPr>
          <w:p w14:paraId="057D7A01">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砂砾质</w:t>
            </w:r>
          </w:p>
        </w:tc>
        <w:tc>
          <w:tcPr>
            <w:tcW w:w="2500" w:type="dxa"/>
            <w:tcBorders>
              <w:top w:val="single" w:color="auto" w:sz="6" w:space="0"/>
              <w:left w:val="single" w:color="auto" w:sz="6" w:space="0"/>
              <w:bottom w:val="single" w:color="auto" w:sz="6" w:space="0"/>
            </w:tcBorders>
            <w:noWrap w:val="0"/>
            <w:vAlign w:val="center"/>
          </w:tcPr>
          <w:p w14:paraId="18E40703">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砂砾质</w:t>
            </w:r>
          </w:p>
        </w:tc>
      </w:tr>
      <w:tr w14:paraId="68E2666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exact"/>
          <w:jc w:val="center"/>
        </w:trPr>
        <w:tc>
          <w:tcPr>
            <w:tcW w:w="658" w:type="dxa"/>
            <w:vMerge w:val="continue"/>
            <w:tcBorders>
              <w:bottom w:val="single" w:color="auto" w:sz="6" w:space="0"/>
              <w:right w:val="single" w:color="auto" w:sz="6" w:space="0"/>
            </w:tcBorders>
            <w:noWrap w:val="0"/>
            <w:vAlign w:val="center"/>
          </w:tcPr>
          <w:p w14:paraId="3BE22ACB">
            <w:pPr>
              <w:spacing w:line="300" w:lineRule="exact"/>
              <w:jc w:val="center"/>
              <w:rPr>
                <w:rFonts w:hint="eastAsia" w:ascii="Times New Roman" w:hAnsi="Times New Roman" w:eastAsia="华文中宋" w:cs="Times New Roman"/>
                <w:szCs w:val="21"/>
                <w:lang w:val="en-US" w:eastAsia="zh-CN"/>
              </w:rPr>
            </w:pPr>
          </w:p>
        </w:tc>
        <w:tc>
          <w:tcPr>
            <w:tcW w:w="1183" w:type="dxa"/>
            <w:vMerge w:val="continue"/>
            <w:tcBorders>
              <w:left w:val="single" w:color="auto" w:sz="6" w:space="0"/>
              <w:bottom w:val="single" w:color="auto" w:sz="6" w:space="0"/>
              <w:right w:val="single" w:color="auto" w:sz="6" w:space="0"/>
            </w:tcBorders>
            <w:noWrap w:val="0"/>
            <w:vAlign w:val="center"/>
          </w:tcPr>
          <w:p w14:paraId="4D0BB297">
            <w:pPr>
              <w:spacing w:line="300" w:lineRule="exact"/>
              <w:jc w:val="center"/>
              <w:rPr>
                <w:rFonts w:hint="eastAsia" w:ascii="Times New Roman" w:hAnsi="Times New Roman" w:eastAsia="华文中宋" w:cs="Times New Roman"/>
                <w:szCs w:val="21"/>
                <w:lang w:val="en-US" w:eastAsia="zh-CN"/>
              </w:rPr>
            </w:pPr>
          </w:p>
        </w:tc>
        <w:tc>
          <w:tcPr>
            <w:tcW w:w="1635" w:type="dxa"/>
            <w:tcBorders>
              <w:top w:val="single" w:color="auto" w:sz="6" w:space="0"/>
              <w:left w:val="single" w:color="auto" w:sz="6" w:space="0"/>
              <w:bottom w:val="single" w:color="auto" w:sz="6" w:space="0"/>
              <w:right w:val="single" w:color="auto" w:sz="6" w:space="0"/>
            </w:tcBorders>
            <w:noWrap w:val="0"/>
            <w:vAlign w:val="center"/>
          </w:tcPr>
          <w:p w14:paraId="7C3314D8">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植被覆盖度</w:t>
            </w:r>
          </w:p>
        </w:tc>
        <w:tc>
          <w:tcPr>
            <w:tcW w:w="2515" w:type="dxa"/>
            <w:tcBorders>
              <w:top w:val="single" w:color="auto" w:sz="6" w:space="0"/>
              <w:left w:val="single" w:color="auto" w:sz="6" w:space="0"/>
              <w:bottom w:val="single" w:color="auto" w:sz="6" w:space="0"/>
              <w:right w:val="single" w:color="auto" w:sz="6" w:space="0"/>
            </w:tcBorders>
            <w:noWrap w:val="0"/>
            <w:vAlign w:val="center"/>
          </w:tcPr>
          <w:p w14:paraId="45A88C1B">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&lt;20%</w:t>
            </w:r>
          </w:p>
        </w:tc>
        <w:tc>
          <w:tcPr>
            <w:tcW w:w="2500" w:type="dxa"/>
            <w:tcBorders>
              <w:top w:val="single" w:color="auto" w:sz="6" w:space="0"/>
              <w:left w:val="single" w:color="auto" w:sz="6" w:space="0"/>
              <w:bottom w:val="single" w:color="auto" w:sz="6" w:space="0"/>
            </w:tcBorders>
            <w:noWrap w:val="0"/>
            <w:vAlign w:val="center"/>
          </w:tcPr>
          <w:p w14:paraId="67FEBD9B">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20%</w:t>
            </w:r>
          </w:p>
        </w:tc>
      </w:tr>
      <w:tr w14:paraId="5ED2AD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exact"/>
          <w:jc w:val="center"/>
        </w:trPr>
        <w:tc>
          <w:tcPr>
            <w:tcW w:w="658" w:type="dxa"/>
            <w:vMerge w:val="restart"/>
            <w:tcBorders>
              <w:top w:val="single" w:color="auto" w:sz="6" w:space="0"/>
              <w:right w:val="single" w:color="auto" w:sz="6" w:space="0"/>
            </w:tcBorders>
            <w:noWrap w:val="0"/>
            <w:vAlign w:val="center"/>
          </w:tcPr>
          <w:p w14:paraId="15087614">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w:t>
            </w:r>
          </w:p>
        </w:tc>
        <w:tc>
          <w:tcPr>
            <w:tcW w:w="1183" w:type="dxa"/>
            <w:vMerge w:val="restart"/>
            <w:tcBorders>
              <w:top w:val="single" w:color="auto" w:sz="6" w:space="0"/>
              <w:left w:val="single" w:color="auto" w:sz="6" w:space="0"/>
              <w:right w:val="single" w:color="auto" w:sz="6" w:space="0"/>
            </w:tcBorders>
            <w:noWrap w:val="0"/>
            <w:vAlign w:val="center"/>
          </w:tcPr>
          <w:p w14:paraId="394CC423">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废石堆放场</w:t>
            </w:r>
          </w:p>
        </w:tc>
        <w:tc>
          <w:tcPr>
            <w:tcW w:w="1635" w:type="dxa"/>
            <w:tcBorders>
              <w:top w:val="single" w:color="auto" w:sz="6" w:space="0"/>
              <w:left w:val="single" w:color="auto" w:sz="6" w:space="0"/>
              <w:bottom w:val="single" w:color="auto" w:sz="6" w:space="0"/>
              <w:right w:val="single" w:color="auto" w:sz="6" w:space="0"/>
            </w:tcBorders>
            <w:noWrap w:val="0"/>
            <w:vAlign w:val="center"/>
          </w:tcPr>
          <w:p w14:paraId="3C4AE0B2">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土地类型/复垦方向</w:t>
            </w:r>
          </w:p>
        </w:tc>
        <w:tc>
          <w:tcPr>
            <w:tcW w:w="2515" w:type="dxa"/>
            <w:tcBorders>
              <w:top w:val="single" w:color="auto" w:sz="6" w:space="0"/>
              <w:left w:val="single" w:color="auto" w:sz="6" w:space="0"/>
              <w:bottom w:val="single" w:color="auto" w:sz="6" w:space="0"/>
              <w:right w:val="single" w:color="auto" w:sz="6" w:space="0"/>
            </w:tcBorders>
            <w:noWrap w:val="0"/>
            <w:vAlign w:val="center"/>
          </w:tcPr>
          <w:p w14:paraId="71A9F223">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天然牧草地</w:t>
            </w:r>
          </w:p>
        </w:tc>
        <w:tc>
          <w:tcPr>
            <w:tcW w:w="2500" w:type="dxa"/>
            <w:tcBorders>
              <w:top w:val="single" w:color="auto" w:sz="6" w:space="0"/>
              <w:left w:val="single" w:color="auto" w:sz="6" w:space="0"/>
              <w:bottom w:val="single" w:color="auto" w:sz="6" w:space="0"/>
            </w:tcBorders>
            <w:noWrap w:val="0"/>
            <w:vAlign w:val="center"/>
          </w:tcPr>
          <w:p w14:paraId="4C4033D9">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天然牧草地</w:t>
            </w:r>
          </w:p>
        </w:tc>
      </w:tr>
      <w:tr w14:paraId="035796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exact"/>
          <w:jc w:val="center"/>
        </w:trPr>
        <w:tc>
          <w:tcPr>
            <w:tcW w:w="658" w:type="dxa"/>
            <w:vMerge w:val="continue"/>
            <w:tcBorders>
              <w:right w:val="single" w:color="auto" w:sz="6" w:space="0"/>
            </w:tcBorders>
            <w:noWrap w:val="0"/>
            <w:vAlign w:val="center"/>
          </w:tcPr>
          <w:p w14:paraId="2993484F">
            <w:pPr>
              <w:spacing w:line="300" w:lineRule="exact"/>
              <w:jc w:val="center"/>
              <w:rPr>
                <w:rFonts w:hint="eastAsia" w:ascii="Times New Roman" w:hAnsi="Times New Roman" w:eastAsia="华文中宋" w:cs="Times New Roman"/>
                <w:szCs w:val="21"/>
                <w:lang w:val="en-US" w:eastAsia="zh-CN"/>
              </w:rPr>
            </w:pPr>
          </w:p>
        </w:tc>
        <w:tc>
          <w:tcPr>
            <w:tcW w:w="1183" w:type="dxa"/>
            <w:vMerge w:val="continue"/>
            <w:tcBorders>
              <w:left w:val="single" w:color="auto" w:sz="6" w:space="0"/>
              <w:right w:val="single" w:color="auto" w:sz="6" w:space="0"/>
            </w:tcBorders>
            <w:noWrap w:val="0"/>
            <w:vAlign w:val="center"/>
          </w:tcPr>
          <w:p w14:paraId="64D7952A">
            <w:pPr>
              <w:spacing w:line="300" w:lineRule="exact"/>
              <w:jc w:val="center"/>
              <w:rPr>
                <w:rFonts w:hint="eastAsia" w:ascii="Times New Roman" w:hAnsi="Times New Roman" w:eastAsia="华文中宋" w:cs="Times New Roman"/>
                <w:szCs w:val="21"/>
                <w:lang w:val="en-US" w:eastAsia="zh-CN"/>
              </w:rPr>
            </w:pPr>
          </w:p>
        </w:tc>
        <w:tc>
          <w:tcPr>
            <w:tcW w:w="1635" w:type="dxa"/>
            <w:tcBorders>
              <w:top w:val="single" w:color="auto" w:sz="6" w:space="0"/>
              <w:left w:val="single" w:color="auto" w:sz="6" w:space="0"/>
              <w:bottom w:val="single" w:color="auto" w:sz="6" w:space="0"/>
              <w:right w:val="single" w:color="auto" w:sz="6" w:space="0"/>
            </w:tcBorders>
            <w:noWrap w:val="0"/>
            <w:vAlign w:val="center"/>
          </w:tcPr>
          <w:p w14:paraId="1C504E08">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地形坡度</w:t>
            </w:r>
          </w:p>
        </w:tc>
        <w:tc>
          <w:tcPr>
            <w:tcW w:w="2515" w:type="dxa"/>
            <w:tcBorders>
              <w:top w:val="single" w:color="auto" w:sz="6" w:space="0"/>
              <w:left w:val="single" w:color="auto" w:sz="6" w:space="0"/>
              <w:bottom w:val="single" w:color="auto" w:sz="6" w:space="0"/>
              <w:right w:val="single" w:color="auto" w:sz="6" w:space="0"/>
            </w:tcBorders>
            <w:noWrap w:val="0"/>
            <w:vAlign w:val="center"/>
          </w:tcPr>
          <w:p w14:paraId="7B1DDFDA">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3-12°</w:t>
            </w:r>
          </w:p>
        </w:tc>
        <w:tc>
          <w:tcPr>
            <w:tcW w:w="2500" w:type="dxa"/>
            <w:tcBorders>
              <w:top w:val="single" w:color="auto" w:sz="6" w:space="0"/>
              <w:left w:val="single" w:color="auto" w:sz="6" w:space="0"/>
              <w:bottom w:val="single" w:color="auto" w:sz="6" w:space="0"/>
            </w:tcBorders>
            <w:noWrap w:val="0"/>
            <w:vAlign w:val="center"/>
          </w:tcPr>
          <w:p w14:paraId="3F68EAB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废石堆边坡坡度≤30°</w:t>
            </w:r>
          </w:p>
        </w:tc>
      </w:tr>
      <w:tr w14:paraId="6BEBE31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exact"/>
          <w:jc w:val="center"/>
        </w:trPr>
        <w:tc>
          <w:tcPr>
            <w:tcW w:w="658" w:type="dxa"/>
            <w:vMerge w:val="continue"/>
            <w:tcBorders>
              <w:right w:val="single" w:color="auto" w:sz="6" w:space="0"/>
            </w:tcBorders>
            <w:noWrap w:val="0"/>
            <w:vAlign w:val="center"/>
          </w:tcPr>
          <w:p w14:paraId="4E449012">
            <w:pPr>
              <w:spacing w:line="300" w:lineRule="exact"/>
              <w:jc w:val="center"/>
              <w:rPr>
                <w:rFonts w:hint="eastAsia" w:ascii="Times New Roman" w:hAnsi="Times New Roman" w:eastAsia="华文中宋" w:cs="Times New Roman"/>
                <w:szCs w:val="21"/>
                <w:lang w:val="en-US" w:eastAsia="zh-CN"/>
              </w:rPr>
            </w:pPr>
          </w:p>
        </w:tc>
        <w:tc>
          <w:tcPr>
            <w:tcW w:w="1183" w:type="dxa"/>
            <w:vMerge w:val="continue"/>
            <w:tcBorders>
              <w:left w:val="single" w:color="auto" w:sz="6" w:space="0"/>
              <w:right w:val="single" w:color="auto" w:sz="6" w:space="0"/>
            </w:tcBorders>
            <w:noWrap w:val="0"/>
            <w:vAlign w:val="center"/>
          </w:tcPr>
          <w:p w14:paraId="208F6CF4">
            <w:pPr>
              <w:spacing w:line="300" w:lineRule="exact"/>
              <w:jc w:val="center"/>
              <w:rPr>
                <w:rFonts w:hint="eastAsia" w:ascii="Times New Roman" w:hAnsi="Times New Roman" w:eastAsia="华文中宋" w:cs="Times New Roman"/>
                <w:szCs w:val="21"/>
                <w:lang w:val="en-US" w:eastAsia="zh-CN"/>
              </w:rPr>
            </w:pPr>
          </w:p>
        </w:tc>
        <w:tc>
          <w:tcPr>
            <w:tcW w:w="1635" w:type="dxa"/>
            <w:tcBorders>
              <w:top w:val="single" w:color="auto" w:sz="6" w:space="0"/>
              <w:left w:val="single" w:color="auto" w:sz="6" w:space="0"/>
              <w:bottom w:val="single" w:color="auto" w:sz="6" w:space="0"/>
              <w:right w:val="single" w:color="auto" w:sz="6" w:space="0"/>
            </w:tcBorders>
            <w:noWrap w:val="0"/>
            <w:vAlign w:val="center"/>
          </w:tcPr>
          <w:p w14:paraId="3298FE7A">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稳定性</w:t>
            </w:r>
          </w:p>
        </w:tc>
        <w:tc>
          <w:tcPr>
            <w:tcW w:w="2515" w:type="dxa"/>
            <w:tcBorders>
              <w:top w:val="single" w:color="auto" w:sz="6" w:space="0"/>
              <w:left w:val="single" w:color="auto" w:sz="6" w:space="0"/>
              <w:bottom w:val="single" w:color="auto" w:sz="6" w:space="0"/>
              <w:right w:val="single" w:color="auto" w:sz="6" w:space="0"/>
            </w:tcBorders>
            <w:noWrap w:val="0"/>
            <w:vAlign w:val="center"/>
          </w:tcPr>
          <w:p w14:paraId="18F4E8DB">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无地质灾害隐患</w:t>
            </w:r>
          </w:p>
        </w:tc>
        <w:tc>
          <w:tcPr>
            <w:tcW w:w="2500" w:type="dxa"/>
            <w:tcBorders>
              <w:top w:val="single" w:color="auto" w:sz="6" w:space="0"/>
              <w:left w:val="single" w:color="auto" w:sz="6" w:space="0"/>
              <w:bottom w:val="single" w:color="auto" w:sz="6" w:space="0"/>
            </w:tcBorders>
            <w:noWrap w:val="0"/>
            <w:vAlign w:val="center"/>
          </w:tcPr>
          <w:p w14:paraId="5A9A2ABA">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无地质灾害隐患</w:t>
            </w:r>
          </w:p>
        </w:tc>
      </w:tr>
      <w:tr w14:paraId="613D9A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exact"/>
          <w:jc w:val="center"/>
        </w:trPr>
        <w:tc>
          <w:tcPr>
            <w:tcW w:w="658" w:type="dxa"/>
            <w:vMerge w:val="continue"/>
            <w:tcBorders>
              <w:right w:val="single" w:color="auto" w:sz="6" w:space="0"/>
            </w:tcBorders>
            <w:noWrap w:val="0"/>
            <w:vAlign w:val="center"/>
          </w:tcPr>
          <w:p w14:paraId="4B309F14">
            <w:pPr>
              <w:spacing w:line="300" w:lineRule="exact"/>
              <w:jc w:val="center"/>
              <w:rPr>
                <w:rFonts w:hint="eastAsia" w:ascii="Times New Roman" w:hAnsi="Times New Roman" w:eastAsia="华文中宋" w:cs="Times New Roman"/>
                <w:szCs w:val="21"/>
                <w:lang w:val="en-US" w:eastAsia="zh-CN"/>
              </w:rPr>
            </w:pPr>
          </w:p>
        </w:tc>
        <w:tc>
          <w:tcPr>
            <w:tcW w:w="1183" w:type="dxa"/>
            <w:vMerge w:val="continue"/>
            <w:tcBorders>
              <w:left w:val="single" w:color="auto" w:sz="6" w:space="0"/>
              <w:right w:val="single" w:color="auto" w:sz="6" w:space="0"/>
            </w:tcBorders>
            <w:noWrap w:val="0"/>
            <w:vAlign w:val="center"/>
          </w:tcPr>
          <w:p w14:paraId="1699F571">
            <w:pPr>
              <w:spacing w:line="300" w:lineRule="exact"/>
              <w:jc w:val="center"/>
              <w:rPr>
                <w:rFonts w:hint="eastAsia" w:ascii="Times New Roman" w:hAnsi="Times New Roman" w:eastAsia="华文中宋" w:cs="Times New Roman"/>
                <w:szCs w:val="21"/>
                <w:lang w:val="en-US" w:eastAsia="zh-CN"/>
              </w:rPr>
            </w:pPr>
          </w:p>
        </w:tc>
        <w:tc>
          <w:tcPr>
            <w:tcW w:w="1635" w:type="dxa"/>
            <w:tcBorders>
              <w:top w:val="single" w:color="auto" w:sz="6" w:space="0"/>
              <w:left w:val="single" w:color="auto" w:sz="6" w:space="0"/>
              <w:bottom w:val="single" w:color="auto" w:sz="6" w:space="0"/>
              <w:right w:val="single" w:color="auto" w:sz="6" w:space="0"/>
            </w:tcBorders>
            <w:noWrap w:val="0"/>
            <w:vAlign w:val="center"/>
          </w:tcPr>
          <w:p w14:paraId="2FCA7BC0">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有效土层厚度</w:t>
            </w:r>
          </w:p>
        </w:tc>
        <w:tc>
          <w:tcPr>
            <w:tcW w:w="2515" w:type="dxa"/>
            <w:tcBorders>
              <w:top w:val="single" w:color="auto" w:sz="6" w:space="0"/>
              <w:left w:val="single" w:color="auto" w:sz="6" w:space="0"/>
              <w:bottom w:val="single" w:color="auto" w:sz="6" w:space="0"/>
              <w:right w:val="single" w:color="auto" w:sz="6" w:space="0"/>
            </w:tcBorders>
            <w:noWrap w:val="0"/>
            <w:vAlign w:val="center"/>
          </w:tcPr>
          <w:p w14:paraId="71FBB8AB">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平均厚度30cm</w:t>
            </w:r>
          </w:p>
        </w:tc>
        <w:tc>
          <w:tcPr>
            <w:tcW w:w="2500" w:type="dxa"/>
            <w:tcBorders>
              <w:top w:val="single" w:color="auto" w:sz="6" w:space="0"/>
              <w:left w:val="single" w:color="auto" w:sz="6" w:space="0"/>
              <w:bottom w:val="single" w:color="auto" w:sz="6" w:space="0"/>
            </w:tcBorders>
            <w:noWrap w:val="0"/>
            <w:vAlign w:val="center"/>
          </w:tcPr>
          <w:p w14:paraId="491EB535">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覆土厚度30cm</w:t>
            </w:r>
          </w:p>
        </w:tc>
      </w:tr>
      <w:tr w14:paraId="78698D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exact"/>
          <w:jc w:val="center"/>
        </w:trPr>
        <w:tc>
          <w:tcPr>
            <w:tcW w:w="658" w:type="dxa"/>
            <w:vMerge w:val="continue"/>
            <w:tcBorders>
              <w:right w:val="single" w:color="auto" w:sz="6" w:space="0"/>
            </w:tcBorders>
            <w:noWrap w:val="0"/>
            <w:vAlign w:val="center"/>
          </w:tcPr>
          <w:p w14:paraId="61CD2FF4">
            <w:pPr>
              <w:spacing w:line="300" w:lineRule="exact"/>
              <w:jc w:val="center"/>
              <w:rPr>
                <w:rFonts w:hint="eastAsia" w:ascii="Times New Roman" w:hAnsi="Times New Roman" w:eastAsia="华文中宋" w:cs="Times New Roman"/>
                <w:szCs w:val="21"/>
                <w:lang w:val="en-US" w:eastAsia="zh-CN"/>
              </w:rPr>
            </w:pPr>
          </w:p>
        </w:tc>
        <w:tc>
          <w:tcPr>
            <w:tcW w:w="1183" w:type="dxa"/>
            <w:vMerge w:val="continue"/>
            <w:tcBorders>
              <w:left w:val="single" w:color="auto" w:sz="6" w:space="0"/>
              <w:right w:val="single" w:color="auto" w:sz="6" w:space="0"/>
            </w:tcBorders>
            <w:noWrap w:val="0"/>
            <w:vAlign w:val="center"/>
          </w:tcPr>
          <w:p w14:paraId="4349EE2B">
            <w:pPr>
              <w:spacing w:line="300" w:lineRule="exact"/>
              <w:jc w:val="center"/>
              <w:rPr>
                <w:rFonts w:hint="eastAsia" w:ascii="Times New Roman" w:hAnsi="Times New Roman" w:eastAsia="华文中宋" w:cs="Times New Roman"/>
                <w:szCs w:val="21"/>
                <w:lang w:val="en-US" w:eastAsia="zh-CN"/>
              </w:rPr>
            </w:pPr>
          </w:p>
        </w:tc>
        <w:tc>
          <w:tcPr>
            <w:tcW w:w="1635" w:type="dxa"/>
            <w:tcBorders>
              <w:top w:val="single" w:color="auto" w:sz="6" w:space="0"/>
              <w:left w:val="single" w:color="auto" w:sz="6" w:space="0"/>
              <w:bottom w:val="single" w:color="auto" w:sz="6" w:space="0"/>
              <w:right w:val="single" w:color="auto" w:sz="6" w:space="0"/>
            </w:tcBorders>
            <w:noWrap w:val="0"/>
            <w:vAlign w:val="center"/>
          </w:tcPr>
          <w:p w14:paraId="25E2DCD3">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土壤容重</w:t>
            </w:r>
          </w:p>
        </w:tc>
        <w:tc>
          <w:tcPr>
            <w:tcW w:w="2515" w:type="dxa"/>
            <w:tcBorders>
              <w:top w:val="single" w:color="auto" w:sz="6" w:space="0"/>
              <w:left w:val="single" w:color="auto" w:sz="6" w:space="0"/>
              <w:bottom w:val="single" w:color="auto" w:sz="6" w:space="0"/>
              <w:right w:val="single" w:color="auto" w:sz="6" w:space="0"/>
            </w:tcBorders>
            <w:noWrap w:val="0"/>
            <w:vAlign w:val="center"/>
          </w:tcPr>
          <w:p w14:paraId="03036373">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土壤容重1.4-151g/cm</w:t>
            </w:r>
            <w:r>
              <w:rPr>
                <w:rFonts w:hint="eastAsia" w:ascii="Times New Roman" w:hAnsi="Times New Roman" w:eastAsia="华文中宋" w:cs="Times New Roman"/>
                <w:szCs w:val="21"/>
                <w:vertAlign w:val="superscript"/>
                <w:lang w:val="en-US" w:eastAsia="zh-CN"/>
              </w:rPr>
              <w:t>3</w:t>
            </w:r>
          </w:p>
        </w:tc>
        <w:tc>
          <w:tcPr>
            <w:tcW w:w="2500" w:type="dxa"/>
            <w:tcBorders>
              <w:top w:val="single" w:color="auto" w:sz="6" w:space="0"/>
              <w:left w:val="single" w:color="auto" w:sz="6" w:space="0"/>
              <w:bottom w:val="single" w:color="auto" w:sz="6" w:space="0"/>
            </w:tcBorders>
            <w:noWrap w:val="0"/>
            <w:vAlign w:val="center"/>
          </w:tcPr>
          <w:p w14:paraId="5CED7785">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土壤容重1.4-1.51g/cm</w:t>
            </w:r>
            <w:r>
              <w:rPr>
                <w:rFonts w:hint="eastAsia" w:ascii="Times New Roman" w:hAnsi="Times New Roman" w:eastAsia="华文中宋" w:cs="Times New Roman"/>
                <w:szCs w:val="21"/>
                <w:vertAlign w:val="superscript"/>
                <w:lang w:val="en-US" w:eastAsia="zh-CN"/>
              </w:rPr>
              <w:t>3</w:t>
            </w:r>
          </w:p>
        </w:tc>
      </w:tr>
      <w:tr w14:paraId="080773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exact"/>
          <w:jc w:val="center"/>
        </w:trPr>
        <w:tc>
          <w:tcPr>
            <w:tcW w:w="658" w:type="dxa"/>
            <w:vMerge w:val="continue"/>
            <w:tcBorders>
              <w:right w:val="single" w:color="auto" w:sz="6" w:space="0"/>
            </w:tcBorders>
            <w:noWrap w:val="0"/>
            <w:vAlign w:val="center"/>
          </w:tcPr>
          <w:p w14:paraId="66D92FAB">
            <w:pPr>
              <w:spacing w:line="300" w:lineRule="exact"/>
              <w:jc w:val="center"/>
              <w:rPr>
                <w:rFonts w:hint="eastAsia" w:ascii="Times New Roman" w:hAnsi="Times New Roman" w:eastAsia="华文中宋" w:cs="Times New Roman"/>
                <w:szCs w:val="21"/>
                <w:lang w:val="en-US" w:eastAsia="zh-CN"/>
              </w:rPr>
            </w:pPr>
          </w:p>
        </w:tc>
        <w:tc>
          <w:tcPr>
            <w:tcW w:w="1183" w:type="dxa"/>
            <w:vMerge w:val="continue"/>
            <w:tcBorders>
              <w:left w:val="single" w:color="auto" w:sz="6" w:space="0"/>
              <w:right w:val="single" w:color="auto" w:sz="6" w:space="0"/>
            </w:tcBorders>
            <w:noWrap w:val="0"/>
            <w:vAlign w:val="center"/>
          </w:tcPr>
          <w:p w14:paraId="38823887">
            <w:pPr>
              <w:spacing w:line="300" w:lineRule="exact"/>
              <w:jc w:val="center"/>
              <w:rPr>
                <w:rFonts w:hint="eastAsia" w:ascii="Times New Roman" w:hAnsi="Times New Roman" w:eastAsia="华文中宋" w:cs="Times New Roman"/>
                <w:szCs w:val="21"/>
                <w:lang w:val="en-US" w:eastAsia="zh-CN"/>
              </w:rPr>
            </w:pPr>
          </w:p>
        </w:tc>
        <w:tc>
          <w:tcPr>
            <w:tcW w:w="1635" w:type="dxa"/>
            <w:tcBorders>
              <w:top w:val="single" w:color="auto" w:sz="6" w:space="0"/>
              <w:left w:val="single" w:color="auto" w:sz="6" w:space="0"/>
              <w:bottom w:val="single" w:color="auto" w:sz="6" w:space="0"/>
              <w:right w:val="single" w:color="auto" w:sz="6" w:space="0"/>
            </w:tcBorders>
            <w:noWrap w:val="0"/>
            <w:vAlign w:val="center"/>
          </w:tcPr>
          <w:p w14:paraId="6BD0A90C">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土壤质地</w:t>
            </w:r>
          </w:p>
        </w:tc>
        <w:tc>
          <w:tcPr>
            <w:tcW w:w="2515" w:type="dxa"/>
            <w:tcBorders>
              <w:top w:val="single" w:color="auto" w:sz="6" w:space="0"/>
              <w:left w:val="single" w:color="auto" w:sz="6" w:space="0"/>
              <w:bottom w:val="single" w:color="auto" w:sz="6" w:space="0"/>
              <w:right w:val="single" w:color="auto" w:sz="6" w:space="0"/>
            </w:tcBorders>
            <w:noWrap w:val="0"/>
            <w:vAlign w:val="center"/>
          </w:tcPr>
          <w:p w14:paraId="4D720652">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砂砾质</w:t>
            </w:r>
          </w:p>
        </w:tc>
        <w:tc>
          <w:tcPr>
            <w:tcW w:w="2500" w:type="dxa"/>
            <w:tcBorders>
              <w:top w:val="single" w:color="auto" w:sz="6" w:space="0"/>
              <w:left w:val="single" w:color="auto" w:sz="6" w:space="0"/>
              <w:bottom w:val="single" w:color="auto" w:sz="6" w:space="0"/>
            </w:tcBorders>
            <w:noWrap w:val="0"/>
            <w:vAlign w:val="center"/>
          </w:tcPr>
          <w:p w14:paraId="7CEF2478">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砂砾质</w:t>
            </w:r>
          </w:p>
        </w:tc>
      </w:tr>
      <w:tr w14:paraId="25FD077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exact"/>
          <w:jc w:val="center"/>
        </w:trPr>
        <w:tc>
          <w:tcPr>
            <w:tcW w:w="658" w:type="dxa"/>
            <w:vMerge w:val="continue"/>
            <w:tcBorders>
              <w:bottom w:val="single" w:color="auto" w:sz="6" w:space="0"/>
              <w:right w:val="single" w:color="auto" w:sz="6" w:space="0"/>
            </w:tcBorders>
            <w:noWrap w:val="0"/>
            <w:vAlign w:val="center"/>
          </w:tcPr>
          <w:p w14:paraId="7043A4D9">
            <w:pPr>
              <w:spacing w:line="300" w:lineRule="exact"/>
              <w:jc w:val="center"/>
              <w:rPr>
                <w:rFonts w:hint="eastAsia" w:ascii="Times New Roman" w:hAnsi="Times New Roman" w:eastAsia="华文中宋" w:cs="Times New Roman"/>
                <w:szCs w:val="21"/>
                <w:lang w:val="en-US" w:eastAsia="zh-CN"/>
              </w:rPr>
            </w:pPr>
          </w:p>
        </w:tc>
        <w:tc>
          <w:tcPr>
            <w:tcW w:w="1183" w:type="dxa"/>
            <w:vMerge w:val="continue"/>
            <w:tcBorders>
              <w:left w:val="single" w:color="auto" w:sz="6" w:space="0"/>
              <w:bottom w:val="single" w:color="auto" w:sz="6" w:space="0"/>
              <w:right w:val="single" w:color="auto" w:sz="6" w:space="0"/>
            </w:tcBorders>
            <w:noWrap w:val="0"/>
            <w:vAlign w:val="center"/>
          </w:tcPr>
          <w:p w14:paraId="0976F3F8">
            <w:pPr>
              <w:spacing w:line="300" w:lineRule="exact"/>
              <w:jc w:val="center"/>
              <w:rPr>
                <w:rFonts w:hint="eastAsia" w:ascii="Times New Roman" w:hAnsi="Times New Roman" w:eastAsia="华文中宋" w:cs="Times New Roman"/>
                <w:szCs w:val="21"/>
                <w:lang w:val="en-US" w:eastAsia="zh-CN"/>
              </w:rPr>
            </w:pPr>
          </w:p>
        </w:tc>
        <w:tc>
          <w:tcPr>
            <w:tcW w:w="1635" w:type="dxa"/>
            <w:tcBorders>
              <w:top w:val="single" w:color="auto" w:sz="6" w:space="0"/>
              <w:left w:val="single" w:color="auto" w:sz="6" w:space="0"/>
              <w:bottom w:val="single" w:color="auto" w:sz="6" w:space="0"/>
              <w:right w:val="single" w:color="auto" w:sz="6" w:space="0"/>
            </w:tcBorders>
            <w:noWrap w:val="0"/>
            <w:vAlign w:val="center"/>
          </w:tcPr>
          <w:p w14:paraId="30019848">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植被覆盖度</w:t>
            </w:r>
          </w:p>
        </w:tc>
        <w:tc>
          <w:tcPr>
            <w:tcW w:w="2515" w:type="dxa"/>
            <w:tcBorders>
              <w:top w:val="single" w:color="auto" w:sz="6" w:space="0"/>
              <w:left w:val="single" w:color="auto" w:sz="6" w:space="0"/>
              <w:bottom w:val="single" w:color="auto" w:sz="6" w:space="0"/>
              <w:right w:val="single" w:color="auto" w:sz="6" w:space="0"/>
            </w:tcBorders>
            <w:noWrap w:val="0"/>
            <w:vAlign w:val="center"/>
          </w:tcPr>
          <w:p w14:paraId="2E34CDA9">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&lt;20%</w:t>
            </w:r>
          </w:p>
        </w:tc>
        <w:tc>
          <w:tcPr>
            <w:tcW w:w="2500" w:type="dxa"/>
            <w:tcBorders>
              <w:top w:val="single" w:color="auto" w:sz="6" w:space="0"/>
              <w:left w:val="single" w:color="auto" w:sz="6" w:space="0"/>
              <w:bottom w:val="single" w:color="auto" w:sz="6" w:space="0"/>
            </w:tcBorders>
            <w:noWrap w:val="0"/>
            <w:vAlign w:val="center"/>
          </w:tcPr>
          <w:p w14:paraId="2E17DDA9">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20%</w:t>
            </w:r>
          </w:p>
        </w:tc>
      </w:tr>
      <w:tr w14:paraId="0CEE90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6" w:hRule="exact"/>
          <w:jc w:val="center"/>
        </w:trPr>
        <w:tc>
          <w:tcPr>
            <w:tcW w:w="658" w:type="dxa"/>
            <w:vMerge w:val="restart"/>
            <w:tcBorders>
              <w:right w:val="single" w:color="auto" w:sz="6" w:space="0"/>
            </w:tcBorders>
            <w:noWrap w:val="0"/>
            <w:vAlign w:val="center"/>
          </w:tcPr>
          <w:p w14:paraId="6746FBFA">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w:t>
            </w:r>
          </w:p>
        </w:tc>
        <w:tc>
          <w:tcPr>
            <w:tcW w:w="1183" w:type="dxa"/>
            <w:vMerge w:val="restart"/>
            <w:tcBorders>
              <w:left w:val="single" w:color="auto" w:sz="6" w:space="0"/>
              <w:right w:val="single" w:color="auto" w:sz="6" w:space="0"/>
            </w:tcBorders>
            <w:noWrap w:val="0"/>
            <w:vAlign w:val="center"/>
          </w:tcPr>
          <w:p w14:paraId="19A8463E">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矿石转运场</w:t>
            </w:r>
          </w:p>
        </w:tc>
        <w:tc>
          <w:tcPr>
            <w:tcW w:w="1635" w:type="dxa"/>
            <w:tcBorders>
              <w:top w:val="single" w:color="auto" w:sz="6" w:space="0"/>
              <w:left w:val="single" w:color="auto" w:sz="6" w:space="0"/>
              <w:bottom w:val="single" w:color="auto" w:sz="6" w:space="0"/>
              <w:right w:val="single" w:color="auto" w:sz="6" w:space="0"/>
            </w:tcBorders>
            <w:noWrap w:val="0"/>
            <w:vAlign w:val="center"/>
          </w:tcPr>
          <w:p w14:paraId="208C1FF7">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土地类型/复垦方向</w:t>
            </w:r>
          </w:p>
        </w:tc>
        <w:tc>
          <w:tcPr>
            <w:tcW w:w="2515" w:type="dxa"/>
            <w:tcBorders>
              <w:top w:val="single" w:color="auto" w:sz="6" w:space="0"/>
              <w:left w:val="single" w:color="auto" w:sz="6" w:space="0"/>
              <w:bottom w:val="single" w:color="auto" w:sz="6" w:space="0"/>
              <w:right w:val="single" w:color="auto" w:sz="6" w:space="0"/>
            </w:tcBorders>
            <w:noWrap w:val="0"/>
            <w:vAlign w:val="center"/>
          </w:tcPr>
          <w:p w14:paraId="1B186AED">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天然牧草地</w:t>
            </w:r>
          </w:p>
        </w:tc>
        <w:tc>
          <w:tcPr>
            <w:tcW w:w="2500" w:type="dxa"/>
            <w:tcBorders>
              <w:top w:val="single" w:color="auto" w:sz="6" w:space="0"/>
              <w:left w:val="single" w:color="auto" w:sz="6" w:space="0"/>
              <w:bottom w:val="single" w:color="auto" w:sz="6" w:space="0"/>
            </w:tcBorders>
            <w:noWrap w:val="0"/>
            <w:vAlign w:val="center"/>
          </w:tcPr>
          <w:p w14:paraId="4A577DAF">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天然牧草地</w:t>
            </w:r>
          </w:p>
        </w:tc>
      </w:tr>
      <w:tr w14:paraId="011D05B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exact"/>
          <w:jc w:val="center"/>
        </w:trPr>
        <w:tc>
          <w:tcPr>
            <w:tcW w:w="658" w:type="dxa"/>
            <w:vMerge w:val="continue"/>
            <w:tcBorders>
              <w:right w:val="single" w:color="auto" w:sz="6" w:space="0"/>
            </w:tcBorders>
            <w:noWrap w:val="0"/>
            <w:vAlign w:val="center"/>
          </w:tcPr>
          <w:p w14:paraId="5B380D5A">
            <w:pPr>
              <w:spacing w:line="300" w:lineRule="exact"/>
              <w:jc w:val="center"/>
              <w:rPr>
                <w:rFonts w:hint="eastAsia" w:ascii="Times New Roman" w:hAnsi="Times New Roman" w:eastAsia="华文中宋" w:cs="Times New Roman"/>
                <w:szCs w:val="21"/>
                <w:lang w:val="en-US" w:eastAsia="zh-CN"/>
              </w:rPr>
            </w:pPr>
          </w:p>
        </w:tc>
        <w:tc>
          <w:tcPr>
            <w:tcW w:w="1183" w:type="dxa"/>
            <w:vMerge w:val="continue"/>
            <w:tcBorders>
              <w:left w:val="single" w:color="auto" w:sz="6" w:space="0"/>
              <w:right w:val="single" w:color="auto" w:sz="6" w:space="0"/>
            </w:tcBorders>
            <w:noWrap w:val="0"/>
            <w:vAlign w:val="center"/>
          </w:tcPr>
          <w:p w14:paraId="5C99DE87">
            <w:pPr>
              <w:spacing w:line="300" w:lineRule="exact"/>
              <w:jc w:val="center"/>
              <w:rPr>
                <w:rFonts w:hint="eastAsia" w:ascii="Times New Roman" w:hAnsi="Times New Roman" w:eastAsia="华文中宋" w:cs="Times New Roman"/>
                <w:szCs w:val="21"/>
                <w:lang w:val="en-US" w:eastAsia="zh-CN"/>
              </w:rPr>
            </w:pPr>
          </w:p>
        </w:tc>
        <w:tc>
          <w:tcPr>
            <w:tcW w:w="1635" w:type="dxa"/>
            <w:tcBorders>
              <w:top w:val="single" w:color="auto" w:sz="6" w:space="0"/>
              <w:left w:val="single" w:color="auto" w:sz="6" w:space="0"/>
              <w:bottom w:val="single" w:color="auto" w:sz="6" w:space="0"/>
              <w:right w:val="single" w:color="auto" w:sz="6" w:space="0"/>
            </w:tcBorders>
            <w:noWrap w:val="0"/>
            <w:vAlign w:val="center"/>
          </w:tcPr>
          <w:p w14:paraId="157E14A4">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地形坡度</w:t>
            </w:r>
          </w:p>
        </w:tc>
        <w:tc>
          <w:tcPr>
            <w:tcW w:w="2515" w:type="dxa"/>
            <w:tcBorders>
              <w:top w:val="single" w:color="auto" w:sz="6" w:space="0"/>
              <w:left w:val="single" w:color="auto" w:sz="6" w:space="0"/>
              <w:bottom w:val="single" w:color="auto" w:sz="6" w:space="0"/>
              <w:right w:val="single" w:color="auto" w:sz="6" w:space="0"/>
            </w:tcBorders>
            <w:noWrap w:val="0"/>
            <w:vAlign w:val="center"/>
          </w:tcPr>
          <w:p w14:paraId="1B5C26A9">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3-6°</w:t>
            </w:r>
          </w:p>
        </w:tc>
        <w:tc>
          <w:tcPr>
            <w:tcW w:w="2500" w:type="dxa"/>
            <w:tcBorders>
              <w:top w:val="single" w:color="auto" w:sz="6" w:space="0"/>
              <w:left w:val="single" w:color="auto" w:sz="6" w:space="0"/>
              <w:bottom w:val="single" w:color="auto" w:sz="6" w:space="0"/>
            </w:tcBorders>
            <w:noWrap w:val="0"/>
            <w:vAlign w:val="center"/>
          </w:tcPr>
          <w:p w14:paraId="27E54313">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3-6°</w:t>
            </w:r>
          </w:p>
        </w:tc>
      </w:tr>
      <w:tr w14:paraId="70CAFA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exact"/>
          <w:jc w:val="center"/>
        </w:trPr>
        <w:tc>
          <w:tcPr>
            <w:tcW w:w="658" w:type="dxa"/>
            <w:vMerge w:val="continue"/>
            <w:tcBorders>
              <w:right w:val="single" w:color="auto" w:sz="6" w:space="0"/>
            </w:tcBorders>
            <w:noWrap w:val="0"/>
            <w:vAlign w:val="center"/>
          </w:tcPr>
          <w:p w14:paraId="275CD46C">
            <w:pPr>
              <w:spacing w:line="300" w:lineRule="exact"/>
              <w:jc w:val="center"/>
              <w:rPr>
                <w:rFonts w:hint="eastAsia" w:ascii="Times New Roman" w:hAnsi="Times New Roman" w:eastAsia="华文中宋" w:cs="Times New Roman"/>
                <w:szCs w:val="21"/>
                <w:lang w:val="en-US" w:eastAsia="zh-CN"/>
              </w:rPr>
            </w:pPr>
          </w:p>
        </w:tc>
        <w:tc>
          <w:tcPr>
            <w:tcW w:w="1183" w:type="dxa"/>
            <w:vMerge w:val="continue"/>
            <w:tcBorders>
              <w:left w:val="single" w:color="auto" w:sz="6" w:space="0"/>
              <w:right w:val="single" w:color="auto" w:sz="6" w:space="0"/>
            </w:tcBorders>
            <w:noWrap w:val="0"/>
            <w:vAlign w:val="center"/>
          </w:tcPr>
          <w:p w14:paraId="64CFD2DF">
            <w:pPr>
              <w:spacing w:line="300" w:lineRule="exact"/>
              <w:jc w:val="center"/>
              <w:rPr>
                <w:rFonts w:hint="eastAsia" w:ascii="Times New Roman" w:hAnsi="Times New Roman" w:eastAsia="华文中宋" w:cs="Times New Roman"/>
                <w:szCs w:val="21"/>
                <w:lang w:val="en-US" w:eastAsia="zh-CN"/>
              </w:rPr>
            </w:pPr>
          </w:p>
        </w:tc>
        <w:tc>
          <w:tcPr>
            <w:tcW w:w="1635" w:type="dxa"/>
            <w:tcBorders>
              <w:top w:val="single" w:color="auto" w:sz="6" w:space="0"/>
              <w:left w:val="single" w:color="auto" w:sz="6" w:space="0"/>
              <w:bottom w:val="single" w:color="auto" w:sz="6" w:space="0"/>
              <w:right w:val="single" w:color="auto" w:sz="6" w:space="0"/>
            </w:tcBorders>
            <w:noWrap w:val="0"/>
            <w:vAlign w:val="center"/>
          </w:tcPr>
          <w:p w14:paraId="4F9531F7">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稳定性</w:t>
            </w:r>
          </w:p>
        </w:tc>
        <w:tc>
          <w:tcPr>
            <w:tcW w:w="2515" w:type="dxa"/>
            <w:tcBorders>
              <w:top w:val="single" w:color="auto" w:sz="6" w:space="0"/>
              <w:left w:val="single" w:color="auto" w:sz="6" w:space="0"/>
              <w:bottom w:val="single" w:color="auto" w:sz="6" w:space="0"/>
              <w:right w:val="single" w:color="auto" w:sz="6" w:space="0"/>
            </w:tcBorders>
            <w:noWrap w:val="0"/>
            <w:vAlign w:val="center"/>
          </w:tcPr>
          <w:p w14:paraId="6286C169">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无地质灾害隐患</w:t>
            </w:r>
          </w:p>
        </w:tc>
        <w:tc>
          <w:tcPr>
            <w:tcW w:w="2500" w:type="dxa"/>
            <w:tcBorders>
              <w:top w:val="single" w:color="auto" w:sz="6" w:space="0"/>
              <w:left w:val="single" w:color="auto" w:sz="6" w:space="0"/>
              <w:bottom w:val="single" w:color="auto" w:sz="6" w:space="0"/>
            </w:tcBorders>
            <w:noWrap w:val="0"/>
            <w:vAlign w:val="center"/>
          </w:tcPr>
          <w:p w14:paraId="67AC58FF">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无地质灾害隐患</w:t>
            </w:r>
          </w:p>
        </w:tc>
      </w:tr>
      <w:tr w14:paraId="6267E9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exact"/>
          <w:jc w:val="center"/>
        </w:trPr>
        <w:tc>
          <w:tcPr>
            <w:tcW w:w="658" w:type="dxa"/>
            <w:vMerge w:val="continue"/>
            <w:tcBorders>
              <w:right w:val="single" w:color="auto" w:sz="6" w:space="0"/>
            </w:tcBorders>
            <w:noWrap w:val="0"/>
            <w:vAlign w:val="center"/>
          </w:tcPr>
          <w:p w14:paraId="39055C8B">
            <w:pPr>
              <w:spacing w:line="300" w:lineRule="exact"/>
              <w:jc w:val="center"/>
              <w:rPr>
                <w:rFonts w:hint="eastAsia" w:ascii="Times New Roman" w:hAnsi="Times New Roman" w:eastAsia="华文中宋" w:cs="Times New Roman"/>
                <w:szCs w:val="21"/>
                <w:lang w:val="en-US" w:eastAsia="zh-CN"/>
              </w:rPr>
            </w:pPr>
          </w:p>
        </w:tc>
        <w:tc>
          <w:tcPr>
            <w:tcW w:w="1183" w:type="dxa"/>
            <w:vMerge w:val="continue"/>
            <w:tcBorders>
              <w:left w:val="single" w:color="auto" w:sz="6" w:space="0"/>
              <w:right w:val="single" w:color="auto" w:sz="6" w:space="0"/>
            </w:tcBorders>
            <w:noWrap w:val="0"/>
            <w:vAlign w:val="center"/>
          </w:tcPr>
          <w:p w14:paraId="656C499E">
            <w:pPr>
              <w:spacing w:line="300" w:lineRule="exact"/>
              <w:jc w:val="center"/>
              <w:rPr>
                <w:rFonts w:hint="eastAsia" w:ascii="Times New Roman" w:hAnsi="Times New Roman" w:eastAsia="华文中宋" w:cs="Times New Roman"/>
                <w:szCs w:val="21"/>
                <w:lang w:val="en-US" w:eastAsia="zh-CN"/>
              </w:rPr>
            </w:pPr>
          </w:p>
        </w:tc>
        <w:tc>
          <w:tcPr>
            <w:tcW w:w="1635" w:type="dxa"/>
            <w:tcBorders>
              <w:top w:val="single" w:color="auto" w:sz="6" w:space="0"/>
              <w:left w:val="single" w:color="auto" w:sz="6" w:space="0"/>
              <w:bottom w:val="single" w:color="auto" w:sz="6" w:space="0"/>
              <w:right w:val="single" w:color="auto" w:sz="6" w:space="0"/>
            </w:tcBorders>
            <w:noWrap w:val="0"/>
            <w:vAlign w:val="center"/>
          </w:tcPr>
          <w:p w14:paraId="433976F1">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有效土层厚度</w:t>
            </w:r>
          </w:p>
        </w:tc>
        <w:tc>
          <w:tcPr>
            <w:tcW w:w="2515" w:type="dxa"/>
            <w:tcBorders>
              <w:top w:val="single" w:color="auto" w:sz="6" w:space="0"/>
              <w:left w:val="single" w:color="auto" w:sz="6" w:space="0"/>
              <w:bottom w:val="single" w:color="auto" w:sz="6" w:space="0"/>
              <w:right w:val="single" w:color="auto" w:sz="6" w:space="0"/>
            </w:tcBorders>
            <w:noWrap w:val="0"/>
            <w:vAlign w:val="center"/>
          </w:tcPr>
          <w:p w14:paraId="0AD87711">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平均厚度30cm</w:t>
            </w:r>
          </w:p>
        </w:tc>
        <w:tc>
          <w:tcPr>
            <w:tcW w:w="2500" w:type="dxa"/>
            <w:tcBorders>
              <w:top w:val="single" w:color="auto" w:sz="6" w:space="0"/>
              <w:left w:val="single" w:color="auto" w:sz="6" w:space="0"/>
              <w:bottom w:val="single" w:color="auto" w:sz="6" w:space="0"/>
            </w:tcBorders>
            <w:noWrap w:val="0"/>
            <w:vAlign w:val="center"/>
          </w:tcPr>
          <w:p w14:paraId="6233635A">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覆土厚度30cm</w:t>
            </w:r>
          </w:p>
        </w:tc>
      </w:tr>
      <w:tr w14:paraId="49AC68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exact"/>
          <w:jc w:val="center"/>
        </w:trPr>
        <w:tc>
          <w:tcPr>
            <w:tcW w:w="658" w:type="dxa"/>
            <w:vMerge w:val="continue"/>
            <w:tcBorders>
              <w:right w:val="single" w:color="auto" w:sz="6" w:space="0"/>
            </w:tcBorders>
            <w:noWrap w:val="0"/>
            <w:vAlign w:val="center"/>
          </w:tcPr>
          <w:p w14:paraId="3B19A501">
            <w:pPr>
              <w:spacing w:line="300" w:lineRule="exact"/>
              <w:jc w:val="center"/>
              <w:rPr>
                <w:rFonts w:hint="eastAsia" w:ascii="Times New Roman" w:hAnsi="Times New Roman" w:eastAsia="华文中宋" w:cs="Times New Roman"/>
                <w:szCs w:val="21"/>
                <w:lang w:val="en-US" w:eastAsia="zh-CN"/>
              </w:rPr>
            </w:pPr>
          </w:p>
        </w:tc>
        <w:tc>
          <w:tcPr>
            <w:tcW w:w="1183" w:type="dxa"/>
            <w:vMerge w:val="continue"/>
            <w:tcBorders>
              <w:left w:val="single" w:color="auto" w:sz="6" w:space="0"/>
              <w:right w:val="single" w:color="auto" w:sz="6" w:space="0"/>
            </w:tcBorders>
            <w:noWrap w:val="0"/>
            <w:vAlign w:val="center"/>
          </w:tcPr>
          <w:p w14:paraId="53640B1B">
            <w:pPr>
              <w:spacing w:line="300" w:lineRule="exact"/>
              <w:jc w:val="center"/>
              <w:rPr>
                <w:rFonts w:hint="eastAsia" w:ascii="Times New Roman" w:hAnsi="Times New Roman" w:eastAsia="华文中宋" w:cs="Times New Roman"/>
                <w:szCs w:val="21"/>
                <w:lang w:val="en-US" w:eastAsia="zh-CN"/>
              </w:rPr>
            </w:pPr>
          </w:p>
        </w:tc>
        <w:tc>
          <w:tcPr>
            <w:tcW w:w="1635" w:type="dxa"/>
            <w:tcBorders>
              <w:top w:val="single" w:color="auto" w:sz="6" w:space="0"/>
              <w:left w:val="single" w:color="auto" w:sz="6" w:space="0"/>
              <w:bottom w:val="single" w:color="auto" w:sz="6" w:space="0"/>
              <w:right w:val="single" w:color="auto" w:sz="6" w:space="0"/>
            </w:tcBorders>
            <w:noWrap w:val="0"/>
            <w:vAlign w:val="center"/>
          </w:tcPr>
          <w:p w14:paraId="62E0016F">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土壤容重</w:t>
            </w:r>
          </w:p>
        </w:tc>
        <w:tc>
          <w:tcPr>
            <w:tcW w:w="2515" w:type="dxa"/>
            <w:tcBorders>
              <w:top w:val="single" w:color="auto" w:sz="6" w:space="0"/>
              <w:left w:val="single" w:color="auto" w:sz="6" w:space="0"/>
              <w:bottom w:val="single" w:color="auto" w:sz="6" w:space="0"/>
              <w:right w:val="single" w:color="auto" w:sz="6" w:space="0"/>
            </w:tcBorders>
            <w:noWrap w:val="0"/>
            <w:vAlign w:val="center"/>
          </w:tcPr>
          <w:p w14:paraId="5551CB76">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土壤容重1.4-1.51g/cm</w:t>
            </w:r>
            <w:r>
              <w:rPr>
                <w:rFonts w:hint="eastAsia" w:ascii="Times New Roman" w:hAnsi="Times New Roman" w:eastAsia="华文中宋" w:cs="Times New Roman"/>
                <w:szCs w:val="21"/>
                <w:vertAlign w:val="superscript"/>
                <w:lang w:val="en-US" w:eastAsia="zh-CN"/>
              </w:rPr>
              <w:t>3</w:t>
            </w:r>
          </w:p>
        </w:tc>
        <w:tc>
          <w:tcPr>
            <w:tcW w:w="2500" w:type="dxa"/>
            <w:tcBorders>
              <w:top w:val="single" w:color="auto" w:sz="6" w:space="0"/>
              <w:left w:val="single" w:color="auto" w:sz="6" w:space="0"/>
              <w:bottom w:val="single" w:color="auto" w:sz="6" w:space="0"/>
            </w:tcBorders>
            <w:noWrap w:val="0"/>
            <w:vAlign w:val="center"/>
          </w:tcPr>
          <w:p w14:paraId="678BBE38">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土壤容重1.4-1.51g/cm</w:t>
            </w:r>
            <w:r>
              <w:rPr>
                <w:rFonts w:hint="eastAsia" w:ascii="Times New Roman" w:hAnsi="Times New Roman" w:eastAsia="华文中宋" w:cs="Times New Roman"/>
                <w:szCs w:val="21"/>
                <w:vertAlign w:val="superscript"/>
                <w:lang w:val="en-US" w:eastAsia="zh-CN"/>
              </w:rPr>
              <w:t>3</w:t>
            </w:r>
          </w:p>
        </w:tc>
      </w:tr>
      <w:tr w14:paraId="2EBB45A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exact"/>
          <w:jc w:val="center"/>
        </w:trPr>
        <w:tc>
          <w:tcPr>
            <w:tcW w:w="658" w:type="dxa"/>
            <w:vMerge w:val="continue"/>
            <w:tcBorders>
              <w:right w:val="single" w:color="auto" w:sz="6" w:space="0"/>
            </w:tcBorders>
            <w:noWrap w:val="0"/>
            <w:vAlign w:val="center"/>
          </w:tcPr>
          <w:p w14:paraId="260C91FF">
            <w:pPr>
              <w:spacing w:line="300" w:lineRule="exact"/>
              <w:jc w:val="center"/>
              <w:rPr>
                <w:rFonts w:hint="eastAsia" w:ascii="Times New Roman" w:hAnsi="Times New Roman" w:eastAsia="华文中宋" w:cs="Times New Roman"/>
                <w:szCs w:val="21"/>
                <w:lang w:val="en-US" w:eastAsia="zh-CN"/>
              </w:rPr>
            </w:pPr>
          </w:p>
        </w:tc>
        <w:tc>
          <w:tcPr>
            <w:tcW w:w="1183" w:type="dxa"/>
            <w:vMerge w:val="continue"/>
            <w:tcBorders>
              <w:left w:val="single" w:color="auto" w:sz="6" w:space="0"/>
              <w:right w:val="single" w:color="auto" w:sz="6" w:space="0"/>
            </w:tcBorders>
            <w:noWrap w:val="0"/>
            <w:vAlign w:val="center"/>
          </w:tcPr>
          <w:p w14:paraId="6FD0E5DF">
            <w:pPr>
              <w:spacing w:line="300" w:lineRule="exact"/>
              <w:jc w:val="center"/>
              <w:rPr>
                <w:rFonts w:hint="eastAsia" w:ascii="Times New Roman" w:hAnsi="Times New Roman" w:eastAsia="华文中宋" w:cs="Times New Roman"/>
                <w:szCs w:val="21"/>
                <w:lang w:val="en-US" w:eastAsia="zh-CN"/>
              </w:rPr>
            </w:pPr>
          </w:p>
        </w:tc>
        <w:tc>
          <w:tcPr>
            <w:tcW w:w="1635" w:type="dxa"/>
            <w:tcBorders>
              <w:top w:val="single" w:color="auto" w:sz="6" w:space="0"/>
              <w:left w:val="single" w:color="auto" w:sz="6" w:space="0"/>
              <w:bottom w:val="single" w:color="auto" w:sz="6" w:space="0"/>
              <w:right w:val="single" w:color="auto" w:sz="6" w:space="0"/>
            </w:tcBorders>
            <w:noWrap w:val="0"/>
            <w:vAlign w:val="center"/>
          </w:tcPr>
          <w:p w14:paraId="2050424A">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土壤质地</w:t>
            </w:r>
          </w:p>
        </w:tc>
        <w:tc>
          <w:tcPr>
            <w:tcW w:w="2515" w:type="dxa"/>
            <w:tcBorders>
              <w:top w:val="single" w:color="auto" w:sz="6" w:space="0"/>
              <w:left w:val="single" w:color="auto" w:sz="6" w:space="0"/>
              <w:bottom w:val="single" w:color="auto" w:sz="6" w:space="0"/>
              <w:right w:val="single" w:color="auto" w:sz="6" w:space="0"/>
            </w:tcBorders>
            <w:noWrap w:val="0"/>
            <w:vAlign w:val="center"/>
          </w:tcPr>
          <w:p w14:paraId="253F45CD">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砂砾质</w:t>
            </w:r>
          </w:p>
        </w:tc>
        <w:tc>
          <w:tcPr>
            <w:tcW w:w="2500" w:type="dxa"/>
            <w:tcBorders>
              <w:top w:val="single" w:color="auto" w:sz="6" w:space="0"/>
              <w:left w:val="single" w:color="auto" w:sz="6" w:space="0"/>
              <w:bottom w:val="single" w:color="auto" w:sz="6" w:space="0"/>
            </w:tcBorders>
            <w:noWrap w:val="0"/>
            <w:vAlign w:val="center"/>
          </w:tcPr>
          <w:p w14:paraId="1AA1574D">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砂砾质</w:t>
            </w:r>
          </w:p>
        </w:tc>
      </w:tr>
      <w:tr w14:paraId="013D651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exact"/>
          <w:jc w:val="center"/>
        </w:trPr>
        <w:tc>
          <w:tcPr>
            <w:tcW w:w="658" w:type="dxa"/>
            <w:vMerge w:val="continue"/>
            <w:tcBorders>
              <w:bottom w:val="single" w:color="auto" w:sz="6" w:space="0"/>
              <w:right w:val="single" w:color="auto" w:sz="6" w:space="0"/>
            </w:tcBorders>
            <w:noWrap w:val="0"/>
            <w:vAlign w:val="center"/>
          </w:tcPr>
          <w:p w14:paraId="09C91ABF">
            <w:pPr>
              <w:spacing w:line="300" w:lineRule="exact"/>
              <w:jc w:val="center"/>
              <w:rPr>
                <w:rFonts w:hint="eastAsia" w:ascii="Times New Roman" w:hAnsi="Times New Roman" w:eastAsia="华文中宋" w:cs="Times New Roman"/>
                <w:szCs w:val="21"/>
                <w:lang w:val="en-US" w:eastAsia="zh-CN"/>
              </w:rPr>
            </w:pPr>
          </w:p>
        </w:tc>
        <w:tc>
          <w:tcPr>
            <w:tcW w:w="1183" w:type="dxa"/>
            <w:vMerge w:val="continue"/>
            <w:tcBorders>
              <w:left w:val="single" w:color="auto" w:sz="6" w:space="0"/>
              <w:bottom w:val="single" w:color="auto" w:sz="6" w:space="0"/>
              <w:right w:val="single" w:color="auto" w:sz="6" w:space="0"/>
            </w:tcBorders>
            <w:noWrap w:val="0"/>
            <w:vAlign w:val="center"/>
          </w:tcPr>
          <w:p w14:paraId="2DD912FD">
            <w:pPr>
              <w:spacing w:line="300" w:lineRule="exact"/>
              <w:jc w:val="center"/>
              <w:rPr>
                <w:rFonts w:hint="eastAsia" w:ascii="Times New Roman" w:hAnsi="Times New Roman" w:eastAsia="华文中宋" w:cs="Times New Roman"/>
                <w:szCs w:val="21"/>
                <w:lang w:val="en-US" w:eastAsia="zh-CN"/>
              </w:rPr>
            </w:pPr>
          </w:p>
        </w:tc>
        <w:tc>
          <w:tcPr>
            <w:tcW w:w="1635" w:type="dxa"/>
            <w:tcBorders>
              <w:top w:val="single" w:color="auto" w:sz="6" w:space="0"/>
              <w:left w:val="single" w:color="auto" w:sz="6" w:space="0"/>
              <w:bottom w:val="single" w:color="auto" w:sz="6" w:space="0"/>
              <w:right w:val="single" w:color="auto" w:sz="6" w:space="0"/>
            </w:tcBorders>
            <w:noWrap w:val="0"/>
            <w:vAlign w:val="center"/>
          </w:tcPr>
          <w:p w14:paraId="276E68F3">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植被覆盖度</w:t>
            </w:r>
          </w:p>
        </w:tc>
        <w:tc>
          <w:tcPr>
            <w:tcW w:w="2515" w:type="dxa"/>
            <w:tcBorders>
              <w:top w:val="single" w:color="auto" w:sz="6" w:space="0"/>
              <w:left w:val="single" w:color="auto" w:sz="6" w:space="0"/>
              <w:bottom w:val="single" w:color="auto" w:sz="6" w:space="0"/>
              <w:right w:val="single" w:color="auto" w:sz="6" w:space="0"/>
            </w:tcBorders>
            <w:noWrap w:val="0"/>
            <w:vAlign w:val="center"/>
          </w:tcPr>
          <w:p w14:paraId="4A3AF567">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&lt;20%</w:t>
            </w:r>
          </w:p>
        </w:tc>
        <w:tc>
          <w:tcPr>
            <w:tcW w:w="2500" w:type="dxa"/>
            <w:tcBorders>
              <w:top w:val="single" w:color="auto" w:sz="6" w:space="0"/>
              <w:left w:val="single" w:color="auto" w:sz="6" w:space="0"/>
              <w:bottom w:val="single" w:color="auto" w:sz="6" w:space="0"/>
            </w:tcBorders>
            <w:noWrap w:val="0"/>
            <w:vAlign w:val="center"/>
          </w:tcPr>
          <w:p w14:paraId="1699340E">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20%</w:t>
            </w:r>
          </w:p>
        </w:tc>
      </w:tr>
      <w:tr w14:paraId="0B9583E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658" w:type="dxa"/>
            <w:vMerge w:val="restart"/>
            <w:tcBorders>
              <w:top w:val="single" w:color="auto" w:sz="6" w:space="0"/>
              <w:right w:val="single" w:color="auto" w:sz="6" w:space="0"/>
            </w:tcBorders>
            <w:noWrap w:val="0"/>
            <w:vAlign w:val="center"/>
          </w:tcPr>
          <w:p w14:paraId="7F18D975">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4</w:t>
            </w:r>
          </w:p>
        </w:tc>
        <w:tc>
          <w:tcPr>
            <w:tcW w:w="1183" w:type="dxa"/>
            <w:vMerge w:val="restart"/>
            <w:tcBorders>
              <w:top w:val="single" w:color="auto" w:sz="6" w:space="0"/>
              <w:left w:val="single" w:color="auto" w:sz="6" w:space="0"/>
              <w:right w:val="single" w:color="auto" w:sz="6" w:space="0"/>
            </w:tcBorders>
            <w:noWrap w:val="0"/>
            <w:vAlign w:val="center"/>
          </w:tcPr>
          <w:p w14:paraId="32D1518A">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生活区</w:t>
            </w:r>
          </w:p>
        </w:tc>
        <w:tc>
          <w:tcPr>
            <w:tcW w:w="1635" w:type="dxa"/>
            <w:tcBorders>
              <w:top w:val="single" w:color="auto" w:sz="6" w:space="0"/>
              <w:left w:val="single" w:color="auto" w:sz="6" w:space="0"/>
              <w:bottom w:val="single" w:color="auto" w:sz="6" w:space="0"/>
              <w:right w:val="single" w:color="auto" w:sz="6" w:space="0"/>
            </w:tcBorders>
            <w:noWrap w:val="0"/>
            <w:vAlign w:val="center"/>
          </w:tcPr>
          <w:p w14:paraId="13DDD262">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土地类型/复垦方向</w:t>
            </w:r>
          </w:p>
        </w:tc>
        <w:tc>
          <w:tcPr>
            <w:tcW w:w="2515" w:type="dxa"/>
            <w:tcBorders>
              <w:top w:val="single" w:color="auto" w:sz="6" w:space="0"/>
              <w:left w:val="single" w:color="auto" w:sz="6" w:space="0"/>
              <w:bottom w:val="single" w:color="auto" w:sz="6" w:space="0"/>
              <w:right w:val="single" w:color="auto" w:sz="6" w:space="0"/>
            </w:tcBorders>
            <w:noWrap w:val="0"/>
            <w:vAlign w:val="center"/>
          </w:tcPr>
          <w:p w14:paraId="7B6528B1">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天然牧草地</w:t>
            </w:r>
          </w:p>
        </w:tc>
        <w:tc>
          <w:tcPr>
            <w:tcW w:w="2500" w:type="dxa"/>
            <w:tcBorders>
              <w:top w:val="single" w:color="auto" w:sz="6" w:space="0"/>
              <w:left w:val="single" w:color="auto" w:sz="6" w:space="0"/>
              <w:bottom w:val="single" w:color="auto" w:sz="6" w:space="0"/>
            </w:tcBorders>
            <w:noWrap w:val="0"/>
            <w:vAlign w:val="center"/>
          </w:tcPr>
          <w:p w14:paraId="7695836D">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天然牧草地</w:t>
            </w:r>
          </w:p>
        </w:tc>
      </w:tr>
      <w:tr w14:paraId="4D094FF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58" w:type="dxa"/>
            <w:vMerge w:val="continue"/>
            <w:tcBorders>
              <w:right w:val="single" w:color="auto" w:sz="6" w:space="0"/>
            </w:tcBorders>
            <w:noWrap w:val="0"/>
            <w:vAlign w:val="center"/>
          </w:tcPr>
          <w:p w14:paraId="42FD0659">
            <w:pPr>
              <w:spacing w:line="300" w:lineRule="exact"/>
              <w:jc w:val="center"/>
              <w:rPr>
                <w:rFonts w:hint="eastAsia" w:ascii="Times New Roman" w:hAnsi="Times New Roman" w:eastAsia="华文中宋" w:cs="Times New Roman"/>
                <w:szCs w:val="21"/>
                <w:lang w:val="en-US" w:eastAsia="zh-CN"/>
              </w:rPr>
            </w:pPr>
          </w:p>
        </w:tc>
        <w:tc>
          <w:tcPr>
            <w:tcW w:w="1183" w:type="dxa"/>
            <w:vMerge w:val="continue"/>
            <w:tcBorders>
              <w:left w:val="single" w:color="auto" w:sz="6" w:space="0"/>
              <w:right w:val="single" w:color="auto" w:sz="6" w:space="0"/>
            </w:tcBorders>
            <w:noWrap w:val="0"/>
            <w:vAlign w:val="center"/>
          </w:tcPr>
          <w:p w14:paraId="1CE4216F">
            <w:pPr>
              <w:spacing w:line="300" w:lineRule="exact"/>
              <w:jc w:val="center"/>
              <w:rPr>
                <w:rFonts w:hint="eastAsia" w:ascii="Times New Roman" w:hAnsi="Times New Roman" w:eastAsia="华文中宋" w:cs="Times New Roman"/>
                <w:szCs w:val="21"/>
                <w:lang w:val="en-US" w:eastAsia="zh-CN"/>
              </w:rPr>
            </w:pPr>
          </w:p>
        </w:tc>
        <w:tc>
          <w:tcPr>
            <w:tcW w:w="1635" w:type="dxa"/>
            <w:tcBorders>
              <w:top w:val="single" w:color="auto" w:sz="6" w:space="0"/>
              <w:left w:val="single" w:color="auto" w:sz="6" w:space="0"/>
              <w:bottom w:val="single" w:color="auto" w:sz="6" w:space="0"/>
              <w:right w:val="single" w:color="auto" w:sz="6" w:space="0"/>
            </w:tcBorders>
            <w:noWrap w:val="0"/>
            <w:vAlign w:val="center"/>
          </w:tcPr>
          <w:p w14:paraId="4B617871">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地形坡度</w:t>
            </w:r>
          </w:p>
        </w:tc>
        <w:tc>
          <w:tcPr>
            <w:tcW w:w="2515" w:type="dxa"/>
            <w:tcBorders>
              <w:top w:val="single" w:color="auto" w:sz="6" w:space="0"/>
              <w:left w:val="single" w:color="auto" w:sz="6" w:space="0"/>
              <w:bottom w:val="single" w:color="auto" w:sz="6" w:space="0"/>
              <w:right w:val="single" w:color="auto" w:sz="6" w:space="0"/>
            </w:tcBorders>
            <w:noWrap w:val="0"/>
            <w:vAlign w:val="center"/>
          </w:tcPr>
          <w:p w14:paraId="397F93AB">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3-5°</w:t>
            </w:r>
          </w:p>
        </w:tc>
        <w:tc>
          <w:tcPr>
            <w:tcW w:w="2500" w:type="dxa"/>
            <w:tcBorders>
              <w:top w:val="single" w:color="auto" w:sz="6" w:space="0"/>
              <w:left w:val="single" w:color="auto" w:sz="6" w:space="0"/>
              <w:bottom w:val="single" w:color="auto" w:sz="6" w:space="0"/>
            </w:tcBorders>
            <w:noWrap w:val="0"/>
            <w:vAlign w:val="center"/>
          </w:tcPr>
          <w:p w14:paraId="30C691F4">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3-5°</w:t>
            </w:r>
          </w:p>
        </w:tc>
      </w:tr>
      <w:tr w14:paraId="636837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58" w:type="dxa"/>
            <w:vMerge w:val="continue"/>
            <w:tcBorders>
              <w:right w:val="single" w:color="auto" w:sz="6" w:space="0"/>
            </w:tcBorders>
            <w:noWrap w:val="0"/>
            <w:vAlign w:val="center"/>
          </w:tcPr>
          <w:p w14:paraId="5D350A9B">
            <w:pPr>
              <w:spacing w:line="300" w:lineRule="exact"/>
              <w:jc w:val="center"/>
              <w:rPr>
                <w:rFonts w:hint="eastAsia" w:ascii="Times New Roman" w:hAnsi="Times New Roman" w:eastAsia="华文中宋" w:cs="Times New Roman"/>
                <w:szCs w:val="21"/>
                <w:lang w:val="en-US" w:eastAsia="zh-CN"/>
              </w:rPr>
            </w:pPr>
          </w:p>
        </w:tc>
        <w:tc>
          <w:tcPr>
            <w:tcW w:w="1183" w:type="dxa"/>
            <w:vMerge w:val="continue"/>
            <w:tcBorders>
              <w:left w:val="single" w:color="auto" w:sz="6" w:space="0"/>
              <w:right w:val="single" w:color="auto" w:sz="6" w:space="0"/>
            </w:tcBorders>
            <w:noWrap w:val="0"/>
            <w:vAlign w:val="center"/>
          </w:tcPr>
          <w:p w14:paraId="614ABD97">
            <w:pPr>
              <w:spacing w:line="300" w:lineRule="exact"/>
              <w:jc w:val="center"/>
              <w:rPr>
                <w:rFonts w:hint="eastAsia" w:ascii="Times New Roman" w:hAnsi="Times New Roman" w:eastAsia="华文中宋" w:cs="Times New Roman"/>
                <w:szCs w:val="21"/>
                <w:lang w:val="en-US" w:eastAsia="zh-CN"/>
              </w:rPr>
            </w:pPr>
          </w:p>
        </w:tc>
        <w:tc>
          <w:tcPr>
            <w:tcW w:w="1635" w:type="dxa"/>
            <w:tcBorders>
              <w:top w:val="single" w:color="auto" w:sz="6" w:space="0"/>
              <w:left w:val="single" w:color="auto" w:sz="6" w:space="0"/>
              <w:bottom w:val="single" w:color="auto" w:sz="6" w:space="0"/>
              <w:right w:val="single" w:color="auto" w:sz="6" w:space="0"/>
            </w:tcBorders>
            <w:noWrap w:val="0"/>
            <w:vAlign w:val="center"/>
          </w:tcPr>
          <w:p w14:paraId="4A90B426">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稳定性</w:t>
            </w:r>
          </w:p>
        </w:tc>
        <w:tc>
          <w:tcPr>
            <w:tcW w:w="2515" w:type="dxa"/>
            <w:tcBorders>
              <w:top w:val="single" w:color="auto" w:sz="6" w:space="0"/>
              <w:left w:val="single" w:color="auto" w:sz="6" w:space="0"/>
              <w:bottom w:val="single" w:color="auto" w:sz="6" w:space="0"/>
              <w:right w:val="single" w:color="auto" w:sz="6" w:space="0"/>
            </w:tcBorders>
            <w:noWrap w:val="0"/>
            <w:vAlign w:val="center"/>
          </w:tcPr>
          <w:p w14:paraId="1224552E">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无地质灾害隐患</w:t>
            </w:r>
          </w:p>
        </w:tc>
        <w:tc>
          <w:tcPr>
            <w:tcW w:w="2500" w:type="dxa"/>
            <w:tcBorders>
              <w:top w:val="single" w:color="auto" w:sz="6" w:space="0"/>
              <w:left w:val="single" w:color="auto" w:sz="6" w:space="0"/>
              <w:bottom w:val="single" w:color="auto" w:sz="6" w:space="0"/>
            </w:tcBorders>
            <w:noWrap w:val="0"/>
            <w:vAlign w:val="center"/>
          </w:tcPr>
          <w:p w14:paraId="120338BE">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无地质灾害隐患</w:t>
            </w:r>
          </w:p>
        </w:tc>
      </w:tr>
      <w:tr w14:paraId="10042E4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58" w:type="dxa"/>
            <w:vMerge w:val="continue"/>
            <w:tcBorders>
              <w:right w:val="single" w:color="auto" w:sz="6" w:space="0"/>
            </w:tcBorders>
            <w:noWrap w:val="0"/>
            <w:vAlign w:val="center"/>
          </w:tcPr>
          <w:p w14:paraId="16CE4537">
            <w:pPr>
              <w:spacing w:line="300" w:lineRule="exact"/>
              <w:jc w:val="center"/>
              <w:rPr>
                <w:rFonts w:hint="eastAsia" w:ascii="Times New Roman" w:hAnsi="Times New Roman" w:eastAsia="华文中宋" w:cs="Times New Roman"/>
                <w:szCs w:val="21"/>
                <w:lang w:val="en-US" w:eastAsia="zh-CN"/>
              </w:rPr>
            </w:pPr>
          </w:p>
        </w:tc>
        <w:tc>
          <w:tcPr>
            <w:tcW w:w="1183" w:type="dxa"/>
            <w:vMerge w:val="continue"/>
            <w:tcBorders>
              <w:left w:val="single" w:color="auto" w:sz="6" w:space="0"/>
              <w:right w:val="single" w:color="auto" w:sz="6" w:space="0"/>
            </w:tcBorders>
            <w:noWrap w:val="0"/>
            <w:vAlign w:val="center"/>
          </w:tcPr>
          <w:p w14:paraId="7C9CA7BB">
            <w:pPr>
              <w:spacing w:line="300" w:lineRule="exact"/>
              <w:jc w:val="center"/>
              <w:rPr>
                <w:rFonts w:hint="eastAsia" w:ascii="Times New Roman" w:hAnsi="Times New Roman" w:eastAsia="华文中宋" w:cs="Times New Roman"/>
                <w:szCs w:val="21"/>
                <w:lang w:val="en-US" w:eastAsia="zh-CN"/>
              </w:rPr>
            </w:pPr>
          </w:p>
        </w:tc>
        <w:tc>
          <w:tcPr>
            <w:tcW w:w="1635" w:type="dxa"/>
            <w:tcBorders>
              <w:top w:val="single" w:color="auto" w:sz="6" w:space="0"/>
              <w:left w:val="single" w:color="auto" w:sz="6" w:space="0"/>
              <w:bottom w:val="single" w:color="auto" w:sz="6" w:space="0"/>
              <w:right w:val="single" w:color="auto" w:sz="6" w:space="0"/>
            </w:tcBorders>
            <w:noWrap w:val="0"/>
            <w:vAlign w:val="center"/>
          </w:tcPr>
          <w:p w14:paraId="68A8E9A4">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有效土层厚度</w:t>
            </w:r>
          </w:p>
        </w:tc>
        <w:tc>
          <w:tcPr>
            <w:tcW w:w="2515" w:type="dxa"/>
            <w:tcBorders>
              <w:top w:val="single" w:color="auto" w:sz="6" w:space="0"/>
              <w:left w:val="single" w:color="auto" w:sz="6" w:space="0"/>
              <w:bottom w:val="single" w:color="auto" w:sz="6" w:space="0"/>
              <w:right w:val="single" w:color="auto" w:sz="6" w:space="0"/>
            </w:tcBorders>
            <w:noWrap w:val="0"/>
            <w:vAlign w:val="center"/>
          </w:tcPr>
          <w:p w14:paraId="59C84064">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平均厚度30cm</w:t>
            </w:r>
          </w:p>
        </w:tc>
        <w:tc>
          <w:tcPr>
            <w:tcW w:w="2500" w:type="dxa"/>
            <w:tcBorders>
              <w:top w:val="single" w:color="auto" w:sz="6" w:space="0"/>
              <w:left w:val="single" w:color="auto" w:sz="6" w:space="0"/>
              <w:bottom w:val="single" w:color="auto" w:sz="6" w:space="0"/>
            </w:tcBorders>
            <w:noWrap w:val="0"/>
            <w:vAlign w:val="center"/>
          </w:tcPr>
          <w:p w14:paraId="024E3E6D">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覆土厚度30cm</w:t>
            </w:r>
          </w:p>
        </w:tc>
      </w:tr>
      <w:tr w14:paraId="4781B7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58" w:type="dxa"/>
            <w:vMerge w:val="continue"/>
            <w:tcBorders>
              <w:right w:val="single" w:color="auto" w:sz="6" w:space="0"/>
            </w:tcBorders>
            <w:noWrap w:val="0"/>
            <w:vAlign w:val="center"/>
          </w:tcPr>
          <w:p w14:paraId="7F16391B">
            <w:pPr>
              <w:spacing w:line="300" w:lineRule="exact"/>
              <w:jc w:val="center"/>
              <w:rPr>
                <w:rFonts w:hint="eastAsia" w:ascii="Times New Roman" w:hAnsi="Times New Roman" w:eastAsia="华文中宋" w:cs="Times New Roman"/>
                <w:szCs w:val="21"/>
                <w:lang w:val="en-US" w:eastAsia="zh-CN"/>
              </w:rPr>
            </w:pPr>
          </w:p>
        </w:tc>
        <w:tc>
          <w:tcPr>
            <w:tcW w:w="1183" w:type="dxa"/>
            <w:vMerge w:val="continue"/>
            <w:tcBorders>
              <w:left w:val="single" w:color="auto" w:sz="6" w:space="0"/>
              <w:right w:val="single" w:color="auto" w:sz="6" w:space="0"/>
            </w:tcBorders>
            <w:noWrap w:val="0"/>
            <w:vAlign w:val="center"/>
          </w:tcPr>
          <w:p w14:paraId="3343F0C7">
            <w:pPr>
              <w:spacing w:line="300" w:lineRule="exact"/>
              <w:jc w:val="center"/>
              <w:rPr>
                <w:rFonts w:hint="eastAsia" w:ascii="Times New Roman" w:hAnsi="Times New Roman" w:eastAsia="华文中宋" w:cs="Times New Roman"/>
                <w:szCs w:val="21"/>
                <w:lang w:val="en-US" w:eastAsia="zh-CN"/>
              </w:rPr>
            </w:pPr>
          </w:p>
        </w:tc>
        <w:tc>
          <w:tcPr>
            <w:tcW w:w="1635" w:type="dxa"/>
            <w:tcBorders>
              <w:top w:val="single" w:color="auto" w:sz="6" w:space="0"/>
              <w:left w:val="single" w:color="auto" w:sz="6" w:space="0"/>
              <w:bottom w:val="single" w:color="auto" w:sz="6" w:space="0"/>
              <w:right w:val="single" w:color="auto" w:sz="6" w:space="0"/>
            </w:tcBorders>
            <w:noWrap w:val="0"/>
            <w:vAlign w:val="center"/>
          </w:tcPr>
          <w:p w14:paraId="33BA6C64">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土壤容重</w:t>
            </w:r>
          </w:p>
        </w:tc>
        <w:tc>
          <w:tcPr>
            <w:tcW w:w="2515" w:type="dxa"/>
            <w:tcBorders>
              <w:top w:val="single" w:color="auto" w:sz="6" w:space="0"/>
              <w:left w:val="single" w:color="auto" w:sz="6" w:space="0"/>
              <w:bottom w:val="single" w:color="auto" w:sz="6" w:space="0"/>
              <w:right w:val="single" w:color="auto" w:sz="6" w:space="0"/>
            </w:tcBorders>
            <w:noWrap w:val="0"/>
            <w:vAlign w:val="center"/>
          </w:tcPr>
          <w:p w14:paraId="53ACB3F4">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土壤容重1.4-1.51g/cm</w:t>
            </w:r>
            <w:r>
              <w:rPr>
                <w:rFonts w:hint="eastAsia" w:ascii="Times New Roman" w:hAnsi="Times New Roman" w:eastAsia="华文中宋" w:cs="Times New Roman"/>
                <w:szCs w:val="21"/>
                <w:vertAlign w:val="superscript"/>
                <w:lang w:val="en-US" w:eastAsia="zh-CN"/>
              </w:rPr>
              <w:t>3</w:t>
            </w:r>
          </w:p>
        </w:tc>
        <w:tc>
          <w:tcPr>
            <w:tcW w:w="2500" w:type="dxa"/>
            <w:tcBorders>
              <w:top w:val="single" w:color="auto" w:sz="6" w:space="0"/>
              <w:left w:val="single" w:color="auto" w:sz="6" w:space="0"/>
              <w:bottom w:val="single" w:color="auto" w:sz="6" w:space="0"/>
            </w:tcBorders>
            <w:noWrap w:val="0"/>
            <w:vAlign w:val="center"/>
          </w:tcPr>
          <w:p w14:paraId="58673673">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土壤容重1.4-1.51g/cm</w:t>
            </w:r>
            <w:r>
              <w:rPr>
                <w:rFonts w:hint="eastAsia" w:ascii="Times New Roman" w:hAnsi="Times New Roman" w:eastAsia="华文中宋" w:cs="Times New Roman"/>
                <w:szCs w:val="21"/>
                <w:vertAlign w:val="superscript"/>
                <w:lang w:val="en-US" w:eastAsia="zh-CN"/>
              </w:rPr>
              <w:t>3</w:t>
            </w:r>
          </w:p>
        </w:tc>
      </w:tr>
      <w:tr w14:paraId="388E3F1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58" w:type="dxa"/>
            <w:vMerge w:val="continue"/>
            <w:tcBorders>
              <w:right w:val="single" w:color="auto" w:sz="6" w:space="0"/>
            </w:tcBorders>
            <w:noWrap w:val="0"/>
            <w:vAlign w:val="center"/>
          </w:tcPr>
          <w:p w14:paraId="1277A843">
            <w:pPr>
              <w:spacing w:line="300" w:lineRule="exact"/>
              <w:jc w:val="center"/>
              <w:rPr>
                <w:rFonts w:hint="eastAsia" w:ascii="Times New Roman" w:hAnsi="Times New Roman" w:eastAsia="华文中宋" w:cs="Times New Roman"/>
                <w:szCs w:val="21"/>
                <w:lang w:val="en-US" w:eastAsia="zh-CN"/>
              </w:rPr>
            </w:pPr>
          </w:p>
        </w:tc>
        <w:tc>
          <w:tcPr>
            <w:tcW w:w="1183" w:type="dxa"/>
            <w:vMerge w:val="continue"/>
            <w:tcBorders>
              <w:left w:val="single" w:color="auto" w:sz="6" w:space="0"/>
              <w:right w:val="single" w:color="auto" w:sz="6" w:space="0"/>
            </w:tcBorders>
            <w:noWrap w:val="0"/>
            <w:vAlign w:val="center"/>
          </w:tcPr>
          <w:p w14:paraId="547578C1">
            <w:pPr>
              <w:spacing w:line="300" w:lineRule="exact"/>
              <w:jc w:val="center"/>
              <w:rPr>
                <w:rFonts w:hint="eastAsia" w:ascii="Times New Roman" w:hAnsi="Times New Roman" w:eastAsia="华文中宋" w:cs="Times New Roman"/>
                <w:szCs w:val="21"/>
                <w:lang w:val="en-US" w:eastAsia="zh-CN"/>
              </w:rPr>
            </w:pPr>
          </w:p>
        </w:tc>
        <w:tc>
          <w:tcPr>
            <w:tcW w:w="1635" w:type="dxa"/>
            <w:tcBorders>
              <w:top w:val="single" w:color="auto" w:sz="6" w:space="0"/>
              <w:left w:val="single" w:color="auto" w:sz="6" w:space="0"/>
              <w:bottom w:val="single" w:color="auto" w:sz="6" w:space="0"/>
              <w:right w:val="single" w:color="auto" w:sz="6" w:space="0"/>
            </w:tcBorders>
            <w:noWrap w:val="0"/>
            <w:vAlign w:val="center"/>
          </w:tcPr>
          <w:p w14:paraId="3EDA9AEB">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土壤质地</w:t>
            </w:r>
          </w:p>
        </w:tc>
        <w:tc>
          <w:tcPr>
            <w:tcW w:w="2515" w:type="dxa"/>
            <w:tcBorders>
              <w:top w:val="single" w:color="auto" w:sz="6" w:space="0"/>
              <w:left w:val="single" w:color="auto" w:sz="6" w:space="0"/>
              <w:bottom w:val="single" w:color="auto" w:sz="6" w:space="0"/>
              <w:right w:val="single" w:color="auto" w:sz="6" w:space="0"/>
            </w:tcBorders>
            <w:noWrap w:val="0"/>
            <w:vAlign w:val="center"/>
          </w:tcPr>
          <w:p w14:paraId="2BED7D71">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砂砾质</w:t>
            </w:r>
          </w:p>
        </w:tc>
        <w:tc>
          <w:tcPr>
            <w:tcW w:w="2500" w:type="dxa"/>
            <w:tcBorders>
              <w:top w:val="single" w:color="auto" w:sz="6" w:space="0"/>
              <w:left w:val="single" w:color="auto" w:sz="6" w:space="0"/>
              <w:bottom w:val="single" w:color="auto" w:sz="6" w:space="0"/>
            </w:tcBorders>
            <w:noWrap w:val="0"/>
            <w:vAlign w:val="center"/>
          </w:tcPr>
          <w:p w14:paraId="2247383E">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砂砾质</w:t>
            </w:r>
          </w:p>
        </w:tc>
      </w:tr>
      <w:tr w14:paraId="2D0B17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58" w:type="dxa"/>
            <w:vMerge w:val="continue"/>
            <w:tcBorders>
              <w:right w:val="single" w:color="auto" w:sz="6" w:space="0"/>
            </w:tcBorders>
            <w:noWrap w:val="0"/>
            <w:vAlign w:val="center"/>
          </w:tcPr>
          <w:p w14:paraId="2D59A472">
            <w:pPr>
              <w:spacing w:line="300" w:lineRule="exact"/>
              <w:jc w:val="center"/>
              <w:rPr>
                <w:rFonts w:hint="eastAsia" w:ascii="Times New Roman" w:hAnsi="Times New Roman" w:eastAsia="华文中宋" w:cs="Times New Roman"/>
                <w:szCs w:val="21"/>
                <w:lang w:val="en-US" w:eastAsia="zh-CN"/>
              </w:rPr>
            </w:pPr>
          </w:p>
        </w:tc>
        <w:tc>
          <w:tcPr>
            <w:tcW w:w="1183" w:type="dxa"/>
            <w:vMerge w:val="continue"/>
            <w:tcBorders>
              <w:left w:val="single" w:color="auto" w:sz="6" w:space="0"/>
              <w:right w:val="single" w:color="auto" w:sz="6" w:space="0"/>
            </w:tcBorders>
            <w:noWrap w:val="0"/>
            <w:vAlign w:val="center"/>
          </w:tcPr>
          <w:p w14:paraId="5491DDEB">
            <w:pPr>
              <w:spacing w:line="300" w:lineRule="exact"/>
              <w:jc w:val="center"/>
              <w:rPr>
                <w:rFonts w:hint="eastAsia" w:ascii="Times New Roman" w:hAnsi="Times New Roman" w:eastAsia="华文中宋" w:cs="Times New Roman"/>
                <w:szCs w:val="21"/>
                <w:lang w:val="en-US" w:eastAsia="zh-CN"/>
              </w:rPr>
            </w:pPr>
          </w:p>
        </w:tc>
        <w:tc>
          <w:tcPr>
            <w:tcW w:w="1635" w:type="dxa"/>
            <w:tcBorders>
              <w:top w:val="single" w:color="auto" w:sz="6" w:space="0"/>
              <w:left w:val="single" w:color="auto" w:sz="6" w:space="0"/>
              <w:bottom w:val="single" w:color="auto" w:sz="6" w:space="0"/>
              <w:right w:val="single" w:color="auto" w:sz="6" w:space="0"/>
            </w:tcBorders>
            <w:noWrap w:val="0"/>
            <w:vAlign w:val="center"/>
          </w:tcPr>
          <w:p w14:paraId="0BC9C0A8">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植被覆盖度</w:t>
            </w:r>
          </w:p>
        </w:tc>
        <w:tc>
          <w:tcPr>
            <w:tcW w:w="2515" w:type="dxa"/>
            <w:tcBorders>
              <w:top w:val="single" w:color="auto" w:sz="6" w:space="0"/>
              <w:left w:val="single" w:color="auto" w:sz="6" w:space="0"/>
              <w:bottom w:val="single" w:color="auto" w:sz="6" w:space="0"/>
              <w:right w:val="single" w:color="auto" w:sz="6" w:space="0"/>
            </w:tcBorders>
            <w:noWrap w:val="0"/>
            <w:vAlign w:val="center"/>
          </w:tcPr>
          <w:p w14:paraId="14DA9212">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&lt;20%</w:t>
            </w:r>
          </w:p>
        </w:tc>
        <w:tc>
          <w:tcPr>
            <w:tcW w:w="2500" w:type="dxa"/>
            <w:tcBorders>
              <w:top w:val="single" w:color="auto" w:sz="6" w:space="0"/>
              <w:left w:val="single" w:color="auto" w:sz="6" w:space="0"/>
              <w:bottom w:val="single" w:color="auto" w:sz="6" w:space="0"/>
            </w:tcBorders>
            <w:noWrap w:val="0"/>
            <w:vAlign w:val="center"/>
          </w:tcPr>
          <w:p w14:paraId="288523F1">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20%</w:t>
            </w:r>
          </w:p>
        </w:tc>
      </w:tr>
      <w:tr w14:paraId="2E403A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658" w:type="dxa"/>
            <w:vMerge w:val="restart"/>
            <w:tcBorders>
              <w:top w:val="single" w:color="auto" w:sz="6" w:space="0"/>
              <w:right w:val="single" w:color="auto" w:sz="6" w:space="0"/>
            </w:tcBorders>
            <w:noWrap w:val="0"/>
            <w:vAlign w:val="center"/>
          </w:tcPr>
          <w:p w14:paraId="1BDC4BB6">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w:t>
            </w:r>
          </w:p>
        </w:tc>
        <w:tc>
          <w:tcPr>
            <w:tcW w:w="1183" w:type="dxa"/>
            <w:vMerge w:val="restart"/>
            <w:tcBorders>
              <w:top w:val="single" w:color="auto" w:sz="6" w:space="0"/>
              <w:left w:val="single" w:color="auto" w:sz="6" w:space="0"/>
              <w:right w:val="single" w:color="auto" w:sz="6" w:space="0"/>
            </w:tcBorders>
            <w:noWrap w:val="0"/>
            <w:vAlign w:val="center"/>
          </w:tcPr>
          <w:p w14:paraId="4F7E34F8">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表土堆放场</w:t>
            </w:r>
          </w:p>
        </w:tc>
        <w:tc>
          <w:tcPr>
            <w:tcW w:w="1635" w:type="dxa"/>
            <w:tcBorders>
              <w:top w:val="single" w:color="auto" w:sz="6" w:space="0"/>
              <w:left w:val="single" w:color="auto" w:sz="6" w:space="0"/>
              <w:bottom w:val="single" w:color="auto" w:sz="6" w:space="0"/>
              <w:right w:val="single" w:color="auto" w:sz="6" w:space="0"/>
            </w:tcBorders>
            <w:noWrap w:val="0"/>
            <w:vAlign w:val="center"/>
          </w:tcPr>
          <w:p w14:paraId="37E88F39">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土地类型/复垦方向</w:t>
            </w:r>
          </w:p>
        </w:tc>
        <w:tc>
          <w:tcPr>
            <w:tcW w:w="2515" w:type="dxa"/>
            <w:tcBorders>
              <w:top w:val="single" w:color="auto" w:sz="6" w:space="0"/>
              <w:left w:val="single" w:color="auto" w:sz="6" w:space="0"/>
              <w:bottom w:val="single" w:color="auto" w:sz="6" w:space="0"/>
              <w:right w:val="single" w:color="auto" w:sz="6" w:space="0"/>
            </w:tcBorders>
            <w:noWrap w:val="0"/>
            <w:vAlign w:val="center"/>
          </w:tcPr>
          <w:p w14:paraId="27E30024">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天然牧草地</w:t>
            </w:r>
          </w:p>
        </w:tc>
        <w:tc>
          <w:tcPr>
            <w:tcW w:w="2500" w:type="dxa"/>
            <w:tcBorders>
              <w:top w:val="single" w:color="auto" w:sz="6" w:space="0"/>
              <w:left w:val="single" w:color="auto" w:sz="6" w:space="0"/>
              <w:bottom w:val="single" w:color="auto" w:sz="6" w:space="0"/>
            </w:tcBorders>
            <w:noWrap w:val="0"/>
            <w:vAlign w:val="center"/>
          </w:tcPr>
          <w:p w14:paraId="36C43DDD">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天然牧草地</w:t>
            </w:r>
          </w:p>
        </w:tc>
      </w:tr>
      <w:tr w14:paraId="51A8E3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exact"/>
          <w:jc w:val="center"/>
        </w:trPr>
        <w:tc>
          <w:tcPr>
            <w:tcW w:w="658" w:type="dxa"/>
            <w:vMerge w:val="continue"/>
            <w:tcBorders>
              <w:right w:val="single" w:color="auto" w:sz="6" w:space="0"/>
            </w:tcBorders>
            <w:noWrap w:val="0"/>
            <w:vAlign w:val="center"/>
          </w:tcPr>
          <w:p w14:paraId="5794D2E1">
            <w:pPr>
              <w:spacing w:line="300" w:lineRule="exact"/>
              <w:jc w:val="center"/>
              <w:rPr>
                <w:rFonts w:hint="eastAsia" w:ascii="Times New Roman" w:hAnsi="Times New Roman" w:eastAsia="华文中宋" w:cs="Times New Roman"/>
                <w:szCs w:val="21"/>
                <w:lang w:val="en-US" w:eastAsia="zh-CN"/>
              </w:rPr>
            </w:pPr>
          </w:p>
        </w:tc>
        <w:tc>
          <w:tcPr>
            <w:tcW w:w="1183" w:type="dxa"/>
            <w:vMerge w:val="continue"/>
            <w:tcBorders>
              <w:left w:val="single" w:color="auto" w:sz="6" w:space="0"/>
              <w:right w:val="single" w:color="auto" w:sz="6" w:space="0"/>
            </w:tcBorders>
            <w:noWrap w:val="0"/>
            <w:vAlign w:val="center"/>
          </w:tcPr>
          <w:p w14:paraId="061D04AD">
            <w:pPr>
              <w:spacing w:line="300" w:lineRule="exact"/>
              <w:jc w:val="center"/>
              <w:rPr>
                <w:rFonts w:hint="eastAsia" w:ascii="Times New Roman" w:hAnsi="Times New Roman" w:eastAsia="华文中宋" w:cs="Times New Roman"/>
                <w:szCs w:val="21"/>
                <w:lang w:val="en-US" w:eastAsia="zh-CN"/>
              </w:rPr>
            </w:pPr>
          </w:p>
        </w:tc>
        <w:tc>
          <w:tcPr>
            <w:tcW w:w="1635" w:type="dxa"/>
            <w:tcBorders>
              <w:top w:val="single" w:color="auto" w:sz="6" w:space="0"/>
              <w:left w:val="single" w:color="auto" w:sz="6" w:space="0"/>
              <w:bottom w:val="single" w:color="auto" w:sz="6" w:space="0"/>
              <w:right w:val="single" w:color="auto" w:sz="6" w:space="0"/>
            </w:tcBorders>
            <w:noWrap w:val="0"/>
            <w:vAlign w:val="center"/>
          </w:tcPr>
          <w:p w14:paraId="235A2DB7">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地形坡度</w:t>
            </w:r>
          </w:p>
        </w:tc>
        <w:tc>
          <w:tcPr>
            <w:tcW w:w="2515" w:type="dxa"/>
            <w:tcBorders>
              <w:top w:val="single" w:color="auto" w:sz="6" w:space="0"/>
              <w:left w:val="single" w:color="auto" w:sz="6" w:space="0"/>
              <w:bottom w:val="single" w:color="auto" w:sz="6" w:space="0"/>
              <w:right w:val="single" w:color="auto" w:sz="6" w:space="0"/>
            </w:tcBorders>
            <w:noWrap w:val="0"/>
            <w:vAlign w:val="center"/>
          </w:tcPr>
          <w:p w14:paraId="55F92FD1">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3-10°</w:t>
            </w:r>
          </w:p>
        </w:tc>
        <w:tc>
          <w:tcPr>
            <w:tcW w:w="2500" w:type="dxa"/>
            <w:tcBorders>
              <w:top w:val="single" w:color="auto" w:sz="6" w:space="0"/>
              <w:left w:val="single" w:color="auto" w:sz="6" w:space="0"/>
              <w:bottom w:val="single" w:color="auto" w:sz="6" w:space="0"/>
            </w:tcBorders>
            <w:noWrap w:val="0"/>
            <w:vAlign w:val="center"/>
          </w:tcPr>
          <w:p w14:paraId="0871B9A6">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3-10°</w:t>
            </w:r>
          </w:p>
        </w:tc>
      </w:tr>
      <w:tr w14:paraId="1E43361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exact"/>
          <w:jc w:val="center"/>
        </w:trPr>
        <w:tc>
          <w:tcPr>
            <w:tcW w:w="658" w:type="dxa"/>
            <w:vMerge w:val="continue"/>
            <w:tcBorders>
              <w:right w:val="single" w:color="auto" w:sz="6" w:space="0"/>
            </w:tcBorders>
            <w:noWrap w:val="0"/>
            <w:vAlign w:val="center"/>
          </w:tcPr>
          <w:p w14:paraId="266D3880">
            <w:pPr>
              <w:spacing w:line="300" w:lineRule="exact"/>
              <w:jc w:val="center"/>
              <w:rPr>
                <w:rFonts w:hint="eastAsia" w:ascii="Times New Roman" w:hAnsi="Times New Roman" w:eastAsia="华文中宋" w:cs="Times New Roman"/>
                <w:szCs w:val="21"/>
                <w:lang w:val="en-US" w:eastAsia="zh-CN"/>
              </w:rPr>
            </w:pPr>
          </w:p>
        </w:tc>
        <w:tc>
          <w:tcPr>
            <w:tcW w:w="1183" w:type="dxa"/>
            <w:vMerge w:val="continue"/>
            <w:tcBorders>
              <w:left w:val="single" w:color="auto" w:sz="6" w:space="0"/>
              <w:right w:val="single" w:color="auto" w:sz="6" w:space="0"/>
            </w:tcBorders>
            <w:noWrap w:val="0"/>
            <w:vAlign w:val="center"/>
          </w:tcPr>
          <w:p w14:paraId="73097D86">
            <w:pPr>
              <w:spacing w:line="300" w:lineRule="exact"/>
              <w:jc w:val="center"/>
              <w:rPr>
                <w:rFonts w:hint="eastAsia" w:ascii="Times New Roman" w:hAnsi="Times New Roman" w:eastAsia="华文中宋" w:cs="Times New Roman"/>
                <w:szCs w:val="21"/>
                <w:lang w:val="en-US" w:eastAsia="zh-CN"/>
              </w:rPr>
            </w:pPr>
          </w:p>
        </w:tc>
        <w:tc>
          <w:tcPr>
            <w:tcW w:w="1635" w:type="dxa"/>
            <w:tcBorders>
              <w:top w:val="single" w:color="auto" w:sz="6" w:space="0"/>
              <w:left w:val="single" w:color="auto" w:sz="6" w:space="0"/>
              <w:bottom w:val="single" w:color="auto" w:sz="6" w:space="0"/>
              <w:right w:val="single" w:color="auto" w:sz="6" w:space="0"/>
            </w:tcBorders>
            <w:noWrap w:val="0"/>
            <w:vAlign w:val="center"/>
          </w:tcPr>
          <w:p w14:paraId="50A423C9">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稳定性</w:t>
            </w:r>
          </w:p>
        </w:tc>
        <w:tc>
          <w:tcPr>
            <w:tcW w:w="2515" w:type="dxa"/>
            <w:tcBorders>
              <w:top w:val="single" w:color="auto" w:sz="6" w:space="0"/>
              <w:left w:val="single" w:color="auto" w:sz="6" w:space="0"/>
              <w:bottom w:val="single" w:color="auto" w:sz="6" w:space="0"/>
              <w:right w:val="single" w:color="auto" w:sz="6" w:space="0"/>
            </w:tcBorders>
            <w:noWrap w:val="0"/>
            <w:vAlign w:val="center"/>
          </w:tcPr>
          <w:p w14:paraId="4E6EC883">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无地质灾害隐患</w:t>
            </w:r>
          </w:p>
        </w:tc>
        <w:tc>
          <w:tcPr>
            <w:tcW w:w="2500" w:type="dxa"/>
            <w:tcBorders>
              <w:top w:val="single" w:color="auto" w:sz="6" w:space="0"/>
              <w:left w:val="single" w:color="auto" w:sz="6" w:space="0"/>
              <w:bottom w:val="single" w:color="auto" w:sz="6" w:space="0"/>
            </w:tcBorders>
            <w:noWrap w:val="0"/>
            <w:vAlign w:val="center"/>
          </w:tcPr>
          <w:p w14:paraId="7F90138D">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无地质灾害隐患</w:t>
            </w:r>
          </w:p>
        </w:tc>
      </w:tr>
      <w:tr w14:paraId="061252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exact"/>
          <w:jc w:val="center"/>
        </w:trPr>
        <w:tc>
          <w:tcPr>
            <w:tcW w:w="658" w:type="dxa"/>
            <w:vMerge w:val="continue"/>
            <w:tcBorders>
              <w:right w:val="single" w:color="auto" w:sz="6" w:space="0"/>
            </w:tcBorders>
            <w:noWrap w:val="0"/>
            <w:vAlign w:val="center"/>
          </w:tcPr>
          <w:p w14:paraId="17E1F1CD">
            <w:pPr>
              <w:spacing w:line="300" w:lineRule="exact"/>
              <w:jc w:val="center"/>
              <w:rPr>
                <w:rFonts w:hint="eastAsia" w:ascii="Times New Roman" w:hAnsi="Times New Roman" w:eastAsia="华文中宋" w:cs="Times New Roman"/>
                <w:szCs w:val="21"/>
                <w:lang w:val="en-US" w:eastAsia="zh-CN"/>
              </w:rPr>
            </w:pPr>
          </w:p>
        </w:tc>
        <w:tc>
          <w:tcPr>
            <w:tcW w:w="1183" w:type="dxa"/>
            <w:vMerge w:val="continue"/>
            <w:tcBorders>
              <w:left w:val="single" w:color="auto" w:sz="6" w:space="0"/>
              <w:right w:val="single" w:color="auto" w:sz="6" w:space="0"/>
            </w:tcBorders>
            <w:noWrap w:val="0"/>
            <w:vAlign w:val="center"/>
          </w:tcPr>
          <w:p w14:paraId="10CB732E">
            <w:pPr>
              <w:spacing w:line="300" w:lineRule="exact"/>
              <w:jc w:val="center"/>
              <w:rPr>
                <w:rFonts w:hint="eastAsia" w:ascii="Times New Roman" w:hAnsi="Times New Roman" w:eastAsia="华文中宋" w:cs="Times New Roman"/>
                <w:szCs w:val="21"/>
                <w:lang w:val="en-US" w:eastAsia="zh-CN"/>
              </w:rPr>
            </w:pPr>
          </w:p>
        </w:tc>
        <w:tc>
          <w:tcPr>
            <w:tcW w:w="1635" w:type="dxa"/>
            <w:tcBorders>
              <w:top w:val="single" w:color="auto" w:sz="6" w:space="0"/>
              <w:left w:val="single" w:color="auto" w:sz="6" w:space="0"/>
              <w:bottom w:val="single" w:color="auto" w:sz="6" w:space="0"/>
              <w:right w:val="single" w:color="auto" w:sz="6" w:space="0"/>
            </w:tcBorders>
            <w:noWrap w:val="0"/>
            <w:vAlign w:val="center"/>
          </w:tcPr>
          <w:p w14:paraId="43B36295">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有效土层厚度</w:t>
            </w:r>
          </w:p>
        </w:tc>
        <w:tc>
          <w:tcPr>
            <w:tcW w:w="2515" w:type="dxa"/>
            <w:tcBorders>
              <w:top w:val="single" w:color="auto" w:sz="6" w:space="0"/>
              <w:left w:val="single" w:color="auto" w:sz="6" w:space="0"/>
              <w:bottom w:val="single" w:color="auto" w:sz="6" w:space="0"/>
              <w:right w:val="single" w:color="auto" w:sz="6" w:space="0"/>
            </w:tcBorders>
            <w:noWrap w:val="0"/>
            <w:vAlign w:val="center"/>
          </w:tcPr>
          <w:p w14:paraId="32919A37">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平均厚度30cm</w:t>
            </w:r>
          </w:p>
        </w:tc>
        <w:tc>
          <w:tcPr>
            <w:tcW w:w="2500" w:type="dxa"/>
            <w:tcBorders>
              <w:top w:val="single" w:color="auto" w:sz="6" w:space="0"/>
              <w:left w:val="single" w:color="auto" w:sz="6" w:space="0"/>
              <w:bottom w:val="single" w:color="auto" w:sz="6" w:space="0"/>
            </w:tcBorders>
            <w:noWrap w:val="0"/>
            <w:vAlign w:val="center"/>
          </w:tcPr>
          <w:p w14:paraId="0DBC715D">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覆土厚度30cm</w:t>
            </w:r>
          </w:p>
        </w:tc>
      </w:tr>
      <w:tr w14:paraId="208ACE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exact"/>
          <w:jc w:val="center"/>
        </w:trPr>
        <w:tc>
          <w:tcPr>
            <w:tcW w:w="658" w:type="dxa"/>
            <w:vMerge w:val="continue"/>
            <w:tcBorders>
              <w:right w:val="single" w:color="auto" w:sz="6" w:space="0"/>
            </w:tcBorders>
            <w:noWrap w:val="0"/>
            <w:vAlign w:val="center"/>
          </w:tcPr>
          <w:p w14:paraId="74B5D885">
            <w:pPr>
              <w:spacing w:line="300" w:lineRule="exact"/>
              <w:jc w:val="center"/>
              <w:rPr>
                <w:rFonts w:hint="eastAsia" w:ascii="Times New Roman" w:hAnsi="Times New Roman" w:eastAsia="华文中宋" w:cs="Times New Roman"/>
                <w:szCs w:val="21"/>
                <w:lang w:val="en-US" w:eastAsia="zh-CN"/>
              </w:rPr>
            </w:pPr>
          </w:p>
        </w:tc>
        <w:tc>
          <w:tcPr>
            <w:tcW w:w="1183" w:type="dxa"/>
            <w:vMerge w:val="continue"/>
            <w:tcBorders>
              <w:left w:val="single" w:color="auto" w:sz="6" w:space="0"/>
              <w:right w:val="single" w:color="auto" w:sz="6" w:space="0"/>
            </w:tcBorders>
            <w:noWrap w:val="0"/>
            <w:vAlign w:val="center"/>
          </w:tcPr>
          <w:p w14:paraId="51F01F1F">
            <w:pPr>
              <w:spacing w:line="300" w:lineRule="exact"/>
              <w:jc w:val="center"/>
              <w:rPr>
                <w:rFonts w:hint="eastAsia" w:ascii="Times New Roman" w:hAnsi="Times New Roman" w:eastAsia="华文中宋" w:cs="Times New Roman"/>
                <w:szCs w:val="21"/>
                <w:lang w:val="en-US" w:eastAsia="zh-CN"/>
              </w:rPr>
            </w:pPr>
          </w:p>
        </w:tc>
        <w:tc>
          <w:tcPr>
            <w:tcW w:w="1635" w:type="dxa"/>
            <w:tcBorders>
              <w:top w:val="single" w:color="auto" w:sz="6" w:space="0"/>
              <w:left w:val="single" w:color="auto" w:sz="6" w:space="0"/>
              <w:bottom w:val="single" w:color="auto" w:sz="6" w:space="0"/>
              <w:right w:val="single" w:color="auto" w:sz="6" w:space="0"/>
            </w:tcBorders>
            <w:noWrap w:val="0"/>
            <w:vAlign w:val="center"/>
          </w:tcPr>
          <w:p w14:paraId="7C3E7961">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土壤容重</w:t>
            </w:r>
          </w:p>
        </w:tc>
        <w:tc>
          <w:tcPr>
            <w:tcW w:w="2515" w:type="dxa"/>
            <w:tcBorders>
              <w:top w:val="single" w:color="auto" w:sz="6" w:space="0"/>
              <w:left w:val="single" w:color="auto" w:sz="6" w:space="0"/>
              <w:bottom w:val="single" w:color="auto" w:sz="6" w:space="0"/>
              <w:right w:val="single" w:color="auto" w:sz="6" w:space="0"/>
            </w:tcBorders>
            <w:noWrap w:val="0"/>
            <w:vAlign w:val="center"/>
          </w:tcPr>
          <w:p w14:paraId="4B197470">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土壤容重1.4-1.51g/cm</w:t>
            </w:r>
            <w:r>
              <w:rPr>
                <w:rFonts w:hint="eastAsia" w:ascii="Times New Roman" w:hAnsi="Times New Roman" w:eastAsia="华文中宋" w:cs="Times New Roman"/>
                <w:szCs w:val="21"/>
                <w:vertAlign w:val="superscript"/>
                <w:lang w:val="en-US" w:eastAsia="zh-CN"/>
              </w:rPr>
              <w:t>3</w:t>
            </w:r>
          </w:p>
        </w:tc>
        <w:tc>
          <w:tcPr>
            <w:tcW w:w="2500" w:type="dxa"/>
            <w:tcBorders>
              <w:top w:val="single" w:color="auto" w:sz="6" w:space="0"/>
              <w:left w:val="single" w:color="auto" w:sz="6" w:space="0"/>
              <w:bottom w:val="single" w:color="auto" w:sz="6" w:space="0"/>
            </w:tcBorders>
            <w:noWrap w:val="0"/>
            <w:vAlign w:val="center"/>
          </w:tcPr>
          <w:p w14:paraId="426E5A04">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土壤容重1.4-1.51g/cm</w:t>
            </w:r>
            <w:r>
              <w:rPr>
                <w:rFonts w:hint="eastAsia" w:ascii="Times New Roman" w:hAnsi="Times New Roman" w:eastAsia="华文中宋" w:cs="Times New Roman"/>
                <w:szCs w:val="21"/>
                <w:vertAlign w:val="superscript"/>
                <w:lang w:val="en-US" w:eastAsia="zh-CN"/>
              </w:rPr>
              <w:t>3</w:t>
            </w:r>
          </w:p>
        </w:tc>
      </w:tr>
      <w:tr w14:paraId="1B502E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exact"/>
          <w:jc w:val="center"/>
        </w:trPr>
        <w:tc>
          <w:tcPr>
            <w:tcW w:w="658" w:type="dxa"/>
            <w:vMerge w:val="continue"/>
            <w:tcBorders>
              <w:right w:val="single" w:color="auto" w:sz="6" w:space="0"/>
            </w:tcBorders>
            <w:noWrap w:val="0"/>
            <w:vAlign w:val="center"/>
          </w:tcPr>
          <w:p w14:paraId="31645AC1">
            <w:pPr>
              <w:spacing w:line="300" w:lineRule="exact"/>
              <w:jc w:val="center"/>
              <w:rPr>
                <w:rFonts w:hint="eastAsia" w:ascii="Times New Roman" w:hAnsi="Times New Roman" w:eastAsia="华文中宋" w:cs="Times New Roman"/>
                <w:szCs w:val="21"/>
                <w:lang w:val="en-US" w:eastAsia="zh-CN"/>
              </w:rPr>
            </w:pPr>
          </w:p>
        </w:tc>
        <w:tc>
          <w:tcPr>
            <w:tcW w:w="1183" w:type="dxa"/>
            <w:vMerge w:val="continue"/>
            <w:tcBorders>
              <w:left w:val="single" w:color="auto" w:sz="6" w:space="0"/>
              <w:right w:val="single" w:color="auto" w:sz="6" w:space="0"/>
            </w:tcBorders>
            <w:noWrap w:val="0"/>
            <w:vAlign w:val="center"/>
          </w:tcPr>
          <w:p w14:paraId="7155C16A">
            <w:pPr>
              <w:spacing w:line="300" w:lineRule="exact"/>
              <w:jc w:val="center"/>
              <w:rPr>
                <w:rFonts w:hint="eastAsia" w:ascii="Times New Roman" w:hAnsi="Times New Roman" w:eastAsia="华文中宋" w:cs="Times New Roman"/>
                <w:szCs w:val="21"/>
                <w:lang w:val="en-US" w:eastAsia="zh-CN"/>
              </w:rPr>
            </w:pPr>
          </w:p>
        </w:tc>
        <w:tc>
          <w:tcPr>
            <w:tcW w:w="1635" w:type="dxa"/>
            <w:tcBorders>
              <w:top w:val="single" w:color="auto" w:sz="6" w:space="0"/>
              <w:left w:val="single" w:color="auto" w:sz="6" w:space="0"/>
              <w:bottom w:val="single" w:color="auto" w:sz="6" w:space="0"/>
              <w:right w:val="single" w:color="auto" w:sz="6" w:space="0"/>
            </w:tcBorders>
            <w:noWrap w:val="0"/>
            <w:vAlign w:val="center"/>
          </w:tcPr>
          <w:p w14:paraId="359E6D28">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土壤质地</w:t>
            </w:r>
          </w:p>
        </w:tc>
        <w:tc>
          <w:tcPr>
            <w:tcW w:w="2515" w:type="dxa"/>
            <w:tcBorders>
              <w:top w:val="single" w:color="auto" w:sz="6" w:space="0"/>
              <w:left w:val="single" w:color="auto" w:sz="6" w:space="0"/>
              <w:bottom w:val="single" w:color="auto" w:sz="6" w:space="0"/>
              <w:right w:val="single" w:color="auto" w:sz="6" w:space="0"/>
            </w:tcBorders>
            <w:noWrap w:val="0"/>
            <w:vAlign w:val="center"/>
          </w:tcPr>
          <w:p w14:paraId="48AC1C53">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砂砾质</w:t>
            </w:r>
          </w:p>
        </w:tc>
        <w:tc>
          <w:tcPr>
            <w:tcW w:w="2500" w:type="dxa"/>
            <w:tcBorders>
              <w:top w:val="single" w:color="auto" w:sz="6" w:space="0"/>
              <w:left w:val="single" w:color="auto" w:sz="6" w:space="0"/>
              <w:bottom w:val="single" w:color="auto" w:sz="6" w:space="0"/>
            </w:tcBorders>
            <w:noWrap w:val="0"/>
            <w:vAlign w:val="center"/>
          </w:tcPr>
          <w:p w14:paraId="0473D797">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砂砾质</w:t>
            </w:r>
          </w:p>
        </w:tc>
      </w:tr>
      <w:tr w14:paraId="1C28F4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exact"/>
          <w:jc w:val="center"/>
        </w:trPr>
        <w:tc>
          <w:tcPr>
            <w:tcW w:w="658" w:type="dxa"/>
            <w:vMerge w:val="continue"/>
            <w:tcBorders>
              <w:bottom w:val="single" w:color="auto" w:sz="6" w:space="0"/>
              <w:right w:val="single" w:color="auto" w:sz="6" w:space="0"/>
            </w:tcBorders>
            <w:noWrap w:val="0"/>
            <w:vAlign w:val="center"/>
          </w:tcPr>
          <w:p w14:paraId="67EEBAC2">
            <w:pPr>
              <w:spacing w:line="300" w:lineRule="exact"/>
              <w:jc w:val="center"/>
              <w:rPr>
                <w:rFonts w:hint="eastAsia" w:ascii="Times New Roman" w:hAnsi="Times New Roman" w:eastAsia="华文中宋" w:cs="Times New Roman"/>
                <w:szCs w:val="21"/>
                <w:lang w:val="en-US" w:eastAsia="zh-CN"/>
              </w:rPr>
            </w:pPr>
          </w:p>
        </w:tc>
        <w:tc>
          <w:tcPr>
            <w:tcW w:w="1183" w:type="dxa"/>
            <w:vMerge w:val="continue"/>
            <w:tcBorders>
              <w:left w:val="single" w:color="auto" w:sz="6" w:space="0"/>
              <w:bottom w:val="single" w:color="auto" w:sz="6" w:space="0"/>
              <w:right w:val="single" w:color="auto" w:sz="6" w:space="0"/>
            </w:tcBorders>
            <w:noWrap w:val="0"/>
            <w:vAlign w:val="center"/>
          </w:tcPr>
          <w:p w14:paraId="5A24C82A">
            <w:pPr>
              <w:spacing w:line="300" w:lineRule="exact"/>
              <w:jc w:val="center"/>
              <w:rPr>
                <w:rFonts w:hint="eastAsia" w:ascii="Times New Roman" w:hAnsi="Times New Roman" w:eastAsia="华文中宋" w:cs="Times New Roman"/>
                <w:szCs w:val="21"/>
                <w:lang w:val="en-US" w:eastAsia="zh-CN"/>
              </w:rPr>
            </w:pPr>
          </w:p>
        </w:tc>
        <w:tc>
          <w:tcPr>
            <w:tcW w:w="1635" w:type="dxa"/>
            <w:tcBorders>
              <w:top w:val="single" w:color="auto" w:sz="6" w:space="0"/>
              <w:left w:val="single" w:color="auto" w:sz="6" w:space="0"/>
              <w:bottom w:val="single" w:color="auto" w:sz="6" w:space="0"/>
              <w:right w:val="single" w:color="auto" w:sz="6" w:space="0"/>
            </w:tcBorders>
            <w:noWrap w:val="0"/>
            <w:vAlign w:val="center"/>
          </w:tcPr>
          <w:p w14:paraId="2CEC783B">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植被覆盖度</w:t>
            </w:r>
          </w:p>
        </w:tc>
        <w:tc>
          <w:tcPr>
            <w:tcW w:w="2515" w:type="dxa"/>
            <w:tcBorders>
              <w:top w:val="single" w:color="auto" w:sz="6" w:space="0"/>
              <w:left w:val="single" w:color="auto" w:sz="6" w:space="0"/>
              <w:bottom w:val="single" w:color="auto" w:sz="6" w:space="0"/>
              <w:right w:val="single" w:color="auto" w:sz="6" w:space="0"/>
            </w:tcBorders>
            <w:noWrap w:val="0"/>
            <w:vAlign w:val="center"/>
          </w:tcPr>
          <w:p w14:paraId="3CB60677">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&lt;20%</w:t>
            </w:r>
          </w:p>
        </w:tc>
        <w:tc>
          <w:tcPr>
            <w:tcW w:w="2500" w:type="dxa"/>
            <w:tcBorders>
              <w:top w:val="single" w:color="auto" w:sz="6" w:space="0"/>
              <w:left w:val="single" w:color="auto" w:sz="6" w:space="0"/>
              <w:bottom w:val="single" w:color="auto" w:sz="6" w:space="0"/>
            </w:tcBorders>
            <w:noWrap w:val="0"/>
            <w:vAlign w:val="center"/>
          </w:tcPr>
          <w:p w14:paraId="4647C30F">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20%</w:t>
            </w:r>
          </w:p>
        </w:tc>
      </w:tr>
      <w:tr w14:paraId="31D4FB5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658" w:type="dxa"/>
            <w:vMerge w:val="restart"/>
            <w:tcBorders>
              <w:top w:val="single" w:color="auto" w:sz="6" w:space="0"/>
              <w:right w:val="single" w:color="auto" w:sz="6" w:space="0"/>
            </w:tcBorders>
            <w:noWrap w:val="0"/>
            <w:vAlign w:val="center"/>
          </w:tcPr>
          <w:p w14:paraId="576F276D">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6</w:t>
            </w:r>
          </w:p>
        </w:tc>
        <w:tc>
          <w:tcPr>
            <w:tcW w:w="1183" w:type="dxa"/>
            <w:vMerge w:val="restart"/>
            <w:tcBorders>
              <w:top w:val="single" w:color="auto" w:sz="6" w:space="0"/>
              <w:left w:val="single" w:color="auto" w:sz="6" w:space="0"/>
              <w:right w:val="single" w:color="auto" w:sz="6" w:space="0"/>
            </w:tcBorders>
            <w:noWrap w:val="0"/>
            <w:vAlign w:val="center"/>
          </w:tcPr>
          <w:p w14:paraId="2944A70C">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矿山道路</w:t>
            </w:r>
          </w:p>
        </w:tc>
        <w:tc>
          <w:tcPr>
            <w:tcW w:w="1635" w:type="dxa"/>
            <w:tcBorders>
              <w:top w:val="single" w:color="auto" w:sz="6" w:space="0"/>
              <w:left w:val="single" w:color="auto" w:sz="6" w:space="0"/>
              <w:bottom w:val="single" w:color="auto" w:sz="6" w:space="0"/>
              <w:right w:val="single" w:color="auto" w:sz="6" w:space="0"/>
            </w:tcBorders>
            <w:noWrap w:val="0"/>
            <w:vAlign w:val="center"/>
          </w:tcPr>
          <w:p w14:paraId="6D4034D3">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土地类型/复垦方向</w:t>
            </w:r>
          </w:p>
        </w:tc>
        <w:tc>
          <w:tcPr>
            <w:tcW w:w="2515" w:type="dxa"/>
            <w:tcBorders>
              <w:top w:val="single" w:color="auto" w:sz="6" w:space="0"/>
              <w:left w:val="single" w:color="auto" w:sz="6" w:space="0"/>
              <w:bottom w:val="single" w:color="auto" w:sz="6" w:space="0"/>
              <w:right w:val="single" w:color="auto" w:sz="6" w:space="0"/>
            </w:tcBorders>
            <w:noWrap w:val="0"/>
            <w:vAlign w:val="center"/>
          </w:tcPr>
          <w:p w14:paraId="4EB4B3A5">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天然牧草地</w:t>
            </w:r>
          </w:p>
        </w:tc>
        <w:tc>
          <w:tcPr>
            <w:tcW w:w="2500" w:type="dxa"/>
            <w:tcBorders>
              <w:top w:val="single" w:color="auto" w:sz="6" w:space="0"/>
              <w:left w:val="single" w:color="auto" w:sz="6" w:space="0"/>
              <w:bottom w:val="single" w:color="auto" w:sz="6" w:space="0"/>
            </w:tcBorders>
            <w:noWrap w:val="0"/>
            <w:vAlign w:val="center"/>
          </w:tcPr>
          <w:p w14:paraId="3C4E2217">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天然牧草地</w:t>
            </w:r>
          </w:p>
        </w:tc>
      </w:tr>
      <w:tr w14:paraId="35320D5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exact"/>
          <w:jc w:val="center"/>
        </w:trPr>
        <w:tc>
          <w:tcPr>
            <w:tcW w:w="658" w:type="dxa"/>
            <w:vMerge w:val="continue"/>
            <w:tcBorders>
              <w:right w:val="single" w:color="auto" w:sz="6" w:space="0"/>
            </w:tcBorders>
            <w:noWrap w:val="0"/>
            <w:vAlign w:val="center"/>
          </w:tcPr>
          <w:p w14:paraId="55D9D136">
            <w:pPr>
              <w:spacing w:line="300" w:lineRule="exact"/>
              <w:jc w:val="center"/>
              <w:rPr>
                <w:rFonts w:hint="eastAsia" w:ascii="Times New Roman" w:hAnsi="Times New Roman" w:eastAsia="华文中宋" w:cs="Times New Roman"/>
                <w:szCs w:val="21"/>
                <w:lang w:val="en-US" w:eastAsia="zh-CN"/>
              </w:rPr>
            </w:pPr>
          </w:p>
        </w:tc>
        <w:tc>
          <w:tcPr>
            <w:tcW w:w="1183" w:type="dxa"/>
            <w:vMerge w:val="continue"/>
            <w:tcBorders>
              <w:left w:val="single" w:color="auto" w:sz="6" w:space="0"/>
              <w:right w:val="single" w:color="auto" w:sz="6" w:space="0"/>
            </w:tcBorders>
            <w:noWrap w:val="0"/>
            <w:vAlign w:val="center"/>
          </w:tcPr>
          <w:p w14:paraId="3558A643">
            <w:pPr>
              <w:spacing w:line="300" w:lineRule="exact"/>
              <w:jc w:val="center"/>
              <w:rPr>
                <w:rFonts w:hint="eastAsia" w:ascii="Times New Roman" w:hAnsi="Times New Roman" w:eastAsia="华文中宋" w:cs="Times New Roman"/>
                <w:szCs w:val="21"/>
                <w:lang w:val="en-US" w:eastAsia="zh-CN"/>
              </w:rPr>
            </w:pPr>
          </w:p>
        </w:tc>
        <w:tc>
          <w:tcPr>
            <w:tcW w:w="1635" w:type="dxa"/>
            <w:tcBorders>
              <w:top w:val="single" w:color="auto" w:sz="6" w:space="0"/>
              <w:left w:val="single" w:color="auto" w:sz="6" w:space="0"/>
              <w:bottom w:val="single" w:color="auto" w:sz="6" w:space="0"/>
              <w:right w:val="single" w:color="auto" w:sz="6" w:space="0"/>
            </w:tcBorders>
            <w:noWrap w:val="0"/>
            <w:vAlign w:val="center"/>
          </w:tcPr>
          <w:p w14:paraId="0F2AC500">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地形坡度</w:t>
            </w:r>
          </w:p>
        </w:tc>
        <w:tc>
          <w:tcPr>
            <w:tcW w:w="2515" w:type="dxa"/>
            <w:tcBorders>
              <w:top w:val="single" w:color="auto" w:sz="6" w:space="0"/>
              <w:left w:val="single" w:color="auto" w:sz="6" w:space="0"/>
              <w:bottom w:val="single" w:color="auto" w:sz="6" w:space="0"/>
              <w:right w:val="single" w:color="auto" w:sz="6" w:space="0"/>
            </w:tcBorders>
            <w:noWrap w:val="0"/>
            <w:vAlign w:val="center"/>
          </w:tcPr>
          <w:p w14:paraId="2AE640EA">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3-10°</w:t>
            </w:r>
          </w:p>
        </w:tc>
        <w:tc>
          <w:tcPr>
            <w:tcW w:w="2500" w:type="dxa"/>
            <w:tcBorders>
              <w:top w:val="single" w:color="auto" w:sz="6" w:space="0"/>
              <w:left w:val="single" w:color="auto" w:sz="6" w:space="0"/>
              <w:bottom w:val="single" w:color="auto" w:sz="6" w:space="0"/>
            </w:tcBorders>
            <w:noWrap w:val="0"/>
            <w:vAlign w:val="center"/>
          </w:tcPr>
          <w:p w14:paraId="5E982918">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3-10°</w:t>
            </w:r>
          </w:p>
        </w:tc>
      </w:tr>
      <w:tr w14:paraId="6DA59FB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exact"/>
          <w:jc w:val="center"/>
        </w:trPr>
        <w:tc>
          <w:tcPr>
            <w:tcW w:w="658" w:type="dxa"/>
            <w:vMerge w:val="continue"/>
            <w:tcBorders>
              <w:right w:val="single" w:color="auto" w:sz="6" w:space="0"/>
            </w:tcBorders>
            <w:noWrap w:val="0"/>
            <w:vAlign w:val="center"/>
          </w:tcPr>
          <w:p w14:paraId="768F1C26">
            <w:pPr>
              <w:spacing w:line="300" w:lineRule="exact"/>
              <w:jc w:val="center"/>
              <w:rPr>
                <w:rFonts w:hint="eastAsia" w:ascii="Times New Roman" w:hAnsi="Times New Roman" w:eastAsia="华文中宋" w:cs="Times New Roman"/>
                <w:szCs w:val="21"/>
                <w:lang w:val="en-US" w:eastAsia="zh-CN"/>
              </w:rPr>
            </w:pPr>
          </w:p>
        </w:tc>
        <w:tc>
          <w:tcPr>
            <w:tcW w:w="1183" w:type="dxa"/>
            <w:vMerge w:val="continue"/>
            <w:tcBorders>
              <w:left w:val="single" w:color="auto" w:sz="6" w:space="0"/>
              <w:right w:val="single" w:color="auto" w:sz="6" w:space="0"/>
            </w:tcBorders>
            <w:noWrap w:val="0"/>
            <w:vAlign w:val="center"/>
          </w:tcPr>
          <w:p w14:paraId="4D2E0024">
            <w:pPr>
              <w:spacing w:line="300" w:lineRule="exact"/>
              <w:jc w:val="center"/>
              <w:rPr>
                <w:rFonts w:hint="eastAsia" w:ascii="Times New Roman" w:hAnsi="Times New Roman" w:eastAsia="华文中宋" w:cs="Times New Roman"/>
                <w:szCs w:val="21"/>
                <w:lang w:val="en-US" w:eastAsia="zh-CN"/>
              </w:rPr>
            </w:pPr>
          </w:p>
        </w:tc>
        <w:tc>
          <w:tcPr>
            <w:tcW w:w="1635" w:type="dxa"/>
            <w:tcBorders>
              <w:top w:val="single" w:color="auto" w:sz="6" w:space="0"/>
              <w:left w:val="single" w:color="auto" w:sz="6" w:space="0"/>
              <w:bottom w:val="single" w:color="auto" w:sz="6" w:space="0"/>
              <w:right w:val="single" w:color="auto" w:sz="6" w:space="0"/>
            </w:tcBorders>
            <w:noWrap w:val="0"/>
            <w:vAlign w:val="center"/>
          </w:tcPr>
          <w:p w14:paraId="616F006C">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稳定性</w:t>
            </w:r>
          </w:p>
        </w:tc>
        <w:tc>
          <w:tcPr>
            <w:tcW w:w="2515" w:type="dxa"/>
            <w:tcBorders>
              <w:top w:val="single" w:color="auto" w:sz="6" w:space="0"/>
              <w:left w:val="single" w:color="auto" w:sz="6" w:space="0"/>
              <w:bottom w:val="single" w:color="auto" w:sz="6" w:space="0"/>
              <w:right w:val="single" w:color="auto" w:sz="6" w:space="0"/>
            </w:tcBorders>
            <w:noWrap w:val="0"/>
            <w:vAlign w:val="center"/>
          </w:tcPr>
          <w:p w14:paraId="05CA08DD">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无地质灾害隐患</w:t>
            </w:r>
          </w:p>
        </w:tc>
        <w:tc>
          <w:tcPr>
            <w:tcW w:w="2500" w:type="dxa"/>
            <w:tcBorders>
              <w:top w:val="single" w:color="auto" w:sz="6" w:space="0"/>
              <w:left w:val="single" w:color="auto" w:sz="6" w:space="0"/>
              <w:bottom w:val="single" w:color="auto" w:sz="6" w:space="0"/>
            </w:tcBorders>
            <w:noWrap w:val="0"/>
            <w:vAlign w:val="center"/>
          </w:tcPr>
          <w:p w14:paraId="4B52D0E7">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无地质灾害隐患</w:t>
            </w:r>
          </w:p>
        </w:tc>
      </w:tr>
      <w:tr w14:paraId="254C293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exact"/>
          <w:jc w:val="center"/>
        </w:trPr>
        <w:tc>
          <w:tcPr>
            <w:tcW w:w="658" w:type="dxa"/>
            <w:vMerge w:val="continue"/>
            <w:tcBorders>
              <w:right w:val="single" w:color="auto" w:sz="6" w:space="0"/>
            </w:tcBorders>
            <w:noWrap w:val="0"/>
            <w:vAlign w:val="center"/>
          </w:tcPr>
          <w:p w14:paraId="36EC3F84">
            <w:pPr>
              <w:spacing w:line="300" w:lineRule="exact"/>
              <w:jc w:val="center"/>
              <w:rPr>
                <w:rFonts w:hint="eastAsia" w:ascii="Times New Roman" w:hAnsi="Times New Roman" w:eastAsia="华文中宋" w:cs="Times New Roman"/>
                <w:szCs w:val="21"/>
                <w:lang w:val="en-US" w:eastAsia="zh-CN"/>
              </w:rPr>
            </w:pPr>
          </w:p>
        </w:tc>
        <w:tc>
          <w:tcPr>
            <w:tcW w:w="1183" w:type="dxa"/>
            <w:vMerge w:val="continue"/>
            <w:tcBorders>
              <w:left w:val="single" w:color="auto" w:sz="6" w:space="0"/>
              <w:right w:val="single" w:color="auto" w:sz="6" w:space="0"/>
            </w:tcBorders>
            <w:noWrap w:val="0"/>
            <w:vAlign w:val="center"/>
          </w:tcPr>
          <w:p w14:paraId="4DEE87BC">
            <w:pPr>
              <w:spacing w:line="300" w:lineRule="exact"/>
              <w:jc w:val="center"/>
              <w:rPr>
                <w:rFonts w:hint="eastAsia" w:ascii="Times New Roman" w:hAnsi="Times New Roman" w:eastAsia="华文中宋" w:cs="Times New Roman"/>
                <w:szCs w:val="21"/>
                <w:lang w:val="en-US" w:eastAsia="zh-CN"/>
              </w:rPr>
            </w:pPr>
          </w:p>
        </w:tc>
        <w:tc>
          <w:tcPr>
            <w:tcW w:w="1635" w:type="dxa"/>
            <w:tcBorders>
              <w:top w:val="single" w:color="auto" w:sz="6" w:space="0"/>
              <w:left w:val="single" w:color="auto" w:sz="6" w:space="0"/>
              <w:bottom w:val="single" w:color="auto" w:sz="6" w:space="0"/>
              <w:right w:val="single" w:color="auto" w:sz="6" w:space="0"/>
            </w:tcBorders>
            <w:noWrap w:val="0"/>
            <w:vAlign w:val="center"/>
          </w:tcPr>
          <w:p w14:paraId="43B9D37D">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有效土层厚度</w:t>
            </w:r>
          </w:p>
        </w:tc>
        <w:tc>
          <w:tcPr>
            <w:tcW w:w="2515" w:type="dxa"/>
            <w:tcBorders>
              <w:top w:val="single" w:color="auto" w:sz="6" w:space="0"/>
              <w:left w:val="single" w:color="auto" w:sz="6" w:space="0"/>
              <w:bottom w:val="single" w:color="auto" w:sz="6" w:space="0"/>
              <w:right w:val="single" w:color="auto" w:sz="6" w:space="0"/>
            </w:tcBorders>
            <w:noWrap w:val="0"/>
            <w:vAlign w:val="center"/>
          </w:tcPr>
          <w:p w14:paraId="63AC4A7D">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平均厚度30cm</w:t>
            </w:r>
          </w:p>
        </w:tc>
        <w:tc>
          <w:tcPr>
            <w:tcW w:w="2500" w:type="dxa"/>
            <w:tcBorders>
              <w:top w:val="single" w:color="auto" w:sz="6" w:space="0"/>
              <w:left w:val="single" w:color="auto" w:sz="6" w:space="0"/>
              <w:bottom w:val="single" w:color="auto" w:sz="6" w:space="0"/>
            </w:tcBorders>
            <w:noWrap w:val="0"/>
            <w:vAlign w:val="center"/>
          </w:tcPr>
          <w:p w14:paraId="049ACFEF">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覆土厚度30cm</w:t>
            </w:r>
          </w:p>
        </w:tc>
      </w:tr>
      <w:tr w14:paraId="5DF7AD2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exact"/>
          <w:jc w:val="center"/>
        </w:trPr>
        <w:tc>
          <w:tcPr>
            <w:tcW w:w="658" w:type="dxa"/>
            <w:vMerge w:val="continue"/>
            <w:tcBorders>
              <w:right w:val="single" w:color="auto" w:sz="6" w:space="0"/>
            </w:tcBorders>
            <w:noWrap w:val="0"/>
            <w:vAlign w:val="center"/>
          </w:tcPr>
          <w:p w14:paraId="4F59664C">
            <w:pPr>
              <w:spacing w:line="300" w:lineRule="exact"/>
              <w:jc w:val="center"/>
              <w:rPr>
                <w:rFonts w:hint="eastAsia" w:ascii="Times New Roman" w:hAnsi="Times New Roman" w:eastAsia="华文中宋" w:cs="Times New Roman"/>
                <w:szCs w:val="21"/>
                <w:lang w:val="en-US" w:eastAsia="zh-CN"/>
              </w:rPr>
            </w:pPr>
          </w:p>
        </w:tc>
        <w:tc>
          <w:tcPr>
            <w:tcW w:w="1183" w:type="dxa"/>
            <w:vMerge w:val="continue"/>
            <w:tcBorders>
              <w:left w:val="single" w:color="auto" w:sz="6" w:space="0"/>
              <w:right w:val="single" w:color="auto" w:sz="6" w:space="0"/>
            </w:tcBorders>
            <w:noWrap w:val="0"/>
            <w:vAlign w:val="center"/>
          </w:tcPr>
          <w:p w14:paraId="631A69A4">
            <w:pPr>
              <w:spacing w:line="300" w:lineRule="exact"/>
              <w:jc w:val="center"/>
              <w:rPr>
                <w:rFonts w:hint="eastAsia" w:ascii="Times New Roman" w:hAnsi="Times New Roman" w:eastAsia="华文中宋" w:cs="Times New Roman"/>
                <w:szCs w:val="21"/>
                <w:lang w:val="en-US" w:eastAsia="zh-CN"/>
              </w:rPr>
            </w:pPr>
          </w:p>
        </w:tc>
        <w:tc>
          <w:tcPr>
            <w:tcW w:w="1635" w:type="dxa"/>
            <w:tcBorders>
              <w:top w:val="single" w:color="auto" w:sz="6" w:space="0"/>
              <w:left w:val="single" w:color="auto" w:sz="6" w:space="0"/>
              <w:bottom w:val="single" w:color="auto" w:sz="6" w:space="0"/>
              <w:right w:val="single" w:color="auto" w:sz="6" w:space="0"/>
            </w:tcBorders>
            <w:noWrap w:val="0"/>
            <w:vAlign w:val="center"/>
          </w:tcPr>
          <w:p w14:paraId="52185DEB">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土壤容重</w:t>
            </w:r>
          </w:p>
        </w:tc>
        <w:tc>
          <w:tcPr>
            <w:tcW w:w="2515" w:type="dxa"/>
            <w:tcBorders>
              <w:top w:val="single" w:color="auto" w:sz="6" w:space="0"/>
              <w:left w:val="single" w:color="auto" w:sz="6" w:space="0"/>
              <w:bottom w:val="single" w:color="auto" w:sz="6" w:space="0"/>
              <w:right w:val="single" w:color="auto" w:sz="6" w:space="0"/>
            </w:tcBorders>
            <w:noWrap w:val="0"/>
            <w:vAlign w:val="center"/>
          </w:tcPr>
          <w:p w14:paraId="53D062BA">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土壤容重1.4-1.51g/cm</w:t>
            </w:r>
            <w:r>
              <w:rPr>
                <w:rFonts w:hint="eastAsia" w:ascii="Times New Roman" w:hAnsi="Times New Roman" w:eastAsia="华文中宋" w:cs="Times New Roman"/>
                <w:szCs w:val="21"/>
                <w:vertAlign w:val="superscript"/>
                <w:lang w:val="en-US" w:eastAsia="zh-CN"/>
              </w:rPr>
              <w:t>3</w:t>
            </w:r>
          </w:p>
        </w:tc>
        <w:tc>
          <w:tcPr>
            <w:tcW w:w="2500" w:type="dxa"/>
            <w:tcBorders>
              <w:top w:val="single" w:color="auto" w:sz="6" w:space="0"/>
              <w:left w:val="single" w:color="auto" w:sz="6" w:space="0"/>
              <w:bottom w:val="single" w:color="auto" w:sz="6" w:space="0"/>
            </w:tcBorders>
            <w:noWrap w:val="0"/>
            <w:vAlign w:val="center"/>
          </w:tcPr>
          <w:p w14:paraId="0CFC264B">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土壤容重1.4-1.51g/cm</w:t>
            </w:r>
            <w:r>
              <w:rPr>
                <w:rFonts w:hint="eastAsia" w:ascii="Times New Roman" w:hAnsi="Times New Roman" w:eastAsia="华文中宋" w:cs="Times New Roman"/>
                <w:szCs w:val="21"/>
                <w:vertAlign w:val="superscript"/>
                <w:lang w:val="en-US" w:eastAsia="zh-CN"/>
              </w:rPr>
              <w:t>3</w:t>
            </w:r>
          </w:p>
        </w:tc>
      </w:tr>
      <w:tr w14:paraId="61E275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exact"/>
          <w:jc w:val="center"/>
        </w:trPr>
        <w:tc>
          <w:tcPr>
            <w:tcW w:w="658" w:type="dxa"/>
            <w:vMerge w:val="continue"/>
            <w:tcBorders>
              <w:right w:val="single" w:color="auto" w:sz="6" w:space="0"/>
            </w:tcBorders>
            <w:noWrap w:val="0"/>
            <w:vAlign w:val="center"/>
          </w:tcPr>
          <w:p w14:paraId="39CA70C3">
            <w:pPr>
              <w:spacing w:line="300" w:lineRule="exact"/>
              <w:jc w:val="center"/>
              <w:rPr>
                <w:rFonts w:hint="eastAsia" w:ascii="Times New Roman" w:hAnsi="Times New Roman" w:eastAsia="华文中宋" w:cs="Times New Roman"/>
                <w:szCs w:val="21"/>
                <w:lang w:val="en-US" w:eastAsia="zh-CN"/>
              </w:rPr>
            </w:pPr>
          </w:p>
        </w:tc>
        <w:tc>
          <w:tcPr>
            <w:tcW w:w="1183" w:type="dxa"/>
            <w:vMerge w:val="continue"/>
            <w:tcBorders>
              <w:left w:val="single" w:color="auto" w:sz="6" w:space="0"/>
              <w:right w:val="single" w:color="auto" w:sz="6" w:space="0"/>
            </w:tcBorders>
            <w:noWrap w:val="0"/>
            <w:vAlign w:val="center"/>
          </w:tcPr>
          <w:p w14:paraId="6A614079">
            <w:pPr>
              <w:spacing w:line="300" w:lineRule="exact"/>
              <w:jc w:val="center"/>
              <w:rPr>
                <w:rFonts w:hint="eastAsia" w:ascii="Times New Roman" w:hAnsi="Times New Roman" w:eastAsia="华文中宋" w:cs="Times New Roman"/>
                <w:szCs w:val="21"/>
                <w:lang w:val="en-US" w:eastAsia="zh-CN"/>
              </w:rPr>
            </w:pPr>
          </w:p>
        </w:tc>
        <w:tc>
          <w:tcPr>
            <w:tcW w:w="1635" w:type="dxa"/>
            <w:tcBorders>
              <w:top w:val="single" w:color="auto" w:sz="6" w:space="0"/>
              <w:left w:val="single" w:color="auto" w:sz="6" w:space="0"/>
              <w:bottom w:val="single" w:color="auto" w:sz="6" w:space="0"/>
              <w:right w:val="single" w:color="auto" w:sz="6" w:space="0"/>
            </w:tcBorders>
            <w:noWrap w:val="0"/>
            <w:vAlign w:val="center"/>
          </w:tcPr>
          <w:p w14:paraId="4DCC14CD">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土壤质地</w:t>
            </w:r>
          </w:p>
        </w:tc>
        <w:tc>
          <w:tcPr>
            <w:tcW w:w="2515" w:type="dxa"/>
            <w:tcBorders>
              <w:top w:val="single" w:color="auto" w:sz="6" w:space="0"/>
              <w:left w:val="single" w:color="auto" w:sz="6" w:space="0"/>
              <w:bottom w:val="single" w:color="auto" w:sz="6" w:space="0"/>
              <w:right w:val="single" w:color="auto" w:sz="6" w:space="0"/>
            </w:tcBorders>
            <w:noWrap w:val="0"/>
            <w:vAlign w:val="center"/>
          </w:tcPr>
          <w:p w14:paraId="1560EEAE">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砂砾质</w:t>
            </w:r>
          </w:p>
        </w:tc>
        <w:tc>
          <w:tcPr>
            <w:tcW w:w="2500" w:type="dxa"/>
            <w:tcBorders>
              <w:top w:val="single" w:color="auto" w:sz="6" w:space="0"/>
              <w:left w:val="single" w:color="auto" w:sz="6" w:space="0"/>
              <w:bottom w:val="single" w:color="auto" w:sz="6" w:space="0"/>
            </w:tcBorders>
            <w:noWrap w:val="0"/>
            <w:vAlign w:val="center"/>
          </w:tcPr>
          <w:p w14:paraId="3BEAD737">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砂砾质</w:t>
            </w:r>
          </w:p>
        </w:tc>
      </w:tr>
      <w:tr w14:paraId="4BBB269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exact"/>
          <w:jc w:val="center"/>
        </w:trPr>
        <w:tc>
          <w:tcPr>
            <w:tcW w:w="658" w:type="dxa"/>
            <w:vMerge w:val="continue"/>
            <w:tcBorders>
              <w:right w:val="single" w:color="auto" w:sz="6" w:space="0"/>
            </w:tcBorders>
            <w:noWrap w:val="0"/>
            <w:vAlign w:val="center"/>
          </w:tcPr>
          <w:p w14:paraId="53541FDF">
            <w:pPr>
              <w:spacing w:line="300" w:lineRule="exact"/>
              <w:jc w:val="center"/>
              <w:rPr>
                <w:rFonts w:hint="eastAsia" w:ascii="Times New Roman" w:hAnsi="Times New Roman" w:eastAsia="华文中宋" w:cs="Times New Roman"/>
                <w:szCs w:val="21"/>
                <w:lang w:val="en-US" w:eastAsia="zh-CN"/>
              </w:rPr>
            </w:pPr>
          </w:p>
        </w:tc>
        <w:tc>
          <w:tcPr>
            <w:tcW w:w="1183" w:type="dxa"/>
            <w:vMerge w:val="continue"/>
            <w:tcBorders>
              <w:left w:val="single" w:color="auto" w:sz="6" w:space="0"/>
              <w:right w:val="single" w:color="auto" w:sz="6" w:space="0"/>
            </w:tcBorders>
            <w:noWrap w:val="0"/>
            <w:vAlign w:val="center"/>
          </w:tcPr>
          <w:p w14:paraId="079045AB">
            <w:pPr>
              <w:spacing w:line="300" w:lineRule="exact"/>
              <w:jc w:val="center"/>
              <w:rPr>
                <w:rFonts w:hint="eastAsia" w:ascii="Times New Roman" w:hAnsi="Times New Roman" w:eastAsia="华文中宋" w:cs="Times New Roman"/>
                <w:szCs w:val="21"/>
                <w:lang w:val="en-US" w:eastAsia="zh-CN"/>
              </w:rPr>
            </w:pPr>
          </w:p>
        </w:tc>
        <w:tc>
          <w:tcPr>
            <w:tcW w:w="1635" w:type="dxa"/>
            <w:tcBorders>
              <w:top w:val="single" w:color="auto" w:sz="6" w:space="0"/>
              <w:left w:val="single" w:color="auto" w:sz="6" w:space="0"/>
              <w:right w:val="single" w:color="auto" w:sz="6" w:space="0"/>
            </w:tcBorders>
            <w:noWrap w:val="0"/>
            <w:vAlign w:val="center"/>
          </w:tcPr>
          <w:p w14:paraId="291BBBE1">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植被覆盖度</w:t>
            </w:r>
          </w:p>
        </w:tc>
        <w:tc>
          <w:tcPr>
            <w:tcW w:w="2515" w:type="dxa"/>
            <w:tcBorders>
              <w:top w:val="single" w:color="auto" w:sz="6" w:space="0"/>
              <w:left w:val="single" w:color="auto" w:sz="6" w:space="0"/>
              <w:right w:val="single" w:color="auto" w:sz="6" w:space="0"/>
            </w:tcBorders>
            <w:noWrap w:val="0"/>
            <w:vAlign w:val="center"/>
          </w:tcPr>
          <w:p w14:paraId="2BF4CA06">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&lt;20%</w:t>
            </w:r>
          </w:p>
        </w:tc>
        <w:tc>
          <w:tcPr>
            <w:tcW w:w="2500" w:type="dxa"/>
            <w:tcBorders>
              <w:top w:val="single" w:color="auto" w:sz="6" w:space="0"/>
              <w:left w:val="single" w:color="auto" w:sz="6" w:space="0"/>
            </w:tcBorders>
            <w:noWrap w:val="0"/>
            <w:vAlign w:val="center"/>
          </w:tcPr>
          <w:p w14:paraId="567EEDAC">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20%</w:t>
            </w:r>
          </w:p>
        </w:tc>
      </w:tr>
    </w:tbl>
    <w:p w14:paraId="15EC044A">
      <w:pPr>
        <w:pStyle w:val="4"/>
        <w:spacing w:before="120" w:after="120" w:line="500" w:lineRule="exact"/>
        <w:rPr>
          <w:rFonts w:hint="eastAsia" w:ascii="Times New Roman" w:hAnsi="Times New Roman" w:eastAsia="华文中宋" w:cs="Times New Roman"/>
          <w:kern w:val="0"/>
          <w:sz w:val="24"/>
          <w:szCs w:val="24"/>
          <w:lang w:val="en-US" w:eastAsia="zh-CN"/>
        </w:rPr>
      </w:pPr>
      <w:bookmarkStart w:id="268" w:name="_Toc16879"/>
      <w:bookmarkStart w:id="269" w:name="_Toc23465"/>
      <w:bookmarkStart w:id="270" w:name="_Toc5257"/>
      <w:bookmarkStart w:id="271" w:name="_Toc7443"/>
      <w:r>
        <w:rPr>
          <w:rFonts w:hint="eastAsia" w:ascii="Times New Roman" w:hAnsi="Times New Roman" w:eastAsia="华文中宋" w:cs="Times New Roman"/>
          <w:kern w:val="0"/>
          <w:sz w:val="24"/>
          <w:szCs w:val="24"/>
          <w:lang w:val="en-US" w:eastAsia="zh-CN"/>
        </w:rPr>
        <w:t>6.4.2土地复垦工程</w:t>
      </w:r>
      <w:bookmarkEnd w:id="268"/>
      <w:bookmarkEnd w:id="269"/>
      <w:bookmarkEnd w:id="270"/>
      <w:bookmarkEnd w:id="271"/>
    </w:p>
    <w:p w14:paraId="76848E98">
      <w:pPr>
        <w:adjustRightInd w:val="0"/>
        <w:snapToGrid w:val="0"/>
        <w:spacing w:line="500" w:lineRule="exact"/>
        <w:jc w:val="left"/>
        <w:rPr>
          <w:rFonts w:hint="eastAsia" w:ascii="Times New Roman" w:hAnsi="Times New Roman" w:eastAsia="华文中宋" w:cs="Times New Roman"/>
          <w:b/>
          <w:bCs/>
          <w:sz w:val="24"/>
          <w:lang w:val="en-US" w:eastAsia="zh-CN"/>
        </w:rPr>
      </w:pPr>
      <w:bookmarkStart w:id="272" w:name="_Toc18239"/>
      <w:r>
        <w:rPr>
          <w:rFonts w:hint="eastAsia" w:ascii="Times New Roman" w:hAnsi="Times New Roman" w:eastAsia="华文中宋" w:cs="Times New Roman"/>
          <w:b/>
          <w:bCs/>
          <w:sz w:val="24"/>
          <w:lang w:val="en-US" w:eastAsia="zh-CN"/>
        </w:rPr>
        <w:t>6.4.2.1土地复垦预防措施</w:t>
      </w:r>
      <w:bookmarkEnd w:id="272"/>
    </w:p>
    <w:p w14:paraId="099CF626">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矿山各矿建设施压占、挖损损毁土地。矿山在未来运行过程中，严格按照矿山设计开采矿石，不得随意任意扩大开采范围和开采深度。主要预防措施如下：</w:t>
      </w:r>
    </w:p>
    <w:p w14:paraId="62B81DA7">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1.尽量合理布置矿区内各矿建设施的布局，减少压占土地面积，最大限度地减少工程建设对土地的损毁。</w:t>
      </w:r>
    </w:p>
    <w:p w14:paraId="644FDE19">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2.合理堆放表土，防止因乱堆乱放增加损毁面积，对于表土堆放场应加强边坡维护，确保边坡的稳定，防止变形产生不稳定边坡和水土流失。</w:t>
      </w:r>
    </w:p>
    <w:p w14:paraId="7145DB3E">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3.生产期间生产活动控制在现有设施占地范围内，并应尽量减少临时占地。</w:t>
      </w:r>
    </w:p>
    <w:p w14:paraId="157A5045">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4.严禁因图便利开路现象，在生产过程中对产生病害的道路尽快修复，防止因交通问题增加损毁土地。</w:t>
      </w:r>
    </w:p>
    <w:p w14:paraId="59270777">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5.矿山开采应严格按方案设计作业，最大限度减少土地损毁面积。</w:t>
      </w:r>
    </w:p>
    <w:p w14:paraId="43756623">
      <w:pPr>
        <w:adjustRightInd w:val="0"/>
        <w:snapToGrid w:val="0"/>
        <w:spacing w:line="500" w:lineRule="exact"/>
        <w:jc w:val="left"/>
        <w:rPr>
          <w:rFonts w:hint="eastAsia" w:ascii="Times New Roman" w:hAnsi="Times New Roman" w:eastAsia="华文中宋" w:cs="Times New Roman"/>
          <w:b/>
          <w:bCs/>
          <w:sz w:val="24"/>
          <w:lang w:val="en-US" w:eastAsia="zh-CN"/>
        </w:rPr>
      </w:pPr>
      <w:bookmarkStart w:id="273" w:name="_Toc32185"/>
      <w:r>
        <w:rPr>
          <w:rFonts w:hint="eastAsia" w:ascii="Times New Roman" w:hAnsi="Times New Roman" w:eastAsia="华文中宋" w:cs="Times New Roman"/>
          <w:b/>
          <w:bCs/>
          <w:sz w:val="24"/>
          <w:lang w:val="en-US" w:eastAsia="zh-CN"/>
        </w:rPr>
        <w:t>6.4.2.2矿区土地复垦</w:t>
      </w:r>
      <w:bookmarkEnd w:id="273"/>
    </w:p>
    <w:p w14:paraId="0EF2C740">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根据本矿山开采对土地的损毁主要为对土地的压占和挖损，矿山开采对地下水含水层结构及水资源量影响较轻、对土地无污染、对矿区所在地区地层无影响。因此确定土地复垦的目标为尽量确保土地复垦方向与土地利用总体规划保持一致、保持原有土地利用方向，与周边土地利用类型和景观相适应。</w:t>
      </w:r>
    </w:p>
    <w:p w14:paraId="07C83E06">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本方案复垦区面积20.31公顷，通过本次复垦，将复垦责任范围压占和挖损的20.31公顷土地进行复垦，复垦方向为天然牧草地，土地复垦率为100%。从而保护生态环境，合理利用土地，实现土地资源的可持续利用，促进经济和环境和谐发展。</w:t>
      </w:r>
    </w:p>
    <w:p w14:paraId="33FF2821">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本方案土地复垦前后土地利用结构调整情况见表6.4-2。</w:t>
      </w:r>
    </w:p>
    <w:p w14:paraId="3EE9DEA6">
      <w:pPr>
        <w:keepNext w:val="0"/>
        <w:keepLines w:val="0"/>
        <w:pageBreakBefore w:val="0"/>
        <w:widowControl/>
        <w:tabs>
          <w:tab w:val="left" w:pos="3680"/>
        </w:tabs>
        <w:kinsoku/>
        <w:wordWrap/>
        <w:overflowPunct/>
        <w:topLinePunct w:val="0"/>
        <w:autoSpaceDE/>
        <w:autoSpaceDN/>
        <w:bidi w:val="0"/>
        <w:adjustRightInd/>
        <w:snapToGrid/>
        <w:spacing w:before="157" w:beforeLines="50" w:line="0" w:lineRule="atLeast"/>
        <w:jc w:val="center"/>
        <w:textAlignment w:val="auto"/>
        <w:rPr>
          <w:rFonts w:hint="eastAsia" w:ascii="宋体" w:hAnsi="宋体" w:cs="宋体"/>
          <w:b/>
          <w:color w:val="000000"/>
          <w:sz w:val="21"/>
          <w:szCs w:val="21"/>
        </w:rPr>
      </w:pPr>
      <w:r>
        <w:rPr>
          <w:rFonts w:hint="eastAsia" w:ascii="宋体" w:hAnsi="宋体" w:cs="宋体"/>
          <w:b/>
          <w:color w:val="000000"/>
          <w:sz w:val="21"/>
          <w:szCs w:val="21"/>
        </w:rPr>
        <w:t>表</w:t>
      </w:r>
      <w:r>
        <w:rPr>
          <w:rFonts w:hint="eastAsia" w:ascii="宋体" w:hAnsi="宋体" w:cs="宋体"/>
          <w:b/>
          <w:color w:val="000000"/>
          <w:sz w:val="21"/>
          <w:szCs w:val="21"/>
          <w:lang w:val="en-US" w:eastAsia="zh-CN"/>
        </w:rPr>
        <w:t>6.4-2  复垦区</w:t>
      </w:r>
      <w:r>
        <w:rPr>
          <w:rFonts w:hint="eastAsia" w:ascii="宋体" w:hAnsi="宋体" w:cs="宋体"/>
          <w:b/>
          <w:color w:val="000000"/>
          <w:sz w:val="21"/>
          <w:szCs w:val="21"/>
        </w:rPr>
        <w:t>复垦前后土地利用结构调整表</w:t>
      </w:r>
    </w:p>
    <w:tbl>
      <w:tblPr>
        <w:tblStyle w:val="19"/>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1323"/>
        <w:gridCol w:w="983"/>
        <w:gridCol w:w="1659"/>
        <w:gridCol w:w="1380"/>
        <w:gridCol w:w="1095"/>
        <w:gridCol w:w="1094"/>
      </w:tblGrid>
      <w:tr w14:paraId="76FF7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368" w:type="dxa"/>
            <w:gridSpan w:val="2"/>
            <w:noWrap w:val="0"/>
            <w:vAlign w:val="center"/>
          </w:tcPr>
          <w:p w14:paraId="2E85F3F5">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一级地类</w:t>
            </w:r>
          </w:p>
        </w:tc>
        <w:tc>
          <w:tcPr>
            <w:tcW w:w="2642" w:type="dxa"/>
            <w:gridSpan w:val="2"/>
            <w:noWrap w:val="0"/>
            <w:vAlign w:val="center"/>
          </w:tcPr>
          <w:p w14:paraId="430241BE">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二级地类</w:t>
            </w:r>
          </w:p>
        </w:tc>
        <w:tc>
          <w:tcPr>
            <w:tcW w:w="1380" w:type="dxa"/>
            <w:vMerge w:val="restart"/>
            <w:noWrap w:val="0"/>
            <w:vAlign w:val="center"/>
          </w:tcPr>
          <w:p w14:paraId="50DB95F6">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复垦前</w:t>
            </w:r>
          </w:p>
          <w:p w14:paraId="700EE0A3">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（公顷）</w:t>
            </w:r>
          </w:p>
        </w:tc>
        <w:tc>
          <w:tcPr>
            <w:tcW w:w="1095" w:type="dxa"/>
            <w:vMerge w:val="restart"/>
            <w:noWrap w:val="0"/>
            <w:vAlign w:val="center"/>
          </w:tcPr>
          <w:p w14:paraId="0A588EAB">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复垦后</w:t>
            </w:r>
          </w:p>
          <w:p w14:paraId="69C41C83">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（公顷）</w:t>
            </w:r>
          </w:p>
        </w:tc>
        <w:tc>
          <w:tcPr>
            <w:tcW w:w="1094" w:type="dxa"/>
            <w:vMerge w:val="restart"/>
            <w:noWrap w:val="0"/>
            <w:vAlign w:val="center"/>
          </w:tcPr>
          <w:p w14:paraId="461AACC8">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变幅</w:t>
            </w:r>
          </w:p>
          <w:p w14:paraId="6631B296">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（公顷）</w:t>
            </w:r>
          </w:p>
        </w:tc>
      </w:tr>
      <w:tr w14:paraId="3F7A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045" w:type="dxa"/>
            <w:noWrap w:val="0"/>
            <w:vAlign w:val="center"/>
          </w:tcPr>
          <w:p w14:paraId="275E5E7C">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编码</w:t>
            </w:r>
          </w:p>
        </w:tc>
        <w:tc>
          <w:tcPr>
            <w:tcW w:w="1323" w:type="dxa"/>
            <w:noWrap w:val="0"/>
            <w:vAlign w:val="center"/>
          </w:tcPr>
          <w:p w14:paraId="313560B9">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名称</w:t>
            </w:r>
          </w:p>
        </w:tc>
        <w:tc>
          <w:tcPr>
            <w:tcW w:w="983" w:type="dxa"/>
            <w:noWrap w:val="0"/>
            <w:vAlign w:val="center"/>
          </w:tcPr>
          <w:p w14:paraId="1D8A68A8">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编码</w:t>
            </w:r>
          </w:p>
        </w:tc>
        <w:tc>
          <w:tcPr>
            <w:tcW w:w="1659" w:type="dxa"/>
            <w:noWrap w:val="0"/>
            <w:vAlign w:val="center"/>
          </w:tcPr>
          <w:p w14:paraId="3708FCA7">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名称</w:t>
            </w:r>
          </w:p>
        </w:tc>
        <w:tc>
          <w:tcPr>
            <w:tcW w:w="1380" w:type="dxa"/>
            <w:vMerge w:val="continue"/>
            <w:noWrap w:val="0"/>
            <w:vAlign w:val="center"/>
          </w:tcPr>
          <w:p w14:paraId="5C42C9AE">
            <w:pPr>
              <w:spacing w:line="300" w:lineRule="exact"/>
              <w:jc w:val="center"/>
              <w:rPr>
                <w:rFonts w:hint="eastAsia" w:ascii="Times New Roman" w:hAnsi="Times New Roman" w:eastAsia="华文中宋" w:cs="Times New Roman"/>
                <w:szCs w:val="21"/>
                <w:lang w:val="en-US" w:eastAsia="zh-CN"/>
              </w:rPr>
            </w:pPr>
          </w:p>
        </w:tc>
        <w:tc>
          <w:tcPr>
            <w:tcW w:w="1095" w:type="dxa"/>
            <w:vMerge w:val="continue"/>
            <w:noWrap w:val="0"/>
            <w:vAlign w:val="center"/>
          </w:tcPr>
          <w:p w14:paraId="15C75AC1">
            <w:pPr>
              <w:spacing w:line="300" w:lineRule="exact"/>
              <w:jc w:val="center"/>
              <w:rPr>
                <w:rFonts w:hint="eastAsia" w:ascii="Times New Roman" w:hAnsi="Times New Roman" w:eastAsia="华文中宋" w:cs="Times New Roman"/>
                <w:szCs w:val="21"/>
                <w:lang w:val="en-US" w:eastAsia="zh-CN"/>
              </w:rPr>
            </w:pPr>
          </w:p>
        </w:tc>
        <w:tc>
          <w:tcPr>
            <w:tcW w:w="1094" w:type="dxa"/>
            <w:vMerge w:val="continue"/>
            <w:noWrap w:val="0"/>
            <w:vAlign w:val="center"/>
          </w:tcPr>
          <w:p w14:paraId="236B20F9">
            <w:pPr>
              <w:spacing w:line="300" w:lineRule="exact"/>
              <w:jc w:val="center"/>
              <w:rPr>
                <w:rFonts w:hint="eastAsia" w:ascii="Times New Roman" w:hAnsi="Times New Roman" w:eastAsia="华文中宋" w:cs="Times New Roman"/>
                <w:szCs w:val="21"/>
                <w:lang w:val="en-US" w:eastAsia="zh-CN"/>
              </w:rPr>
            </w:pPr>
          </w:p>
        </w:tc>
      </w:tr>
      <w:tr w14:paraId="3B133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45" w:type="dxa"/>
            <w:noWrap w:val="0"/>
            <w:vAlign w:val="center"/>
          </w:tcPr>
          <w:p w14:paraId="5857B44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04</w:t>
            </w:r>
          </w:p>
        </w:tc>
        <w:tc>
          <w:tcPr>
            <w:tcW w:w="1323" w:type="dxa"/>
            <w:noWrap w:val="0"/>
            <w:vAlign w:val="center"/>
          </w:tcPr>
          <w:p w14:paraId="12C07160">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草地</w:t>
            </w:r>
          </w:p>
        </w:tc>
        <w:tc>
          <w:tcPr>
            <w:tcW w:w="983" w:type="dxa"/>
            <w:noWrap w:val="0"/>
            <w:vAlign w:val="center"/>
          </w:tcPr>
          <w:p w14:paraId="0AC101B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0401</w:t>
            </w:r>
          </w:p>
        </w:tc>
        <w:tc>
          <w:tcPr>
            <w:tcW w:w="1659" w:type="dxa"/>
            <w:noWrap w:val="0"/>
            <w:vAlign w:val="center"/>
          </w:tcPr>
          <w:p w14:paraId="4CFD92A1">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天然牧草地</w:t>
            </w:r>
          </w:p>
        </w:tc>
        <w:tc>
          <w:tcPr>
            <w:tcW w:w="1380" w:type="dxa"/>
            <w:noWrap w:val="0"/>
            <w:vAlign w:val="center"/>
          </w:tcPr>
          <w:p w14:paraId="4B6994B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20.31</w:t>
            </w:r>
          </w:p>
        </w:tc>
        <w:tc>
          <w:tcPr>
            <w:tcW w:w="1095" w:type="dxa"/>
            <w:noWrap w:val="0"/>
            <w:vAlign w:val="center"/>
          </w:tcPr>
          <w:p w14:paraId="4B849D20">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20.31</w:t>
            </w:r>
          </w:p>
        </w:tc>
        <w:tc>
          <w:tcPr>
            <w:tcW w:w="1094" w:type="dxa"/>
            <w:noWrap w:val="0"/>
            <w:vAlign w:val="center"/>
          </w:tcPr>
          <w:p w14:paraId="0262B3C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w:t>
            </w:r>
          </w:p>
        </w:tc>
      </w:tr>
    </w:tbl>
    <w:p w14:paraId="3029B4B3">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1.工程设计</w:t>
      </w:r>
    </w:p>
    <w:p w14:paraId="6DDB2C6D">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土地复垦工程的设计，要落实“边损毁，边治理”，尊重自然、顺应自然、保护自然，坚持节约优先、保护优先、自然恢复的理念。复垦目标的确定一定不能过高，主要受制于光、热、水等要素，要结合矿山实际，企业可操作的实际，因地制宜进行工程设计。</w:t>
      </w:r>
    </w:p>
    <w:p w14:paraId="19B5EC04">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根据方案设计，基建期首先对规划场地内表土进行剥离，剥离的表土堆放在规划表土堆放场内。矿山规划两处露天采矿场，开采过程中首采北露天采场产生的废石堆放在废石堆放场，北露天采场闭坑后开采南露天采场产生的废石直接回填至北露天采场。矿山闭坑后首先对露天采坑利用废石进行回填，对回填区及边坡台阶平台进行覆土，条播草籽；对废石堆顶部进行平整，对废石堆进行覆土并条播草籽；对矿石转运场地内建筑设施进行拆除，建筑垃圾清运至民丰县垃圾掩埋场处理，对场地进行覆土后条播草籽；对矿部生活区场地内建筑设施进行拆除，建筑垃圾清运至民丰县垃圾掩埋场处理，对场地进行覆土后条播草籽；对矿山道路路面平整后覆土并条播草籽；对表土堆放场地进行平整后条播草籽。</w:t>
      </w:r>
    </w:p>
    <w:p w14:paraId="1CF01D1E">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2.技术措施</w:t>
      </w:r>
    </w:p>
    <w:p w14:paraId="17793A04">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工程技术措施是指工程复垦中，按照所在地区自然环境条件和复垦土地利用方向要求，对受影响的土地采取各种工程手段，恢复受损土地的生态系统。本方案根据项目所在区域的自然生态环境特征和复垦目标，结合项目露天采场、废石堆放场、矿石转运场、矿部生活区、表土堆放场和矿山道路等施工场地，参照周边类似复垦项目生态重建技术的工作原理、复垦工艺、适用条件等，采取适用于本项目的复垦工程技术措施，主要有以下几种：</w:t>
      </w:r>
    </w:p>
    <w:p w14:paraId="5438000D">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（1）砌体拆除工程</w:t>
      </w:r>
    </w:p>
    <w:p w14:paraId="77223FA1">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因建筑垃圾回填露天采坑不符合《一般工业固体废物贮存和填埋污染控制标准》（GB18599-2020）对采空区回填固体废物的污染控制要求，建筑垃圾需统一清运至民丰县垃圾掩埋场进行处理。主要为建筑设施拆除清理，采用挖掘机拆除，拆除后将废弃物铲装至自卸汽车拉运。其中废弃物主要为混凝土、砖等建筑垃圾，不存在污染物。</w:t>
      </w:r>
    </w:p>
    <w:p w14:paraId="545EDD45">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（2）土地平整工程</w:t>
      </w:r>
    </w:p>
    <w:p w14:paraId="0F81B924">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对地表进行平整，其目的是通过机械进行平整，恢复与周围地形地貌相协调。土地平整是土地复垦工程建设的重要组成部分，是把损毁土地变为可利用地的重要的前期工程。土地平整之前要确定好平整后的标高及坡度等，平整方式主要为机械平整。</w:t>
      </w:r>
    </w:p>
    <w:p w14:paraId="0F740C21">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（3）回填工程</w:t>
      </w:r>
    </w:p>
    <w:p w14:paraId="5217F57A">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利用装载机或挖掘机铲装废渣石，自卸汽车拉运至露天采场进行回填，其目的是通过机械进行回填，达到与周边地形地貌相协调。回填工程是土地复垦工程的重要组成部分。</w:t>
      </w:r>
    </w:p>
    <w:p w14:paraId="0BA00D37">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（4）覆土工程</w:t>
      </w:r>
    </w:p>
    <w:p w14:paraId="0880BCA1">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各复垦单元复垦方向为天然牧草地，需对表层进行覆土，为植被生长提供必需的土壤基础，覆土土源为基建期剥离表层土。利用挖掘机挖装，自卸汽车拉运至复垦单元内覆土，覆土厚度30厘米。</w:t>
      </w:r>
    </w:p>
    <w:p w14:paraId="2213129E">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（5）复绿工程</w:t>
      </w:r>
    </w:p>
    <w:p w14:paraId="09ED5717">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本方案复绿工程根据复垦方向，确定为条播草籽，草籽类型选用原生植被</w:t>
      </w:r>
      <w:r>
        <w:rPr>
          <w:rFonts w:hint="eastAsia" w:ascii="Times New Roman" w:hAnsi="Times New Roman" w:eastAsia="华文中宋" w:cs="Times New Roman"/>
          <w:sz w:val="24"/>
          <w:lang w:val="zh-CN" w:eastAsia="zh-CN"/>
        </w:rPr>
        <w:t>细果苔草和委陵菜</w:t>
      </w:r>
      <w:r>
        <w:rPr>
          <w:rFonts w:hint="eastAsia" w:ascii="Times New Roman" w:hAnsi="Times New Roman" w:eastAsia="华文中宋" w:cs="Times New Roman"/>
          <w:sz w:val="24"/>
          <w:lang w:val="en-US" w:eastAsia="zh-CN"/>
        </w:rPr>
        <w:t>，按1:1比例进行混合，每公顷条播草籽量50千克，开沟深度10厘米，宽度10厘米，沟距20厘米，采用横纵网格状布置。管护期进行管护。</w:t>
      </w:r>
    </w:p>
    <w:p w14:paraId="03168EF7">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3.各复垦单元土地复垦工程设计</w:t>
      </w:r>
    </w:p>
    <w:p w14:paraId="0E2BFCCA">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（1）表土剥离工程</w:t>
      </w:r>
    </w:p>
    <w:p w14:paraId="70B66557">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近期开采期间对规划的设施场地内地表第四系进行剥离，用于闭坑后场地覆土。剥离采用挖掘机挖土，自卸汽车拉运，拉运至表土堆放场集中堆存。</w:t>
      </w:r>
    </w:p>
    <w:p w14:paraId="34F58066">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以上规划设施场地地表第四系表土剥离厚度0.3米，剥离表土总量58530立方米，平均运距400米。其中：露天采场剥离面积10.68公顷，剥离表土量32040立方米；废石堆放场剥离面积7.0公顷，剥离表土量21000立方米；矿石转运场剥离面积0.52公顷，剥离表土量1560立方米；矿部生活区剥离面积0.29公顷，剥离表土量870立方米；矿山道路剥离面积1.02公顷，剥离表土量3060立方米。</w:t>
      </w:r>
    </w:p>
    <w:p w14:paraId="3FE152F1">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（2）北露天采场土地复垦工程设计</w:t>
      </w:r>
    </w:p>
    <w:p w14:paraId="65E2D7F1">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北露天采场2028年2月闭坑，2028年3月～2030年2月南露天采场开采期间产生的废石直接回填至北露天采场。矿山闭坑后2030年3月～2030年5月利用废石场废石对北露天采场进行回填。2030年6月对回填区及以上边坡台阶平台进行覆土、条播草籽（见图5-3-1）。</w:t>
      </w:r>
    </w:p>
    <w:p w14:paraId="5D8F3B4B">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1）废石回填采坑</w:t>
      </w:r>
    </w:p>
    <w:p w14:paraId="45B1136C">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北露天采场最终境界为山坡-凹陷式露天采坑，为尽可能将露天采场恢复至与周边地形地貌相协调，本方案设计对采场境界内凹陷采坑利用废石进行回填。凹陷采坑闭合圈标高5120米，回填区面积4.84公顷，最大回填深度32米，经计算回填量约98.40万立方米。回填采用装载机铲装，自卸汽车拉运。其中2029年3月～2031年2月南露天采场开采期间产生的废石直接回填至北露天采场，回填量73.37万立方米，该回填工程属内排，纳入开采成本。矿山闭坑后2031年3月～2031年5月利用废石场废石对北露天采场进行回填，回填量25.03万立方米，运距500～1000米。</w:t>
      </w:r>
    </w:p>
    <w:p w14:paraId="64C9F90A">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2）覆土</w:t>
      </w:r>
    </w:p>
    <w:p w14:paraId="7CD65378">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对废石回填区表层及以上台阶平台利用表土堆放场土源进行覆土，覆土面积约6.50公顷，覆土厚度0.3米，覆土工程量19500立方米，平均运距400米。</w:t>
      </w:r>
    </w:p>
    <w:p w14:paraId="198F4568">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3）条播草籽</w:t>
      </w:r>
    </w:p>
    <w:p w14:paraId="14FC2646">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采矿场土地复垦方向为天然牧草地，覆土后人工进行条播草籽325千克，条播面积6.5公顷（每公顷条播草籽量50千克）。</w:t>
      </w:r>
    </w:p>
    <w:p w14:paraId="64617F17">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p>
    <w:p w14:paraId="3FDD7E34">
      <w:pPr>
        <w:widowControl/>
        <w:ind w:firstLine="480"/>
        <w:jc w:val="both"/>
        <w:rPr>
          <w:rFonts w:hint="eastAsia" w:ascii="宋体" w:hAnsi="宋体"/>
          <w:color w:val="000000"/>
          <w:kern w:val="0"/>
          <w:szCs w:val="22"/>
          <w:lang w:val="en-US" w:eastAsia="zh-CN" w:bidi="ar"/>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rtlGutter w:val="0"/>
          <w:docGrid w:linePitch="312" w:charSpace="0"/>
        </w:sectPr>
      </w:pPr>
    </w:p>
    <w:p w14:paraId="77BEEBFA">
      <w:pPr>
        <w:pStyle w:val="18"/>
        <w:ind w:left="0" w:leftChars="0" w:firstLine="0" w:firstLineChars="0"/>
        <w:rPr>
          <w:rFonts w:hint="eastAsia"/>
          <w:color w:val="000000"/>
          <w:lang w:val="en-US" w:eastAsia="zh-CN"/>
        </w:rPr>
      </w:pPr>
    </w:p>
    <w:p w14:paraId="24157C1B">
      <w:pPr>
        <w:keepNext w:val="0"/>
        <w:keepLines w:val="0"/>
        <w:pageBreakBefore w:val="0"/>
        <w:widowControl/>
        <w:tabs>
          <w:tab w:val="left" w:pos="3680"/>
        </w:tabs>
        <w:kinsoku/>
        <w:wordWrap/>
        <w:overflowPunct/>
        <w:topLinePunct w:val="0"/>
        <w:autoSpaceDE/>
        <w:autoSpaceDN/>
        <w:bidi w:val="0"/>
        <w:adjustRightInd/>
        <w:snapToGrid/>
        <w:spacing w:before="157" w:beforeLines="50" w:line="0" w:lineRule="atLeast"/>
        <w:jc w:val="center"/>
        <w:textAlignment w:val="auto"/>
        <w:rPr>
          <w:rFonts w:hint="default" w:ascii="宋体" w:hAnsi="宋体" w:cs="宋体"/>
          <w:b/>
          <w:color w:val="000000"/>
          <w:sz w:val="21"/>
          <w:szCs w:val="21"/>
          <w:lang w:val="en-US" w:eastAsia="zh-CN"/>
        </w:rPr>
      </w:pPr>
      <w:r>
        <w:rPr>
          <w:rFonts w:hint="eastAsia" w:ascii="宋体" w:hAnsi="宋体" w:cs="宋体"/>
          <w:b/>
          <w:color w:val="000000"/>
          <w:sz w:val="21"/>
          <w:szCs w:val="21"/>
          <w:lang w:val="en-US" w:eastAsia="zh-CN"/>
        </w:rPr>
        <w:t>图6.4-1  露天采场复垦设计图</w:t>
      </w:r>
    </w:p>
    <w:p w14:paraId="6A3E8F11">
      <w:pPr>
        <w:pStyle w:val="18"/>
        <w:rPr>
          <w:rFonts w:hint="eastAsia"/>
          <w:color w:val="000000"/>
          <w:lang w:val="en-US" w:eastAsia="zh-CN"/>
        </w:rPr>
      </w:pPr>
    </w:p>
    <w:p w14:paraId="31B0319F">
      <w:pPr>
        <w:pStyle w:val="15"/>
        <w:rPr>
          <w:rFonts w:hint="eastAsia"/>
          <w:color w:val="000000"/>
          <w:lang w:val="en-US" w:eastAsia="zh-CN"/>
        </w:rPr>
      </w:pPr>
    </w:p>
    <w:p w14:paraId="7EC8B005">
      <w:pPr>
        <w:rPr>
          <w:rFonts w:hint="eastAsia"/>
          <w:color w:val="000000"/>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rtlGutter w:val="0"/>
          <w:docGrid w:linePitch="312" w:charSpace="0"/>
        </w:sectPr>
      </w:pPr>
    </w:p>
    <w:p w14:paraId="776FA8BE">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（3）南露天采场土地复垦工程设计</w:t>
      </w:r>
    </w:p>
    <w:p w14:paraId="3226B5D7">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南露天采场2031年2月闭坑后2030年3月～2031年5月利用废石场废石对南露天采场进行回填。2031年6月对回填区及以上边坡台阶平台进行覆土、条播草籽（见图6.3-1）。</w:t>
      </w:r>
    </w:p>
    <w:p w14:paraId="471DE7CB">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1）废石回填采坑</w:t>
      </w:r>
    </w:p>
    <w:p w14:paraId="3333A7B5">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南露天采场最终境界为山坡-凹陷式露天采坑，为尽可能将露天采场恢复至与周边地形地貌相协调，本方案设计对采场境界内凹陷采坑利用废石进行回填。凹陷采坑闭合圈标高5112米，回填区面积2.06公顷，最大回填深度24米，经计算回填量约33.36万立方米。2030年3月～2030年5月利用废石场废石对南露天采场进行回填，运距400～500米。</w:t>
      </w:r>
    </w:p>
    <w:p w14:paraId="1601B265">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2）覆土</w:t>
      </w:r>
    </w:p>
    <w:p w14:paraId="7FE93068">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对废石回填区表层及以上台阶平台利用表土堆放场土源进行覆土，覆土面积约3.11公顷，覆土厚度0.3米，覆土工程量9330立方米，运距200～300米。</w:t>
      </w:r>
    </w:p>
    <w:p w14:paraId="2B0FD1F1">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3）条播草籽</w:t>
      </w:r>
    </w:p>
    <w:p w14:paraId="62A3B4BA">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采矿场土地复垦方向为天然牧草地，覆土后人工进行条播草籽156千克，条播面积3.11公顷（每公顷条播草籽量50千克）。</w:t>
      </w:r>
    </w:p>
    <w:p w14:paraId="093BA089">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（4）废石堆放场土地复垦工程设计</w:t>
      </w:r>
    </w:p>
    <w:p w14:paraId="3AC25653">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废石清运回填完成后2031年6月对废石场顶部进行平整，并对废石场顶部及边坡进行覆土、条播草籽。</w:t>
      </w:r>
    </w:p>
    <w:p w14:paraId="1C87B25D">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1）废石堆平整</w:t>
      </w:r>
    </w:p>
    <w:p w14:paraId="6C71B043">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废石场内废石由上到下分层挖装回填露天采坑后，剩余量28.92万立方米，剩余废石堆放面积7.0公顷，分层压实堆放、最大堆放高度5米，顶部标高5125米边坡坡度30°。</w:t>
      </w:r>
    </w:p>
    <w:p w14:paraId="1F3FF4EC">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对废石场顶部5125米平台进行平整。平整方式主要借助挖掘机、推土机进行削高填低，根据周边地形地貌特征，将土地平整后的地形起伏控制在3°以内。将平整场地划分成若干个小方格，采用方格网法计算，根据每个方格的填挖情况，平整厚度0.2米，平整面积约5.5公顷，预计平整土地的工程量约11000立方米。</w:t>
      </w:r>
    </w:p>
    <w:p w14:paraId="10BA2C41">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2）覆土</w:t>
      </w:r>
    </w:p>
    <w:p w14:paraId="69D1E3DA">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对废石堆顶部5135米水平及边坡利用表土堆放场土源进行覆土，覆土面积约7.5公顷，覆土厚度0.3米，覆土工程量22500立方米，运距500～600米。</w:t>
      </w:r>
    </w:p>
    <w:p w14:paraId="483C2755">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3）条播草籽</w:t>
      </w:r>
    </w:p>
    <w:p w14:paraId="00F8B96C">
      <w:pPr>
        <w:adjustRightInd w:val="0"/>
        <w:snapToGrid w:val="0"/>
        <w:spacing w:line="500" w:lineRule="exact"/>
        <w:ind w:firstLine="480" w:firstLineChars="200"/>
        <w:jc w:val="left"/>
        <w:rPr>
          <w:rFonts w:hint="eastAsia" w:ascii="宋体" w:hAnsi="宋体" w:eastAsia="宋体" w:cs="宋体"/>
          <w:b w:val="0"/>
          <w:bCs w:val="0"/>
          <w:color w:val="000000"/>
          <w:kern w:val="0"/>
          <w:sz w:val="24"/>
          <w:szCs w:val="22"/>
          <w:lang w:val="en-US" w:eastAsia="zh-CN" w:bidi="ar"/>
        </w:rPr>
      </w:pPr>
      <w:r>
        <w:rPr>
          <w:rFonts w:hint="eastAsia" w:ascii="Times New Roman" w:hAnsi="Times New Roman" w:eastAsia="华文中宋" w:cs="Times New Roman"/>
          <w:sz w:val="24"/>
          <w:lang w:val="en-US" w:eastAsia="zh-CN"/>
        </w:rPr>
        <w:t>废石场土地复垦方向为天然牧草地，覆土后人工进行条播草籽375千克，条播面积7.5公顷（每公顷条播草籽量50千克）。</w:t>
      </w:r>
    </w:p>
    <w:p w14:paraId="246DF6C8">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（5）矿石转运场土地复垦工程设计</w:t>
      </w:r>
    </w:p>
    <w:p w14:paraId="022ECE72">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矿山闭坑后2031年7月拆除矿石转运场内地面建筑物和设备，可利用材料和设备外运，建筑垃圾清运至民丰县垃圾掩埋场处理，清理完毕后对场地进行平整后覆土、条播草籽。</w:t>
      </w:r>
    </w:p>
    <w:p w14:paraId="18373155">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1）建筑物拆除</w:t>
      </w:r>
    </w:p>
    <w:p w14:paraId="16E7C006">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矿石转运场建筑物采用砖混结构，使用机械拆除，借助推土机和机械翻斗车清理。预计砖混建筑物单位清理工程量按0.5立方米/平方米，地表硬化区单位清理工程量按0.3立方米/平方米。筑物面积25平方米，地表硬化区面积50平方米，筑物拆除量为12.5立方米，硬化区拆除量为15立方米。</w:t>
      </w:r>
    </w:p>
    <w:p w14:paraId="355B3473">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2）建筑垃圾清运</w:t>
      </w:r>
    </w:p>
    <w:p w14:paraId="40C80283">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自卸汽车清运至民丰县垃圾掩埋场处理，清运回填量27.5立方米，运距276千米。</w:t>
      </w:r>
    </w:p>
    <w:p w14:paraId="7DD932B1">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3）覆土</w:t>
      </w:r>
    </w:p>
    <w:p w14:paraId="43474E6B">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场地覆土面积0.52公顷，覆土厚度0.3米，覆土工程量1560立方米，运距300～400米。</w:t>
      </w:r>
    </w:p>
    <w:p w14:paraId="21F97365">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4）条播草籽</w:t>
      </w:r>
    </w:p>
    <w:p w14:paraId="04DB3954">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矿石转运场土地复垦方向为天然牧草地，覆土后人工进行条播草籽26千克，条播面积0.52公顷（每公顷条播草籽量50千克）。</w:t>
      </w:r>
    </w:p>
    <w:p w14:paraId="1AC1BAD2">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（6）矿部生活区土地复垦工程设计</w:t>
      </w:r>
    </w:p>
    <w:p w14:paraId="235E6E6F">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矿山闭坑后2031年7月拆除矿部生活区内地面建筑物和设备，可利用材料和设备外运，建筑垃圾清运至民丰县垃圾掩埋场处理，清理完毕后对场地进行平整后覆土、条播草籽。</w:t>
      </w:r>
    </w:p>
    <w:p w14:paraId="017613AF">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1）建筑物拆除</w:t>
      </w:r>
    </w:p>
    <w:p w14:paraId="77E2DA3E">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矿部生活区建筑物采用砖混结构，使用机械拆除，借助推土机和机械翻斗车清理。预计砖混建筑物单位清理工程量按0.5立方米/平方米，地表硬化区单位清理工程量按0.3立方米/平方米。筑物面积595平方米，地表硬化区面积800平方米，筑物拆除量为297.5立方米，硬化区拆除量为240立方米。</w:t>
      </w:r>
    </w:p>
    <w:p w14:paraId="4E224E85">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2）建筑垃圾清运</w:t>
      </w:r>
    </w:p>
    <w:p w14:paraId="35D616EE">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自卸汽车清运至民丰县垃圾掩埋场处理，清运回填量27.5立方米，运距537.5千米。</w:t>
      </w:r>
    </w:p>
    <w:p w14:paraId="62DE27CE">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3）覆土</w:t>
      </w:r>
    </w:p>
    <w:p w14:paraId="33770547">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场地覆土面积0.29公顷，覆土厚度0.3米，覆土工程量870立方米，运距500～600米。</w:t>
      </w:r>
    </w:p>
    <w:p w14:paraId="4F5C3FA0">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4）条播草籽</w:t>
      </w:r>
    </w:p>
    <w:p w14:paraId="0D3C12DE">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矿部生活区土地复垦方向为天然牧草地，覆土后人工进行条播草籽26千克，条播面积0.29公顷（每公顷条播草籽量14.5千克）。</w:t>
      </w:r>
    </w:p>
    <w:p w14:paraId="3F3A5456">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（7）矿山道路土地复垦工程设计</w:t>
      </w:r>
    </w:p>
    <w:p w14:paraId="5E66BF55">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2031年8月对矿山道路进行土地复垦，对路面进行平整后覆土、条播草籽。</w:t>
      </w:r>
    </w:p>
    <w:p w14:paraId="45E8447D">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1）场地平整</w:t>
      </w:r>
    </w:p>
    <w:p w14:paraId="38A28B3A">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对场地进行平整，平整方式主要借助挖掘机、推土机进行削高填低，根据周边地形地貌特征，将土地平整后的地形起伏控制在5°以内。将平整场地划分成若干个小方格，采用方格网法计算，根据每个方格的填挖情况，平整厚度0.</w:t>
      </w:r>
      <w:r>
        <w:rPr>
          <w:rFonts w:hint="eastAsia" w:ascii="Times New Roman" w:hAnsi="Times New Roman" w:eastAsia="华文中宋" w:cs="Times New Roman"/>
          <w:sz w:val="24"/>
          <w:lang w:val="en-US" w:eastAsia="zh-CN"/>
        </w:rPr>
        <w:t>1</w:t>
      </w:r>
      <w:r>
        <w:rPr>
          <w:rFonts w:hint="default" w:ascii="Times New Roman" w:hAnsi="Times New Roman" w:eastAsia="华文中宋" w:cs="Times New Roman"/>
          <w:sz w:val="24"/>
          <w:lang w:val="en-US" w:eastAsia="zh-CN"/>
        </w:rPr>
        <w:t>米，平整面积</w:t>
      </w:r>
      <w:r>
        <w:rPr>
          <w:rFonts w:hint="eastAsia" w:ascii="Times New Roman" w:hAnsi="Times New Roman" w:eastAsia="华文中宋" w:cs="Times New Roman"/>
          <w:sz w:val="24"/>
          <w:lang w:val="en-US" w:eastAsia="zh-CN"/>
        </w:rPr>
        <w:t>约1.02</w:t>
      </w:r>
      <w:r>
        <w:rPr>
          <w:rFonts w:hint="default" w:ascii="Times New Roman" w:hAnsi="Times New Roman" w:eastAsia="华文中宋" w:cs="Times New Roman"/>
          <w:sz w:val="24"/>
          <w:lang w:val="en-US" w:eastAsia="zh-CN"/>
        </w:rPr>
        <w:t>公顷，预计平整土地的工程量约</w:t>
      </w:r>
      <w:r>
        <w:rPr>
          <w:rFonts w:hint="eastAsia" w:ascii="Times New Roman" w:hAnsi="Times New Roman" w:eastAsia="华文中宋" w:cs="Times New Roman"/>
          <w:sz w:val="24"/>
          <w:lang w:val="en-US" w:eastAsia="zh-CN"/>
        </w:rPr>
        <w:t>1020</w:t>
      </w:r>
      <w:r>
        <w:rPr>
          <w:rFonts w:hint="default" w:ascii="Times New Roman" w:hAnsi="Times New Roman" w:eastAsia="华文中宋" w:cs="Times New Roman"/>
          <w:sz w:val="24"/>
          <w:lang w:val="en-US" w:eastAsia="zh-CN"/>
        </w:rPr>
        <w:t>立方米</w:t>
      </w:r>
      <w:r>
        <w:rPr>
          <w:rFonts w:hint="eastAsia" w:ascii="Times New Roman" w:hAnsi="Times New Roman" w:eastAsia="华文中宋" w:cs="Times New Roman"/>
          <w:sz w:val="24"/>
          <w:lang w:val="en-US" w:eastAsia="zh-CN"/>
        </w:rPr>
        <w:t>。</w:t>
      </w:r>
    </w:p>
    <w:p w14:paraId="20D57619">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2）覆土</w:t>
      </w:r>
    </w:p>
    <w:p w14:paraId="4A616C83">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对矿山道路利用表土堆放场内土源进行覆土，覆土面积约1.02公顷，覆土厚度0.3米，覆土工程量3060立方米，平均运距400米。</w:t>
      </w:r>
    </w:p>
    <w:p w14:paraId="401C4681">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3）条播草籽</w:t>
      </w:r>
    </w:p>
    <w:p w14:paraId="0F8AF8D5">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矿山道路复垦方向为天然牧草地，复垦面积1.02公顷。覆土后人工进行条播草籽51千克（每公顷条播草籽量50千克）。</w:t>
      </w:r>
    </w:p>
    <w:p w14:paraId="718BD61F">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（8）表土堆放场土地复垦工程设计</w:t>
      </w:r>
    </w:p>
    <w:p w14:paraId="3A09F181">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表土堆放场内表土清运至其他复垦单元覆土后，2031年8月对表土堆放场进行平整，平整后条播草籽。</w:t>
      </w:r>
    </w:p>
    <w:p w14:paraId="6494DF5F">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1）场地平整</w:t>
      </w:r>
    </w:p>
    <w:p w14:paraId="44184A56">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对场地进行平整，平整方式主要借助挖掘机、推土机进行削高填低，根据周边地形地貌特征，将土地平整后的地形起伏控制在5°以内。将平整场地划分成若干个小方格，采用方格网法计算，根据每个方格的填挖情况，平整厚度0.</w:t>
      </w:r>
      <w:r>
        <w:rPr>
          <w:rFonts w:hint="eastAsia" w:ascii="Times New Roman" w:hAnsi="Times New Roman" w:eastAsia="华文中宋" w:cs="Times New Roman"/>
          <w:sz w:val="24"/>
          <w:lang w:val="en-US" w:eastAsia="zh-CN"/>
        </w:rPr>
        <w:t>2</w:t>
      </w:r>
      <w:r>
        <w:rPr>
          <w:rFonts w:hint="default" w:ascii="Times New Roman" w:hAnsi="Times New Roman" w:eastAsia="华文中宋" w:cs="Times New Roman"/>
          <w:sz w:val="24"/>
          <w:lang w:val="en-US" w:eastAsia="zh-CN"/>
        </w:rPr>
        <w:t>米，平整面积</w:t>
      </w:r>
      <w:r>
        <w:rPr>
          <w:rFonts w:hint="eastAsia" w:ascii="Times New Roman" w:hAnsi="Times New Roman" w:eastAsia="华文中宋" w:cs="Times New Roman"/>
          <w:sz w:val="24"/>
          <w:lang w:val="en-US" w:eastAsia="zh-CN"/>
        </w:rPr>
        <w:t>约0.8</w:t>
      </w:r>
      <w:r>
        <w:rPr>
          <w:rFonts w:hint="default" w:ascii="Times New Roman" w:hAnsi="Times New Roman" w:eastAsia="华文中宋" w:cs="Times New Roman"/>
          <w:sz w:val="24"/>
          <w:lang w:val="en-US" w:eastAsia="zh-CN"/>
        </w:rPr>
        <w:t>公顷，预计平整土地的工程量约</w:t>
      </w:r>
      <w:r>
        <w:rPr>
          <w:rFonts w:hint="eastAsia" w:ascii="Times New Roman" w:hAnsi="Times New Roman" w:eastAsia="华文中宋" w:cs="Times New Roman"/>
          <w:sz w:val="24"/>
          <w:lang w:val="en-US" w:eastAsia="zh-CN"/>
        </w:rPr>
        <w:t>1600</w:t>
      </w:r>
      <w:r>
        <w:rPr>
          <w:rFonts w:hint="default" w:ascii="Times New Roman" w:hAnsi="Times New Roman" w:eastAsia="华文中宋" w:cs="Times New Roman"/>
          <w:sz w:val="24"/>
          <w:lang w:val="en-US" w:eastAsia="zh-CN"/>
        </w:rPr>
        <w:t>立方米</w:t>
      </w:r>
      <w:r>
        <w:rPr>
          <w:rFonts w:hint="eastAsia" w:ascii="Times New Roman" w:hAnsi="Times New Roman" w:eastAsia="华文中宋" w:cs="Times New Roman"/>
          <w:sz w:val="24"/>
          <w:lang w:val="en-US" w:eastAsia="zh-CN"/>
        </w:rPr>
        <w:t>。</w:t>
      </w:r>
    </w:p>
    <w:p w14:paraId="61267CE7">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2）条播草籽</w:t>
      </w:r>
    </w:p>
    <w:p w14:paraId="6FF38333">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表土堆放场土地复垦方向为天然牧草地，覆土后进行条播草籽40千克，条播面积0.8公顷（每公顷条播草籽量50千克）。</w:t>
      </w:r>
    </w:p>
    <w:p w14:paraId="11AF28BB">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4.主要工程量</w:t>
      </w:r>
    </w:p>
    <w:p w14:paraId="5B0D21CE">
      <w:pPr>
        <w:adjustRightInd w:val="0"/>
        <w:snapToGrid w:val="0"/>
        <w:spacing w:line="500" w:lineRule="exact"/>
        <w:ind w:firstLine="480" w:firstLineChars="200"/>
        <w:jc w:val="left"/>
        <w:rPr>
          <w:rFonts w:hint="eastAsia" w:ascii="Times New Roman" w:hAnsi="Times New Roman" w:eastAsia="华文中宋" w:cs="Times New Roman"/>
          <w:sz w:val="24"/>
          <w:lang w:val="en-US" w:eastAsia="zh-CN"/>
        </w:rPr>
      </w:pPr>
      <w:r>
        <w:rPr>
          <w:rFonts w:hint="eastAsia" w:ascii="Times New Roman" w:hAnsi="Times New Roman" w:eastAsia="华文中宋" w:cs="Times New Roman"/>
          <w:sz w:val="24"/>
          <w:lang w:val="en-US" w:eastAsia="zh-CN"/>
        </w:rPr>
        <w:t>各土地复垦区土地复垦工程主要工作量见下表6.4-3。</w:t>
      </w:r>
    </w:p>
    <w:p w14:paraId="025418DA">
      <w:pPr>
        <w:keepNext w:val="0"/>
        <w:keepLines w:val="0"/>
        <w:pageBreakBefore w:val="0"/>
        <w:widowControl/>
        <w:tabs>
          <w:tab w:val="left" w:pos="3680"/>
        </w:tabs>
        <w:kinsoku/>
        <w:wordWrap/>
        <w:overflowPunct/>
        <w:topLinePunct w:val="0"/>
        <w:autoSpaceDE/>
        <w:autoSpaceDN/>
        <w:bidi w:val="0"/>
        <w:adjustRightInd/>
        <w:snapToGrid/>
        <w:spacing w:before="157" w:beforeLines="50" w:line="0" w:lineRule="atLeast"/>
        <w:jc w:val="center"/>
        <w:textAlignment w:val="auto"/>
        <w:rPr>
          <w:rFonts w:hint="eastAsia" w:ascii="宋体" w:hAnsi="宋体" w:cs="宋体"/>
          <w:b/>
          <w:color w:val="000000"/>
          <w:sz w:val="21"/>
          <w:szCs w:val="21"/>
          <w:lang w:val="en-US" w:eastAsia="zh-CN"/>
        </w:rPr>
      </w:pPr>
      <w:r>
        <w:rPr>
          <w:rFonts w:hint="eastAsia" w:ascii="宋体" w:hAnsi="宋体" w:cs="宋体"/>
          <w:b/>
          <w:color w:val="000000"/>
          <w:sz w:val="21"/>
          <w:szCs w:val="21"/>
          <w:lang w:val="en-US" w:eastAsia="zh-CN"/>
        </w:rPr>
        <w:t>表6.4-3  土地复垦工程量汇总表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4528"/>
        <w:gridCol w:w="1363"/>
        <w:gridCol w:w="1514"/>
      </w:tblGrid>
      <w:tr w14:paraId="1E09A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83" w:type="dxa"/>
            <w:noWrap w:val="0"/>
            <w:vAlign w:val="center"/>
          </w:tcPr>
          <w:p w14:paraId="24819418">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序号</w:t>
            </w:r>
          </w:p>
        </w:tc>
        <w:tc>
          <w:tcPr>
            <w:tcW w:w="4528" w:type="dxa"/>
            <w:noWrap w:val="0"/>
            <w:vAlign w:val="center"/>
          </w:tcPr>
          <w:p w14:paraId="4E5BCCC8">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工程名称</w:t>
            </w:r>
          </w:p>
        </w:tc>
        <w:tc>
          <w:tcPr>
            <w:tcW w:w="1363" w:type="dxa"/>
            <w:noWrap w:val="0"/>
            <w:vAlign w:val="center"/>
          </w:tcPr>
          <w:p w14:paraId="76F8A04D">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单位</w:t>
            </w:r>
          </w:p>
        </w:tc>
        <w:tc>
          <w:tcPr>
            <w:tcW w:w="1514" w:type="dxa"/>
            <w:noWrap w:val="0"/>
            <w:vAlign w:val="center"/>
          </w:tcPr>
          <w:p w14:paraId="34702E3F">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工程量</w:t>
            </w:r>
          </w:p>
        </w:tc>
      </w:tr>
      <w:tr w14:paraId="272BC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83" w:type="dxa"/>
            <w:noWrap w:val="0"/>
            <w:vAlign w:val="center"/>
          </w:tcPr>
          <w:p w14:paraId="79F80FEB">
            <w:pPr>
              <w:spacing w:line="300" w:lineRule="exact"/>
              <w:jc w:val="center"/>
              <w:rPr>
                <w:rFonts w:hint="eastAsia" w:ascii="Times New Roman" w:hAnsi="Times New Roman" w:eastAsia="华文中宋" w:cs="Times New Roman"/>
                <w:b/>
                <w:bCs/>
                <w:szCs w:val="21"/>
                <w:lang w:val="en-US" w:eastAsia="zh-CN"/>
              </w:rPr>
            </w:pPr>
            <w:r>
              <w:rPr>
                <w:rFonts w:hint="eastAsia" w:ascii="Times New Roman" w:hAnsi="Times New Roman" w:eastAsia="华文中宋" w:cs="Times New Roman"/>
                <w:b/>
                <w:bCs/>
                <w:szCs w:val="21"/>
                <w:lang w:val="en-US" w:eastAsia="zh-CN"/>
              </w:rPr>
              <w:t>一</w:t>
            </w:r>
          </w:p>
        </w:tc>
        <w:tc>
          <w:tcPr>
            <w:tcW w:w="4528" w:type="dxa"/>
            <w:noWrap w:val="0"/>
            <w:vAlign w:val="center"/>
          </w:tcPr>
          <w:p w14:paraId="66CB52FD">
            <w:pPr>
              <w:spacing w:line="300" w:lineRule="exact"/>
              <w:jc w:val="center"/>
              <w:rPr>
                <w:rFonts w:hint="eastAsia" w:ascii="Times New Roman" w:hAnsi="Times New Roman" w:eastAsia="华文中宋" w:cs="Times New Roman"/>
                <w:b/>
                <w:bCs/>
                <w:szCs w:val="21"/>
                <w:lang w:val="en-US" w:eastAsia="zh-CN"/>
              </w:rPr>
            </w:pPr>
            <w:r>
              <w:rPr>
                <w:rFonts w:hint="eastAsia" w:ascii="Times New Roman" w:hAnsi="Times New Roman" w:eastAsia="华文中宋" w:cs="Times New Roman"/>
                <w:b/>
                <w:bCs/>
                <w:szCs w:val="21"/>
                <w:lang w:val="en-US" w:eastAsia="zh-CN"/>
              </w:rPr>
              <w:t>表土剥离</w:t>
            </w:r>
          </w:p>
        </w:tc>
        <w:tc>
          <w:tcPr>
            <w:tcW w:w="1363" w:type="dxa"/>
            <w:noWrap w:val="0"/>
            <w:vAlign w:val="center"/>
          </w:tcPr>
          <w:p w14:paraId="341ACA0A">
            <w:pPr>
              <w:spacing w:line="300" w:lineRule="exact"/>
              <w:jc w:val="center"/>
              <w:rPr>
                <w:rFonts w:hint="eastAsia" w:ascii="Times New Roman" w:hAnsi="Times New Roman" w:eastAsia="华文中宋" w:cs="Times New Roman"/>
                <w:szCs w:val="21"/>
                <w:lang w:val="en-US" w:eastAsia="zh-CN"/>
              </w:rPr>
            </w:pPr>
          </w:p>
        </w:tc>
        <w:tc>
          <w:tcPr>
            <w:tcW w:w="1514" w:type="dxa"/>
            <w:noWrap w:val="0"/>
            <w:vAlign w:val="center"/>
          </w:tcPr>
          <w:p w14:paraId="30EB14A9">
            <w:pPr>
              <w:spacing w:line="300" w:lineRule="exact"/>
              <w:jc w:val="center"/>
              <w:rPr>
                <w:rFonts w:hint="eastAsia" w:ascii="Times New Roman" w:hAnsi="Times New Roman" w:eastAsia="华文中宋" w:cs="Times New Roman"/>
                <w:szCs w:val="21"/>
                <w:lang w:val="en-US" w:eastAsia="zh-CN"/>
              </w:rPr>
            </w:pPr>
          </w:p>
        </w:tc>
      </w:tr>
      <w:tr w14:paraId="6CE73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83" w:type="dxa"/>
            <w:noWrap w:val="0"/>
            <w:vAlign w:val="center"/>
          </w:tcPr>
          <w:p w14:paraId="00730720">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w:t>
            </w:r>
          </w:p>
        </w:tc>
        <w:tc>
          <w:tcPr>
            <w:tcW w:w="4528" w:type="dxa"/>
            <w:noWrap w:val="0"/>
            <w:vAlign w:val="center"/>
          </w:tcPr>
          <w:p w14:paraId="29C72A0E">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剥离表土（运距400</w:t>
            </w:r>
            <w:r>
              <w:rPr>
                <w:rFonts w:hint="eastAsia" w:ascii="Times New Roman" w:hAnsi="Times New Roman" w:eastAsia="华文中宋" w:cs="Times New Roman"/>
                <w:sz w:val="24"/>
                <w:lang w:val="en-US" w:eastAsia="zh-CN"/>
              </w:rPr>
              <w:t>～</w:t>
            </w:r>
            <w:r>
              <w:rPr>
                <w:rFonts w:hint="eastAsia" w:ascii="Times New Roman" w:hAnsi="Times New Roman" w:eastAsia="华文中宋" w:cs="Times New Roman"/>
                <w:szCs w:val="21"/>
                <w:lang w:val="en-US" w:eastAsia="zh-CN"/>
              </w:rPr>
              <w:t>500米）</w:t>
            </w:r>
          </w:p>
        </w:tc>
        <w:tc>
          <w:tcPr>
            <w:tcW w:w="1363" w:type="dxa"/>
            <w:noWrap w:val="0"/>
            <w:vAlign w:val="center"/>
          </w:tcPr>
          <w:p w14:paraId="40E23AB2">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100m³</w:t>
            </w:r>
          </w:p>
        </w:tc>
        <w:tc>
          <w:tcPr>
            <w:tcW w:w="1514" w:type="dxa"/>
            <w:noWrap w:val="0"/>
            <w:vAlign w:val="center"/>
          </w:tcPr>
          <w:p w14:paraId="05EAAC6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585</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30</w:t>
            </w:r>
          </w:p>
        </w:tc>
      </w:tr>
      <w:tr w14:paraId="030E5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83" w:type="dxa"/>
            <w:noWrap w:val="0"/>
            <w:vAlign w:val="center"/>
          </w:tcPr>
          <w:p w14:paraId="3C6B2BEB">
            <w:pPr>
              <w:spacing w:line="300" w:lineRule="exact"/>
              <w:jc w:val="center"/>
              <w:rPr>
                <w:rFonts w:hint="eastAsia" w:ascii="Times New Roman" w:hAnsi="Times New Roman" w:eastAsia="华文中宋" w:cs="Times New Roman"/>
                <w:b/>
                <w:bCs/>
                <w:szCs w:val="21"/>
                <w:lang w:val="en-US" w:eastAsia="zh-CN"/>
              </w:rPr>
            </w:pPr>
            <w:r>
              <w:rPr>
                <w:rFonts w:hint="eastAsia" w:ascii="Times New Roman" w:hAnsi="Times New Roman" w:eastAsia="华文中宋" w:cs="Times New Roman"/>
                <w:b/>
                <w:bCs/>
                <w:szCs w:val="21"/>
                <w:lang w:val="en-US" w:eastAsia="zh-CN"/>
              </w:rPr>
              <w:t>二</w:t>
            </w:r>
          </w:p>
        </w:tc>
        <w:tc>
          <w:tcPr>
            <w:tcW w:w="4528" w:type="dxa"/>
            <w:noWrap w:val="0"/>
            <w:vAlign w:val="center"/>
          </w:tcPr>
          <w:p w14:paraId="68D22135">
            <w:pPr>
              <w:spacing w:line="300" w:lineRule="exact"/>
              <w:jc w:val="center"/>
              <w:rPr>
                <w:rFonts w:hint="eastAsia" w:ascii="Times New Roman" w:hAnsi="Times New Roman" w:eastAsia="华文中宋" w:cs="Times New Roman"/>
                <w:b/>
                <w:bCs/>
                <w:szCs w:val="21"/>
                <w:lang w:val="en-US" w:eastAsia="zh-CN"/>
              </w:rPr>
            </w:pPr>
            <w:r>
              <w:rPr>
                <w:rFonts w:hint="eastAsia" w:ascii="Times New Roman" w:hAnsi="Times New Roman" w:eastAsia="华文中宋" w:cs="Times New Roman"/>
                <w:b/>
                <w:bCs/>
                <w:szCs w:val="21"/>
                <w:lang w:val="en-US" w:eastAsia="zh-CN"/>
              </w:rPr>
              <w:t>北露天采场土地复垦工程</w:t>
            </w:r>
          </w:p>
        </w:tc>
        <w:tc>
          <w:tcPr>
            <w:tcW w:w="1363" w:type="dxa"/>
            <w:noWrap w:val="0"/>
            <w:vAlign w:val="center"/>
          </w:tcPr>
          <w:p w14:paraId="1F3F387F">
            <w:pPr>
              <w:spacing w:line="300" w:lineRule="exact"/>
              <w:jc w:val="center"/>
              <w:rPr>
                <w:rFonts w:hint="eastAsia" w:ascii="Times New Roman" w:hAnsi="Times New Roman" w:eastAsia="华文中宋" w:cs="Times New Roman"/>
                <w:szCs w:val="21"/>
                <w:lang w:val="en-US" w:eastAsia="zh-CN"/>
              </w:rPr>
            </w:pPr>
          </w:p>
        </w:tc>
        <w:tc>
          <w:tcPr>
            <w:tcW w:w="1514" w:type="dxa"/>
            <w:noWrap w:val="0"/>
            <w:vAlign w:val="center"/>
          </w:tcPr>
          <w:p w14:paraId="0045435A">
            <w:pPr>
              <w:spacing w:line="300" w:lineRule="exact"/>
              <w:jc w:val="center"/>
              <w:rPr>
                <w:rFonts w:hint="eastAsia" w:ascii="Times New Roman" w:hAnsi="Times New Roman" w:eastAsia="华文中宋" w:cs="Times New Roman"/>
                <w:szCs w:val="21"/>
                <w:lang w:val="en-US" w:eastAsia="zh-CN"/>
              </w:rPr>
            </w:pPr>
          </w:p>
        </w:tc>
      </w:tr>
      <w:tr w14:paraId="2A637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83" w:type="dxa"/>
            <w:noWrap w:val="0"/>
            <w:vAlign w:val="center"/>
          </w:tcPr>
          <w:p w14:paraId="5243C1F0">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w:t>
            </w:r>
          </w:p>
        </w:tc>
        <w:tc>
          <w:tcPr>
            <w:tcW w:w="4528" w:type="dxa"/>
            <w:noWrap w:val="0"/>
            <w:vAlign w:val="center"/>
          </w:tcPr>
          <w:p w14:paraId="26A279B7">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废石回填（运距800～1000米）</w:t>
            </w:r>
          </w:p>
        </w:tc>
        <w:tc>
          <w:tcPr>
            <w:tcW w:w="1363" w:type="dxa"/>
            <w:noWrap w:val="0"/>
            <w:vAlign w:val="center"/>
          </w:tcPr>
          <w:p w14:paraId="770EBA42">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100m³</w:t>
            </w:r>
          </w:p>
        </w:tc>
        <w:tc>
          <w:tcPr>
            <w:tcW w:w="1514" w:type="dxa"/>
            <w:noWrap w:val="0"/>
            <w:vAlign w:val="center"/>
          </w:tcPr>
          <w:p w14:paraId="21A25A8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2503</w:t>
            </w:r>
            <w:r>
              <w:rPr>
                <w:rFonts w:hint="eastAsia" w:ascii="Times New Roman" w:hAnsi="Times New Roman" w:eastAsia="华文中宋" w:cs="Times New Roman"/>
                <w:szCs w:val="21"/>
                <w:lang w:val="en-US" w:eastAsia="zh-CN"/>
              </w:rPr>
              <w:t>.00</w:t>
            </w:r>
          </w:p>
        </w:tc>
      </w:tr>
      <w:tr w14:paraId="2D4F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83" w:type="dxa"/>
            <w:noWrap w:val="0"/>
            <w:vAlign w:val="center"/>
          </w:tcPr>
          <w:p w14:paraId="0ECD5112">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w:t>
            </w:r>
          </w:p>
        </w:tc>
        <w:tc>
          <w:tcPr>
            <w:tcW w:w="4528" w:type="dxa"/>
            <w:noWrap w:val="0"/>
            <w:vAlign w:val="center"/>
          </w:tcPr>
          <w:p w14:paraId="5DC6640A">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覆土（运距400～500米）</w:t>
            </w:r>
          </w:p>
        </w:tc>
        <w:tc>
          <w:tcPr>
            <w:tcW w:w="1363" w:type="dxa"/>
            <w:noWrap w:val="0"/>
            <w:vAlign w:val="center"/>
          </w:tcPr>
          <w:p w14:paraId="07705414">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100m³</w:t>
            </w:r>
          </w:p>
        </w:tc>
        <w:tc>
          <w:tcPr>
            <w:tcW w:w="1514" w:type="dxa"/>
            <w:noWrap w:val="0"/>
            <w:vAlign w:val="center"/>
          </w:tcPr>
          <w:p w14:paraId="11AED41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195.00</w:t>
            </w:r>
          </w:p>
        </w:tc>
      </w:tr>
      <w:tr w14:paraId="5C5B7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83" w:type="dxa"/>
            <w:noWrap w:val="0"/>
            <w:vAlign w:val="center"/>
          </w:tcPr>
          <w:p w14:paraId="5E0688D3">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w:t>
            </w:r>
          </w:p>
        </w:tc>
        <w:tc>
          <w:tcPr>
            <w:tcW w:w="4528" w:type="dxa"/>
            <w:noWrap w:val="0"/>
            <w:vAlign w:val="center"/>
          </w:tcPr>
          <w:p w14:paraId="30E43F94">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条播草籽</w:t>
            </w:r>
          </w:p>
        </w:tc>
        <w:tc>
          <w:tcPr>
            <w:tcW w:w="1363" w:type="dxa"/>
            <w:noWrap w:val="0"/>
            <w:vAlign w:val="center"/>
          </w:tcPr>
          <w:p w14:paraId="762DB865">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公顷</w:t>
            </w:r>
          </w:p>
        </w:tc>
        <w:tc>
          <w:tcPr>
            <w:tcW w:w="1514" w:type="dxa"/>
            <w:noWrap w:val="0"/>
            <w:vAlign w:val="center"/>
          </w:tcPr>
          <w:p w14:paraId="69A94C0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6.5</w:t>
            </w:r>
          </w:p>
        </w:tc>
      </w:tr>
      <w:tr w14:paraId="06252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83" w:type="dxa"/>
            <w:noWrap w:val="0"/>
            <w:vAlign w:val="center"/>
          </w:tcPr>
          <w:p w14:paraId="31B22135">
            <w:pPr>
              <w:spacing w:line="300" w:lineRule="exact"/>
              <w:jc w:val="center"/>
              <w:rPr>
                <w:rFonts w:hint="eastAsia" w:ascii="Times New Roman" w:hAnsi="Times New Roman" w:eastAsia="华文中宋" w:cs="Times New Roman"/>
                <w:b/>
                <w:bCs/>
                <w:szCs w:val="21"/>
                <w:lang w:val="en-US" w:eastAsia="zh-CN"/>
              </w:rPr>
            </w:pPr>
            <w:r>
              <w:rPr>
                <w:rFonts w:hint="eastAsia" w:ascii="Times New Roman" w:hAnsi="Times New Roman" w:eastAsia="华文中宋" w:cs="Times New Roman"/>
                <w:b/>
                <w:bCs/>
                <w:szCs w:val="21"/>
                <w:lang w:val="en-US" w:eastAsia="zh-CN"/>
              </w:rPr>
              <w:t>三</w:t>
            </w:r>
          </w:p>
        </w:tc>
        <w:tc>
          <w:tcPr>
            <w:tcW w:w="4528" w:type="dxa"/>
            <w:noWrap w:val="0"/>
            <w:vAlign w:val="center"/>
          </w:tcPr>
          <w:p w14:paraId="787A1732">
            <w:pPr>
              <w:spacing w:line="300" w:lineRule="exact"/>
              <w:jc w:val="center"/>
              <w:rPr>
                <w:rFonts w:hint="eastAsia" w:ascii="Times New Roman" w:hAnsi="Times New Roman" w:eastAsia="华文中宋" w:cs="Times New Roman"/>
                <w:b/>
                <w:bCs/>
                <w:szCs w:val="21"/>
                <w:lang w:val="en-US" w:eastAsia="zh-CN"/>
              </w:rPr>
            </w:pPr>
            <w:r>
              <w:rPr>
                <w:rFonts w:hint="eastAsia" w:ascii="Times New Roman" w:hAnsi="Times New Roman" w:eastAsia="华文中宋" w:cs="Times New Roman"/>
                <w:b/>
                <w:bCs/>
                <w:szCs w:val="21"/>
                <w:lang w:val="en-US" w:eastAsia="zh-CN"/>
              </w:rPr>
              <w:t>南露天采场土地复垦工程</w:t>
            </w:r>
          </w:p>
        </w:tc>
        <w:tc>
          <w:tcPr>
            <w:tcW w:w="1363" w:type="dxa"/>
            <w:noWrap w:val="0"/>
            <w:vAlign w:val="center"/>
          </w:tcPr>
          <w:p w14:paraId="354A1A1A">
            <w:pPr>
              <w:spacing w:line="300" w:lineRule="exact"/>
              <w:jc w:val="center"/>
              <w:rPr>
                <w:rFonts w:hint="eastAsia" w:ascii="Times New Roman" w:hAnsi="Times New Roman" w:eastAsia="华文中宋" w:cs="Times New Roman"/>
                <w:szCs w:val="21"/>
                <w:lang w:val="en-US" w:eastAsia="zh-CN"/>
              </w:rPr>
            </w:pPr>
          </w:p>
        </w:tc>
        <w:tc>
          <w:tcPr>
            <w:tcW w:w="1514" w:type="dxa"/>
            <w:noWrap w:val="0"/>
            <w:vAlign w:val="center"/>
          </w:tcPr>
          <w:p w14:paraId="7DBD0239">
            <w:pPr>
              <w:spacing w:line="300" w:lineRule="exact"/>
              <w:jc w:val="center"/>
              <w:rPr>
                <w:rFonts w:hint="eastAsia" w:ascii="Times New Roman" w:hAnsi="Times New Roman" w:eastAsia="华文中宋" w:cs="Times New Roman"/>
                <w:szCs w:val="21"/>
                <w:lang w:val="en-US" w:eastAsia="zh-CN"/>
              </w:rPr>
            </w:pPr>
          </w:p>
        </w:tc>
      </w:tr>
      <w:tr w14:paraId="22D9D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83" w:type="dxa"/>
            <w:noWrap w:val="0"/>
            <w:vAlign w:val="center"/>
          </w:tcPr>
          <w:p w14:paraId="41DCBF3B">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w:t>
            </w:r>
          </w:p>
        </w:tc>
        <w:tc>
          <w:tcPr>
            <w:tcW w:w="4528" w:type="dxa"/>
            <w:noWrap w:val="0"/>
            <w:vAlign w:val="center"/>
          </w:tcPr>
          <w:p w14:paraId="26C94E0A">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废石回填（运距400～500米）</w:t>
            </w:r>
          </w:p>
        </w:tc>
        <w:tc>
          <w:tcPr>
            <w:tcW w:w="1363" w:type="dxa"/>
            <w:noWrap w:val="0"/>
            <w:vAlign w:val="center"/>
          </w:tcPr>
          <w:p w14:paraId="160BACA4">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100m³</w:t>
            </w:r>
          </w:p>
        </w:tc>
        <w:tc>
          <w:tcPr>
            <w:tcW w:w="1514" w:type="dxa"/>
            <w:noWrap w:val="0"/>
            <w:vAlign w:val="center"/>
          </w:tcPr>
          <w:p w14:paraId="40210F7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3336.00</w:t>
            </w:r>
          </w:p>
        </w:tc>
      </w:tr>
      <w:tr w14:paraId="6BD98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83" w:type="dxa"/>
            <w:noWrap w:val="0"/>
            <w:vAlign w:val="center"/>
          </w:tcPr>
          <w:p w14:paraId="7098A2FD">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w:t>
            </w:r>
          </w:p>
        </w:tc>
        <w:tc>
          <w:tcPr>
            <w:tcW w:w="4528" w:type="dxa"/>
            <w:noWrap w:val="0"/>
            <w:vAlign w:val="center"/>
          </w:tcPr>
          <w:p w14:paraId="6C0B8B71">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覆土（运距200～300米）</w:t>
            </w:r>
          </w:p>
        </w:tc>
        <w:tc>
          <w:tcPr>
            <w:tcW w:w="1363" w:type="dxa"/>
            <w:noWrap w:val="0"/>
            <w:vAlign w:val="center"/>
          </w:tcPr>
          <w:p w14:paraId="06661C76">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100m³</w:t>
            </w:r>
          </w:p>
        </w:tc>
        <w:tc>
          <w:tcPr>
            <w:tcW w:w="1514" w:type="dxa"/>
            <w:noWrap w:val="0"/>
            <w:vAlign w:val="center"/>
          </w:tcPr>
          <w:p w14:paraId="1D31791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93.30</w:t>
            </w:r>
          </w:p>
        </w:tc>
      </w:tr>
      <w:tr w14:paraId="04B2A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83" w:type="dxa"/>
            <w:noWrap w:val="0"/>
            <w:vAlign w:val="center"/>
          </w:tcPr>
          <w:p w14:paraId="6B86A6D4">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w:t>
            </w:r>
          </w:p>
        </w:tc>
        <w:tc>
          <w:tcPr>
            <w:tcW w:w="4528" w:type="dxa"/>
            <w:noWrap w:val="0"/>
            <w:vAlign w:val="center"/>
          </w:tcPr>
          <w:p w14:paraId="71400C7F">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条播草籽</w:t>
            </w:r>
          </w:p>
        </w:tc>
        <w:tc>
          <w:tcPr>
            <w:tcW w:w="1363" w:type="dxa"/>
            <w:noWrap w:val="0"/>
            <w:vAlign w:val="center"/>
          </w:tcPr>
          <w:p w14:paraId="55695895">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公顷</w:t>
            </w:r>
          </w:p>
        </w:tc>
        <w:tc>
          <w:tcPr>
            <w:tcW w:w="1514" w:type="dxa"/>
            <w:noWrap w:val="0"/>
            <w:vAlign w:val="center"/>
          </w:tcPr>
          <w:p w14:paraId="28EA0BE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3.11</w:t>
            </w:r>
          </w:p>
        </w:tc>
      </w:tr>
      <w:tr w14:paraId="559CA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83" w:type="dxa"/>
            <w:noWrap w:val="0"/>
            <w:vAlign w:val="center"/>
          </w:tcPr>
          <w:p w14:paraId="4BB4C3FB">
            <w:pPr>
              <w:spacing w:line="300" w:lineRule="exact"/>
              <w:jc w:val="center"/>
              <w:rPr>
                <w:rFonts w:hint="eastAsia" w:ascii="Times New Roman" w:hAnsi="Times New Roman" w:eastAsia="华文中宋" w:cs="Times New Roman"/>
                <w:b/>
                <w:bCs/>
                <w:szCs w:val="21"/>
                <w:lang w:val="en-US" w:eastAsia="zh-CN"/>
              </w:rPr>
            </w:pPr>
            <w:r>
              <w:rPr>
                <w:rFonts w:hint="eastAsia" w:ascii="Times New Roman" w:hAnsi="Times New Roman" w:eastAsia="华文中宋" w:cs="Times New Roman"/>
                <w:b/>
                <w:bCs/>
                <w:szCs w:val="21"/>
                <w:lang w:val="en-US" w:eastAsia="zh-CN"/>
              </w:rPr>
              <w:t>四</w:t>
            </w:r>
          </w:p>
        </w:tc>
        <w:tc>
          <w:tcPr>
            <w:tcW w:w="4528" w:type="dxa"/>
            <w:noWrap w:val="0"/>
            <w:vAlign w:val="center"/>
          </w:tcPr>
          <w:p w14:paraId="13872F25">
            <w:pPr>
              <w:spacing w:line="300" w:lineRule="exact"/>
              <w:jc w:val="center"/>
              <w:rPr>
                <w:rFonts w:hint="eastAsia" w:ascii="Times New Roman" w:hAnsi="Times New Roman" w:eastAsia="华文中宋" w:cs="Times New Roman"/>
                <w:b/>
                <w:bCs/>
                <w:szCs w:val="21"/>
                <w:lang w:val="en-US" w:eastAsia="zh-CN"/>
              </w:rPr>
            </w:pPr>
            <w:r>
              <w:rPr>
                <w:rFonts w:hint="eastAsia" w:ascii="Times New Roman" w:hAnsi="Times New Roman" w:eastAsia="华文中宋" w:cs="Times New Roman"/>
                <w:b/>
                <w:bCs/>
                <w:szCs w:val="21"/>
                <w:lang w:val="en-US" w:eastAsia="zh-CN"/>
              </w:rPr>
              <w:t>废石堆放场土地复垦工程</w:t>
            </w:r>
          </w:p>
        </w:tc>
        <w:tc>
          <w:tcPr>
            <w:tcW w:w="1363" w:type="dxa"/>
            <w:noWrap w:val="0"/>
            <w:vAlign w:val="center"/>
          </w:tcPr>
          <w:p w14:paraId="64FDA25A">
            <w:pPr>
              <w:spacing w:line="300" w:lineRule="exact"/>
              <w:jc w:val="center"/>
              <w:rPr>
                <w:rFonts w:hint="eastAsia" w:ascii="Times New Roman" w:hAnsi="Times New Roman" w:eastAsia="华文中宋" w:cs="Times New Roman"/>
                <w:szCs w:val="21"/>
                <w:lang w:val="en-US" w:eastAsia="zh-CN"/>
              </w:rPr>
            </w:pPr>
          </w:p>
        </w:tc>
        <w:tc>
          <w:tcPr>
            <w:tcW w:w="1514" w:type="dxa"/>
            <w:noWrap w:val="0"/>
            <w:vAlign w:val="center"/>
          </w:tcPr>
          <w:p w14:paraId="6BC5961D">
            <w:pPr>
              <w:spacing w:line="300" w:lineRule="exact"/>
              <w:jc w:val="center"/>
              <w:rPr>
                <w:rFonts w:hint="eastAsia" w:ascii="Times New Roman" w:hAnsi="Times New Roman" w:eastAsia="华文中宋" w:cs="Times New Roman"/>
                <w:szCs w:val="21"/>
                <w:lang w:val="en-US" w:eastAsia="zh-CN"/>
              </w:rPr>
            </w:pPr>
          </w:p>
        </w:tc>
      </w:tr>
      <w:tr w14:paraId="002D3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83" w:type="dxa"/>
            <w:noWrap w:val="0"/>
            <w:vAlign w:val="center"/>
          </w:tcPr>
          <w:p w14:paraId="42382754">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w:t>
            </w:r>
          </w:p>
        </w:tc>
        <w:tc>
          <w:tcPr>
            <w:tcW w:w="4528" w:type="dxa"/>
            <w:noWrap w:val="0"/>
            <w:vAlign w:val="center"/>
          </w:tcPr>
          <w:p w14:paraId="4659551F">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废石堆平整</w:t>
            </w:r>
          </w:p>
        </w:tc>
        <w:tc>
          <w:tcPr>
            <w:tcW w:w="1363" w:type="dxa"/>
            <w:noWrap w:val="0"/>
            <w:vAlign w:val="center"/>
          </w:tcPr>
          <w:p w14:paraId="16521A59">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100m³</w:t>
            </w:r>
          </w:p>
        </w:tc>
        <w:tc>
          <w:tcPr>
            <w:tcW w:w="1514" w:type="dxa"/>
            <w:noWrap w:val="0"/>
            <w:vAlign w:val="center"/>
          </w:tcPr>
          <w:p w14:paraId="792C0E9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110.00</w:t>
            </w:r>
          </w:p>
        </w:tc>
      </w:tr>
      <w:tr w14:paraId="58BBF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83" w:type="dxa"/>
            <w:noWrap w:val="0"/>
            <w:vAlign w:val="center"/>
          </w:tcPr>
          <w:p w14:paraId="70CFF7F2">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w:t>
            </w:r>
          </w:p>
        </w:tc>
        <w:tc>
          <w:tcPr>
            <w:tcW w:w="4528" w:type="dxa"/>
            <w:noWrap w:val="0"/>
            <w:vAlign w:val="center"/>
          </w:tcPr>
          <w:p w14:paraId="2CB46616">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覆土（运距500～600米）</w:t>
            </w:r>
          </w:p>
        </w:tc>
        <w:tc>
          <w:tcPr>
            <w:tcW w:w="1363" w:type="dxa"/>
            <w:noWrap w:val="0"/>
            <w:vAlign w:val="center"/>
          </w:tcPr>
          <w:p w14:paraId="2A8FF4D7">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100m³</w:t>
            </w:r>
          </w:p>
        </w:tc>
        <w:tc>
          <w:tcPr>
            <w:tcW w:w="1514" w:type="dxa"/>
            <w:noWrap w:val="0"/>
            <w:vAlign w:val="center"/>
          </w:tcPr>
          <w:p w14:paraId="6EC68CA9">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225.00</w:t>
            </w:r>
          </w:p>
        </w:tc>
      </w:tr>
      <w:tr w14:paraId="0B76A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83" w:type="dxa"/>
            <w:noWrap w:val="0"/>
            <w:vAlign w:val="center"/>
          </w:tcPr>
          <w:p w14:paraId="46B11F93">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w:t>
            </w:r>
          </w:p>
        </w:tc>
        <w:tc>
          <w:tcPr>
            <w:tcW w:w="4528" w:type="dxa"/>
            <w:noWrap w:val="0"/>
            <w:vAlign w:val="center"/>
          </w:tcPr>
          <w:p w14:paraId="2970D7EE">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条播草籽</w:t>
            </w:r>
          </w:p>
        </w:tc>
        <w:tc>
          <w:tcPr>
            <w:tcW w:w="1363" w:type="dxa"/>
            <w:noWrap w:val="0"/>
            <w:vAlign w:val="center"/>
          </w:tcPr>
          <w:p w14:paraId="51DD4BA9">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公顷</w:t>
            </w:r>
          </w:p>
        </w:tc>
        <w:tc>
          <w:tcPr>
            <w:tcW w:w="1514" w:type="dxa"/>
            <w:noWrap w:val="0"/>
            <w:vAlign w:val="center"/>
          </w:tcPr>
          <w:p w14:paraId="0AAADD7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7.5</w:t>
            </w:r>
          </w:p>
        </w:tc>
      </w:tr>
      <w:tr w14:paraId="73AEA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83" w:type="dxa"/>
            <w:noWrap w:val="0"/>
            <w:vAlign w:val="center"/>
          </w:tcPr>
          <w:p w14:paraId="1E7A7359">
            <w:pPr>
              <w:spacing w:line="300" w:lineRule="exact"/>
              <w:jc w:val="center"/>
              <w:rPr>
                <w:rFonts w:hint="eastAsia" w:ascii="Times New Roman" w:hAnsi="Times New Roman" w:eastAsia="华文中宋" w:cs="Times New Roman"/>
                <w:b/>
                <w:bCs/>
                <w:szCs w:val="21"/>
                <w:lang w:val="en-US" w:eastAsia="zh-CN"/>
              </w:rPr>
            </w:pPr>
            <w:r>
              <w:rPr>
                <w:rFonts w:hint="eastAsia" w:ascii="Times New Roman" w:hAnsi="Times New Roman" w:eastAsia="华文中宋" w:cs="Times New Roman"/>
                <w:b/>
                <w:bCs/>
                <w:szCs w:val="21"/>
                <w:lang w:val="en-US" w:eastAsia="zh-CN"/>
              </w:rPr>
              <w:t>五</w:t>
            </w:r>
          </w:p>
        </w:tc>
        <w:tc>
          <w:tcPr>
            <w:tcW w:w="4528" w:type="dxa"/>
            <w:noWrap w:val="0"/>
            <w:vAlign w:val="center"/>
          </w:tcPr>
          <w:p w14:paraId="5F1DDE86">
            <w:pPr>
              <w:spacing w:line="300" w:lineRule="exact"/>
              <w:jc w:val="center"/>
              <w:rPr>
                <w:rFonts w:hint="eastAsia" w:ascii="Times New Roman" w:hAnsi="Times New Roman" w:eastAsia="华文中宋" w:cs="Times New Roman"/>
                <w:b/>
                <w:bCs/>
                <w:szCs w:val="21"/>
                <w:lang w:val="en-US" w:eastAsia="zh-CN"/>
              </w:rPr>
            </w:pPr>
            <w:r>
              <w:rPr>
                <w:rFonts w:hint="eastAsia" w:ascii="Times New Roman" w:hAnsi="Times New Roman" w:eastAsia="华文中宋" w:cs="Times New Roman"/>
                <w:b/>
                <w:bCs/>
                <w:szCs w:val="21"/>
                <w:lang w:val="en-US" w:eastAsia="zh-CN"/>
              </w:rPr>
              <w:t>矿石转运场土地复垦工程</w:t>
            </w:r>
          </w:p>
        </w:tc>
        <w:tc>
          <w:tcPr>
            <w:tcW w:w="1363" w:type="dxa"/>
            <w:noWrap w:val="0"/>
            <w:vAlign w:val="center"/>
          </w:tcPr>
          <w:p w14:paraId="4688782E">
            <w:pPr>
              <w:spacing w:line="300" w:lineRule="exact"/>
              <w:jc w:val="center"/>
              <w:rPr>
                <w:rFonts w:hint="eastAsia" w:ascii="Times New Roman" w:hAnsi="Times New Roman" w:eastAsia="华文中宋" w:cs="Times New Roman"/>
                <w:szCs w:val="21"/>
                <w:lang w:val="en-US" w:eastAsia="zh-CN"/>
              </w:rPr>
            </w:pPr>
          </w:p>
        </w:tc>
        <w:tc>
          <w:tcPr>
            <w:tcW w:w="1514" w:type="dxa"/>
            <w:noWrap w:val="0"/>
            <w:vAlign w:val="center"/>
          </w:tcPr>
          <w:p w14:paraId="65129FCD">
            <w:pPr>
              <w:spacing w:line="300" w:lineRule="exact"/>
              <w:jc w:val="center"/>
              <w:rPr>
                <w:rFonts w:hint="eastAsia" w:ascii="Times New Roman" w:hAnsi="Times New Roman" w:eastAsia="华文中宋" w:cs="Times New Roman"/>
                <w:szCs w:val="21"/>
                <w:lang w:val="en-US" w:eastAsia="zh-CN"/>
              </w:rPr>
            </w:pPr>
          </w:p>
        </w:tc>
      </w:tr>
      <w:tr w14:paraId="612AF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83" w:type="dxa"/>
            <w:noWrap w:val="0"/>
            <w:vAlign w:val="center"/>
          </w:tcPr>
          <w:p w14:paraId="103AF715">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w:t>
            </w:r>
          </w:p>
        </w:tc>
        <w:tc>
          <w:tcPr>
            <w:tcW w:w="4528" w:type="dxa"/>
            <w:noWrap w:val="0"/>
            <w:vAlign w:val="center"/>
          </w:tcPr>
          <w:p w14:paraId="30BB2489">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建筑物拆除</w:t>
            </w:r>
          </w:p>
        </w:tc>
        <w:tc>
          <w:tcPr>
            <w:tcW w:w="1363" w:type="dxa"/>
            <w:noWrap w:val="0"/>
            <w:vAlign w:val="center"/>
          </w:tcPr>
          <w:p w14:paraId="5DAE59C3">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100m³</w:t>
            </w:r>
          </w:p>
        </w:tc>
        <w:tc>
          <w:tcPr>
            <w:tcW w:w="1514" w:type="dxa"/>
            <w:noWrap w:val="0"/>
            <w:vAlign w:val="center"/>
          </w:tcPr>
          <w:p w14:paraId="3535498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0.13</w:t>
            </w:r>
          </w:p>
        </w:tc>
      </w:tr>
      <w:tr w14:paraId="36DEB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83" w:type="dxa"/>
            <w:noWrap w:val="0"/>
            <w:vAlign w:val="center"/>
          </w:tcPr>
          <w:p w14:paraId="7C4250CB">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w:t>
            </w:r>
          </w:p>
        </w:tc>
        <w:tc>
          <w:tcPr>
            <w:tcW w:w="4528" w:type="dxa"/>
            <w:noWrap w:val="0"/>
            <w:vAlign w:val="center"/>
          </w:tcPr>
          <w:p w14:paraId="1F6D8C7A">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硬化区拆除</w:t>
            </w:r>
          </w:p>
        </w:tc>
        <w:tc>
          <w:tcPr>
            <w:tcW w:w="1363" w:type="dxa"/>
            <w:noWrap w:val="0"/>
            <w:vAlign w:val="center"/>
          </w:tcPr>
          <w:p w14:paraId="5FDF3202">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100m³</w:t>
            </w:r>
          </w:p>
        </w:tc>
        <w:tc>
          <w:tcPr>
            <w:tcW w:w="1514" w:type="dxa"/>
            <w:noWrap w:val="0"/>
            <w:vAlign w:val="center"/>
          </w:tcPr>
          <w:p w14:paraId="4A33C13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0.15</w:t>
            </w:r>
          </w:p>
        </w:tc>
      </w:tr>
      <w:tr w14:paraId="2D357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83" w:type="dxa"/>
            <w:noWrap w:val="0"/>
            <w:vAlign w:val="center"/>
          </w:tcPr>
          <w:p w14:paraId="5CC457AB">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w:t>
            </w:r>
          </w:p>
        </w:tc>
        <w:tc>
          <w:tcPr>
            <w:tcW w:w="4528" w:type="dxa"/>
            <w:noWrap w:val="0"/>
            <w:vAlign w:val="center"/>
          </w:tcPr>
          <w:p w14:paraId="1F7E3367">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建筑垃圾清运（运距276千米）</w:t>
            </w:r>
          </w:p>
        </w:tc>
        <w:tc>
          <w:tcPr>
            <w:tcW w:w="1363" w:type="dxa"/>
            <w:noWrap w:val="0"/>
            <w:vAlign w:val="center"/>
          </w:tcPr>
          <w:p w14:paraId="59BA35ED">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100m³</w:t>
            </w:r>
          </w:p>
        </w:tc>
        <w:tc>
          <w:tcPr>
            <w:tcW w:w="1514" w:type="dxa"/>
            <w:noWrap w:val="0"/>
            <w:vAlign w:val="center"/>
          </w:tcPr>
          <w:p w14:paraId="5339703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0.28</w:t>
            </w:r>
          </w:p>
        </w:tc>
      </w:tr>
      <w:tr w14:paraId="3A6BD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83" w:type="dxa"/>
            <w:noWrap w:val="0"/>
            <w:vAlign w:val="center"/>
          </w:tcPr>
          <w:p w14:paraId="42414206">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4</w:t>
            </w:r>
          </w:p>
        </w:tc>
        <w:tc>
          <w:tcPr>
            <w:tcW w:w="4528" w:type="dxa"/>
            <w:noWrap w:val="0"/>
            <w:vAlign w:val="center"/>
          </w:tcPr>
          <w:p w14:paraId="7C6381FE">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覆土（运距300～400米）</w:t>
            </w:r>
          </w:p>
        </w:tc>
        <w:tc>
          <w:tcPr>
            <w:tcW w:w="1363" w:type="dxa"/>
            <w:noWrap w:val="0"/>
            <w:vAlign w:val="center"/>
          </w:tcPr>
          <w:p w14:paraId="154938E1">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100m³</w:t>
            </w:r>
          </w:p>
        </w:tc>
        <w:tc>
          <w:tcPr>
            <w:tcW w:w="1514" w:type="dxa"/>
            <w:noWrap w:val="0"/>
            <w:vAlign w:val="center"/>
          </w:tcPr>
          <w:p w14:paraId="0E0225E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15.60</w:t>
            </w:r>
          </w:p>
        </w:tc>
      </w:tr>
      <w:tr w14:paraId="209DC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83" w:type="dxa"/>
            <w:noWrap w:val="0"/>
            <w:vAlign w:val="center"/>
          </w:tcPr>
          <w:p w14:paraId="6A71C507">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w:t>
            </w:r>
          </w:p>
        </w:tc>
        <w:tc>
          <w:tcPr>
            <w:tcW w:w="4528" w:type="dxa"/>
            <w:noWrap w:val="0"/>
            <w:vAlign w:val="center"/>
          </w:tcPr>
          <w:p w14:paraId="23EA19DB">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条播草籽</w:t>
            </w:r>
          </w:p>
        </w:tc>
        <w:tc>
          <w:tcPr>
            <w:tcW w:w="1363" w:type="dxa"/>
            <w:noWrap w:val="0"/>
            <w:vAlign w:val="center"/>
          </w:tcPr>
          <w:p w14:paraId="2016A171">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公顷</w:t>
            </w:r>
          </w:p>
        </w:tc>
        <w:tc>
          <w:tcPr>
            <w:tcW w:w="1514" w:type="dxa"/>
            <w:noWrap w:val="0"/>
            <w:vAlign w:val="center"/>
          </w:tcPr>
          <w:p w14:paraId="249A0A7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0.52</w:t>
            </w:r>
          </w:p>
        </w:tc>
      </w:tr>
      <w:tr w14:paraId="25D3C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83" w:type="dxa"/>
            <w:noWrap w:val="0"/>
            <w:vAlign w:val="center"/>
          </w:tcPr>
          <w:p w14:paraId="17C8CA81">
            <w:pPr>
              <w:spacing w:line="300" w:lineRule="exact"/>
              <w:jc w:val="center"/>
              <w:rPr>
                <w:rFonts w:hint="eastAsia" w:ascii="Times New Roman" w:hAnsi="Times New Roman" w:eastAsia="华文中宋" w:cs="Times New Roman"/>
                <w:b/>
                <w:bCs/>
                <w:szCs w:val="21"/>
                <w:lang w:val="en-US" w:eastAsia="zh-CN"/>
              </w:rPr>
            </w:pPr>
            <w:r>
              <w:rPr>
                <w:rFonts w:hint="eastAsia" w:ascii="Times New Roman" w:hAnsi="Times New Roman" w:eastAsia="华文中宋" w:cs="Times New Roman"/>
                <w:b/>
                <w:bCs/>
                <w:szCs w:val="21"/>
                <w:lang w:val="en-US" w:eastAsia="zh-CN"/>
              </w:rPr>
              <w:t>六</w:t>
            </w:r>
          </w:p>
        </w:tc>
        <w:tc>
          <w:tcPr>
            <w:tcW w:w="4528" w:type="dxa"/>
            <w:noWrap w:val="0"/>
            <w:vAlign w:val="center"/>
          </w:tcPr>
          <w:p w14:paraId="5F9E4986">
            <w:pPr>
              <w:spacing w:line="300" w:lineRule="exact"/>
              <w:jc w:val="center"/>
              <w:rPr>
                <w:rFonts w:hint="eastAsia" w:ascii="Times New Roman" w:hAnsi="Times New Roman" w:eastAsia="华文中宋" w:cs="Times New Roman"/>
                <w:b/>
                <w:bCs/>
                <w:szCs w:val="21"/>
                <w:lang w:val="en-US" w:eastAsia="zh-CN"/>
              </w:rPr>
            </w:pPr>
            <w:r>
              <w:rPr>
                <w:rFonts w:hint="eastAsia" w:ascii="Times New Roman" w:hAnsi="Times New Roman" w:eastAsia="华文中宋" w:cs="Times New Roman"/>
                <w:b/>
                <w:bCs/>
                <w:szCs w:val="21"/>
                <w:lang w:val="en-US" w:eastAsia="zh-CN"/>
              </w:rPr>
              <w:t>矿部生活区土地复垦工程</w:t>
            </w:r>
          </w:p>
        </w:tc>
        <w:tc>
          <w:tcPr>
            <w:tcW w:w="1363" w:type="dxa"/>
            <w:noWrap w:val="0"/>
            <w:vAlign w:val="center"/>
          </w:tcPr>
          <w:p w14:paraId="1FBED75B">
            <w:pPr>
              <w:spacing w:line="300" w:lineRule="exact"/>
              <w:jc w:val="center"/>
              <w:rPr>
                <w:rFonts w:hint="eastAsia" w:ascii="Times New Roman" w:hAnsi="Times New Roman" w:eastAsia="华文中宋" w:cs="Times New Roman"/>
                <w:szCs w:val="21"/>
                <w:lang w:val="en-US" w:eastAsia="zh-CN"/>
              </w:rPr>
            </w:pPr>
          </w:p>
        </w:tc>
        <w:tc>
          <w:tcPr>
            <w:tcW w:w="1514" w:type="dxa"/>
            <w:noWrap w:val="0"/>
            <w:vAlign w:val="center"/>
          </w:tcPr>
          <w:p w14:paraId="32BCD95D">
            <w:pPr>
              <w:spacing w:line="300" w:lineRule="exact"/>
              <w:jc w:val="center"/>
              <w:rPr>
                <w:rFonts w:hint="eastAsia" w:ascii="Times New Roman" w:hAnsi="Times New Roman" w:eastAsia="华文中宋" w:cs="Times New Roman"/>
                <w:szCs w:val="21"/>
                <w:lang w:val="en-US" w:eastAsia="zh-CN"/>
              </w:rPr>
            </w:pPr>
          </w:p>
        </w:tc>
      </w:tr>
      <w:tr w14:paraId="64BC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83" w:type="dxa"/>
            <w:noWrap w:val="0"/>
            <w:vAlign w:val="center"/>
          </w:tcPr>
          <w:p w14:paraId="213AFCBC">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w:t>
            </w:r>
          </w:p>
        </w:tc>
        <w:tc>
          <w:tcPr>
            <w:tcW w:w="4528" w:type="dxa"/>
            <w:noWrap w:val="0"/>
            <w:vAlign w:val="center"/>
          </w:tcPr>
          <w:p w14:paraId="75FFA463">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建筑物拆除</w:t>
            </w:r>
          </w:p>
        </w:tc>
        <w:tc>
          <w:tcPr>
            <w:tcW w:w="1363" w:type="dxa"/>
            <w:noWrap w:val="0"/>
            <w:vAlign w:val="center"/>
          </w:tcPr>
          <w:p w14:paraId="069550A3">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100m³</w:t>
            </w:r>
          </w:p>
        </w:tc>
        <w:tc>
          <w:tcPr>
            <w:tcW w:w="1514" w:type="dxa"/>
            <w:noWrap w:val="0"/>
            <w:vAlign w:val="center"/>
          </w:tcPr>
          <w:p w14:paraId="1EA99929">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2.98</w:t>
            </w:r>
          </w:p>
        </w:tc>
      </w:tr>
      <w:tr w14:paraId="250DA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83" w:type="dxa"/>
            <w:noWrap w:val="0"/>
            <w:vAlign w:val="center"/>
          </w:tcPr>
          <w:p w14:paraId="00E9E03A">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w:t>
            </w:r>
          </w:p>
        </w:tc>
        <w:tc>
          <w:tcPr>
            <w:tcW w:w="4528" w:type="dxa"/>
            <w:noWrap w:val="0"/>
            <w:vAlign w:val="center"/>
          </w:tcPr>
          <w:p w14:paraId="31260B81">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硬化区拆除</w:t>
            </w:r>
          </w:p>
        </w:tc>
        <w:tc>
          <w:tcPr>
            <w:tcW w:w="1363" w:type="dxa"/>
            <w:noWrap w:val="0"/>
            <w:vAlign w:val="center"/>
          </w:tcPr>
          <w:p w14:paraId="14EDA926">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100m³</w:t>
            </w:r>
          </w:p>
        </w:tc>
        <w:tc>
          <w:tcPr>
            <w:tcW w:w="1514" w:type="dxa"/>
            <w:noWrap w:val="0"/>
            <w:vAlign w:val="center"/>
          </w:tcPr>
          <w:p w14:paraId="14D9073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2.40</w:t>
            </w:r>
          </w:p>
        </w:tc>
      </w:tr>
      <w:tr w14:paraId="0ECFF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83" w:type="dxa"/>
            <w:noWrap w:val="0"/>
            <w:vAlign w:val="center"/>
          </w:tcPr>
          <w:p w14:paraId="69226E51">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w:t>
            </w:r>
          </w:p>
        </w:tc>
        <w:tc>
          <w:tcPr>
            <w:tcW w:w="4528" w:type="dxa"/>
            <w:noWrap w:val="0"/>
            <w:vAlign w:val="center"/>
          </w:tcPr>
          <w:p w14:paraId="6C3B5A68">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建筑垃圾清运（运距10千米）</w:t>
            </w:r>
          </w:p>
        </w:tc>
        <w:tc>
          <w:tcPr>
            <w:tcW w:w="1363" w:type="dxa"/>
            <w:noWrap w:val="0"/>
            <w:vAlign w:val="center"/>
          </w:tcPr>
          <w:p w14:paraId="4E39EFB3">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100m³</w:t>
            </w:r>
          </w:p>
        </w:tc>
        <w:tc>
          <w:tcPr>
            <w:tcW w:w="1514" w:type="dxa"/>
            <w:noWrap w:val="0"/>
            <w:vAlign w:val="center"/>
          </w:tcPr>
          <w:p w14:paraId="3A84616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5.38</w:t>
            </w:r>
          </w:p>
        </w:tc>
      </w:tr>
      <w:tr w14:paraId="0EA3A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83" w:type="dxa"/>
            <w:noWrap w:val="0"/>
            <w:vAlign w:val="center"/>
          </w:tcPr>
          <w:p w14:paraId="3E36AE3B">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4</w:t>
            </w:r>
          </w:p>
        </w:tc>
        <w:tc>
          <w:tcPr>
            <w:tcW w:w="4528" w:type="dxa"/>
            <w:noWrap w:val="0"/>
            <w:vAlign w:val="center"/>
          </w:tcPr>
          <w:p w14:paraId="04F11F59">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覆土（运距500～600米）</w:t>
            </w:r>
          </w:p>
        </w:tc>
        <w:tc>
          <w:tcPr>
            <w:tcW w:w="1363" w:type="dxa"/>
            <w:noWrap w:val="0"/>
            <w:vAlign w:val="center"/>
          </w:tcPr>
          <w:p w14:paraId="2BF7DD75">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100m³</w:t>
            </w:r>
          </w:p>
        </w:tc>
        <w:tc>
          <w:tcPr>
            <w:tcW w:w="1514" w:type="dxa"/>
            <w:noWrap w:val="0"/>
            <w:vAlign w:val="center"/>
          </w:tcPr>
          <w:p w14:paraId="345ADA37">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8.70</w:t>
            </w:r>
          </w:p>
        </w:tc>
      </w:tr>
      <w:tr w14:paraId="2EA92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83" w:type="dxa"/>
            <w:noWrap w:val="0"/>
            <w:vAlign w:val="center"/>
          </w:tcPr>
          <w:p w14:paraId="11675D1E">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w:t>
            </w:r>
          </w:p>
        </w:tc>
        <w:tc>
          <w:tcPr>
            <w:tcW w:w="4528" w:type="dxa"/>
            <w:noWrap w:val="0"/>
            <w:vAlign w:val="center"/>
          </w:tcPr>
          <w:p w14:paraId="24106BBF">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条播草籽</w:t>
            </w:r>
          </w:p>
        </w:tc>
        <w:tc>
          <w:tcPr>
            <w:tcW w:w="1363" w:type="dxa"/>
            <w:noWrap w:val="0"/>
            <w:vAlign w:val="center"/>
          </w:tcPr>
          <w:p w14:paraId="69B410EC">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公顷</w:t>
            </w:r>
          </w:p>
        </w:tc>
        <w:tc>
          <w:tcPr>
            <w:tcW w:w="1514" w:type="dxa"/>
            <w:noWrap w:val="0"/>
            <w:vAlign w:val="center"/>
          </w:tcPr>
          <w:p w14:paraId="3ED5846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0.29</w:t>
            </w:r>
          </w:p>
        </w:tc>
      </w:tr>
      <w:tr w14:paraId="3197A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83" w:type="dxa"/>
            <w:noWrap w:val="0"/>
            <w:vAlign w:val="center"/>
          </w:tcPr>
          <w:p w14:paraId="01AF5E88">
            <w:pPr>
              <w:spacing w:line="300" w:lineRule="exact"/>
              <w:jc w:val="center"/>
              <w:rPr>
                <w:rFonts w:hint="eastAsia" w:ascii="Times New Roman" w:hAnsi="Times New Roman" w:eastAsia="华文中宋" w:cs="Times New Roman"/>
                <w:b/>
                <w:bCs/>
                <w:szCs w:val="21"/>
                <w:lang w:val="en-US" w:eastAsia="zh-CN"/>
              </w:rPr>
            </w:pPr>
            <w:r>
              <w:rPr>
                <w:rFonts w:hint="eastAsia" w:ascii="Times New Roman" w:hAnsi="Times New Roman" w:eastAsia="华文中宋" w:cs="Times New Roman"/>
                <w:b/>
                <w:bCs/>
                <w:szCs w:val="21"/>
                <w:lang w:val="en-US" w:eastAsia="zh-CN"/>
              </w:rPr>
              <w:t>七</w:t>
            </w:r>
          </w:p>
        </w:tc>
        <w:tc>
          <w:tcPr>
            <w:tcW w:w="4528" w:type="dxa"/>
            <w:noWrap w:val="0"/>
            <w:vAlign w:val="center"/>
          </w:tcPr>
          <w:p w14:paraId="226F23C4">
            <w:pPr>
              <w:spacing w:line="300" w:lineRule="exact"/>
              <w:jc w:val="center"/>
              <w:rPr>
                <w:rFonts w:hint="eastAsia" w:ascii="Times New Roman" w:hAnsi="Times New Roman" w:eastAsia="华文中宋" w:cs="Times New Roman"/>
                <w:b/>
                <w:bCs/>
                <w:szCs w:val="21"/>
                <w:lang w:val="en-US" w:eastAsia="zh-CN"/>
              </w:rPr>
            </w:pPr>
            <w:r>
              <w:rPr>
                <w:rFonts w:hint="eastAsia" w:ascii="Times New Roman" w:hAnsi="Times New Roman" w:eastAsia="华文中宋" w:cs="Times New Roman"/>
                <w:b/>
                <w:bCs/>
                <w:szCs w:val="21"/>
                <w:lang w:val="en-US" w:eastAsia="zh-CN"/>
              </w:rPr>
              <w:t>矿山道路土地复垦工程</w:t>
            </w:r>
          </w:p>
        </w:tc>
        <w:tc>
          <w:tcPr>
            <w:tcW w:w="1363" w:type="dxa"/>
            <w:noWrap w:val="0"/>
            <w:vAlign w:val="center"/>
          </w:tcPr>
          <w:p w14:paraId="46C35391">
            <w:pPr>
              <w:spacing w:line="300" w:lineRule="exact"/>
              <w:jc w:val="center"/>
              <w:rPr>
                <w:rFonts w:hint="eastAsia" w:ascii="Times New Roman" w:hAnsi="Times New Roman" w:eastAsia="华文中宋" w:cs="Times New Roman"/>
                <w:szCs w:val="21"/>
                <w:lang w:val="en-US" w:eastAsia="zh-CN"/>
              </w:rPr>
            </w:pPr>
          </w:p>
        </w:tc>
        <w:tc>
          <w:tcPr>
            <w:tcW w:w="1514" w:type="dxa"/>
            <w:noWrap w:val="0"/>
            <w:vAlign w:val="center"/>
          </w:tcPr>
          <w:p w14:paraId="32D808DF">
            <w:pPr>
              <w:spacing w:line="300" w:lineRule="exact"/>
              <w:jc w:val="center"/>
              <w:rPr>
                <w:rFonts w:hint="eastAsia" w:ascii="Times New Roman" w:hAnsi="Times New Roman" w:eastAsia="华文中宋" w:cs="Times New Roman"/>
                <w:szCs w:val="21"/>
                <w:lang w:val="en-US" w:eastAsia="zh-CN"/>
              </w:rPr>
            </w:pPr>
          </w:p>
        </w:tc>
      </w:tr>
      <w:tr w14:paraId="728E3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83" w:type="dxa"/>
            <w:noWrap w:val="0"/>
            <w:vAlign w:val="center"/>
          </w:tcPr>
          <w:p w14:paraId="7311BF5C">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w:t>
            </w:r>
          </w:p>
        </w:tc>
        <w:tc>
          <w:tcPr>
            <w:tcW w:w="4528" w:type="dxa"/>
            <w:noWrap w:val="0"/>
            <w:vAlign w:val="center"/>
          </w:tcPr>
          <w:p w14:paraId="009DB93A">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场地平整</w:t>
            </w:r>
          </w:p>
        </w:tc>
        <w:tc>
          <w:tcPr>
            <w:tcW w:w="1363" w:type="dxa"/>
            <w:noWrap w:val="0"/>
            <w:vAlign w:val="center"/>
          </w:tcPr>
          <w:p w14:paraId="51E63E55">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100m³</w:t>
            </w:r>
          </w:p>
        </w:tc>
        <w:tc>
          <w:tcPr>
            <w:tcW w:w="1514" w:type="dxa"/>
            <w:noWrap w:val="0"/>
            <w:vAlign w:val="center"/>
          </w:tcPr>
          <w:p w14:paraId="6FAE30A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10.20</w:t>
            </w:r>
          </w:p>
        </w:tc>
      </w:tr>
      <w:tr w14:paraId="6689B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83" w:type="dxa"/>
            <w:noWrap w:val="0"/>
            <w:vAlign w:val="center"/>
          </w:tcPr>
          <w:p w14:paraId="3659C698">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w:t>
            </w:r>
          </w:p>
        </w:tc>
        <w:tc>
          <w:tcPr>
            <w:tcW w:w="4528" w:type="dxa"/>
            <w:noWrap w:val="0"/>
            <w:vAlign w:val="center"/>
          </w:tcPr>
          <w:p w14:paraId="679F882E">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覆土（运距400米）</w:t>
            </w:r>
          </w:p>
        </w:tc>
        <w:tc>
          <w:tcPr>
            <w:tcW w:w="1363" w:type="dxa"/>
            <w:noWrap w:val="0"/>
            <w:vAlign w:val="center"/>
          </w:tcPr>
          <w:p w14:paraId="3478AAF6">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100m³</w:t>
            </w:r>
          </w:p>
        </w:tc>
        <w:tc>
          <w:tcPr>
            <w:tcW w:w="1514" w:type="dxa"/>
            <w:noWrap w:val="0"/>
            <w:vAlign w:val="center"/>
          </w:tcPr>
          <w:p w14:paraId="66FC071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30.60</w:t>
            </w:r>
          </w:p>
        </w:tc>
      </w:tr>
      <w:tr w14:paraId="4F163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83" w:type="dxa"/>
            <w:noWrap w:val="0"/>
            <w:vAlign w:val="center"/>
          </w:tcPr>
          <w:p w14:paraId="77EAAF8C">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w:t>
            </w:r>
          </w:p>
        </w:tc>
        <w:tc>
          <w:tcPr>
            <w:tcW w:w="4528" w:type="dxa"/>
            <w:noWrap w:val="0"/>
            <w:vAlign w:val="center"/>
          </w:tcPr>
          <w:p w14:paraId="4474E52A">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条播草籽</w:t>
            </w:r>
          </w:p>
        </w:tc>
        <w:tc>
          <w:tcPr>
            <w:tcW w:w="1363" w:type="dxa"/>
            <w:noWrap w:val="0"/>
            <w:vAlign w:val="center"/>
          </w:tcPr>
          <w:p w14:paraId="23F6A824">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公顷</w:t>
            </w:r>
          </w:p>
        </w:tc>
        <w:tc>
          <w:tcPr>
            <w:tcW w:w="1514" w:type="dxa"/>
            <w:noWrap w:val="0"/>
            <w:vAlign w:val="center"/>
          </w:tcPr>
          <w:p w14:paraId="3CB7D5B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1.02</w:t>
            </w:r>
          </w:p>
        </w:tc>
      </w:tr>
      <w:tr w14:paraId="6143F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83" w:type="dxa"/>
            <w:noWrap w:val="0"/>
            <w:vAlign w:val="center"/>
          </w:tcPr>
          <w:p w14:paraId="1E455539">
            <w:pPr>
              <w:spacing w:line="300" w:lineRule="exact"/>
              <w:jc w:val="center"/>
              <w:rPr>
                <w:rFonts w:hint="eastAsia" w:ascii="Times New Roman" w:hAnsi="Times New Roman" w:eastAsia="华文中宋" w:cs="Times New Roman"/>
                <w:b/>
                <w:bCs/>
                <w:szCs w:val="21"/>
                <w:lang w:val="en-US" w:eastAsia="zh-CN"/>
              </w:rPr>
            </w:pPr>
            <w:r>
              <w:rPr>
                <w:rFonts w:hint="eastAsia" w:ascii="Times New Roman" w:hAnsi="Times New Roman" w:eastAsia="华文中宋" w:cs="Times New Roman"/>
                <w:b/>
                <w:bCs/>
                <w:szCs w:val="21"/>
                <w:lang w:val="en-US" w:eastAsia="zh-CN"/>
              </w:rPr>
              <w:t>八</w:t>
            </w:r>
          </w:p>
        </w:tc>
        <w:tc>
          <w:tcPr>
            <w:tcW w:w="4528" w:type="dxa"/>
            <w:noWrap w:val="0"/>
            <w:vAlign w:val="center"/>
          </w:tcPr>
          <w:p w14:paraId="30A26E24">
            <w:pPr>
              <w:spacing w:line="300" w:lineRule="exact"/>
              <w:jc w:val="center"/>
              <w:rPr>
                <w:rFonts w:hint="eastAsia" w:ascii="Times New Roman" w:hAnsi="Times New Roman" w:eastAsia="华文中宋" w:cs="Times New Roman"/>
                <w:b/>
                <w:bCs/>
                <w:szCs w:val="21"/>
                <w:lang w:val="en-US" w:eastAsia="zh-CN"/>
              </w:rPr>
            </w:pPr>
            <w:r>
              <w:rPr>
                <w:rFonts w:hint="eastAsia" w:ascii="Times New Roman" w:hAnsi="Times New Roman" w:eastAsia="华文中宋" w:cs="Times New Roman"/>
                <w:b/>
                <w:bCs/>
                <w:szCs w:val="21"/>
                <w:lang w:val="en-US" w:eastAsia="zh-CN"/>
              </w:rPr>
              <w:t>表土堆放场土地复垦工程</w:t>
            </w:r>
          </w:p>
        </w:tc>
        <w:tc>
          <w:tcPr>
            <w:tcW w:w="1363" w:type="dxa"/>
            <w:noWrap w:val="0"/>
            <w:vAlign w:val="center"/>
          </w:tcPr>
          <w:p w14:paraId="68FE0DF9">
            <w:pPr>
              <w:spacing w:line="300" w:lineRule="exact"/>
              <w:jc w:val="center"/>
              <w:rPr>
                <w:rFonts w:hint="eastAsia" w:ascii="Times New Roman" w:hAnsi="Times New Roman" w:eastAsia="华文中宋" w:cs="Times New Roman"/>
                <w:szCs w:val="21"/>
                <w:lang w:val="en-US" w:eastAsia="zh-CN"/>
              </w:rPr>
            </w:pPr>
          </w:p>
        </w:tc>
        <w:tc>
          <w:tcPr>
            <w:tcW w:w="1514" w:type="dxa"/>
            <w:noWrap w:val="0"/>
            <w:vAlign w:val="center"/>
          </w:tcPr>
          <w:p w14:paraId="143413FD">
            <w:pPr>
              <w:spacing w:line="300" w:lineRule="exact"/>
              <w:jc w:val="center"/>
              <w:rPr>
                <w:rFonts w:hint="eastAsia" w:ascii="Times New Roman" w:hAnsi="Times New Roman" w:eastAsia="华文中宋" w:cs="Times New Roman"/>
                <w:szCs w:val="21"/>
                <w:lang w:val="en-US" w:eastAsia="zh-CN"/>
              </w:rPr>
            </w:pPr>
          </w:p>
        </w:tc>
      </w:tr>
      <w:tr w14:paraId="09FCC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83" w:type="dxa"/>
            <w:noWrap w:val="0"/>
            <w:vAlign w:val="center"/>
          </w:tcPr>
          <w:p w14:paraId="0C7F5E63">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w:t>
            </w:r>
          </w:p>
        </w:tc>
        <w:tc>
          <w:tcPr>
            <w:tcW w:w="4528" w:type="dxa"/>
            <w:noWrap w:val="0"/>
            <w:vAlign w:val="center"/>
          </w:tcPr>
          <w:p w14:paraId="6CE3A9F9">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场地平整</w:t>
            </w:r>
          </w:p>
        </w:tc>
        <w:tc>
          <w:tcPr>
            <w:tcW w:w="1363" w:type="dxa"/>
            <w:noWrap w:val="0"/>
            <w:vAlign w:val="center"/>
          </w:tcPr>
          <w:p w14:paraId="5E859E82">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100m³</w:t>
            </w:r>
          </w:p>
        </w:tc>
        <w:tc>
          <w:tcPr>
            <w:tcW w:w="1514" w:type="dxa"/>
            <w:noWrap w:val="0"/>
            <w:vAlign w:val="center"/>
          </w:tcPr>
          <w:p w14:paraId="71FD6E5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16.00</w:t>
            </w:r>
          </w:p>
        </w:tc>
      </w:tr>
      <w:tr w14:paraId="4FDDB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983" w:type="dxa"/>
            <w:noWrap w:val="0"/>
            <w:vAlign w:val="center"/>
          </w:tcPr>
          <w:p w14:paraId="2B849563">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w:t>
            </w:r>
          </w:p>
        </w:tc>
        <w:tc>
          <w:tcPr>
            <w:tcW w:w="4528" w:type="dxa"/>
            <w:noWrap w:val="0"/>
            <w:vAlign w:val="center"/>
          </w:tcPr>
          <w:p w14:paraId="1C2E563D">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条播草籽</w:t>
            </w:r>
          </w:p>
        </w:tc>
        <w:tc>
          <w:tcPr>
            <w:tcW w:w="1363" w:type="dxa"/>
            <w:noWrap w:val="0"/>
            <w:vAlign w:val="center"/>
          </w:tcPr>
          <w:p w14:paraId="14F24966">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公顷</w:t>
            </w:r>
          </w:p>
        </w:tc>
        <w:tc>
          <w:tcPr>
            <w:tcW w:w="1514" w:type="dxa"/>
            <w:noWrap w:val="0"/>
            <w:vAlign w:val="center"/>
          </w:tcPr>
          <w:p w14:paraId="2DB65DC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0.8</w:t>
            </w:r>
          </w:p>
        </w:tc>
      </w:tr>
    </w:tbl>
    <w:p w14:paraId="643786A9">
      <w:pPr>
        <w:rPr>
          <w:rFonts w:hint="default" w:ascii="Times New Roman" w:hAnsi="Times New Roman" w:eastAsia="华文中宋" w:cs="Times New Roman"/>
          <w:snapToGrid w:val="0"/>
          <w:kern w:val="0"/>
          <w:sz w:val="28"/>
          <w:szCs w:val="28"/>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204"/>
    <w:bookmarkEnd w:id="205"/>
    <w:bookmarkEnd w:id="206"/>
    <w:bookmarkEnd w:id="207"/>
    <w:bookmarkEnd w:id="208"/>
    <w:bookmarkEnd w:id="209"/>
    <w:bookmarkEnd w:id="210"/>
    <w:p w14:paraId="0C704551">
      <w:pPr>
        <w:pStyle w:val="2"/>
        <w:pageBreakBefore/>
        <w:spacing w:before="250" w:beforeLines="50" w:after="250" w:afterLines="50" w:line="560" w:lineRule="exact"/>
        <w:rPr>
          <w:rFonts w:hint="default" w:ascii="Times New Roman" w:hAnsi="Times New Roman" w:eastAsia="华文中宋" w:cs="Times New Roman"/>
          <w:snapToGrid w:val="0"/>
          <w:spacing w:val="2"/>
          <w:sz w:val="36"/>
          <w:szCs w:val="44"/>
          <w:lang w:val="zh-CN"/>
        </w:rPr>
      </w:pPr>
      <w:bookmarkStart w:id="274" w:name="_Toc28633"/>
      <w:bookmarkStart w:id="275" w:name="_Toc4870"/>
      <w:r>
        <w:rPr>
          <w:rFonts w:hint="default" w:ascii="Times New Roman" w:hAnsi="Times New Roman" w:eastAsia="华文中宋" w:cs="Times New Roman"/>
          <w:snapToGrid w:val="0"/>
          <w:spacing w:val="2"/>
          <w:sz w:val="36"/>
          <w:szCs w:val="44"/>
          <w:lang w:val="en-US" w:eastAsia="zh-CN"/>
        </w:rPr>
        <w:t>7</w:t>
      </w:r>
      <w:r>
        <w:rPr>
          <w:rFonts w:hint="default" w:ascii="Times New Roman" w:hAnsi="Times New Roman" w:eastAsia="华文中宋" w:cs="Times New Roman"/>
          <w:snapToGrid w:val="0"/>
          <w:spacing w:val="2"/>
          <w:sz w:val="36"/>
          <w:szCs w:val="44"/>
          <w:lang w:val="zh-CN"/>
        </w:rPr>
        <w:t>环境影响经济损益分析</w:t>
      </w:r>
      <w:bookmarkEnd w:id="274"/>
      <w:bookmarkEnd w:id="275"/>
    </w:p>
    <w:p w14:paraId="6B4AC737">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通过对本工程的经济效益、社会效益和环境效益进行分析比较，得出环境保护与经济之间的相互促进，相互制约的关系。分析建设项目的社会、经济和环境损益，评价建设项目环境保护投资的合理性以及环境保护投资的效益，促进项目建设的社会、经济和环境效益的协调统一和可持续发展。</w:t>
      </w:r>
    </w:p>
    <w:p w14:paraId="7BE0FDAC">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本项目的环境经济损益分析，旨在根据项目的特性、总投资及经济价值，分析其经济效益、环境效益和社会效益，并估算项目的环保投资，分析环保投入所能产生的经济效益。从经济效益、社会效益和环境效益协调统一的角度来讨论项目建设的意义。</w:t>
      </w:r>
    </w:p>
    <w:p w14:paraId="1D5F37AA">
      <w:pPr>
        <w:pStyle w:val="3"/>
        <w:spacing w:before="120" w:after="120" w:line="500" w:lineRule="exact"/>
        <w:ind w:left="375" w:hanging="375" w:firstLineChars="0"/>
        <w:contextualSpacing/>
        <w:rPr>
          <w:rFonts w:hint="default" w:ascii="Times New Roman" w:hAnsi="Times New Roman" w:eastAsia="华文中宋" w:cs="Times New Roman"/>
          <w:snapToGrid w:val="0"/>
          <w:kern w:val="0"/>
          <w:sz w:val="28"/>
          <w:szCs w:val="28"/>
          <w:lang w:val="zh-CN"/>
        </w:rPr>
      </w:pPr>
      <w:bookmarkStart w:id="276" w:name="_Toc474609017"/>
      <w:bookmarkStart w:id="277" w:name="_Toc296444425"/>
      <w:bookmarkStart w:id="278" w:name="_Toc19189"/>
      <w:bookmarkStart w:id="279" w:name="_Toc9214"/>
      <w:bookmarkStart w:id="280" w:name="_Toc31924"/>
      <w:bookmarkStart w:id="281" w:name="_Toc30870"/>
      <w:bookmarkStart w:id="282" w:name="_Toc26875"/>
      <w:bookmarkStart w:id="283" w:name="_Toc8769"/>
      <w:bookmarkStart w:id="284" w:name="_Toc1479"/>
      <w:bookmarkStart w:id="285" w:name="_Toc6250"/>
      <w:bookmarkStart w:id="286" w:name="_Toc156"/>
      <w:bookmarkStart w:id="287" w:name="_Toc27035"/>
      <w:bookmarkStart w:id="288" w:name="_Toc31207"/>
      <w:r>
        <w:rPr>
          <w:rFonts w:hint="default" w:ascii="Times New Roman" w:hAnsi="Times New Roman" w:eastAsia="华文中宋" w:cs="Times New Roman"/>
          <w:snapToGrid w:val="0"/>
          <w:kern w:val="0"/>
          <w:sz w:val="28"/>
          <w:szCs w:val="28"/>
          <w:lang w:val="en-US" w:eastAsia="zh-CN"/>
        </w:rPr>
        <w:t>7</w:t>
      </w:r>
      <w:r>
        <w:rPr>
          <w:rFonts w:hint="default" w:ascii="Times New Roman" w:hAnsi="Times New Roman" w:eastAsia="华文中宋" w:cs="Times New Roman"/>
          <w:snapToGrid w:val="0"/>
          <w:kern w:val="0"/>
          <w:sz w:val="28"/>
          <w:szCs w:val="28"/>
          <w:lang w:val="zh-CN"/>
        </w:rPr>
        <w:t>.1</w:t>
      </w:r>
      <w:bookmarkEnd w:id="276"/>
      <w:bookmarkEnd w:id="277"/>
      <w:r>
        <w:rPr>
          <w:rFonts w:hint="default" w:ascii="Times New Roman" w:hAnsi="Times New Roman" w:eastAsia="华文中宋" w:cs="Times New Roman"/>
          <w:snapToGrid w:val="0"/>
          <w:kern w:val="0"/>
          <w:sz w:val="28"/>
          <w:szCs w:val="28"/>
          <w:lang w:val="zh-CN"/>
        </w:rPr>
        <w:t>环保投资估算</w:t>
      </w:r>
      <w:bookmarkEnd w:id="278"/>
      <w:bookmarkEnd w:id="279"/>
      <w:bookmarkEnd w:id="280"/>
      <w:bookmarkEnd w:id="281"/>
      <w:bookmarkEnd w:id="282"/>
      <w:bookmarkEnd w:id="283"/>
      <w:bookmarkEnd w:id="284"/>
      <w:bookmarkEnd w:id="285"/>
      <w:bookmarkEnd w:id="286"/>
      <w:bookmarkEnd w:id="287"/>
      <w:bookmarkEnd w:id="288"/>
    </w:p>
    <w:p w14:paraId="72B417D0">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rPr>
        <w:t>项目环境保护投资见表</w:t>
      </w:r>
      <w:r>
        <w:rPr>
          <w:rFonts w:hint="default" w:ascii="Times New Roman" w:hAnsi="Times New Roman" w:eastAsia="华文中宋" w:cs="Times New Roman"/>
          <w:color w:val="auto"/>
          <w:lang w:val="en-US" w:eastAsia="zh-CN"/>
        </w:rPr>
        <w:t>7</w:t>
      </w:r>
      <w:r>
        <w:rPr>
          <w:rFonts w:hint="default" w:ascii="Times New Roman" w:hAnsi="Times New Roman" w:eastAsia="华文中宋" w:cs="Times New Roman"/>
          <w:color w:val="auto"/>
        </w:rPr>
        <w:t>.1-1。</w:t>
      </w:r>
      <w:r>
        <w:rPr>
          <w:rFonts w:hint="default" w:ascii="Times New Roman" w:hAnsi="Times New Roman" w:eastAsia="华文中宋" w:cs="Times New Roman"/>
          <w:color w:val="auto"/>
          <w:lang w:val="en-US" w:eastAsia="zh-CN"/>
        </w:rPr>
        <w:t>本项目</w:t>
      </w:r>
      <w:r>
        <w:rPr>
          <w:rFonts w:hint="eastAsia" w:ascii="Times New Roman" w:hAnsi="Times New Roman" w:cs="Times New Roman"/>
          <w:color w:val="auto"/>
          <w:lang w:val="en-US" w:eastAsia="zh-CN"/>
        </w:rPr>
        <w:t>总投资6131万元，其中</w:t>
      </w:r>
      <w:r>
        <w:rPr>
          <w:rFonts w:hint="default" w:ascii="Times New Roman" w:hAnsi="Times New Roman" w:eastAsia="华文中宋" w:cs="Times New Roman"/>
          <w:color w:val="auto"/>
          <w:lang w:val="en-US" w:eastAsia="zh-CN"/>
        </w:rPr>
        <w:t>环保投资</w:t>
      </w:r>
      <w:r>
        <w:rPr>
          <w:rFonts w:hint="eastAsia" w:ascii="Times New Roman" w:hAnsi="Times New Roman" w:cs="Times New Roman"/>
          <w:color w:val="auto"/>
          <w:lang w:val="en-US" w:eastAsia="zh-CN"/>
        </w:rPr>
        <w:t>821</w:t>
      </w:r>
      <w:r>
        <w:rPr>
          <w:rFonts w:hint="default" w:ascii="Times New Roman" w:hAnsi="Times New Roman" w:eastAsia="华文中宋" w:cs="Times New Roman"/>
          <w:color w:val="auto"/>
          <w:lang w:val="en-US" w:eastAsia="zh-CN"/>
        </w:rPr>
        <w:t>万元，</w:t>
      </w:r>
      <w:r>
        <w:rPr>
          <w:rFonts w:hint="eastAsia" w:ascii="Times New Roman" w:hAnsi="Times New Roman" w:cs="Times New Roman"/>
          <w:color w:val="auto"/>
          <w:lang w:val="en-US" w:eastAsia="zh-CN"/>
        </w:rPr>
        <w:t>环保投资</w:t>
      </w:r>
      <w:r>
        <w:rPr>
          <w:rFonts w:hint="default" w:ascii="Times New Roman" w:hAnsi="Times New Roman" w:eastAsia="华文中宋" w:cs="Times New Roman"/>
          <w:color w:val="auto"/>
          <w:lang w:val="en-US" w:eastAsia="zh-CN"/>
        </w:rPr>
        <w:t>占总投资的</w:t>
      </w:r>
      <w:r>
        <w:rPr>
          <w:rFonts w:hint="eastAsia" w:ascii="Times New Roman" w:hAnsi="Times New Roman" w:cs="Times New Roman"/>
          <w:color w:val="auto"/>
          <w:lang w:val="en-US" w:eastAsia="zh-CN"/>
        </w:rPr>
        <w:t>13.391</w:t>
      </w:r>
      <w:r>
        <w:rPr>
          <w:rFonts w:hint="default" w:ascii="Times New Roman" w:hAnsi="Times New Roman" w:eastAsia="华文中宋" w:cs="Times New Roman"/>
          <w:color w:val="auto"/>
          <w:lang w:val="en-US" w:eastAsia="zh-CN"/>
        </w:rPr>
        <w:t>%。</w:t>
      </w:r>
    </w:p>
    <w:p w14:paraId="04ADA313">
      <w:pPr>
        <w:adjustRightInd w:val="0"/>
        <w:snapToGrid w:val="0"/>
        <w:spacing w:before="250" w:beforeLines="50"/>
        <w:ind w:firstLine="422" w:firstLineChars="200"/>
        <w:jc w:val="center"/>
        <w:rPr>
          <w:rFonts w:hint="default" w:ascii="Times New Roman" w:hAnsi="Times New Roman" w:eastAsia="华文中宋" w:cs="Times New Roman"/>
          <w:b/>
          <w:szCs w:val="21"/>
        </w:rPr>
      </w:pPr>
      <w:r>
        <w:rPr>
          <w:rFonts w:hint="default" w:ascii="Times New Roman" w:hAnsi="Times New Roman" w:eastAsia="华文中宋" w:cs="Times New Roman"/>
          <w:b/>
          <w:szCs w:val="21"/>
        </w:rPr>
        <w:t>表</w:t>
      </w:r>
      <w:r>
        <w:rPr>
          <w:rFonts w:hint="default" w:ascii="Times New Roman" w:hAnsi="Times New Roman" w:eastAsia="华文中宋" w:cs="Times New Roman"/>
          <w:b/>
          <w:szCs w:val="21"/>
          <w:lang w:val="en-US" w:eastAsia="zh-CN"/>
        </w:rPr>
        <w:t>7</w:t>
      </w:r>
      <w:r>
        <w:rPr>
          <w:rFonts w:hint="default" w:ascii="Times New Roman" w:hAnsi="Times New Roman" w:eastAsia="华文中宋" w:cs="Times New Roman"/>
          <w:b/>
          <w:szCs w:val="21"/>
        </w:rPr>
        <w:t>.1-1</w:t>
      </w:r>
      <w:r>
        <w:rPr>
          <w:rFonts w:hint="eastAsia" w:ascii="Times New Roman" w:hAnsi="Times New Roman" w:eastAsia="华文中宋" w:cs="Times New Roman"/>
          <w:b/>
          <w:szCs w:val="21"/>
          <w:lang w:val="en-US" w:eastAsia="zh-CN"/>
        </w:rPr>
        <w:t xml:space="preserve">  </w:t>
      </w:r>
      <w:r>
        <w:rPr>
          <w:rFonts w:hint="default" w:ascii="Times New Roman" w:hAnsi="Times New Roman" w:eastAsia="华文中宋" w:cs="Times New Roman"/>
          <w:b/>
          <w:szCs w:val="21"/>
        </w:rPr>
        <w:t>环保投资估算单位：万元</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802"/>
        <w:gridCol w:w="1062"/>
        <w:gridCol w:w="1459"/>
        <w:gridCol w:w="4233"/>
        <w:gridCol w:w="963"/>
      </w:tblGrid>
      <w:tr w14:paraId="5C37CDD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52" w:hRule="atLeast"/>
        </w:trPr>
        <w:tc>
          <w:tcPr>
            <w:tcW w:w="471" w:type="pct"/>
            <w:tcBorders>
              <w:tl2br w:val="nil"/>
              <w:tr2bl w:val="nil"/>
            </w:tcBorders>
            <w:noWrap w:val="0"/>
            <w:vAlign w:val="center"/>
          </w:tcPr>
          <w:p w14:paraId="22F72F57">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时段</w:t>
            </w:r>
          </w:p>
        </w:tc>
        <w:tc>
          <w:tcPr>
            <w:tcW w:w="623" w:type="pct"/>
            <w:tcBorders>
              <w:tl2br w:val="nil"/>
              <w:tr2bl w:val="nil"/>
            </w:tcBorders>
            <w:noWrap w:val="0"/>
            <w:vAlign w:val="center"/>
          </w:tcPr>
          <w:p w14:paraId="5E994D3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污染类别</w:t>
            </w:r>
          </w:p>
        </w:tc>
        <w:tc>
          <w:tcPr>
            <w:tcW w:w="856" w:type="pct"/>
            <w:tcBorders>
              <w:tl2br w:val="nil"/>
              <w:tr2bl w:val="nil"/>
            </w:tcBorders>
            <w:noWrap w:val="0"/>
            <w:vAlign w:val="center"/>
          </w:tcPr>
          <w:p w14:paraId="2A2743B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污染源</w:t>
            </w:r>
          </w:p>
        </w:tc>
        <w:tc>
          <w:tcPr>
            <w:tcW w:w="2483" w:type="pct"/>
            <w:tcBorders>
              <w:tl2br w:val="nil"/>
              <w:tr2bl w:val="nil"/>
            </w:tcBorders>
            <w:noWrap w:val="0"/>
            <w:vAlign w:val="center"/>
          </w:tcPr>
          <w:p w14:paraId="0874A7F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环保设施</w:t>
            </w:r>
          </w:p>
        </w:tc>
        <w:tc>
          <w:tcPr>
            <w:tcW w:w="565" w:type="pct"/>
            <w:tcBorders>
              <w:tl2br w:val="nil"/>
              <w:tr2bl w:val="nil"/>
            </w:tcBorders>
            <w:noWrap w:val="0"/>
            <w:vAlign w:val="center"/>
          </w:tcPr>
          <w:p w14:paraId="14CE62B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投资</w:t>
            </w:r>
          </w:p>
        </w:tc>
      </w:tr>
      <w:tr w14:paraId="12C4922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70" w:hRule="atLeast"/>
        </w:trPr>
        <w:tc>
          <w:tcPr>
            <w:tcW w:w="471" w:type="pct"/>
            <w:vMerge w:val="restart"/>
            <w:tcBorders>
              <w:tl2br w:val="nil"/>
              <w:tr2bl w:val="nil"/>
            </w:tcBorders>
            <w:noWrap w:val="0"/>
            <w:vAlign w:val="center"/>
          </w:tcPr>
          <w:p w14:paraId="0B049B9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施工期</w:t>
            </w:r>
          </w:p>
        </w:tc>
        <w:tc>
          <w:tcPr>
            <w:tcW w:w="623" w:type="pct"/>
            <w:tcBorders>
              <w:tl2br w:val="nil"/>
              <w:tr2bl w:val="nil"/>
            </w:tcBorders>
            <w:noWrap w:val="0"/>
            <w:vAlign w:val="center"/>
          </w:tcPr>
          <w:p w14:paraId="0F7FE52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废气</w:t>
            </w:r>
          </w:p>
        </w:tc>
        <w:tc>
          <w:tcPr>
            <w:tcW w:w="856" w:type="pct"/>
            <w:tcBorders>
              <w:tl2br w:val="nil"/>
              <w:tr2bl w:val="nil"/>
            </w:tcBorders>
            <w:noWrap w:val="0"/>
            <w:vAlign w:val="center"/>
          </w:tcPr>
          <w:p w14:paraId="30C61D9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施工扬尘</w:t>
            </w:r>
          </w:p>
        </w:tc>
        <w:tc>
          <w:tcPr>
            <w:tcW w:w="2483" w:type="pct"/>
            <w:tcBorders>
              <w:tl2br w:val="nil"/>
              <w:tr2bl w:val="nil"/>
            </w:tcBorders>
            <w:noWrap w:val="0"/>
            <w:vAlign w:val="center"/>
          </w:tcPr>
          <w:p w14:paraId="00B69FA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洒水</w:t>
            </w:r>
            <w:r>
              <w:rPr>
                <w:rFonts w:hint="default" w:ascii="Times New Roman" w:hAnsi="Times New Roman" w:eastAsia="华文中宋" w:cs="Times New Roman"/>
                <w:szCs w:val="21"/>
                <w:lang w:val="en-US" w:eastAsia="zh-CN"/>
              </w:rPr>
              <w:t>车</w:t>
            </w:r>
          </w:p>
        </w:tc>
        <w:tc>
          <w:tcPr>
            <w:tcW w:w="565" w:type="pct"/>
            <w:tcBorders>
              <w:tl2br w:val="nil"/>
              <w:tr2bl w:val="nil"/>
            </w:tcBorders>
            <w:noWrap w:val="0"/>
            <w:vAlign w:val="center"/>
          </w:tcPr>
          <w:p w14:paraId="68C3E0C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5</w:t>
            </w:r>
          </w:p>
        </w:tc>
      </w:tr>
      <w:tr w14:paraId="6B2C68B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708" w:hRule="atLeast"/>
        </w:trPr>
        <w:tc>
          <w:tcPr>
            <w:tcW w:w="471" w:type="pct"/>
            <w:vMerge w:val="continue"/>
            <w:tcBorders>
              <w:tl2br w:val="nil"/>
              <w:tr2bl w:val="nil"/>
            </w:tcBorders>
            <w:noWrap w:val="0"/>
            <w:vAlign w:val="center"/>
          </w:tcPr>
          <w:p w14:paraId="4C856A7A">
            <w:pPr>
              <w:spacing w:line="300" w:lineRule="exact"/>
              <w:jc w:val="center"/>
              <w:rPr>
                <w:rFonts w:hint="default" w:ascii="Times New Roman" w:hAnsi="Times New Roman" w:eastAsia="华文中宋" w:cs="Times New Roman"/>
                <w:szCs w:val="21"/>
              </w:rPr>
            </w:pPr>
          </w:p>
        </w:tc>
        <w:tc>
          <w:tcPr>
            <w:tcW w:w="623" w:type="pct"/>
            <w:tcBorders>
              <w:tl2br w:val="nil"/>
              <w:tr2bl w:val="nil"/>
            </w:tcBorders>
            <w:noWrap w:val="0"/>
            <w:vAlign w:val="center"/>
          </w:tcPr>
          <w:p w14:paraId="440A2CB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废水</w:t>
            </w:r>
          </w:p>
        </w:tc>
        <w:tc>
          <w:tcPr>
            <w:tcW w:w="856" w:type="pct"/>
            <w:tcBorders>
              <w:tl2br w:val="nil"/>
              <w:tr2bl w:val="nil"/>
            </w:tcBorders>
            <w:noWrap w:val="0"/>
            <w:vAlign w:val="center"/>
          </w:tcPr>
          <w:p w14:paraId="5981694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生活废水</w:t>
            </w:r>
          </w:p>
        </w:tc>
        <w:tc>
          <w:tcPr>
            <w:tcW w:w="2483" w:type="pct"/>
            <w:tcBorders>
              <w:tl2br w:val="nil"/>
              <w:tr2bl w:val="nil"/>
            </w:tcBorders>
            <w:noWrap w:val="0"/>
            <w:vAlign w:val="center"/>
          </w:tcPr>
          <w:p w14:paraId="34E37AD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地埋式一体化污水处理设施1套，处理规模10m</w:t>
            </w:r>
            <w:r>
              <w:rPr>
                <w:rFonts w:hint="default" w:ascii="Times New Roman" w:hAnsi="Times New Roman" w:eastAsia="华文中宋" w:cs="Times New Roman"/>
                <w:szCs w:val="21"/>
                <w:vertAlign w:val="superscript"/>
                <w:lang w:val="en-US" w:eastAsia="zh-CN"/>
              </w:rPr>
              <w:t>3</w:t>
            </w:r>
            <w:r>
              <w:rPr>
                <w:rFonts w:hint="default" w:ascii="Times New Roman" w:hAnsi="Times New Roman" w:eastAsia="华文中宋" w:cs="Times New Roman"/>
                <w:szCs w:val="21"/>
                <w:lang w:val="en-US" w:eastAsia="zh-CN"/>
              </w:rPr>
              <w:t>/d，并配套一座容积10m</w:t>
            </w:r>
            <w:r>
              <w:rPr>
                <w:rFonts w:hint="default" w:ascii="Times New Roman" w:hAnsi="Times New Roman" w:eastAsia="华文中宋" w:cs="Times New Roman"/>
                <w:szCs w:val="21"/>
                <w:vertAlign w:val="superscript"/>
                <w:lang w:val="en-US" w:eastAsia="zh-CN"/>
              </w:rPr>
              <w:t>3</w:t>
            </w:r>
            <w:r>
              <w:rPr>
                <w:rFonts w:hint="default" w:ascii="Times New Roman" w:hAnsi="Times New Roman" w:eastAsia="华文中宋" w:cs="Times New Roman"/>
                <w:szCs w:val="21"/>
                <w:lang w:val="en-US" w:eastAsia="zh-CN"/>
              </w:rPr>
              <w:t>的应急池一座</w:t>
            </w:r>
            <w:r>
              <w:rPr>
                <w:rFonts w:hint="eastAsia" w:ascii="Times New Roman" w:hAnsi="Times New Roman" w:eastAsia="华文中宋" w:cs="Times New Roman"/>
                <w:szCs w:val="21"/>
                <w:lang w:val="en-US" w:eastAsia="zh-CN"/>
              </w:rPr>
              <w:t>。</w:t>
            </w:r>
          </w:p>
        </w:tc>
        <w:tc>
          <w:tcPr>
            <w:tcW w:w="565" w:type="pct"/>
            <w:tcBorders>
              <w:tl2br w:val="nil"/>
              <w:tr2bl w:val="nil"/>
            </w:tcBorders>
            <w:noWrap w:val="0"/>
            <w:vAlign w:val="center"/>
          </w:tcPr>
          <w:p w14:paraId="1754274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r>
      <w:tr w14:paraId="5ABFBD5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70" w:hRule="atLeast"/>
        </w:trPr>
        <w:tc>
          <w:tcPr>
            <w:tcW w:w="471" w:type="pct"/>
            <w:vMerge w:val="continue"/>
            <w:tcBorders>
              <w:tl2br w:val="nil"/>
              <w:tr2bl w:val="nil"/>
            </w:tcBorders>
            <w:noWrap w:val="0"/>
            <w:vAlign w:val="center"/>
          </w:tcPr>
          <w:p w14:paraId="306D9342">
            <w:pPr>
              <w:spacing w:line="300" w:lineRule="exact"/>
              <w:jc w:val="center"/>
              <w:rPr>
                <w:rFonts w:hint="default" w:ascii="Times New Roman" w:hAnsi="Times New Roman" w:eastAsia="华文中宋" w:cs="Times New Roman"/>
                <w:szCs w:val="21"/>
              </w:rPr>
            </w:pPr>
          </w:p>
        </w:tc>
        <w:tc>
          <w:tcPr>
            <w:tcW w:w="623" w:type="pct"/>
            <w:vMerge w:val="restart"/>
            <w:tcBorders>
              <w:tl2br w:val="nil"/>
              <w:tr2bl w:val="nil"/>
            </w:tcBorders>
            <w:noWrap w:val="0"/>
            <w:vAlign w:val="center"/>
          </w:tcPr>
          <w:p w14:paraId="7335D45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固废</w:t>
            </w:r>
          </w:p>
        </w:tc>
        <w:tc>
          <w:tcPr>
            <w:tcW w:w="856" w:type="pct"/>
            <w:tcBorders>
              <w:tl2br w:val="nil"/>
              <w:tr2bl w:val="nil"/>
            </w:tcBorders>
            <w:noWrap w:val="0"/>
            <w:vAlign w:val="center"/>
          </w:tcPr>
          <w:p w14:paraId="22F5156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生活垃圾</w:t>
            </w:r>
          </w:p>
        </w:tc>
        <w:tc>
          <w:tcPr>
            <w:tcW w:w="2483" w:type="pct"/>
            <w:tcBorders>
              <w:tl2br w:val="nil"/>
              <w:tr2bl w:val="nil"/>
            </w:tcBorders>
            <w:noWrap w:val="0"/>
            <w:vAlign w:val="center"/>
          </w:tcPr>
          <w:p w14:paraId="128F5FA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垃圾桶</w:t>
            </w:r>
            <w:r>
              <w:rPr>
                <w:rFonts w:hint="default" w:ascii="Times New Roman" w:hAnsi="Times New Roman" w:eastAsia="华文中宋" w:cs="Times New Roman"/>
                <w:szCs w:val="21"/>
                <w:lang w:val="en-US" w:eastAsia="zh-CN"/>
              </w:rPr>
              <w:t>及垃圾清运费</w:t>
            </w:r>
          </w:p>
        </w:tc>
        <w:tc>
          <w:tcPr>
            <w:tcW w:w="565" w:type="pct"/>
            <w:tcBorders>
              <w:tl2br w:val="nil"/>
              <w:tr2bl w:val="nil"/>
            </w:tcBorders>
            <w:noWrap w:val="0"/>
            <w:vAlign w:val="center"/>
          </w:tcPr>
          <w:p w14:paraId="2826B737">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w:t>
            </w:r>
          </w:p>
        </w:tc>
      </w:tr>
      <w:tr w14:paraId="68BD259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70" w:hRule="atLeast"/>
        </w:trPr>
        <w:tc>
          <w:tcPr>
            <w:tcW w:w="471" w:type="pct"/>
            <w:vMerge w:val="continue"/>
            <w:tcBorders>
              <w:tl2br w:val="nil"/>
              <w:tr2bl w:val="nil"/>
            </w:tcBorders>
            <w:noWrap w:val="0"/>
            <w:vAlign w:val="center"/>
          </w:tcPr>
          <w:p w14:paraId="4D0B1BAD">
            <w:pPr>
              <w:spacing w:line="300" w:lineRule="exact"/>
              <w:jc w:val="center"/>
              <w:rPr>
                <w:rFonts w:hint="default" w:ascii="Times New Roman" w:hAnsi="Times New Roman" w:eastAsia="华文中宋" w:cs="Times New Roman"/>
                <w:szCs w:val="21"/>
              </w:rPr>
            </w:pPr>
          </w:p>
        </w:tc>
        <w:tc>
          <w:tcPr>
            <w:tcW w:w="623" w:type="pct"/>
            <w:vMerge w:val="continue"/>
            <w:tcBorders>
              <w:tl2br w:val="nil"/>
              <w:tr2bl w:val="nil"/>
            </w:tcBorders>
            <w:noWrap w:val="0"/>
            <w:vAlign w:val="center"/>
          </w:tcPr>
          <w:p w14:paraId="6FAED8E5">
            <w:pPr>
              <w:spacing w:line="300" w:lineRule="exact"/>
              <w:jc w:val="center"/>
              <w:rPr>
                <w:rFonts w:hint="default" w:ascii="Times New Roman" w:hAnsi="Times New Roman" w:eastAsia="华文中宋" w:cs="Times New Roman"/>
                <w:szCs w:val="21"/>
              </w:rPr>
            </w:pPr>
          </w:p>
        </w:tc>
        <w:tc>
          <w:tcPr>
            <w:tcW w:w="856" w:type="pct"/>
            <w:tcBorders>
              <w:tl2br w:val="nil"/>
              <w:tr2bl w:val="nil"/>
            </w:tcBorders>
            <w:noWrap w:val="0"/>
            <w:vAlign w:val="center"/>
          </w:tcPr>
          <w:p w14:paraId="6CBBAEF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建筑垃圾</w:t>
            </w:r>
          </w:p>
        </w:tc>
        <w:tc>
          <w:tcPr>
            <w:tcW w:w="2483" w:type="pct"/>
            <w:tcBorders>
              <w:tl2br w:val="nil"/>
              <w:tr2bl w:val="nil"/>
            </w:tcBorders>
            <w:noWrap w:val="0"/>
            <w:vAlign w:val="center"/>
          </w:tcPr>
          <w:p w14:paraId="09E6CCD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建筑垃圾清运费</w:t>
            </w:r>
          </w:p>
        </w:tc>
        <w:tc>
          <w:tcPr>
            <w:tcW w:w="565" w:type="pct"/>
            <w:tcBorders>
              <w:tl2br w:val="nil"/>
              <w:tr2bl w:val="nil"/>
            </w:tcBorders>
            <w:noWrap w:val="0"/>
            <w:vAlign w:val="center"/>
          </w:tcPr>
          <w:p w14:paraId="543BDBB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1.5</w:t>
            </w:r>
          </w:p>
        </w:tc>
      </w:tr>
      <w:tr w14:paraId="5998847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70" w:hRule="atLeast"/>
        </w:trPr>
        <w:tc>
          <w:tcPr>
            <w:tcW w:w="471" w:type="pct"/>
            <w:vMerge w:val="continue"/>
            <w:tcBorders>
              <w:tl2br w:val="nil"/>
              <w:tr2bl w:val="nil"/>
            </w:tcBorders>
            <w:noWrap w:val="0"/>
            <w:vAlign w:val="center"/>
          </w:tcPr>
          <w:p w14:paraId="3B6B9474">
            <w:pPr>
              <w:spacing w:line="300" w:lineRule="exact"/>
              <w:jc w:val="center"/>
              <w:rPr>
                <w:rFonts w:hint="default" w:ascii="Times New Roman" w:hAnsi="Times New Roman" w:eastAsia="华文中宋" w:cs="Times New Roman"/>
                <w:szCs w:val="21"/>
              </w:rPr>
            </w:pPr>
          </w:p>
        </w:tc>
        <w:tc>
          <w:tcPr>
            <w:tcW w:w="623" w:type="pct"/>
            <w:tcBorders>
              <w:tl2br w:val="nil"/>
              <w:tr2bl w:val="nil"/>
            </w:tcBorders>
            <w:noWrap w:val="0"/>
            <w:vAlign w:val="center"/>
          </w:tcPr>
          <w:p w14:paraId="7B87D941">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生态</w:t>
            </w:r>
          </w:p>
        </w:tc>
        <w:tc>
          <w:tcPr>
            <w:tcW w:w="3340" w:type="pct"/>
            <w:gridSpan w:val="2"/>
            <w:tcBorders>
              <w:tl2br w:val="nil"/>
              <w:tr2bl w:val="nil"/>
            </w:tcBorders>
            <w:noWrap w:val="0"/>
            <w:vAlign w:val="center"/>
          </w:tcPr>
          <w:p w14:paraId="6AD81DA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生态恢复，施工迹地</w:t>
            </w:r>
            <w:r>
              <w:rPr>
                <w:rFonts w:hint="default" w:ascii="Times New Roman" w:hAnsi="Times New Roman" w:eastAsia="华文中宋" w:cs="Times New Roman"/>
                <w:szCs w:val="21"/>
                <w:lang w:val="en-US" w:eastAsia="zh-CN"/>
              </w:rPr>
              <w:t>恢复</w:t>
            </w:r>
          </w:p>
        </w:tc>
        <w:tc>
          <w:tcPr>
            <w:tcW w:w="565" w:type="pct"/>
            <w:tcBorders>
              <w:tl2br w:val="nil"/>
              <w:tr2bl w:val="nil"/>
            </w:tcBorders>
            <w:noWrap w:val="0"/>
            <w:vAlign w:val="center"/>
          </w:tcPr>
          <w:p w14:paraId="6CBF449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3.5</w:t>
            </w:r>
          </w:p>
        </w:tc>
      </w:tr>
      <w:tr w14:paraId="584C0F0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708" w:hRule="atLeast"/>
        </w:trPr>
        <w:tc>
          <w:tcPr>
            <w:tcW w:w="471" w:type="pct"/>
            <w:vMerge w:val="restart"/>
            <w:tcBorders>
              <w:tl2br w:val="nil"/>
              <w:tr2bl w:val="nil"/>
            </w:tcBorders>
            <w:noWrap w:val="0"/>
            <w:vAlign w:val="center"/>
          </w:tcPr>
          <w:p w14:paraId="6A3453B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运营期</w:t>
            </w:r>
          </w:p>
        </w:tc>
        <w:tc>
          <w:tcPr>
            <w:tcW w:w="623" w:type="pct"/>
            <w:vMerge w:val="restart"/>
            <w:tcBorders>
              <w:tl2br w:val="nil"/>
              <w:tr2bl w:val="nil"/>
            </w:tcBorders>
            <w:noWrap w:val="0"/>
            <w:vAlign w:val="center"/>
          </w:tcPr>
          <w:p w14:paraId="7AF90E1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废水</w:t>
            </w:r>
          </w:p>
        </w:tc>
        <w:tc>
          <w:tcPr>
            <w:tcW w:w="856" w:type="pct"/>
            <w:tcBorders>
              <w:tl2br w:val="nil"/>
              <w:tr2bl w:val="nil"/>
            </w:tcBorders>
            <w:noWrap w:val="0"/>
            <w:vAlign w:val="center"/>
          </w:tcPr>
          <w:p w14:paraId="6290C55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生活废水</w:t>
            </w:r>
          </w:p>
        </w:tc>
        <w:tc>
          <w:tcPr>
            <w:tcW w:w="2483" w:type="pct"/>
            <w:tcBorders>
              <w:tl2br w:val="nil"/>
              <w:tr2bl w:val="nil"/>
            </w:tcBorders>
            <w:noWrap w:val="0"/>
            <w:vAlign w:val="center"/>
          </w:tcPr>
          <w:p w14:paraId="3270319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eastAsia="zh-CN"/>
              </w:rPr>
              <w:t>沿用</w:t>
            </w:r>
            <w:r>
              <w:rPr>
                <w:rFonts w:hint="default" w:ascii="Times New Roman" w:hAnsi="Times New Roman" w:eastAsia="华文中宋" w:cs="Times New Roman"/>
                <w:szCs w:val="21"/>
              </w:rPr>
              <w:t>施工期</w:t>
            </w:r>
            <w:r>
              <w:rPr>
                <w:rFonts w:hint="default" w:ascii="Times New Roman" w:hAnsi="Times New Roman" w:eastAsia="华文中宋" w:cs="Times New Roman"/>
                <w:szCs w:val="21"/>
                <w:lang w:val="en-US" w:eastAsia="zh-CN"/>
              </w:rPr>
              <w:t>地埋式一体化污水处理设施1套，处理规模10m</w:t>
            </w:r>
            <w:r>
              <w:rPr>
                <w:rFonts w:hint="default" w:ascii="Times New Roman" w:hAnsi="Times New Roman" w:eastAsia="华文中宋" w:cs="Times New Roman"/>
                <w:szCs w:val="21"/>
                <w:vertAlign w:val="superscript"/>
                <w:lang w:val="en-US" w:eastAsia="zh-CN"/>
              </w:rPr>
              <w:t>3</w:t>
            </w:r>
            <w:r>
              <w:rPr>
                <w:rFonts w:hint="default" w:ascii="Times New Roman" w:hAnsi="Times New Roman" w:eastAsia="华文中宋" w:cs="Times New Roman"/>
                <w:szCs w:val="21"/>
                <w:lang w:val="en-US" w:eastAsia="zh-CN"/>
              </w:rPr>
              <w:t>/d，并配套一座容积10m</w:t>
            </w:r>
            <w:r>
              <w:rPr>
                <w:rFonts w:hint="default" w:ascii="Times New Roman" w:hAnsi="Times New Roman" w:eastAsia="华文中宋" w:cs="Times New Roman"/>
                <w:szCs w:val="21"/>
                <w:vertAlign w:val="superscript"/>
                <w:lang w:val="en-US" w:eastAsia="zh-CN"/>
              </w:rPr>
              <w:t>3</w:t>
            </w:r>
            <w:r>
              <w:rPr>
                <w:rFonts w:hint="default" w:ascii="Times New Roman" w:hAnsi="Times New Roman" w:eastAsia="华文中宋" w:cs="Times New Roman"/>
                <w:szCs w:val="21"/>
                <w:lang w:val="en-US" w:eastAsia="zh-CN"/>
              </w:rPr>
              <w:t>的应急池一座</w:t>
            </w:r>
            <w:r>
              <w:rPr>
                <w:rFonts w:hint="eastAsia" w:ascii="Times New Roman" w:hAnsi="Times New Roman" w:eastAsia="华文中宋" w:cs="Times New Roman"/>
                <w:szCs w:val="21"/>
                <w:lang w:val="en-US" w:eastAsia="zh-CN"/>
              </w:rPr>
              <w:t>。</w:t>
            </w:r>
          </w:p>
        </w:tc>
        <w:tc>
          <w:tcPr>
            <w:tcW w:w="565" w:type="pct"/>
            <w:tcBorders>
              <w:tl2br w:val="nil"/>
              <w:tr2bl w:val="nil"/>
            </w:tcBorders>
            <w:noWrap w:val="0"/>
            <w:vAlign w:val="center"/>
          </w:tcPr>
          <w:p w14:paraId="7D5A5783">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w:t>
            </w:r>
          </w:p>
        </w:tc>
      </w:tr>
      <w:tr w14:paraId="1C76139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708" w:hRule="atLeast"/>
        </w:trPr>
        <w:tc>
          <w:tcPr>
            <w:tcW w:w="471" w:type="pct"/>
            <w:vMerge w:val="continue"/>
            <w:tcBorders>
              <w:tl2br w:val="nil"/>
              <w:tr2bl w:val="nil"/>
            </w:tcBorders>
            <w:noWrap w:val="0"/>
            <w:vAlign w:val="center"/>
          </w:tcPr>
          <w:p w14:paraId="022D8C66">
            <w:pPr>
              <w:spacing w:line="300" w:lineRule="exact"/>
              <w:jc w:val="center"/>
              <w:rPr>
                <w:rFonts w:hint="default" w:ascii="Times New Roman" w:hAnsi="Times New Roman" w:eastAsia="华文中宋" w:cs="Times New Roman"/>
                <w:szCs w:val="21"/>
              </w:rPr>
            </w:pPr>
          </w:p>
        </w:tc>
        <w:tc>
          <w:tcPr>
            <w:tcW w:w="623" w:type="pct"/>
            <w:vMerge w:val="continue"/>
            <w:tcBorders>
              <w:tl2br w:val="nil"/>
              <w:tr2bl w:val="nil"/>
            </w:tcBorders>
            <w:noWrap w:val="0"/>
            <w:vAlign w:val="center"/>
          </w:tcPr>
          <w:p w14:paraId="4E595827">
            <w:pPr>
              <w:spacing w:line="300" w:lineRule="exact"/>
              <w:jc w:val="center"/>
              <w:rPr>
                <w:rFonts w:hint="default" w:ascii="Times New Roman" w:hAnsi="Times New Roman" w:eastAsia="华文中宋" w:cs="Times New Roman"/>
                <w:szCs w:val="21"/>
              </w:rPr>
            </w:pPr>
          </w:p>
        </w:tc>
        <w:tc>
          <w:tcPr>
            <w:tcW w:w="856" w:type="pct"/>
            <w:tcBorders>
              <w:tl2br w:val="nil"/>
              <w:tr2bl w:val="nil"/>
            </w:tcBorders>
            <w:noWrap w:val="0"/>
            <w:vAlign w:val="center"/>
          </w:tcPr>
          <w:p w14:paraId="7548672C">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矿坑水</w:t>
            </w:r>
          </w:p>
        </w:tc>
        <w:tc>
          <w:tcPr>
            <w:tcW w:w="2483" w:type="pct"/>
            <w:tcBorders>
              <w:tl2br w:val="nil"/>
              <w:tr2bl w:val="nil"/>
            </w:tcBorders>
            <w:noWrap w:val="0"/>
            <w:vAlign w:val="center"/>
          </w:tcPr>
          <w:p w14:paraId="74861CF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采场内设置集水池，用于收集矿坑水，矿坑水在集水池中全部自然蒸发，不外排。</w:t>
            </w:r>
          </w:p>
        </w:tc>
        <w:tc>
          <w:tcPr>
            <w:tcW w:w="565" w:type="pct"/>
            <w:tcBorders>
              <w:tl2br w:val="nil"/>
              <w:tr2bl w:val="nil"/>
            </w:tcBorders>
            <w:noWrap w:val="0"/>
            <w:vAlign w:val="center"/>
          </w:tcPr>
          <w:p w14:paraId="1CEB84F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w:t>
            </w:r>
          </w:p>
        </w:tc>
      </w:tr>
      <w:tr w14:paraId="159C0EC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047" w:hRule="atLeast"/>
        </w:trPr>
        <w:tc>
          <w:tcPr>
            <w:tcW w:w="471" w:type="pct"/>
            <w:vMerge w:val="continue"/>
            <w:tcBorders>
              <w:tl2br w:val="nil"/>
              <w:tr2bl w:val="nil"/>
            </w:tcBorders>
            <w:noWrap w:val="0"/>
            <w:vAlign w:val="center"/>
          </w:tcPr>
          <w:p w14:paraId="48B8C74C">
            <w:pPr>
              <w:spacing w:line="300" w:lineRule="exact"/>
              <w:jc w:val="center"/>
              <w:rPr>
                <w:rFonts w:hint="default" w:ascii="Times New Roman" w:hAnsi="Times New Roman" w:eastAsia="华文中宋" w:cs="Times New Roman"/>
                <w:szCs w:val="21"/>
              </w:rPr>
            </w:pPr>
          </w:p>
        </w:tc>
        <w:tc>
          <w:tcPr>
            <w:tcW w:w="623" w:type="pct"/>
            <w:vMerge w:val="restart"/>
            <w:tcBorders>
              <w:tl2br w:val="nil"/>
              <w:tr2bl w:val="nil"/>
            </w:tcBorders>
            <w:noWrap w:val="0"/>
            <w:vAlign w:val="center"/>
          </w:tcPr>
          <w:p w14:paraId="7D4F606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固废</w:t>
            </w:r>
          </w:p>
        </w:tc>
        <w:tc>
          <w:tcPr>
            <w:tcW w:w="856" w:type="pct"/>
            <w:tcBorders>
              <w:tl2br w:val="nil"/>
              <w:tr2bl w:val="nil"/>
            </w:tcBorders>
            <w:noWrap w:val="0"/>
            <w:vAlign w:val="center"/>
          </w:tcPr>
          <w:p w14:paraId="3B689C8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生活垃圾</w:t>
            </w:r>
          </w:p>
        </w:tc>
        <w:tc>
          <w:tcPr>
            <w:tcW w:w="2483" w:type="pct"/>
            <w:tcBorders>
              <w:tl2br w:val="nil"/>
              <w:tr2bl w:val="nil"/>
            </w:tcBorders>
            <w:noWrap w:val="0"/>
            <w:vAlign w:val="center"/>
          </w:tcPr>
          <w:p w14:paraId="1B3782B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沿用施工期垃圾桶，同时各场地设生活垃圾收集箱，集中收集后，定期运往民丰县生活垃圾填埋场</w:t>
            </w:r>
            <w:r>
              <w:rPr>
                <w:rFonts w:hint="eastAsia" w:ascii="Times New Roman" w:hAnsi="Times New Roman" w:eastAsia="华文中宋" w:cs="Times New Roman"/>
                <w:szCs w:val="21"/>
                <w:lang w:val="en-US" w:eastAsia="zh-CN"/>
              </w:rPr>
              <w:t>。</w:t>
            </w:r>
          </w:p>
        </w:tc>
        <w:tc>
          <w:tcPr>
            <w:tcW w:w="565" w:type="pct"/>
            <w:tcBorders>
              <w:tl2br w:val="nil"/>
              <w:tr2bl w:val="nil"/>
            </w:tcBorders>
            <w:noWrap w:val="0"/>
            <w:vAlign w:val="center"/>
          </w:tcPr>
          <w:p w14:paraId="4AE612A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w:t>
            </w:r>
          </w:p>
        </w:tc>
      </w:tr>
      <w:tr w14:paraId="3A980BB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70" w:hRule="atLeast"/>
        </w:trPr>
        <w:tc>
          <w:tcPr>
            <w:tcW w:w="471" w:type="pct"/>
            <w:vMerge w:val="continue"/>
            <w:tcBorders>
              <w:tl2br w:val="nil"/>
              <w:tr2bl w:val="nil"/>
            </w:tcBorders>
            <w:noWrap w:val="0"/>
            <w:vAlign w:val="center"/>
          </w:tcPr>
          <w:p w14:paraId="3B07E219">
            <w:pPr>
              <w:spacing w:line="300" w:lineRule="exact"/>
              <w:jc w:val="center"/>
              <w:rPr>
                <w:rFonts w:hint="default" w:ascii="Times New Roman" w:hAnsi="Times New Roman" w:eastAsia="华文中宋" w:cs="Times New Roman"/>
                <w:szCs w:val="21"/>
              </w:rPr>
            </w:pPr>
          </w:p>
        </w:tc>
        <w:tc>
          <w:tcPr>
            <w:tcW w:w="623" w:type="pct"/>
            <w:vMerge w:val="continue"/>
            <w:tcBorders>
              <w:tl2br w:val="nil"/>
              <w:tr2bl w:val="nil"/>
            </w:tcBorders>
            <w:noWrap w:val="0"/>
            <w:vAlign w:val="center"/>
          </w:tcPr>
          <w:p w14:paraId="1A72F979">
            <w:pPr>
              <w:spacing w:line="300" w:lineRule="exact"/>
              <w:jc w:val="center"/>
              <w:rPr>
                <w:rFonts w:hint="default" w:ascii="Times New Roman" w:hAnsi="Times New Roman" w:eastAsia="华文中宋" w:cs="Times New Roman"/>
                <w:szCs w:val="21"/>
              </w:rPr>
            </w:pPr>
          </w:p>
        </w:tc>
        <w:tc>
          <w:tcPr>
            <w:tcW w:w="856" w:type="pct"/>
            <w:tcBorders>
              <w:tl2br w:val="nil"/>
              <w:tr2bl w:val="nil"/>
            </w:tcBorders>
            <w:noWrap w:val="0"/>
            <w:vAlign w:val="center"/>
          </w:tcPr>
          <w:p w14:paraId="434A12A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危险废物</w:t>
            </w:r>
          </w:p>
        </w:tc>
        <w:tc>
          <w:tcPr>
            <w:tcW w:w="2483" w:type="pct"/>
            <w:tcBorders>
              <w:tl2br w:val="nil"/>
              <w:tr2bl w:val="nil"/>
            </w:tcBorders>
            <w:noWrap w:val="0"/>
            <w:vAlign w:val="center"/>
          </w:tcPr>
          <w:p w14:paraId="7868F08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危废暂存间地面做防渗处理</w:t>
            </w:r>
            <w:r>
              <w:rPr>
                <w:rFonts w:hint="default" w:ascii="Times New Roman" w:hAnsi="Times New Roman" w:eastAsia="华文中宋" w:cs="Times New Roman"/>
                <w:szCs w:val="21"/>
                <w:lang w:val="en-US" w:eastAsia="zh-CN"/>
              </w:rPr>
              <w:t>并委托有资质的单位处理</w:t>
            </w:r>
            <w:r>
              <w:rPr>
                <w:rFonts w:hint="eastAsia" w:ascii="Times New Roman" w:hAnsi="Times New Roman" w:eastAsia="华文中宋" w:cs="Times New Roman"/>
                <w:szCs w:val="21"/>
                <w:lang w:val="en-US" w:eastAsia="zh-CN"/>
              </w:rPr>
              <w:t>。</w:t>
            </w:r>
          </w:p>
        </w:tc>
        <w:tc>
          <w:tcPr>
            <w:tcW w:w="565" w:type="pct"/>
            <w:tcBorders>
              <w:tl2br w:val="nil"/>
              <w:tr2bl w:val="nil"/>
            </w:tcBorders>
            <w:noWrap w:val="0"/>
            <w:vAlign w:val="center"/>
          </w:tcPr>
          <w:p w14:paraId="1A53713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6</w:t>
            </w:r>
          </w:p>
        </w:tc>
      </w:tr>
      <w:tr w14:paraId="2D32CD2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70" w:hRule="atLeast"/>
        </w:trPr>
        <w:tc>
          <w:tcPr>
            <w:tcW w:w="471" w:type="pct"/>
            <w:vMerge w:val="continue"/>
            <w:tcBorders>
              <w:tl2br w:val="nil"/>
              <w:tr2bl w:val="nil"/>
            </w:tcBorders>
            <w:noWrap w:val="0"/>
            <w:vAlign w:val="center"/>
          </w:tcPr>
          <w:p w14:paraId="5710BC7E">
            <w:pPr>
              <w:spacing w:line="300" w:lineRule="exact"/>
              <w:jc w:val="center"/>
              <w:rPr>
                <w:rFonts w:hint="default" w:ascii="Times New Roman" w:hAnsi="Times New Roman" w:eastAsia="华文中宋" w:cs="Times New Roman"/>
                <w:szCs w:val="21"/>
              </w:rPr>
            </w:pPr>
          </w:p>
        </w:tc>
        <w:tc>
          <w:tcPr>
            <w:tcW w:w="623" w:type="pct"/>
            <w:vMerge w:val="restart"/>
            <w:tcBorders>
              <w:tl2br w:val="nil"/>
              <w:tr2bl w:val="nil"/>
            </w:tcBorders>
            <w:noWrap w:val="0"/>
            <w:vAlign w:val="center"/>
          </w:tcPr>
          <w:p w14:paraId="5A61D9E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废气</w:t>
            </w:r>
          </w:p>
        </w:tc>
        <w:tc>
          <w:tcPr>
            <w:tcW w:w="856" w:type="pct"/>
            <w:tcBorders>
              <w:tl2br w:val="nil"/>
              <w:tr2bl w:val="nil"/>
            </w:tcBorders>
            <w:noWrap w:val="0"/>
            <w:vAlign w:val="center"/>
          </w:tcPr>
          <w:p w14:paraId="14EE945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道路扬尘</w:t>
            </w:r>
          </w:p>
        </w:tc>
        <w:tc>
          <w:tcPr>
            <w:tcW w:w="2483" w:type="pct"/>
            <w:tcBorders>
              <w:tl2br w:val="nil"/>
              <w:tr2bl w:val="nil"/>
            </w:tcBorders>
            <w:noWrap w:val="0"/>
            <w:vAlign w:val="center"/>
          </w:tcPr>
          <w:p w14:paraId="0422C56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道路洒水抑尘</w:t>
            </w:r>
          </w:p>
        </w:tc>
        <w:tc>
          <w:tcPr>
            <w:tcW w:w="565" w:type="pct"/>
            <w:tcBorders>
              <w:tl2br w:val="nil"/>
              <w:tr2bl w:val="nil"/>
            </w:tcBorders>
            <w:noWrap w:val="0"/>
            <w:vAlign w:val="center"/>
          </w:tcPr>
          <w:p w14:paraId="67DF14C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4</w:t>
            </w:r>
          </w:p>
        </w:tc>
      </w:tr>
      <w:tr w14:paraId="68B7A50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50" w:hRule="atLeast"/>
        </w:trPr>
        <w:tc>
          <w:tcPr>
            <w:tcW w:w="471" w:type="pct"/>
            <w:vMerge w:val="continue"/>
            <w:tcBorders>
              <w:tl2br w:val="nil"/>
              <w:tr2bl w:val="nil"/>
            </w:tcBorders>
            <w:noWrap w:val="0"/>
            <w:vAlign w:val="center"/>
          </w:tcPr>
          <w:p w14:paraId="0FDC582C">
            <w:pPr>
              <w:spacing w:line="300" w:lineRule="exact"/>
              <w:jc w:val="center"/>
              <w:rPr>
                <w:rFonts w:hint="default" w:ascii="Times New Roman" w:hAnsi="Times New Roman" w:eastAsia="华文中宋" w:cs="Times New Roman"/>
                <w:szCs w:val="21"/>
              </w:rPr>
            </w:pPr>
          </w:p>
        </w:tc>
        <w:tc>
          <w:tcPr>
            <w:tcW w:w="623" w:type="pct"/>
            <w:vMerge w:val="continue"/>
            <w:tcBorders>
              <w:tl2br w:val="nil"/>
              <w:tr2bl w:val="nil"/>
            </w:tcBorders>
            <w:noWrap w:val="0"/>
            <w:vAlign w:val="center"/>
          </w:tcPr>
          <w:p w14:paraId="67401E49">
            <w:pPr>
              <w:spacing w:line="300" w:lineRule="exact"/>
              <w:jc w:val="center"/>
              <w:rPr>
                <w:rFonts w:hint="default" w:ascii="Times New Roman" w:hAnsi="Times New Roman" w:eastAsia="华文中宋" w:cs="Times New Roman"/>
                <w:szCs w:val="21"/>
                <w:lang w:val="en-US" w:eastAsia="zh-CN"/>
              </w:rPr>
            </w:pPr>
          </w:p>
        </w:tc>
        <w:tc>
          <w:tcPr>
            <w:tcW w:w="856" w:type="pct"/>
            <w:tcBorders>
              <w:tl2br w:val="nil"/>
              <w:tr2bl w:val="nil"/>
            </w:tcBorders>
            <w:noWrap w:val="0"/>
            <w:vAlign w:val="center"/>
          </w:tcPr>
          <w:p w14:paraId="07828A2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废石堆放场</w:t>
            </w:r>
          </w:p>
        </w:tc>
        <w:tc>
          <w:tcPr>
            <w:tcW w:w="2483" w:type="pct"/>
            <w:tcBorders>
              <w:tl2br w:val="nil"/>
              <w:tr2bl w:val="nil"/>
            </w:tcBorders>
            <w:noWrap w:val="0"/>
            <w:vAlign w:val="center"/>
          </w:tcPr>
          <w:p w14:paraId="523859D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修建挡土墙、配置洒水设备、</w:t>
            </w:r>
            <w:r>
              <w:rPr>
                <w:rFonts w:hint="eastAsia" w:ascii="Times New Roman" w:hAnsi="Times New Roman" w:eastAsia="华文中宋" w:cs="Times New Roman"/>
                <w:szCs w:val="21"/>
                <w:lang w:val="en-US" w:eastAsia="zh-CN"/>
              </w:rPr>
              <w:t>截流沟、排水沟等</w:t>
            </w:r>
          </w:p>
        </w:tc>
        <w:tc>
          <w:tcPr>
            <w:tcW w:w="565" w:type="pct"/>
            <w:tcBorders>
              <w:tl2br w:val="nil"/>
              <w:tr2bl w:val="nil"/>
            </w:tcBorders>
            <w:noWrap w:val="0"/>
            <w:vAlign w:val="center"/>
          </w:tcPr>
          <w:p w14:paraId="79C2D92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20</w:t>
            </w:r>
          </w:p>
        </w:tc>
      </w:tr>
      <w:tr w14:paraId="63A104D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70" w:hRule="atLeast"/>
        </w:trPr>
        <w:tc>
          <w:tcPr>
            <w:tcW w:w="471" w:type="pct"/>
            <w:vMerge w:val="continue"/>
            <w:tcBorders>
              <w:tl2br w:val="nil"/>
              <w:tr2bl w:val="nil"/>
            </w:tcBorders>
            <w:noWrap w:val="0"/>
            <w:vAlign w:val="center"/>
          </w:tcPr>
          <w:p w14:paraId="49AFADC2">
            <w:pPr>
              <w:spacing w:line="300" w:lineRule="exact"/>
              <w:jc w:val="center"/>
              <w:rPr>
                <w:rFonts w:hint="default" w:ascii="Times New Roman" w:hAnsi="Times New Roman" w:eastAsia="华文中宋" w:cs="Times New Roman"/>
                <w:szCs w:val="21"/>
              </w:rPr>
            </w:pPr>
          </w:p>
        </w:tc>
        <w:tc>
          <w:tcPr>
            <w:tcW w:w="623" w:type="pct"/>
            <w:vMerge w:val="continue"/>
            <w:tcBorders>
              <w:tl2br w:val="nil"/>
              <w:tr2bl w:val="nil"/>
            </w:tcBorders>
            <w:noWrap w:val="0"/>
            <w:vAlign w:val="center"/>
          </w:tcPr>
          <w:p w14:paraId="00BAC2CD">
            <w:pPr>
              <w:spacing w:line="300" w:lineRule="exact"/>
              <w:jc w:val="center"/>
              <w:rPr>
                <w:rFonts w:hint="default" w:ascii="Times New Roman" w:hAnsi="Times New Roman" w:eastAsia="华文中宋" w:cs="Times New Roman"/>
                <w:szCs w:val="21"/>
                <w:lang w:val="en-US" w:eastAsia="zh-CN"/>
              </w:rPr>
            </w:pPr>
          </w:p>
        </w:tc>
        <w:tc>
          <w:tcPr>
            <w:tcW w:w="856" w:type="pct"/>
            <w:tcBorders>
              <w:tl2br w:val="nil"/>
              <w:tr2bl w:val="nil"/>
            </w:tcBorders>
            <w:noWrap w:val="0"/>
            <w:vAlign w:val="center"/>
          </w:tcPr>
          <w:p w14:paraId="0D1BDB1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露天采场扬尘</w:t>
            </w:r>
          </w:p>
        </w:tc>
        <w:tc>
          <w:tcPr>
            <w:tcW w:w="2483" w:type="pct"/>
            <w:tcBorders>
              <w:tl2br w:val="nil"/>
              <w:tr2bl w:val="nil"/>
            </w:tcBorders>
            <w:noWrap w:val="0"/>
            <w:vAlign w:val="center"/>
          </w:tcPr>
          <w:p w14:paraId="41358BA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爆破及装矿前对爆堆进行喷雾洒水抑尘、采场洒水抑尘</w:t>
            </w:r>
          </w:p>
        </w:tc>
        <w:tc>
          <w:tcPr>
            <w:tcW w:w="565" w:type="pct"/>
            <w:tcBorders>
              <w:tl2br w:val="nil"/>
              <w:tr2bl w:val="nil"/>
            </w:tcBorders>
            <w:noWrap w:val="0"/>
            <w:vAlign w:val="center"/>
          </w:tcPr>
          <w:p w14:paraId="4CA33C1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8</w:t>
            </w:r>
          </w:p>
        </w:tc>
      </w:tr>
      <w:tr w14:paraId="75AC261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70" w:hRule="atLeast"/>
        </w:trPr>
        <w:tc>
          <w:tcPr>
            <w:tcW w:w="471" w:type="pct"/>
            <w:vMerge w:val="continue"/>
            <w:tcBorders>
              <w:tl2br w:val="nil"/>
              <w:tr2bl w:val="nil"/>
            </w:tcBorders>
            <w:noWrap w:val="0"/>
            <w:vAlign w:val="center"/>
          </w:tcPr>
          <w:p w14:paraId="594D1133">
            <w:pPr>
              <w:spacing w:line="300" w:lineRule="exact"/>
              <w:jc w:val="center"/>
              <w:rPr>
                <w:rFonts w:hint="default" w:ascii="Times New Roman" w:hAnsi="Times New Roman" w:eastAsia="华文中宋" w:cs="Times New Roman"/>
                <w:szCs w:val="21"/>
              </w:rPr>
            </w:pPr>
          </w:p>
        </w:tc>
        <w:tc>
          <w:tcPr>
            <w:tcW w:w="623" w:type="pct"/>
            <w:vMerge w:val="continue"/>
            <w:tcBorders>
              <w:tl2br w:val="nil"/>
              <w:tr2bl w:val="nil"/>
            </w:tcBorders>
            <w:noWrap w:val="0"/>
            <w:vAlign w:val="center"/>
          </w:tcPr>
          <w:p w14:paraId="492AADFC">
            <w:pPr>
              <w:spacing w:line="300" w:lineRule="exact"/>
              <w:jc w:val="center"/>
              <w:rPr>
                <w:rFonts w:hint="default" w:ascii="Times New Roman" w:hAnsi="Times New Roman" w:eastAsia="华文中宋" w:cs="Times New Roman"/>
                <w:szCs w:val="21"/>
              </w:rPr>
            </w:pPr>
          </w:p>
        </w:tc>
        <w:tc>
          <w:tcPr>
            <w:tcW w:w="3340" w:type="pct"/>
            <w:gridSpan w:val="2"/>
            <w:tcBorders>
              <w:tl2br w:val="nil"/>
              <w:tr2bl w:val="nil"/>
            </w:tcBorders>
            <w:noWrap w:val="0"/>
            <w:vAlign w:val="center"/>
          </w:tcPr>
          <w:p w14:paraId="38D4BC2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生态保护与恢复措施</w:t>
            </w:r>
          </w:p>
        </w:tc>
        <w:tc>
          <w:tcPr>
            <w:tcW w:w="565" w:type="pct"/>
            <w:tcBorders>
              <w:tl2br w:val="nil"/>
              <w:tr2bl w:val="nil"/>
            </w:tcBorders>
            <w:noWrap w:val="0"/>
            <w:vAlign w:val="center"/>
          </w:tcPr>
          <w:p w14:paraId="55B66684">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150</w:t>
            </w:r>
          </w:p>
        </w:tc>
      </w:tr>
      <w:tr w14:paraId="0300C2B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70" w:hRule="atLeast"/>
        </w:trPr>
        <w:tc>
          <w:tcPr>
            <w:tcW w:w="471" w:type="pct"/>
            <w:tcBorders>
              <w:tl2br w:val="nil"/>
              <w:tr2bl w:val="nil"/>
            </w:tcBorders>
            <w:noWrap w:val="0"/>
            <w:vAlign w:val="center"/>
          </w:tcPr>
          <w:p w14:paraId="381928F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闭矿期</w:t>
            </w:r>
          </w:p>
        </w:tc>
        <w:tc>
          <w:tcPr>
            <w:tcW w:w="3963" w:type="pct"/>
            <w:gridSpan w:val="3"/>
            <w:tcBorders>
              <w:tl2br w:val="nil"/>
              <w:tr2bl w:val="nil"/>
            </w:tcBorders>
            <w:noWrap w:val="0"/>
            <w:vAlign w:val="center"/>
          </w:tcPr>
          <w:p w14:paraId="25A9D96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土地复垦</w:t>
            </w:r>
          </w:p>
        </w:tc>
        <w:tc>
          <w:tcPr>
            <w:tcW w:w="565" w:type="pct"/>
            <w:tcBorders>
              <w:tl2br w:val="nil"/>
              <w:tr2bl w:val="nil"/>
            </w:tcBorders>
            <w:noWrap w:val="0"/>
            <w:vAlign w:val="center"/>
          </w:tcPr>
          <w:p w14:paraId="02221DF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600</w:t>
            </w:r>
          </w:p>
        </w:tc>
      </w:tr>
      <w:tr w14:paraId="59807E1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4434" w:type="pct"/>
            <w:gridSpan w:val="4"/>
            <w:tcBorders>
              <w:tl2br w:val="nil"/>
              <w:tr2bl w:val="nil"/>
            </w:tcBorders>
            <w:noWrap w:val="0"/>
            <w:vAlign w:val="center"/>
          </w:tcPr>
          <w:p w14:paraId="6BD2A3C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合计</w:t>
            </w:r>
          </w:p>
        </w:tc>
        <w:tc>
          <w:tcPr>
            <w:tcW w:w="565" w:type="pct"/>
            <w:tcBorders>
              <w:tl2br w:val="nil"/>
              <w:tr2bl w:val="nil"/>
            </w:tcBorders>
            <w:noWrap w:val="0"/>
            <w:vAlign w:val="center"/>
          </w:tcPr>
          <w:p w14:paraId="07FAFF9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821</w:t>
            </w:r>
          </w:p>
        </w:tc>
      </w:tr>
    </w:tbl>
    <w:p w14:paraId="323C4DBD">
      <w:pPr>
        <w:pStyle w:val="3"/>
        <w:spacing w:before="120" w:after="120" w:line="500" w:lineRule="exact"/>
        <w:ind w:left="375" w:hanging="375" w:firstLineChars="0"/>
        <w:contextualSpacing/>
        <w:rPr>
          <w:rFonts w:hint="default" w:ascii="Times New Roman" w:hAnsi="Times New Roman" w:eastAsia="华文中宋" w:cs="Times New Roman"/>
          <w:snapToGrid w:val="0"/>
          <w:kern w:val="0"/>
          <w:sz w:val="28"/>
          <w:szCs w:val="28"/>
          <w:lang w:val="en-US" w:eastAsia="zh-CN"/>
        </w:rPr>
      </w:pPr>
      <w:bookmarkStart w:id="289" w:name="_Toc17426"/>
      <w:bookmarkStart w:id="290" w:name="_Toc31177"/>
      <w:bookmarkStart w:id="291" w:name="_Toc16143"/>
      <w:bookmarkStart w:id="292" w:name="_Toc16290"/>
      <w:bookmarkStart w:id="293" w:name="_Toc7966"/>
      <w:bookmarkStart w:id="294" w:name="_Toc12063"/>
      <w:bookmarkStart w:id="295" w:name="_Toc16779"/>
      <w:bookmarkStart w:id="296" w:name="_Toc2493"/>
      <w:bookmarkStart w:id="297" w:name="_Toc6309"/>
      <w:r>
        <w:rPr>
          <w:rFonts w:hint="default" w:ascii="Times New Roman" w:hAnsi="Times New Roman" w:eastAsia="华文中宋" w:cs="Times New Roman"/>
          <w:snapToGrid w:val="0"/>
          <w:kern w:val="0"/>
          <w:sz w:val="28"/>
          <w:szCs w:val="28"/>
          <w:lang w:val="en-US" w:eastAsia="zh-CN"/>
        </w:rPr>
        <w:t>7.2环境效益分析</w:t>
      </w:r>
      <w:bookmarkEnd w:id="289"/>
      <w:bookmarkEnd w:id="290"/>
      <w:bookmarkEnd w:id="291"/>
      <w:bookmarkEnd w:id="292"/>
      <w:bookmarkEnd w:id="293"/>
      <w:bookmarkEnd w:id="294"/>
      <w:bookmarkEnd w:id="295"/>
      <w:bookmarkEnd w:id="296"/>
      <w:bookmarkEnd w:id="297"/>
    </w:p>
    <w:p w14:paraId="6CC3B8F1">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环保投资有明显的环境效益，直接经济效益不明显，但有一定的间接效益。</w:t>
      </w:r>
    </w:p>
    <w:p w14:paraId="1884C4BC">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项目环保投资得到落实后，废气和粉尘治理措施可减轻空气污染，噪声控制措施能减轻对项目工作人员和周围环境的影响，生活废水处理后回用于生产及降尘，土地复垦及生态综合治理工程使矿区生态得到逐步恢复。</w:t>
      </w:r>
    </w:p>
    <w:p w14:paraId="6743453C">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由此可见，为了保护环境，项目采取了相应的环保措施，由于本项目环境保护资金的投入，既减少了环境污染，也保护了生态环境。所以从环境经济分析来看，本工程是可行的，符合经济与环境协调发展的原则。</w:t>
      </w:r>
    </w:p>
    <w:p w14:paraId="4FBB47B2">
      <w:pPr>
        <w:pStyle w:val="3"/>
        <w:spacing w:before="120" w:after="120" w:line="500" w:lineRule="exact"/>
        <w:ind w:left="375" w:hanging="375" w:firstLineChars="0"/>
        <w:contextualSpacing/>
        <w:rPr>
          <w:rFonts w:hint="default" w:ascii="Times New Roman" w:hAnsi="Times New Roman" w:eastAsia="华文中宋" w:cs="Times New Roman"/>
          <w:snapToGrid w:val="0"/>
          <w:kern w:val="0"/>
          <w:sz w:val="28"/>
          <w:szCs w:val="28"/>
          <w:lang w:val="en-US" w:eastAsia="zh-CN"/>
        </w:rPr>
      </w:pPr>
      <w:bookmarkStart w:id="298" w:name="_Toc21922"/>
      <w:bookmarkStart w:id="299" w:name="_Toc32122"/>
      <w:bookmarkStart w:id="300" w:name="_Toc6751"/>
      <w:bookmarkStart w:id="301" w:name="_Toc31603"/>
      <w:bookmarkStart w:id="302" w:name="_Toc25136"/>
      <w:bookmarkStart w:id="303" w:name="_Toc10790"/>
      <w:bookmarkStart w:id="304" w:name="_Toc26962"/>
      <w:r>
        <w:rPr>
          <w:rFonts w:hint="default" w:ascii="Times New Roman" w:hAnsi="Times New Roman" w:eastAsia="华文中宋" w:cs="Times New Roman"/>
          <w:snapToGrid w:val="0"/>
          <w:kern w:val="0"/>
          <w:sz w:val="28"/>
          <w:szCs w:val="28"/>
          <w:lang w:val="en-US" w:eastAsia="zh-CN"/>
        </w:rPr>
        <w:t>7.3社会效益分析</w:t>
      </w:r>
      <w:bookmarkEnd w:id="298"/>
      <w:bookmarkEnd w:id="299"/>
      <w:bookmarkEnd w:id="300"/>
      <w:bookmarkEnd w:id="301"/>
      <w:bookmarkEnd w:id="302"/>
      <w:bookmarkEnd w:id="303"/>
      <w:bookmarkEnd w:id="304"/>
    </w:p>
    <w:p w14:paraId="0688CFCB">
      <w:pPr>
        <w:pStyle w:val="4"/>
        <w:spacing w:before="120" w:after="120" w:line="500" w:lineRule="exact"/>
        <w:rPr>
          <w:rFonts w:hint="default" w:ascii="Times New Roman" w:hAnsi="Times New Roman" w:eastAsia="华文中宋" w:cs="Times New Roman"/>
          <w:kern w:val="0"/>
          <w:sz w:val="24"/>
          <w:szCs w:val="24"/>
          <w:lang w:val="en-US" w:eastAsia="zh-CN"/>
        </w:rPr>
      </w:pPr>
      <w:bookmarkStart w:id="305" w:name="_Toc32537"/>
      <w:r>
        <w:rPr>
          <w:rFonts w:hint="default" w:ascii="Times New Roman" w:hAnsi="Times New Roman" w:eastAsia="华文中宋" w:cs="Times New Roman"/>
          <w:kern w:val="0"/>
          <w:sz w:val="24"/>
          <w:szCs w:val="24"/>
          <w:lang w:val="en-US" w:eastAsia="zh-CN"/>
        </w:rPr>
        <w:t>7.3.1符合市场需要和经济发展要求</w:t>
      </w:r>
      <w:bookmarkEnd w:id="305"/>
    </w:p>
    <w:p w14:paraId="20027B42">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rPr>
        <w:t>（1）将资源优势转化为经济优势、搞好产业经济结构调整、实现资源优势向经济优势转化，为企业带来经济收入的同时对当地经济的发展具有十分重要的意义。符合国家的产业政策和环保政策，能促进地区经济的可持续发展。</w:t>
      </w:r>
    </w:p>
    <w:p w14:paraId="693C2F4A">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rPr>
        <w:t>（2）项目的实施将直接带动与此相关的运输业等相关行业的发展。</w:t>
      </w:r>
    </w:p>
    <w:p w14:paraId="5D5C2E29">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rPr>
        <w:t>（3）项目建设后，可解决一部分闲余人员的就业问题</w:t>
      </w:r>
      <w:r>
        <w:rPr>
          <w:rFonts w:hint="default" w:ascii="Times New Roman" w:hAnsi="Times New Roman" w:eastAsia="华文中宋" w:cs="Times New Roman"/>
          <w:color w:val="auto"/>
          <w:lang w:eastAsia="zh-CN"/>
        </w:rPr>
        <w:t>，</w:t>
      </w:r>
      <w:r>
        <w:rPr>
          <w:rFonts w:hint="default" w:ascii="Times New Roman" w:hAnsi="Times New Roman" w:eastAsia="华文中宋" w:cs="Times New Roman"/>
          <w:color w:val="auto"/>
        </w:rPr>
        <w:t>提高居民收入为社会的安全、稳定做出贡献。</w:t>
      </w:r>
    </w:p>
    <w:p w14:paraId="6FCAB460">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rPr>
        <w:t>（4）建设项目属于资源开发项目，将进一步增强当地矿产资源开发能力。同时，在建设中进一步加强各类污染物综合防治，加大污染物达标排放的管理力度，完善各类环境保护设施，减少采矿带来的环境污染，增强相应的环境保障。</w:t>
      </w:r>
    </w:p>
    <w:p w14:paraId="04B3754E">
      <w:pPr>
        <w:pStyle w:val="4"/>
        <w:spacing w:before="120" w:after="120" w:line="500" w:lineRule="exact"/>
        <w:rPr>
          <w:rFonts w:hint="default" w:ascii="Times New Roman" w:hAnsi="Times New Roman" w:eastAsia="华文中宋" w:cs="Times New Roman"/>
          <w:kern w:val="0"/>
          <w:sz w:val="24"/>
          <w:szCs w:val="24"/>
          <w:lang w:val="en-US" w:eastAsia="zh-CN"/>
        </w:rPr>
      </w:pPr>
      <w:bookmarkStart w:id="306" w:name="_Toc25357"/>
      <w:r>
        <w:rPr>
          <w:rFonts w:hint="default" w:ascii="Times New Roman" w:hAnsi="Times New Roman" w:eastAsia="华文中宋" w:cs="Times New Roman"/>
          <w:kern w:val="0"/>
          <w:sz w:val="24"/>
          <w:szCs w:val="24"/>
          <w:lang w:val="en-US" w:eastAsia="zh-CN"/>
        </w:rPr>
        <w:t>7.3.2符合节约能源、环境保护的需要</w:t>
      </w:r>
      <w:bookmarkEnd w:id="306"/>
    </w:p>
    <w:p w14:paraId="0B314405">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随着经济发展水平和人们认识水平的不断提高，人们对环境保护和环境质量的认识不断增强。环境保护问题、质量问题和可持续发展问题日益成为制约社会和经济发展的最重要的因素之一，先发展经济，再解决环保和质量问题的诸多弊端已经日益显现，而且日趋严重，结果必然会导致经济发展上不去，环境问题也解决不好，更保证不了经济的可持续发展。</w:t>
      </w:r>
    </w:p>
    <w:p w14:paraId="0E2498D5">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为实现循环经济和清洁生产，提高生产率，根据矿体分布特点，采用合理的开采方法，提高能源资源利用率，提高生产率，改善环境质量，保护环境。</w:t>
      </w:r>
    </w:p>
    <w:p w14:paraId="433752D4">
      <w:pPr>
        <w:pStyle w:val="4"/>
        <w:spacing w:before="120" w:after="120" w:line="500" w:lineRule="exact"/>
        <w:rPr>
          <w:rFonts w:hint="default" w:ascii="Times New Roman" w:hAnsi="Times New Roman" w:eastAsia="华文中宋" w:cs="Times New Roman"/>
          <w:kern w:val="0"/>
          <w:sz w:val="24"/>
          <w:szCs w:val="24"/>
          <w:lang w:val="en-US" w:eastAsia="zh-CN"/>
        </w:rPr>
      </w:pPr>
      <w:bookmarkStart w:id="307" w:name="_Toc20791"/>
      <w:r>
        <w:rPr>
          <w:rFonts w:hint="default" w:ascii="Times New Roman" w:hAnsi="Times New Roman" w:eastAsia="华文中宋" w:cs="Times New Roman"/>
          <w:kern w:val="0"/>
          <w:sz w:val="24"/>
          <w:szCs w:val="24"/>
          <w:lang w:val="en-US" w:eastAsia="zh-CN"/>
        </w:rPr>
        <w:t>7.3.3有利于企业自身发展和社会经济的发展</w:t>
      </w:r>
      <w:bookmarkEnd w:id="307"/>
    </w:p>
    <w:p w14:paraId="2084AC70">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rPr>
        <w:t>企业为自身发展、壮大、提高在市场的竞争力和满足社会对铅锌资源的需求，根据企业的自身特点，发挥自身优势，为企业的发展和壮大注入新的活力。项目的实施，在将当地的资源优势转化为经济优势的同时，将给企业带来可观的经济效益，增强企业的市场竞争力，促进企业自身的发展；同时为地方政府增加财政收入，并带动相关行业的发展，具有良好的社会效益和经济效益。</w:t>
      </w:r>
    </w:p>
    <w:p w14:paraId="4C783690">
      <w:pPr>
        <w:pStyle w:val="3"/>
        <w:spacing w:before="120" w:after="120" w:line="500" w:lineRule="exact"/>
        <w:ind w:left="375" w:hanging="375" w:firstLineChars="0"/>
        <w:contextualSpacing/>
        <w:rPr>
          <w:rFonts w:hint="default" w:ascii="Times New Roman" w:hAnsi="Times New Roman" w:eastAsia="华文中宋" w:cs="Times New Roman"/>
          <w:snapToGrid w:val="0"/>
          <w:kern w:val="0"/>
          <w:sz w:val="28"/>
          <w:szCs w:val="28"/>
          <w:lang w:val="en-US" w:eastAsia="zh-CN"/>
        </w:rPr>
      </w:pPr>
      <w:bookmarkStart w:id="308" w:name="_Toc10616"/>
      <w:bookmarkStart w:id="309" w:name="_Toc245882803"/>
      <w:bookmarkStart w:id="310" w:name="_Toc23065"/>
      <w:bookmarkStart w:id="311" w:name="_Toc21467"/>
      <w:bookmarkStart w:id="312" w:name="_Toc294582224"/>
      <w:bookmarkStart w:id="313" w:name="_Toc10887"/>
      <w:bookmarkStart w:id="314" w:name="_Toc8529"/>
      <w:bookmarkStart w:id="315" w:name="_Toc19287"/>
      <w:bookmarkStart w:id="316" w:name="_Toc4935"/>
      <w:bookmarkStart w:id="317" w:name="_Toc387741496"/>
      <w:bookmarkStart w:id="318" w:name="_Toc10600"/>
      <w:bookmarkStart w:id="319" w:name="_Toc9977"/>
      <w:bookmarkStart w:id="320" w:name="_Toc12630"/>
      <w:r>
        <w:rPr>
          <w:rFonts w:hint="default" w:ascii="Times New Roman" w:hAnsi="Times New Roman" w:eastAsia="华文中宋" w:cs="Times New Roman"/>
          <w:snapToGrid w:val="0"/>
          <w:kern w:val="0"/>
          <w:sz w:val="28"/>
          <w:szCs w:val="28"/>
          <w:lang w:val="en-US" w:eastAsia="zh-CN"/>
        </w:rPr>
        <w:t>7.4经济效益分析</w:t>
      </w:r>
      <w:bookmarkEnd w:id="308"/>
      <w:bookmarkEnd w:id="309"/>
      <w:bookmarkEnd w:id="310"/>
      <w:bookmarkEnd w:id="311"/>
      <w:bookmarkEnd w:id="312"/>
      <w:bookmarkEnd w:id="313"/>
      <w:bookmarkEnd w:id="314"/>
      <w:bookmarkEnd w:id="315"/>
      <w:bookmarkEnd w:id="316"/>
      <w:bookmarkEnd w:id="317"/>
      <w:bookmarkEnd w:id="318"/>
      <w:bookmarkEnd w:id="319"/>
      <w:bookmarkEnd w:id="320"/>
    </w:p>
    <w:p w14:paraId="7CE8C950">
      <w:pPr>
        <w:pStyle w:val="24"/>
        <w:snapToGrid w:val="0"/>
        <w:jc w:val="left"/>
        <w:rPr>
          <w:rFonts w:hint="default" w:ascii="Times New Roman" w:hAnsi="Times New Roman" w:eastAsia="华文中宋" w:cs="Times New Roman"/>
          <w:color w:val="auto"/>
          <w:lang w:val="en-US" w:eastAsia="zh-CN"/>
        </w:rPr>
      </w:pPr>
      <w:bookmarkStart w:id="321" w:name="_Toc26807"/>
      <w:bookmarkStart w:id="322" w:name="_Toc14506"/>
      <w:bookmarkStart w:id="323" w:name="_Toc22647"/>
      <w:bookmarkStart w:id="324" w:name="_Toc30967"/>
      <w:bookmarkStart w:id="325" w:name="_Toc16181"/>
      <w:r>
        <w:rPr>
          <w:rFonts w:hint="default" w:ascii="Times New Roman" w:hAnsi="Times New Roman" w:eastAsia="华文中宋" w:cs="Times New Roman"/>
          <w:color w:val="auto"/>
        </w:rPr>
        <w:t>项目建成投产后，达产年销售收入为6105.12万元，利润总额为2351.85万元，年上缴所得税额为587.96万元，税后利润为1763.89万元。投资净利润率为47.80%，总投资收益率为63.74%；静态投资回收期1.83年。项目经济上具有可行性</w:t>
      </w:r>
      <w:r>
        <w:rPr>
          <w:rFonts w:hint="default" w:ascii="Times New Roman" w:hAnsi="Times New Roman" w:eastAsia="华文中宋" w:cs="Times New Roman"/>
          <w:color w:val="auto"/>
          <w:lang w:eastAsia="zh-CN"/>
        </w:rPr>
        <w:t>。</w:t>
      </w:r>
    </w:p>
    <w:p w14:paraId="3456A0B6">
      <w:pPr>
        <w:pStyle w:val="3"/>
        <w:spacing w:before="120" w:after="120" w:line="500" w:lineRule="exact"/>
        <w:ind w:left="375" w:hanging="375" w:firstLineChars="0"/>
        <w:contextualSpacing/>
        <w:rPr>
          <w:rFonts w:hint="default" w:ascii="Times New Roman" w:hAnsi="Times New Roman" w:eastAsia="华文中宋" w:cs="Times New Roman"/>
          <w:snapToGrid w:val="0"/>
          <w:kern w:val="0"/>
          <w:sz w:val="28"/>
          <w:szCs w:val="28"/>
          <w:lang w:val="en-US" w:eastAsia="zh-CN"/>
        </w:rPr>
      </w:pPr>
      <w:bookmarkStart w:id="326" w:name="_Toc13236"/>
      <w:bookmarkStart w:id="327" w:name="_Toc26389"/>
      <w:r>
        <w:rPr>
          <w:rFonts w:hint="default" w:ascii="Times New Roman" w:hAnsi="Times New Roman" w:eastAsia="华文中宋" w:cs="Times New Roman"/>
          <w:snapToGrid w:val="0"/>
          <w:kern w:val="0"/>
          <w:sz w:val="28"/>
          <w:szCs w:val="28"/>
          <w:lang w:val="en-US" w:eastAsia="zh-CN"/>
        </w:rPr>
        <w:t>7.5小结</w:t>
      </w:r>
      <w:bookmarkEnd w:id="321"/>
      <w:bookmarkEnd w:id="322"/>
      <w:bookmarkEnd w:id="323"/>
      <w:bookmarkEnd w:id="324"/>
      <w:bookmarkEnd w:id="325"/>
      <w:bookmarkEnd w:id="326"/>
      <w:bookmarkEnd w:id="327"/>
    </w:p>
    <w:p w14:paraId="777D0DBF">
      <w:pPr>
        <w:pStyle w:val="24"/>
        <w:snapToGrid w:val="0"/>
        <w:jc w:val="left"/>
        <w:rPr>
          <w:rFonts w:hint="default" w:ascii="Times New Roman" w:hAnsi="Times New Roman" w:eastAsia="华文中宋" w:cs="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华文中宋" w:cs="Times New Roman"/>
          <w:color w:val="auto"/>
        </w:rPr>
        <w:t>综上所述，在认真落实本环评提出的各项环境保护措施，保证项目环境管理制度的严格执行，项目将具有较为良好的社会效益、经济效益及环境效益。项目的建设运行，有利于增强地方经济实力、增加就业机会，改善当地环境资源的利用效率。在社会效益、经济效益和环境效益三个方面都是可行的。此外，在生产过程中加强设备的管理、职工培训、严格操作规程，保证生产设备和环保设施的正常运行，确保环境保护要求的工程措施得到实施。这样，本项目的环境经济效益才能达到预期的效果。</w:t>
      </w:r>
    </w:p>
    <w:p w14:paraId="689BD5AB">
      <w:pPr>
        <w:pStyle w:val="2"/>
        <w:pageBreakBefore/>
        <w:spacing w:before="250" w:beforeLines="50" w:after="250" w:afterLines="50" w:line="560" w:lineRule="exact"/>
        <w:ind w:left="554" w:hanging="555" w:hangingChars="152"/>
        <w:rPr>
          <w:rFonts w:hint="default" w:ascii="Times New Roman" w:hAnsi="Times New Roman" w:eastAsia="华文中宋" w:cs="Times New Roman"/>
          <w:snapToGrid w:val="0"/>
          <w:spacing w:val="2"/>
          <w:sz w:val="36"/>
          <w:szCs w:val="44"/>
          <w:lang w:val="en-US" w:eastAsia="zh-CN"/>
        </w:rPr>
      </w:pPr>
      <w:bookmarkStart w:id="328" w:name="_Toc23840"/>
      <w:bookmarkStart w:id="329" w:name="_Toc442"/>
      <w:r>
        <w:rPr>
          <w:rFonts w:hint="default" w:ascii="Times New Roman" w:hAnsi="Times New Roman" w:eastAsia="华文中宋" w:cs="Times New Roman"/>
          <w:snapToGrid w:val="0"/>
          <w:spacing w:val="2"/>
          <w:sz w:val="36"/>
          <w:szCs w:val="44"/>
          <w:lang w:val="en-US" w:eastAsia="zh-CN"/>
        </w:rPr>
        <w:t>8环境管理与环境监测计划</w:t>
      </w:r>
      <w:bookmarkEnd w:id="328"/>
      <w:bookmarkEnd w:id="329"/>
    </w:p>
    <w:p w14:paraId="28118A22">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环境管理是企业管理的重要环节之一。建立健全企业环保组织机构，加强环保管理工作，开展厂内环境监测、监督，并将环保工作纳入生产管理，对于减少企业污染物排放、促进资源的合理利用与回收、提高经济效益和环境效益具有重要意义。</w:t>
      </w:r>
      <w:r>
        <w:rPr>
          <w:rFonts w:hint="eastAsia" w:ascii="Times New Roman" w:hAnsi="Times New Roman" w:cs="Times New Roman"/>
          <w:color w:val="auto"/>
          <w:lang w:val="en-US" w:eastAsia="zh-CN"/>
        </w:rPr>
        <w:t>民丰县盼水河铅锑矿工程项目</w:t>
      </w:r>
      <w:r>
        <w:rPr>
          <w:rFonts w:hint="default" w:ascii="Times New Roman" w:hAnsi="Times New Roman" w:eastAsia="华文中宋" w:cs="Times New Roman"/>
          <w:color w:val="auto"/>
          <w:lang w:val="en-US" w:eastAsia="zh-CN"/>
        </w:rPr>
        <w:t>各阶段污染物对项目区周围环境产生一定的影响，因此本次环评要求</w:t>
      </w:r>
      <w:r>
        <w:rPr>
          <w:rFonts w:hint="eastAsia" w:ascii="Times New Roman" w:hAnsi="Times New Roman" w:cs="Times New Roman"/>
          <w:color w:val="auto"/>
          <w:lang w:val="en-US" w:eastAsia="zh-CN"/>
        </w:rPr>
        <w:t>民丰县万水源矿业有限责任公司</w:t>
      </w:r>
      <w:r>
        <w:rPr>
          <w:rFonts w:hint="default" w:ascii="Times New Roman" w:hAnsi="Times New Roman" w:eastAsia="华文中宋" w:cs="Times New Roman"/>
          <w:color w:val="auto"/>
          <w:lang w:val="en-US" w:eastAsia="zh-CN"/>
        </w:rPr>
        <w:t>针对民丰县盼水河</w:t>
      </w:r>
      <w:r>
        <w:rPr>
          <w:rFonts w:hint="eastAsia" w:ascii="Times New Roman" w:hAnsi="Times New Roman" w:cs="Times New Roman"/>
          <w:color w:val="auto"/>
          <w:lang w:val="en-US" w:eastAsia="zh-CN"/>
        </w:rPr>
        <w:t>铅锑矿</w:t>
      </w:r>
      <w:r>
        <w:rPr>
          <w:rFonts w:hint="default" w:ascii="Times New Roman" w:hAnsi="Times New Roman" w:eastAsia="华文中宋" w:cs="Times New Roman"/>
          <w:color w:val="auto"/>
          <w:lang w:val="en-US" w:eastAsia="zh-CN"/>
        </w:rPr>
        <w:t>工程</w:t>
      </w:r>
      <w:r>
        <w:rPr>
          <w:rFonts w:hint="eastAsia" w:ascii="Times New Roman" w:hAnsi="Times New Roman" w:cs="Times New Roman"/>
          <w:color w:val="auto"/>
          <w:lang w:val="en-US" w:eastAsia="zh-CN"/>
        </w:rPr>
        <w:t>项目</w:t>
      </w:r>
      <w:r>
        <w:rPr>
          <w:rFonts w:hint="default" w:ascii="Times New Roman" w:hAnsi="Times New Roman" w:eastAsia="华文中宋" w:cs="Times New Roman"/>
          <w:color w:val="auto"/>
          <w:lang w:val="en-US" w:eastAsia="zh-CN"/>
        </w:rPr>
        <w:t>建立完善的环境管理和监控体系，深入细致研究生产中产生的或潜在的环境问题，采取合理可行的污染防治措施，以期达到既发展生产、增加企业经济效益、又保护环境的目的，降低环境风险事故发生概率。</w:t>
      </w:r>
    </w:p>
    <w:p w14:paraId="3A9144BC">
      <w:pPr>
        <w:pStyle w:val="3"/>
        <w:spacing w:before="120" w:after="120" w:line="500" w:lineRule="exact"/>
        <w:ind w:left="375" w:hanging="375" w:firstLineChars="0"/>
        <w:contextualSpacing/>
        <w:rPr>
          <w:rFonts w:hint="default" w:ascii="Times New Roman" w:hAnsi="Times New Roman" w:eastAsia="华文中宋" w:cs="Times New Roman"/>
          <w:snapToGrid w:val="0"/>
          <w:kern w:val="0"/>
          <w:sz w:val="28"/>
          <w:szCs w:val="28"/>
          <w:lang w:val="en-US" w:eastAsia="zh-CN"/>
        </w:rPr>
      </w:pPr>
      <w:bookmarkStart w:id="330" w:name="_Toc20464"/>
      <w:bookmarkStart w:id="331" w:name="_Toc913"/>
      <w:r>
        <w:rPr>
          <w:rFonts w:hint="default" w:ascii="Times New Roman" w:hAnsi="Times New Roman" w:eastAsia="华文中宋" w:cs="Times New Roman"/>
          <w:snapToGrid w:val="0"/>
          <w:kern w:val="0"/>
          <w:sz w:val="28"/>
          <w:szCs w:val="28"/>
          <w:lang w:val="en-US" w:eastAsia="zh-CN"/>
        </w:rPr>
        <w:t>8.1环境管理</w:t>
      </w:r>
      <w:bookmarkEnd w:id="330"/>
      <w:bookmarkEnd w:id="331"/>
    </w:p>
    <w:p w14:paraId="603F8DD2">
      <w:pPr>
        <w:pStyle w:val="4"/>
        <w:spacing w:before="120" w:after="120" w:line="500" w:lineRule="exact"/>
        <w:rPr>
          <w:rFonts w:hint="default" w:ascii="Times New Roman" w:hAnsi="Times New Roman" w:eastAsia="华文中宋" w:cs="Times New Roman"/>
          <w:kern w:val="0"/>
          <w:sz w:val="24"/>
          <w:szCs w:val="24"/>
          <w:lang w:val="en-US" w:eastAsia="zh-CN"/>
        </w:rPr>
      </w:pPr>
      <w:bookmarkStart w:id="332" w:name="_Toc14435"/>
      <w:r>
        <w:rPr>
          <w:rFonts w:hint="default" w:ascii="Times New Roman" w:hAnsi="Times New Roman" w:eastAsia="华文中宋" w:cs="Times New Roman"/>
          <w:kern w:val="0"/>
          <w:sz w:val="24"/>
          <w:szCs w:val="24"/>
          <w:lang w:val="en-US" w:eastAsia="zh-CN"/>
        </w:rPr>
        <w:t>8.1.1制定有关的管理制度及管理计划</w:t>
      </w:r>
      <w:bookmarkEnd w:id="332"/>
    </w:p>
    <w:p w14:paraId="68806A9E">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企业应设置民丰县盼水河锑铅矿采矿工程环境保护管理机构，具体负责矿山环境保护工作的组织、落实和监督。环境保护管理机构应在厂级主管领导的直接领导下负责矿山施工期、运营期、闭矿期的环境保护管理工作，负责环境保护日常业务管理，通过检查、统计、分析、调查、监督和指导各项环境管理制度、监测计划落实情况，针对矿山存在的环境问题，给出科学合理的建议和技术方案。另外，环保机构还负责与各级环保主管部门的联系和协调工作，实时了解当地环保部门及政府对企业环境保护的要求、技术指导及建议，并督促各生产单位贯彻落实。</w:t>
      </w:r>
    </w:p>
    <w:p w14:paraId="7EE268FD">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制定符合当地环境要求及该矿生产的环境保护管理办法及规章制度</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组织环境保护工作的宣传教育和技术培训</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提高和普及全矿职工的环境保护意识</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制定便于考核、奖罚和责任明确的环境保护指标；组织和协调本矿的环境污染治理工作</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定期组织环境调查和常规性监测，为环境管理和综合治理提供可靠的科学依据；制定环境保护设施检查与维护制度，确保环保设施正常有效运行</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及时向上级领导汇报本矿的环境保护工作情况及存在的环境问题，并向全矿职工通报各时期有关环境保护的要求和工作安排。</w:t>
      </w:r>
    </w:p>
    <w:p w14:paraId="3A8F54CF">
      <w:pPr>
        <w:pStyle w:val="4"/>
        <w:spacing w:before="120" w:after="120" w:line="500" w:lineRule="exact"/>
        <w:rPr>
          <w:rFonts w:hint="default" w:ascii="Times New Roman" w:hAnsi="Times New Roman" w:eastAsia="华文中宋" w:cs="Times New Roman"/>
          <w:kern w:val="0"/>
          <w:sz w:val="24"/>
          <w:szCs w:val="24"/>
          <w:lang w:val="en-US" w:eastAsia="zh-CN"/>
        </w:rPr>
      </w:pPr>
      <w:bookmarkStart w:id="333" w:name="_Toc7128"/>
      <w:r>
        <w:rPr>
          <w:rFonts w:hint="default" w:ascii="Times New Roman" w:hAnsi="Times New Roman" w:eastAsia="华文中宋" w:cs="Times New Roman"/>
          <w:kern w:val="0"/>
          <w:sz w:val="24"/>
          <w:szCs w:val="24"/>
          <w:lang w:val="en-US" w:eastAsia="zh-CN"/>
        </w:rPr>
        <w:t>8.1.2建设工程各阶段环境管理工作计划</w:t>
      </w:r>
      <w:bookmarkEnd w:id="333"/>
    </w:p>
    <w:p w14:paraId="1B019927">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val="en-US" w:eastAsia="zh-CN"/>
        </w:rPr>
        <w:t>（1）建设前期环境管理</w:t>
      </w:r>
    </w:p>
    <w:p w14:paraId="458C7B30">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根据环境保护的有关规定，本工程建设前期各个阶段环境保护工作采取如下方式：</w:t>
      </w:r>
    </w:p>
    <w:p w14:paraId="1C3AC99A">
      <w:pPr>
        <w:pStyle w:val="24"/>
        <w:snapToGrid w:val="0"/>
        <w:jc w:val="left"/>
        <w:rPr>
          <w:rFonts w:hint="default" w:ascii="Times New Roman" w:hAnsi="Times New Roman" w:eastAsia="华文中宋" w:cs="Times New Roman"/>
          <w:color w:val="auto"/>
          <w:lang w:val="en-US" w:eastAsia="zh-CN"/>
        </w:rPr>
      </w:pPr>
      <w:r>
        <w:rPr>
          <w:rFonts w:hint="eastAsia" w:ascii="微软雅黑" w:hAnsi="微软雅黑" w:eastAsia="微软雅黑" w:cs="微软雅黑"/>
          <w:color w:val="auto"/>
          <w:lang w:val="en-US" w:eastAsia="zh-CN"/>
        </w:rPr>
        <w:t>①</w:t>
      </w:r>
      <w:r>
        <w:rPr>
          <w:rFonts w:hint="default" w:ascii="Times New Roman" w:hAnsi="Times New Roman" w:eastAsia="华文中宋" w:cs="Times New Roman"/>
          <w:color w:val="auto"/>
          <w:lang w:val="en-US" w:eastAsia="zh-CN"/>
        </w:rPr>
        <w:t>设计单位在成立项目设计组时，环境保护专业人员作为组成成员之一，参与项目各阶段环境保护工作和设计工作。</w:t>
      </w:r>
    </w:p>
    <w:p w14:paraId="1096CFAC">
      <w:pPr>
        <w:pStyle w:val="24"/>
        <w:snapToGrid w:val="0"/>
        <w:jc w:val="left"/>
        <w:rPr>
          <w:rFonts w:hint="default" w:ascii="Times New Roman" w:hAnsi="Times New Roman" w:eastAsia="华文中宋" w:cs="Times New Roman"/>
          <w:color w:val="auto"/>
          <w:lang w:val="en-US" w:eastAsia="zh-CN"/>
        </w:rPr>
      </w:pPr>
      <w:r>
        <w:rPr>
          <w:rFonts w:hint="eastAsia" w:ascii="微软雅黑" w:hAnsi="微软雅黑" w:eastAsia="微软雅黑" w:cs="微软雅黑"/>
          <w:color w:val="auto"/>
          <w:lang w:val="en-US" w:eastAsia="zh-CN"/>
        </w:rPr>
        <w:t>②</w:t>
      </w:r>
      <w:r>
        <w:rPr>
          <w:rFonts w:hint="default" w:ascii="Times New Roman" w:hAnsi="Times New Roman" w:eastAsia="华文中宋" w:cs="Times New Roman"/>
          <w:color w:val="auto"/>
          <w:lang w:val="en-US" w:eastAsia="zh-CN"/>
        </w:rPr>
        <w:t>可行性研究阶段，结合当地环境特征和地方生态环境主管部门的意见、要求、设专门章节进行环境影响简要分析。</w:t>
      </w:r>
    </w:p>
    <w:p w14:paraId="5AC0E301">
      <w:pPr>
        <w:pStyle w:val="24"/>
        <w:snapToGrid w:val="0"/>
        <w:jc w:val="left"/>
        <w:rPr>
          <w:rFonts w:hint="default" w:ascii="Times New Roman" w:hAnsi="Times New Roman" w:eastAsia="华文中宋" w:cs="Times New Roman"/>
          <w:color w:val="auto"/>
          <w:lang w:val="en-US" w:eastAsia="zh-CN"/>
        </w:rPr>
      </w:pPr>
      <w:r>
        <w:rPr>
          <w:rFonts w:hint="eastAsia" w:ascii="微软雅黑" w:hAnsi="微软雅黑" w:eastAsia="微软雅黑" w:cs="微软雅黑"/>
          <w:color w:val="auto"/>
          <w:lang w:val="en-US" w:eastAsia="zh-CN"/>
        </w:rPr>
        <w:t>③</w:t>
      </w:r>
      <w:r>
        <w:rPr>
          <w:rFonts w:hint="default" w:ascii="Times New Roman" w:hAnsi="Times New Roman" w:eastAsia="华文中宋" w:cs="Times New Roman"/>
          <w:color w:val="auto"/>
          <w:lang w:val="en-US" w:eastAsia="zh-CN"/>
        </w:rPr>
        <w:t>建设单位委托有相应技术力量的单位进行环境影响评价工作。</w:t>
      </w:r>
    </w:p>
    <w:p w14:paraId="0FDC626E">
      <w:pPr>
        <w:pStyle w:val="24"/>
        <w:snapToGrid w:val="0"/>
        <w:jc w:val="left"/>
        <w:rPr>
          <w:rFonts w:hint="default" w:ascii="Times New Roman" w:hAnsi="Times New Roman" w:eastAsia="华文中宋" w:cs="Times New Roman"/>
          <w:color w:val="auto"/>
          <w:lang w:val="en-US" w:eastAsia="zh-CN"/>
        </w:rPr>
      </w:pPr>
      <w:r>
        <w:rPr>
          <w:rFonts w:hint="eastAsia" w:ascii="微软雅黑" w:hAnsi="微软雅黑" w:eastAsia="微软雅黑" w:cs="微软雅黑"/>
          <w:color w:val="auto"/>
          <w:lang w:val="en-US" w:eastAsia="zh-CN"/>
        </w:rPr>
        <w:t>④</w:t>
      </w:r>
      <w:r>
        <w:rPr>
          <w:rFonts w:hint="default" w:ascii="Times New Roman" w:hAnsi="Times New Roman" w:eastAsia="华文中宋" w:cs="Times New Roman"/>
          <w:color w:val="auto"/>
          <w:lang w:val="en-US" w:eastAsia="zh-CN"/>
        </w:rPr>
        <w:t>初步设计和施工图设计阶段，编制环境保护篇章，依据本工程环境影响报告书及其审查意见，落实各项环境保护措施设计，作为指导工程建设、执行</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三同时</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制度和环境管理的依据。</w:t>
      </w:r>
    </w:p>
    <w:p w14:paraId="58D17911">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为保护工程地区脆弱的生态环境，在工程初步设计阶段</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应针对土石方工程造成的裸露面</w:t>
      </w:r>
      <w:r>
        <w:rPr>
          <w:rFonts w:hint="eastAsia" w:ascii="Times New Roman" w:hAnsi="Times New Roman" w:eastAsia="华文中宋" w:cs="Times New Roman"/>
          <w:color w:val="auto"/>
          <w:lang w:val="en-US" w:eastAsia="zh-CN"/>
        </w:rPr>
        <w:t>做好</w:t>
      </w:r>
      <w:r>
        <w:rPr>
          <w:rFonts w:hint="default" w:ascii="Times New Roman" w:hAnsi="Times New Roman" w:eastAsia="华文中宋" w:cs="Times New Roman"/>
          <w:color w:val="auto"/>
          <w:lang w:val="en-US" w:eastAsia="zh-CN"/>
        </w:rPr>
        <w:t>水土保持工程设计。污染控制措施需按报告书中提出的标准和措施，设计处理措施工艺流程，编制环保工程投资概算。所有的环保工程投资概算在技术设计阶段均纳入工程总投资中，确保环保工程的实施</w:t>
      </w:r>
      <w:r>
        <w:rPr>
          <w:rFonts w:hint="eastAsia" w:ascii="Times New Roman" w:hAnsi="Times New Roman" w:cs="Times New Roman"/>
          <w:color w:val="auto"/>
          <w:lang w:val="en-US" w:eastAsia="zh-CN"/>
        </w:rPr>
        <w:t>。</w:t>
      </w:r>
    </w:p>
    <w:p w14:paraId="6FD7524B">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（2）施工期环境管理</w:t>
      </w:r>
    </w:p>
    <w:p w14:paraId="67CD8C96">
      <w:pPr>
        <w:pStyle w:val="24"/>
        <w:snapToGrid w:val="0"/>
        <w:jc w:val="left"/>
        <w:rPr>
          <w:rFonts w:hint="default" w:ascii="Times New Roman" w:hAnsi="Times New Roman" w:eastAsia="华文中宋" w:cs="Times New Roman"/>
          <w:color w:val="auto"/>
          <w:lang w:val="en-US" w:eastAsia="zh-CN"/>
        </w:rPr>
      </w:pPr>
      <w:r>
        <w:rPr>
          <w:rFonts w:hint="eastAsia" w:ascii="微软雅黑" w:hAnsi="微软雅黑" w:eastAsia="微软雅黑" w:cs="微软雅黑"/>
          <w:color w:val="auto"/>
          <w:lang w:val="en-US" w:eastAsia="zh-CN"/>
        </w:rPr>
        <w:t>①</w:t>
      </w:r>
      <w:r>
        <w:rPr>
          <w:rFonts w:hint="default" w:ascii="Times New Roman" w:hAnsi="Times New Roman" w:eastAsia="华文中宋" w:cs="Times New Roman"/>
          <w:color w:val="auto"/>
          <w:lang w:val="en-US" w:eastAsia="zh-CN"/>
        </w:rPr>
        <w:t>管理体系</w:t>
      </w:r>
    </w:p>
    <w:p w14:paraId="1BC9D68F">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工程施工管理组成应包括建设单位、监理单位、施工单位在内的三级管理体系，同时要求工程设计单位做好服务和配合。</w:t>
      </w:r>
    </w:p>
    <w:p w14:paraId="4717CA12">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施工单位应加强自身的环境管理，各施工单位须配备必要的专、兼职环保管理人员，这些人员应是施工前经过相关培训、具备一定能力和资质的技术人员，并赋予其相应的职责和权力，使其充分发挥施工现场环保监督、管理职能，确保工程施工按照国家有关环保法规及工程设计的措施要求进行。</w:t>
      </w:r>
    </w:p>
    <w:p w14:paraId="7021B4CB">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监理单位应根据环境影响报告书，环保工程施工设计文件及施工合同中规定执行的各项环保措施作为监理工</w:t>
      </w:r>
      <w:r>
        <w:rPr>
          <w:rFonts w:hint="eastAsia" w:ascii="Times New Roman" w:hAnsi="Times New Roman" w:cs="Times New Roman"/>
          <w:color w:val="auto"/>
          <w:lang w:val="en-US" w:eastAsia="zh-CN"/>
        </w:rPr>
        <w:t>作的</w:t>
      </w:r>
      <w:r>
        <w:rPr>
          <w:rFonts w:hint="default" w:ascii="Times New Roman" w:hAnsi="Times New Roman" w:eastAsia="华文中宋" w:cs="Times New Roman"/>
          <w:color w:val="auto"/>
          <w:lang w:val="en-US" w:eastAsia="zh-CN"/>
        </w:rPr>
        <w:t>重要内容，并要求工程施工严格按照国家、地方有关环保法规、标准进行，对建设项目的各项环保工程建设质量把关，监督施工单位落实施工中采取的各项环保措施。</w:t>
      </w:r>
    </w:p>
    <w:p w14:paraId="68CE227B">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落实建设单位施工期环境管理职能是做好工程中环境保护工作的关键，首先是在工程施工承发包工作中，应将环保工程摆在主体工程同等的重要地位，环保工程质量、工期及与之相关的施工单位资质、能力都将</w:t>
      </w:r>
      <w:r>
        <w:rPr>
          <w:rFonts w:hint="eastAsia" w:ascii="Times New Roman" w:hAnsi="Times New Roman" w:eastAsia="华文中宋" w:cs="Times New Roman"/>
          <w:color w:val="auto"/>
          <w:lang w:val="en-US" w:eastAsia="zh-CN"/>
        </w:rPr>
        <w:t>作为</w:t>
      </w:r>
      <w:r>
        <w:rPr>
          <w:rFonts w:hint="default" w:ascii="Times New Roman" w:hAnsi="Times New Roman" w:eastAsia="华文中宋" w:cs="Times New Roman"/>
          <w:color w:val="auto"/>
          <w:lang w:val="en-US" w:eastAsia="zh-CN"/>
        </w:rPr>
        <w:t>重要的发包条件写入合同书中，为环保工程能够高质量</w:t>
      </w:r>
      <w:r>
        <w:rPr>
          <w:rFonts w:hint="eastAsia" w:ascii="Times New Roman" w:hAnsi="Times New Roman" w:eastAsia="华文中宋" w:cs="Times New Roman"/>
          <w:color w:val="auto"/>
          <w:lang w:val="en-US" w:eastAsia="zh-CN"/>
        </w:rPr>
        <w:t>的同时</w:t>
      </w:r>
      <w:r>
        <w:rPr>
          <w:rFonts w:hint="default" w:ascii="Times New Roman" w:hAnsi="Times New Roman" w:eastAsia="华文中宋" w:cs="Times New Roman"/>
          <w:color w:val="auto"/>
          <w:lang w:val="en-US" w:eastAsia="zh-CN"/>
        </w:rPr>
        <w:t>施工奠定基础。其次是及时掌握工程施工环保动态，定期检查和总结工程环保措施实施情况，资金使用情况，确保环保工程的进度要求。第三是协调各施工单位关系，消除可能存在环保项目遗漏和缺口。出现重大环保问题或环境纠纷时，积极组织力量解决，并协助施工单位处理好地方生态环境主管部门、公众三方相互利益的关系。</w:t>
      </w:r>
    </w:p>
    <w:p w14:paraId="44192D5A">
      <w:pPr>
        <w:pStyle w:val="24"/>
        <w:snapToGrid w:val="0"/>
        <w:jc w:val="left"/>
        <w:rPr>
          <w:rFonts w:hint="default" w:ascii="Times New Roman" w:hAnsi="Times New Roman" w:eastAsia="华文中宋" w:cs="Times New Roman"/>
          <w:color w:val="auto"/>
          <w:lang w:val="en-US" w:eastAsia="zh-CN"/>
        </w:rPr>
      </w:pPr>
      <w:r>
        <w:rPr>
          <w:rFonts w:hint="eastAsia" w:ascii="微软雅黑" w:hAnsi="微软雅黑" w:eastAsia="微软雅黑" w:cs="微软雅黑"/>
          <w:color w:val="auto"/>
          <w:lang w:val="en-US" w:eastAsia="zh-CN"/>
        </w:rPr>
        <w:t>②</w:t>
      </w:r>
      <w:r>
        <w:rPr>
          <w:rFonts w:hint="default" w:ascii="Times New Roman" w:hAnsi="Times New Roman" w:eastAsia="华文中宋" w:cs="Times New Roman"/>
          <w:color w:val="auto"/>
          <w:lang w:val="en-US" w:eastAsia="zh-CN"/>
        </w:rPr>
        <w:t>监督体系</w:t>
      </w:r>
    </w:p>
    <w:p w14:paraId="131C7052">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从工程施工的全过程而言，地方生态环境、水利、交通、环卫等部门是工程施工期环境监督的主体，而在某一具体或敏感环节，银行、审计、司法部门及新闻媒体也是监督体系的重要组成部分。</w:t>
      </w:r>
    </w:p>
    <w:p w14:paraId="5B994380">
      <w:pPr>
        <w:pStyle w:val="24"/>
        <w:snapToGrid w:val="0"/>
        <w:jc w:val="left"/>
        <w:rPr>
          <w:rFonts w:hint="default" w:ascii="Times New Roman" w:hAnsi="Times New Roman" w:eastAsia="华文中宋" w:cs="Times New Roman"/>
          <w:color w:val="auto"/>
          <w:lang w:val="en-US" w:eastAsia="zh-CN"/>
        </w:rPr>
      </w:pPr>
      <w:r>
        <w:rPr>
          <w:rFonts w:hint="eastAsia" w:ascii="微软雅黑" w:hAnsi="微软雅黑" w:eastAsia="微软雅黑" w:cs="微软雅黑"/>
          <w:color w:val="auto"/>
          <w:lang w:val="en-US" w:eastAsia="zh-CN"/>
        </w:rPr>
        <w:t>③</w:t>
      </w:r>
      <w:r>
        <w:rPr>
          <w:rFonts w:hint="default" w:ascii="Times New Roman" w:hAnsi="Times New Roman" w:eastAsia="华文中宋" w:cs="Times New Roman"/>
          <w:color w:val="auto"/>
          <w:lang w:val="en-US" w:eastAsia="zh-CN"/>
        </w:rPr>
        <w:t xml:space="preserve">施工期环境管理 </w:t>
      </w:r>
    </w:p>
    <w:p w14:paraId="15D511D2">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建设单位与施工单位</w:t>
      </w:r>
      <w:r>
        <w:rPr>
          <w:rFonts w:hint="eastAsia" w:ascii="Times New Roman" w:hAnsi="Times New Roman" w:eastAsia="华文中宋" w:cs="Times New Roman"/>
          <w:color w:val="auto"/>
          <w:lang w:val="en-US" w:eastAsia="zh-CN"/>
        </w:rPr>
        <w:t>签订</w:t>
      </w:r>
      <w:r>
        <w:rPr>
          <w:rFonts w:hint="default" w:ascii="Times New Roman" w:hAnsi="Times New Roman" w:eastAsia="华文中宋" w:cs="Times New Roman"/>
          <w:color w:val="auto"/>
          <w:lang w:val="en-US" w:eastAsia="zh-CN"/>
        </w:rPr>
        <w:t>工程承包合同中，应包括有关工程施工期间环境保护条款，包括工程施工中生态环境保护（水土保持）、施工期间环境污染控制，污染物排放管理，施工人员环保教育及相关奖惩条款。</w:t>
      </w:r>
    </w:p>
    <w:p w14:paraId="6BAB310C">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施工单位应</w:t>
      </w:r>
      <w:r>
        <w:rPr>
          <w:rFonts w:hint="eastAsia" w:ascii="Times New Roman" w:hAnsi="Times New Roman" w:eastAsia="华文中宋" w:cs="Times New Roman"/>
          <w:color w:val="auto"/>
          <w:lang w:val="en-US" w:eastAsia="zh-CN"/>
        </w:rPr>
        <w:t>增强</w:t>
      </w:r>
      <w:r>
        <w:rPr>
          <w:rFonts w:hint="default" w:ascii="Times New Roman" w:hAnsi="Times New Roman" w:eastAsia="华文中宋" w:cs="Times New Roman"/>
          <w:color w:val="auto"/>
          <w:lang w:val="en-US" w:eastAsia="zh-CN"/>
        </w:rPr>
        <w:t>环保意识，加强驻地和施工现场的环境管理，合理安排施工计划，切实做到组织计划严谨，文明施工，环保措施逐项落实到位，环保工程与主体工程同时实施、同时运行，环保工程费用专款专用，不偷工减料，延误工期。</w:t>
      </w:r>
    </w:p>
    <w:p w14:paraId="72B6938C">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施工单位应特别注意工程施工中的水土保持，尽可能保护好选厂沿线土壤、植被，弃土、弃碴须运至设计中指定地点弃置，严禁随意堆置。</w:t>
      </w:r>
    </w:p>
    <w:p w14:paraId="69A56199">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各施工现场、施工单位驻地及其他施工临时设施，应加强环境管理，施工污水避免无组织排放，尽可能集中排放指定地点；扬尘大的工地应采取降尘措施，工程施工完毕后施工单位及时清理和恢复施工现场，妥善处理生活垃圾与施工弃</w:t>
      </w:r>
      <w:r>
        <w:rPr>
          <w:rFonts w:hint="eastAsia" w:ascii="Times New Roman" w:hAnsi="Times New Roman" w:cs="Times New Roman"/>
          <w:color w:val="auto"/>
          <w:lang w:val="en-US" w:eastAsia="zh-CN"/>
        </w:rPr>
        <w:t>渣</w:t>
      </w:r>
      <w:r>
        <w:rPr>
          <w:rFonts w:hint="default" w:ascii="Times New Roman" w:hAnsi="Times New Roman" w:eastAsia="华文中宋" w:cs="Times New Roman"/>
          <w:color w:val="auto"/>
          <w:lang w:val="en-US" w:eastAsia="zh-CN"/>
        </w:rPr>
        <w:t>，减少扬尘；施工现场应执行《建筑施工场界环境噪声排放标准》（GBl2523-2011）中的有关规定和要求。</w:t>
      </w:r>
    </w:p>
    <w:p w14:paraId="2694F0EA">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认真落实各项补偿措施，做好工程各项环保设施的施工监理与验收，保证环保工程质量，真正做到环保工程</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三同时</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w:t>
      </w:r>
    </w:p>
    <w:p w14:paraId="5B483C55">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（3）运营期环境管理</w:t>
      </w:r>
    </w:p>
    <w:p w14:paraId="52E4924A">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微软雅黑" w:cs="Times New Roman"/>
          <w:color w:val="auto"/>
          <w:lang w:val="en-US" w:eastAsia="zh-CN"/>
        </w:rPr>
        <w:t>①</w:t>
      </w:r>
      <w:r>
        <w:rPr>
          <w:rFonts w:hint="default" w:ascii="Times New Roman" w:hAnsi="Times New Roman" w:eastAsia="华文中宋" w:cs="Times New Roman"/>
          <w:color w:val="auto"/>
          <w:lang w:val="en-US" w:eastAsia="zh-CN"/>
        </w:rPr>
        <w:t>管理机构</w:t>
      </w:r>
    </w:p>
    <w:p w14:paraId="0DCB3AB5">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企业环保科负责本矿运营期的环境管理工作，与当地生态环境部门及其授权监测部门保持密切联系，直接监管项目区污染物的排放情况，并对其实施总量控制，对超标排放及污染事故、纠纷进行处理。</w:t>
      </w:r>
    </w:p>
    <w:p w14:paraId="1E5A32CB">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微软雅黑" w:cs="Times New Roman"/>
          <w:color w:val="auto"/>
          <w:lang w:val="en-US" w:eastAsia="zh-CN"/>
        </w:rPr>
        <w:t>②</w:t>
      </w:r>
      <w:r>
        <w:rPr>
          <w:rFonts w:hint="default" w:ascii="Times New Roman" w:hAnsi="Times New Roman" w:eastAsia="华文中宋" w:cs="Times New Roman"/>
          <w:color w:val="auto"/>
          <w:lang w:val="en-US" w:eastAsia="zh-CN"/>
        </w:rPr>
        <w:t xml:space="preserve">运营期环境管理职责 </w:t>
      </w:r>
    </w:p>
    <w:p w14:paraId="0A16AE52">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本矿的环境管理工作将由建设单位环保机构统一协调安排，配置专职环境管理人员，由环保专职人员负责环保设备的运转和维护，确保其正常运转和达标排放，充分发挥其作用；配合当地环境监测部门定期对厂区的大气、水体、噪声等进行常规监测，记录并及时上报污染源及环保设施运转动态，并与当地生态环境部门通力协作，共同搞好矿区的环保工作。</w:t>
      </w:r>
    </w:p>
    <w:p w14:paraId="759377E7">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在项目实施全过程中，矿区都应以《中华人民共和国环境保护法》及相关环保法律法规为依据，通过对项目前后的环境审核，设定环境方针，建立环境目标和指标，设计环境方案，以达到“清洁生产”的良好效果，求得环境的长远的持久的发展。因此，它应建立以下环境管理制度：</w:t>
      </w:r>
    </w:p>
    <w:p w14:paraId="4538CC58">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cs="Times New Roman"/>
          <w:color w:val="auto"/>
          <w:lang w:val="en-US" w:eastAsia="zh-CN"/>
        </w:rPr>
        <w:t>1.</w:t>
      </w:r>
      <w:r>
        <w:rPr>
          <w:rFonts w:hint="default" w:ascii="Times New Roman" w:hAnsi="Times New Roman" w:eastAsia="华文中宋" w:cs="Times New Roman"/>
          <w:color w:val="auto"/>
          <w:lang w:val="en-US" w:eastAsia="zh-CN"/>
        </w:rPr>
        <w:t>内部环境审核制度；</w:t>
      </w:r>
    </w:p>
    <w:p w14:paraId="6C3BF21C">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cs="Times New Roman"/>
          <w:color w:val="auto"/>
          <w:lang w:val="en-US" w:eastAsia="zh-CN"/>
        </w:rPr>
        <w:t>2.</w:t>
      </w:r>
      <w:r>
        <w:rPr>
          <w:rFonts w:hint="default" w:ascii="Times New Roman" w:hAnsi="Times New Roman" w:eastAsia="华文中宋" w:cs="Times New Roman"/>
          <w:color w:val="auto"/>
          <w:lang w:val="en-US" w:eastAsia="zh-CN"/>
        </w:rPr>
        <w:t>清洁生产教育及培训制度；</w:t>
      </w:r>
    </w:p>
    <w:p w14:paraId="0935052A">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cs="Times New Roman"/>
          <w:color w:val="auto"/>
          <w:lang w:val="en-US" w:eastAsia="zh-CN"/>
        </w:rPr>
        <w:t>3.</w:t>
      </w:r>
      <w:r>
        <w:rPr>
          <w:rFonts w:hint="default" w:ascii="Times New Roman" w:hAnsi="Times New Roman" w:eastAsia="华文中宋" w:cs="Times New Roman"/>
          <w:color w:val="auto"/>
          <w:lang w:val="en-US" w:eastAsia="zh-CN"/>
        </w:rPr>
        <w:t>建立环境目标和确定指标制度；</w:t>
      </w:r>
    </w:p>
    <w:p w14:paraId="00576D25">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cs="Times New Roman"/>
          <w:color w:val="auto"/>
          <w:lang w:val="en-US" w:eastAsia="zh-CN"/>
        </w:rPr>
        <w:t>4.</w:t>
      </w:r>
      <w:r>
        <w:rPr>
          <w:rFonts w:hint="default" w:ascii="Times New Roman" w:hAnsi="Times New Roman" w:eastAsia="华文中宋" w:cs="Times New Roman"/>
          <w:color w:val="auto"/>
          <w:lang w:val="en-US" w:eastAsia="zh-CN"/>
        </w:rPr>
        <w:t>内部环境管理监督、检查制度。</w:t>
      </w:r>
    </w:p>
    <w:p w14:paraId="080AB623">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针对本工程不同工作阶段，制定环境管理工作计划，工程建设管理工作计划见表8.1-1。</w:t>
      </w:r>
    </w:p>
    <w:p w14:paraId="76DB3EDA">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8.1-1  环境管理工作计划</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3"/>
        <w:gridCol w:w="7329"/>
      </w:tblGrid>
      <w:tr w14:paraId="21835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vAlign w:val="center"/>
          </w:tcPr>
          <w:p w14:paraId="7339CDF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阶段</w:t>
            </w:r>
          </w:p>
        </w:tc>
        <w:tc>
          <w:tcPr>
            <w:tcW w:w="7329" w:type="dxa"/>
            <w:vAlign w:val="center"/>
          </w:tcPr>
          <w:p w14:paraId="1DFE730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环境管理工作主要内容</w:t>
            </w:r>
          </w:p>
        </w:tc>
      </w:tr>
      <w:tr w14:paraId="4F79F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vAlign w:val="center"/>
          </w:tcPr>
          <w:p w14:paraId="709BED2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管理机构职能</w:t>
            </w:r>
          </w:p>
        </w:tc>
        <w:tc>
          <w:tcPr>
            <w:tcW w:w="7329" w:type="dxa"/>
            <w:vAlign w:val="center"/>
          </w:tcPr>
          <w:p w14:paraId="638C155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根据国家建设项目环境管理规定，认真落实各项环保手续，完成各级主管部门对本项目提出的环境管理要求，对项目内部各项管理计划的执行及完成情况进行监督、控制，确保环境管理工作真正发挥作用。</w:t>
            </w:r>
          </w:p>
        </w:tc>
      </w:tr>
      <w:tr w14:paraId="53CB9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vAlign w:val="center"/>
          </w:tcPr>
          <w:p w14:paraId="1E110F2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项目建设前期</w:t>
            </w:r>
          </w:p>
        </w:tc>
        <w:tc>
          <w:tcPr>
            <w:tcW w:w="7329" w:type="dxa"/>
            <w:vAlign w:val="center"/>
          </w:tcPr>
          <w:p w14:paraId="02394EF1">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⑴自主或委托环评单位开展项目环境影响评价工作；</w:t>
            </w:r>
          </w:p>
          <w:p w14:paraId="30C00859">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⑵积极配合可研及环评单位进行现场调研；</w:t>
            </w:r>
          </w:p>
          <w:p w14:paraId="195E17A4">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⑶针对项目的具体情况，建立企业内部必要的环境管理与监测制度；</w:t>
            </w:r>
          </w:p>
          <w:p w14:paraId="13B4A81F">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⑷开展全员环境保护岗位宣传和培训。</w:t>
            </w:r>
          </w:p>
        </w:tc>
      </w:tr>
      <w:tr w14:paraId="28681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vAlign w:val="center"/>
          </w:tcPr>
          <w:p w14:paraId="7BDB9F0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设计阶段</w:t>
            </w:r>
          </w:p>
        </w:tc>
        <w:tc>
          <w:tcPr>
            <w:tcW w:w="7329" w:type="dxa"/>
            <w:vAlign w:val="center"/>
          </w:tcPr>
          <w:p w14:paraId="75AF2700">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⑴委托有资质的设计单位对项目的环保工程与主体工程同时设计；</w:t>
            </w:r>
          </w:p>
          <w:p w14:paraId="4066BB27">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⑵协助设计单位理清现阶段存在的环境问题；</w:t>
            </w:r>
          </w:p>
          <w:p w14:paraId="0E19937F">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⑶在设计中落实环境影响报告书及批复要求。</w:t>
            </w:r>
          </w:p>
        </w:tc>
      </w:tr>
      <w:tr w14:paraId="1110D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vAlign w:val="center"/>
          </w:tcPr>
          <w:p w14:paraId="7C8E333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施工阶段</w:t>
            </w:r>
          </w:p>
        </w:tc>
        <w:tc>
          <w:tcPr>
            <w:tcW w:w="7329" w:type="dxa"/>
            <w:vAlign w:val="center"/>
          </w:tcPr>
          <w:p w14:paraId="145A95A6">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⑴严格执行“三同时”制度；</w:t>
            </w:r>
          </w:p>
          <w:p w14:paraId="22379198">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⑵按照环评报告中提出的要求，制定建设项目施工措施实施计划表，并与当地环保部门签订落实计划目标责任书；</w:t>
            </w:r>
          </w:p>
          <w:p w14:paraId="3001BE1A">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⑶认真监督主体工程与环保工程的同步建设，建立环保工程施工进度档案；</w:t>
            </w:r>
          </w:p>
          <w:p w14:paraId="1B8713A3">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⑷施工噪声与振动要符合《中华人民共和国噪声污染防治法》与《建筑施工场界环境噪声排放标准》（GB12523-2011）的有关规定；</w:t>
            </w:r>
          </w:p>
          <w:p w14:paraId="679E6575">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⑸按照环评要求设置防沙、治沙设施；</w:t>
            </w:r>
          </w:p>
          <w:p w14:paraId="62E1CFBE">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⑹施工临时占地应及时开展生态恢复治理；</w:t>
            </w:r>
          </w:p>
          <w:p w14:paraId="0238CA8C">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⑺设立施工期环境监理制度，监督环保工程的建设情况，施工阶段的环保工程建设进展和环保投资落实情况定期（每季度）向环保主管部门汇报一次。</w:t>
            </w:r>
          </w:p>
        </w:tc>
      </w:tr>
      <w:tr w14:paraId="4B2CD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vAlign w:val="center"/>
          </w:tcPr>
          <w:p w14:paraId="19355AB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调试期</w:t>
            </w:r>
          </w:p>
        </w:tc>
        <w:tc>
          <w:tcPr>
            <w:tcW w:w="7329" w:type="dxa"/>
            <w:vAlign w:val="center"/>
          </w:tcPr>
          <w:p w14:paraId="69368790">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⑴检查项目环保工程是否按照设计、环评及批复规定建设完工；</w:t>
            </w:r>
          </w:p>
          <w:p w14:paraId="1743B9EC">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⑵做好调试期环保设施运行记录；</w:t>
            </w:r>
          </w:p>
          <w:p w14:paraId="0A556086">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⑶向环保部门和当地主管部门提交调试申请报告；</w:t>
            </w:r>
          </w:p>
          <w:p w14:paraId="52F33489">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⑷环保部门和主管部门对环保工程建设与调试情况进行现场检查；</w:t>
            </w:r>
          </w:p>
          <w:p w14:paraId="55AE95C5">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⑸记录各项环保设施的调试状况，针对出现的问题提出完善修改意见；</w:t>
            </w:r>
          </w:p>
          <w:p w14:paraId="55FAD541">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⑹总结调试经验，健全前期的各项管理制度；</w:t>
            </w:r>
          </w:p>
          <w:p w14:paraId="1EEEE810">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⑺按项目污染物种类和排放量申请排污许可证；</w:t>
            </w:r>
          </w:p>
          <w:p w14:paraId="2B0B87C3">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⑻调试期组织竣工环境保护验收。</w:t>
            </w:r>
          </w:p>
        </w:tc>
      </w:tr>
      <w:tr w14:paraId="104FC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vAlign w:val="center"/>
          </w:tcPr>
          <w:p w14:paraId="2415D04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生产运行期</w:t>
            </w:r>
          </w:p>
        </w:tc>
        <w:tc>
          <w:tcPr>
            <w:tcW w:w="7329" w:type="dxa"/>
            <w:vAlign w:val="center"/>
          </w:tcPr>
          <w:p w14:paraId="041FC154">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⑴严格执行各项生产及环境管理制度，保证生产的正常运行；</w:t>
            </w:r>
          </w:p>
          <w:p w14:paraId="2B80297D">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⑵设立环保设施运行卡，对环保设施定期进行检查、维护，做到勤查、勤记、勤养护，按照监测计划定期组织进行项目污染源监测，对不达标的环保设施应立即进行查找原因，及时处理；</w:t>
            </w:r>
          </w:p>
          <w:p w14:paraId="161C0461">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⑶加强技术培训，组织企业内部员工之间技术交流，提高业务水平，保持企业内部职工素质稳定；</w:t>
            </w:r>
          </w:p>
          <w:p w14:paraId="4718A251">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⑷重视群众监督作用，增强企业职工环保意识，鼓励职工及外部人员提出本项目环境保护意见和建议，企业应采纳正确、合理的意见和建议，不断提高企业环境管理水平；</w:t>
            </w:r>
          </w:p>
          <w:p w14:paraId="6FC2B21A">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⑸积极配合环保部门检查。</w:t>
            </w:r>
          </w:p>
        </w:tc>
      </w:tr>
    </w:tbl>
    <w:p w14:paraId="0335D23A">
      <w:pPr>
        <w:pStyle w:val="3"/>
        <w:spacing w:before="120" w:after="120" w:line="500" w:lineRule="exact"/>
        <w:ind w:left="375" w:hanging="375" w:firstLineChars="0"/>
        <w:contextualSpacing/>
        <w:rPr>
          <w:rFonts w:hint="default" w:ascii="Times New Roman" w:hAnsi="Times New Roman" w:eastAsia="华文中宋" w:cs="Times New Roman"/>
          <w:snapToGrid w:val="0"/>
          <w:kern w:val="0"/>
          <w:sz w:val="28"/>
          <w:szCs w:val="28"/>
          <w:lang w:val="en-US" w:eastAsia="zh-CN"/>
        </w:rPr>
      </w:pPr>
      <w:bookmarkStart w:id="334" w:name="_Toc6380"/>
      <w:bookmarkStart w:id="335" w:name="_Toc20599"/>
      <w:r>
        <w:rPr>
          <w:rFonts w:hint="default" w:ascii="Times New Roman" w:hAnsi="Times New Roman" w:eastAsia="华文中宋" w:cs="Times New Roman"/>
          <w:snapToGrid w:val="0"/>
          <w:kern w:val="0"/>
          <w:sz w:val="28"/>
          <w:szCs w:val="28"/>
          <w:lang w:val="en-US" w:eastAsia="zh-CN"/>
        </w:rPr>
        <w:t>8.2排污口规范化管理</w:t>
      </w:r>
      <w:bookmarkEnd w:id="334"/>
      <w:bookmarkEnd w:id="335"/>
    </w:p>
    <w:p w14:paraId="4370E02C">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val="en-US" w:eastAsia="zh-CN"/>
        </w:rPr>
        <w:t>按照生态环境部、新疆维吾尔自治区生态环境厅关于对排放口规范化整治的统一要求，规范废气采样平台，便于环境管理及监测部门的日常监督、检查和监测。首先排污口要立标管理，设立国家标准规定的标志牌，根据排污口污染物的排放特点，设置提示性或警告性环境保护图形标志牌，一般污染源设置提示性标志牌，毒性污染物设置警示性标志牌。</w:t>
      </w:r>
    </w:p>
    <w:p w14:paraId="6F94871F">
      <w:pPr>
        <w:pStyle w:val="4"/>
        <w:spacing w:before="120" w:after="120" w:line="500" w:lineRule="exact"/>
        <w:rPr>
          <w:rFonts w:hint="default" w:ascii="Times New Roman" w:hAnsi="Times New Roman" w:eastAsia="华文中宋" w:cs="Times New Roman"/>
          <w:kern w:val="0"/>
          <w:sz w:val="24"/>
          <w:szCs w:val="24"/>
          <w:lang w:val="zh-CN"/>
        </w:rPr>
      </w:pPr>
      <w:bookmarkStart w:id="336" w:name="_Toc25542"/>
      <w:r>
        <w:rPr>
          <w:rFonts w:hint="default" w:ascii="Times New Roman" w:hAnsi="Times New Roman" w:eastAsia="华文中宋" w:cs="Times New Roman"/>
          <w:kern w:val="0"/>
          <w:sz w:val="24"/>
          <w:szCs w:val="24"/>
          <w:lang w:val="en-US" w:eastAsia="zh-CN"/>
        </w:rPr>
        <w:t>8.2.1排污口规范化原则</w:t>
      </w:r>
      <w:bookmarkEnd w:id="336"/>
    </w:p>
    <w:p w14:paraId="701739E5">
      <w:pPr>
        <w:adjustRightInd w:val="0"/>
        <w:snapToGrid w:val="0"/>
        <w:spacing w:line="500" w:lineRule="exact"/>
        <w:ind w:firstLine="480" w:firstLineChars="200"/>
        <w:jc w:val="left"/>
        <w:rPr>
          <w:rFonts w:hint="default" w:ascii="Times New Roman" w:hAnsi="Times New Roman" w:eastAsia="华文中宋" w:cs="Times New Roman"/>
          <w:sz w:val="24"/>
          <w:lang w:val="en-US" w:eastAsia="zh-CN"/>
        </w:rPr>
      </w:pPr>
      <w:r>
        <w:rPr>
          <w:rFonts w:hint="default" w:ascii="Times New Roman" w:hAnsi="Times New Roman" w:eastAsia="华文中宋" w:cs="Times New Roman"/>
          <w:sz w:val="24"/>
          <w:lang w:val="en-US" w:eastAsia="zh-CN"/>
        </w:rPr>
        <w:t>按照</w:t>
      </w:r>
      <w:r>
        <w:rPr>
          <w:rFonts w:hint="eastAsia" w:ascii="Times New Roman" w:hAnsi="Times New Roman" w:eastAsia="华文中宋" w:cs="Times New Roman"/>
          <w:sz w:val="24"/>
          <w:lang w:val="en-US" w:eastAsia="zh-CN"/>
        </w:rPr>
        <w:t>生态环境部</w:t>
      </w:r>
      <w:r>
        <w:rPr>
          <w:rFonts w:hint="default" w:ascii="Times New Roman" w:hAnsi="Times New Roman" w:eastAsia="华文中宋" w:cs="Times New Roman"/>
          <w:sz w:val="24"/>
          <w:lang w:val="en-US" w:eastAsia="zh-CN"/>
        </w:rPr>
        <w:t>《排污口规范化整治技术要求》，对本工程排污口规范化管理要求见表8.2-1。</w:t>
      </w:r>
    </w:p>
    <w:p w14:paraId="28A46B2B">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表8.2-1  排污口规范化管理要求表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1"/>
        <w:gridCol w:w="1797"/>
        <w:gridCol w:w="1797"/>
        <w:gridCol w:w="1797"/>
        <w:gridCol w:w="1800"/>
      </w:tblGrid>
      <w:tr w14:paraId="092AC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Align w:val="center"/>
          </w:tcPr>
          <w:p w14:paraId="78688FAA">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项目</w:t>
            </w:r>
          </w:p>
        </w:tc>
        <w:tc>
          <w:tcPr>
            <w:tcW w:w="7191" w:type="dxa"/>
            <w:gridSpan w:val="4"/>
            <w:vAlign w:val="center"/>
          </w:tcPr>
          <w:p w14:paraId="394118F3">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主要要求内容</w:t>
            </w:r>
          </w:p>
        </w:tc>
      </w:tr>
      <w:tr w14:paraId="64A66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Align w:val="center"/>
          </w:tcPr>
          <w:p w14:paraId="11C30938">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基本原则</w:t>
            </w:r>
          </w:p>
        </w:tc>
        <w:tc>
          <w:tcPr>
            <w:tcW w:w="7191" w:type="dxa"/>
            <w:gridSpan w:val="4"/>
            <w:vAlign w:val="center"/>
          </w:tcPr>
          <w:p w14:paraId="3FD37D7D">
            <w:pPr>
              <w:spacing w:line="300" w:lineRule="exact"/>
              <w:jc w:val="left"/>
              <w:rPr>
                <w:rFonts w:hint="eastAsia" w:ascii="Times New Roman" w:hAnsi="Times New Roman" w:eastAsia="华文中宋" w:cs="Times New Roman"/>
                <w:szCs w:val="21"/>
              </w:rPr>
            </w:pPr>
            <w:r>
              <w:rPr>
                <w:rFonts w:hint="eastAsia" w:ascii="Times New Roman" w:hAnsi="Times New Roman" w:eastAsia="华文中宋" w:cs="Times New Roman"/>
                <w:szCs w:val="21"/>
                <w:lang w:val="en-US" w:eastAsia="zh-CN"/>
              </w:rPr>
              <w:t>1.凡向环境排放污染物的排污口必须进行规范化管理；</w:t>
            </w:r>
          </w:p>
          <w:p w14:paraId="65041319">
            <w:pPr>
              <w:spacing w:line="300" w:lineRule="exact"/>
              <w:jc w:val="left"/>
              <w:rPr>
                <w:rFonts w:hint="eastAsia" w:ascii="Times New Roman" w:hAnsi="Times New Roman" w:eastAsia="华文中宋" w:cs="Times New Roman"/>
                <w:szCs w:val="21"/>
              </w:rPr>
            </w:pPr>
            <w:r>
              <w:rPr>
                <w:rFonts w:hint="eastAsia" w:ascii="Times New Roman" w:hAnsi="Times New Roman" w:eastAsia="华文中宋" w:cs="Times New Roman"/>
                <w:szCs w:val="21"/>
                <w:lang w:val="en-US" w:eastAsia="zh-CN"/>
              </w:rPr>
              <w:t>2.排污口设置应便于采样和计量监测，便于日常现场监督与检查；</w:t>
            </w:r>
          </w:p>
          <w:p w14:paraId="07879E2B">
            <w:pPr>
              <w:spacing w:line="300" w:lineRule="exact"/>
              <w:jc w:val="left"/>
              <w:rPr>
                <w:rFonts w:hint="eastAsia" w:ascii="Times New Roman" w:hAnsi="Times New Roman" w:eastAsia="华文中宋" w:cs="Times New Roman"/>
                <w:szCs w:val="21"/>
              </w:rPr>
            </w:pPr>
            <w:r>
              <w:rPr>
                <w:rFonts w:hint="eastAsia" w:ascii="Times New Roman" w:hAnsi="Times New Roman" w:eastAsia="华文中宋" w:cs="Times New Roman"/>
                <w:szCs w:val="21"/>
                <w:lang w:val="en-US" w:eastAsia="zh-CN"/>
              </w:rPr>
              <w:t>3.如实向环保管理部门申报排污口数量、位置，排放主要污染物种类、数量和浓度与排放去向等方面情况。</w:t>
            </w:r>
          </w:p>
        </w:tc>
      </w:tr>
      <w:tr w14:paraId="02983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Align w:val="center"/>
          </w:tcPr>
          <w:p w14:paraId="6492955C">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技术要求</w:t>
            </w:r>
          </w:p>
        </w:tc>
        <w:tc>
          <w:tcPr>
            <w:tcW w:w="7191" w:type="dxa"/>
            <w:gridSpan w:val="4"/>
            <w:vAlign w:val="center"/>
          </w:tcPr>
          <w:p w14:paraId="4ED08162">
            <w:pPr>
              <w:spacing w:line="300" w:lineRule="exact"/>
              <w:jc w:val="left"/>
              <w:rPr>
                <w:rFonts w:hint="eastAsia" w:ascii="Times New Roman" w:hAnsi="Times New Roman" w:eastAsia="华文中宋" w:cs="Times New Roman"/>
                <w:szCs w:val="21"/>
              </w:rPr>
            </w:pPr>
            <w:r>
              <w:rPr>
                <w:rFonts w:hint="eastAsia" w:ascii="Times New Roman" w:hAnsi="Times New Roman" w:eastAsia="华文中宋" w:cs="Times New Roman"/>
                <w:szCs w:val="21"/>
                <w:lang w:val="en-US" w:eastAsia="zh-CN"/>
              </w:rPr>
              <w:t>1.排污口设置必须按照环监〔1996〕470号文要求，实行规范化管理。</w:t>
            </w:r>
          </w:p>
        </w:tc>
      </w:tr>
      <w:tr w14:paraId="79DA4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Align w:val="center"/>
          </w:tcPr>
          <w:p w14:paraId="6565A265">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立标管理</w:t>
            </w:r>
          </w:p>
        </w:tc>
        <w:tc>
          <w:tcPr>
            <w:tcW w:w="7191" w:type="dxa"/>
            <w:gridSpan w:val="4"/>
            <w:vAlign w:val="center"/>
          </w:tcPr>
          <w:p w14:paraId="53CF3A58">
            <w:pPr>
              <w:spacing w:line="300" w:lineRule="exact"/>
              <w:jc w:val="left"/>
              <w:rPr>
                <w:rFonts w:hint="eastAsia" w:ascii="Times New Roman" w:hAnsi="Times New Roman" w:eastAsia="华文中宋" w:cs="Times New Roman"/>
                <w:szCs w:val="21"/>
              </w:rPr>
            </w:pPr>
            <w:r>
              <w:rPr>
                <w:rFonts w:hint="eastAsia" w:ascii="Times New Roman" w:hAnsi="Times New Roman" w:eastAsia="华文中宋" w:cs="Times New Roman"/>
                <w:szCs w:val="21"/>
                <w:lang w:val="en-US" w:eastAsia="zh-CN"/>
              </w:rPr>
              <w:t>1.污染物排放口（源）和排土场等，必须实行规范化整治，应按照国家《环境保护图形标志－排放口（源）》（GB15562.1-1995）与（GB15562.2-95）中相关规定，设置环保图形标志牌；</w:t>
            </w:r>
          </w:p>
          <w:p w14:paraId="2CC142E3">
            <w:pPr>
              <w:spacing w:line="300" w:lineRule="exact"/>
              <w:jc w:val="left"/>
              <w:rPr>
                <w:rFonts w:hint="eastAsia" w:ascii="Times New Roman" w:hAnsi="Times New Roman" w:eastAsia="华文中宋" w:cs="Times New Roman"/>
                <w:szCs w:val="21"/>
              </w:rPr>
            </w:pPr>
            <w:r>
              <w:rPr>
                <w:rFonts w:hint="eastAsia" w:ascii="Times New Roman" w:hAnsi="Times New Roman" w:eastAsia="华文中宋" w:cs="Times New Roman"/>
                <w:szCs w:val="21"/>
                <w:lang w:val="en-US" w:eastAsia="zh-CN"/>
              </w:rPr>
              <w:t>2.环保图形标志牌位置应距离污染物排放口（源）及排土场等较近且醒目处，设置高度一般为标志牌上缘距离地面2m处；</w:t>
            </w:r>
          </w:p>
          <w:p w14:paraId="2F5E93ED">
            <w:pPr>
              <w:spacing w:line="300" w:lineRule="exact"/>
              <w:jc w:val="left"/>
              <w:rPr>
                <w:rFonts w:hint="eastAsia" w:ascii="Times New Roman" w:hAnsi="Times New Roman" w:eastAsia="华文中宋" w:cs="Times New Roman"/>
                <w:szCs w:val="21"/>
              </w:rPr>
            </w:pPr>
            <w:r>
              <w:rPr>
                <w:rFonts w:hint="eastAsia" w:ascii="Times New Roman" w:hAnsi="Times New Roman" w:eastAsia="华文中宋" w:cs="Times New Roman"/>
                <w:szCs w:val="21"/>
                <w:lang w:val="en-US" w:eastAsia="zh-CN"/>
              </w:rPr>
              <w:t>3.重点排污单位污染物排放口（源）以设置立式标志牌为主；</w:t>
            </w:r>
          </w:p>
          <w:p w14:paraId="79075D0C">
            <w:pPr>
              <w:spacing w:line="300" w:lineRule="exact"/>
              <w:jc w:val="left"/>
              <w:rPr>
                <w:rFonts w:hint="eastAsia" w:ascii="Times New Roman" w:hAnsi="Times New Roman" w:eastAsia="华文中宋" w:cs="Times New Roman"/>
                <w:szCs w:val="21"/>
              </w:rPr>
            </w:pPr>
            <w:r>
              <w:rPr>
                <w:rFonts w:hint="eastAsia" w:ascii="Times New Roman" w:hAnsi="Times New Roman" w:eastAsia="华文中宋" w:cs="Times New Roman"/>
                <w:szCs w:val="21"/>
                <w:lang w:val="en-US" w:eastAsia="zh-CN"/>
              </w:rPr>
              <w:t>4.危险废物暂存间必须设置警告性环保图形标志牌；</w:t>
            </w:r>
          </w:p>
          <w:p w14:paraId="0DB50362">
            <w:pPr>
              <w:spacing w:line="300" w:lineRule="exact"/>
              <w:jc w:val="left"/>
              <w:rPr>
                <w:rFonts w:hint="eastAsia" w:ascii="Times New Roman" w:hAnsi="Times New Roman" w:eastAsia="华文中宋" w:cs="Times New Roman"/>
                <w:szCs w:val="21"/>
              </w:rPr>
            </w:pPr>
            <w:r>
              <w:rPr>
                <w:rFonts w:hint="eastAsia" w:ascii="Times New Roman" w:hAnsi="Times New Roman" w:eastAsia="华文中宋" w:cs="Times New Roman"/>
                <w:szCs w:val="21"/>
                <w:lang w:val="en-US" w:eastAsia="zh-CN"/>
              </w:rPr>
              <w:t>5.对排土场必须设置警示性环保图形标志牌。</w:t>
            </w:r>
          </w:p>
        </w:tc>
      </w:tr>
      <w:tr w14:paraId="25CEA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Align w:val="center"/>
          </w:tcPr>
          <w:p w14:paraId="76F4E6C4">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建档管理</w:t>
            </w:r>
          </w:p>
        </w:tc>
        <w:tc>
          <w:tcPr>
            <w:tcW w:w="7191" w:type="dxa"/>
            <w:gridSpan w:val="4"/>
            <w:vAlign w:val="center"/>
          </w:tcPr>
          <w:p w14:paraId="103E0AD5">
            <w:pPr>
              <w:spacing w:line="300" w:lineRule="exact"/>
              <w:jc w:val="left"/>
              <w:rPr>
                <w:rFonts w:hint="eastAsia" w:ascii="Times New Roman" w:hAnsi="Times New Roman" w:eastAsia="华文中宋" w:cs="Times New Roman"/>
                <w:szCs w:val="21"/>
              </w:rPr>
            </w:pPr>
            <w:r>
              <w:rPr>
                <w:rFonts w:hint="eastAsia" w:ascii="Times New Roman" w:hAnsi="Times New Roman" w:eastAsia="华文中宋" w:cs="Times New Roman"/>
                <w:szCs w:val="21"/>
                <w:lang w:val="en-US" w:eastAsia="zh-CN"/>
              </w:rPr>
              <w:t>1.使用《中华人民共和国规范化排污口标志登记证》，按要求填写有关内容；</w:t>
            </w:r>
          </w:p>
          <w:p w14:paraId="5876750A">
            <w:pPr>
              <w:spacing w:line="300" w:lineRule="exact"/>
              <w:jc w:val="left"/>
              <w:rPr>
                <w:rFonts w:hint="eastAsia" w:ascii="Times New Roman" w:hAnsi="Times New Roman" w:eastAsia="华文中宋" w:cs="Times New Roman"/>
                <w:szCs w:val="21"/>
              </w:rPr>
            </w:pPr>
            <w:r>
              <w:rPr>
                <w:rFonts w:hint="eastAsia" w:ascii="Times New Roman" w:hAnsi="Times New Roman" w:eastAsia="华文中宋" w:cs="Times New Roman"/>
                <w:szCs w:val="21"/>
                <w:lang w:val="en-US" w:eastAsia="zh-CN"/>
              </w:rPr>
              <w:t>2.严格按照制定环境管理计划，根据排污口管理内容、要求，在工程建成后将主要污染物种类、数量、浓度、排放去向，立标情况及设施运行情况记录于档案。</w:t>
            </w:r>
          </w:p>
        </w:tc>
      </w:tr>
      <w:tr w14:paraId="55D4F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Align w:val="center"/>
          </w:tcPr>
          <w:p w14:paraId="06BADCE5">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排放口</w:t>
            </w:r>
          </w:p>
        </w:tc>
        <w:tc>
          <w:tcPr>
            <w:tcW w:w="1797" w:type="dxa"/>
            <w:vAlign w:val="center"/>
          </w:tcPr>
          <w:p w14:paraId="357CC7B7">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废水排口</w:t>
            </w:r>
          </w:p>
        </w:tc>
        <w:tc>
          <w:tcPr>
            <w:tcW w:w="1797" w:type="dxa"/>
            <w:vAlign w:val="center"/>
          </w:tcPr>
          <w:p w14:paraId="036A4C75">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废气排口</w:t>
            </w:r>
          </w:p>
        </w:tc>
        <w:tc>
          <w:tcPr>
            <w:tcW w:w="1797" w:type="dxa"/>
            <w:vAlign w:val="center"/>
          </w:tcPr>
          <w:p w14:paraId="75C3EF9E">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固废堆场</w:t>
            </w:r>
          </w:p>
        </w:tc>
        <w:tc>
          <w:tcPr>
            <w:tcW w:w="1800" w:type="dxa"/>
            <w:vAlign w:val="center"/>
          </w:tcPr>
          <w:p w14:paraId="0A80D039">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噪声源</w:t>
            </w:r>
          </w:p>
        </w:tc>
      </w:tr>
      <w:tr w14:paraId="5BF3C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Align w:val="center"/>
          </w:tcPr>
          <w:p w14:paraId="6AA88033">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图形符号</w:t>
            </w:r>
          </w:p>
        </w:tc>
        <w:tc>
          <w:tcPr>
            <w:tcW w:w="1797" w:type="dxa"/>
            <w:vAlign w:val="center"/>
          </w:tcPr>
          <w:p w14:paraId="151F41E0">
            <w:pPr>
              <w:spacing w:line="300" w:lineRule="exact"/>
              <w:jc w:val="center"/>
              <w:rPr>
                <w:rFonts w:hint="eastAsia" w:ascii="Times New Roman" w:hAnsi="Times New Roman" w:eastAsia="华文中宋" w:cs="Times New Roman"/>
                <w:szCs w:val="21"/>
              </w:rPr>
            </w:pPr>
          </w:p>
        </w:tc>
        <w:tc>
          <w:tcPr>
            <w:tcW w:w="1797" w:type="dxa"/>
            <w:vAlign w:val="center"/>
          </w:tcPr>
          <w:p w14:paraId="3DC449B1">
            <w:pPr>
              <w:spacing w:line="300" w:lineRule="exact"/>
              <w:jc w:val="center"/>
              <w:rPr>
                <w:rFonts w:hint="eastAsia" w:ascii="Times New Roman" w:hAnsi="Times New Roman" w:eastAsia="华文中宋" w:cs="Times New Roman"/>
                <w:szCs w:val="21"/>
              </w:rPr>
            </w:pPr>
          </w:p>
        </w:tc>
        <w:tc>
          <w:tcPr>
            <w:tcW w:w="1797" w:type="dxa"/>
            <w:vAlign w:val="center"/>
          </w:tcPr>
          <w:p w14:paraId="435B6674">
            <w:pPr>
              <w:spacing w:line="300" w:lineRule="exact"/>
              <w:jc w:val="center"/>
              <w:rPr>
                <w:rFonts w:hint="eastAsia" w:ascii="Times New Roman" w:hAnsi="Times New Roman" w:eastAsia="华文中宋" w:cs="Times New Roman"/>
                <w:szCs w:val="21"/>
              </w:rPr>
            </w:pPr>
          </w:p>
        </w:tc>
        <w:tc>
          <w:tcPr>
            <w:tcW w:w="1800" w:type="dxa"/>
            <w:vAlign w:val="center"/>
          </w:tcPr>
          <w:p w14:paraId="594FAFB5">
            <w:pPr>
              <w:spacing w:line="300" w:lineRule="exact"/>
              <w:jc w:val="center"/>
              <w:rPr>
                <w:rFonts w:hint="eastAsia" w:ascii="Times New Roman" w:hAnsi="Times New Roman" w:eastAsia="华文中宋" w:cs="Times New Roman"/>
                <w:szCs w:val="21"/>
              </w:rPr>
            </w:pPr>
          </w:p>
        </w:tc>
      </w:tr>
      <w:tr w14:paraId="4370E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Align w:val="center"/>
          </w:tcPr>
          <w:p w14:paraId="38EE7BE2">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背景颜色</w:t>
            </w:r>
          </w:p>
        </w:tc>
        <w:tc>
          <w:tcPr>
            <w:tcW w:w="7191" w:type="dxa"/>
            <w:gridSpan w:val="4"/>
            <w:vAlign w:val="center"/>
          </w:tcPr>
          <w:p w14:paraId="3ECB0430">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绿色</w:t>
            </w:r>
          </w:p>
        </w:tc>
      </w:tr>
      <w:tr w14:paraId="20044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1" w:type="dxa"/>
            <w:vAlign w:val="center"/>
          </w:tcPr>
          <w:p w14:paraId="29632624">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图形颜色</w:t>
            </w:r>
          </w:p>
        </w:tc>
        <w:tc>
          <w:tcPr>
            <w:tcW w:w="7191" w:type="dxa"/>
            <w:gridSpan w:val="4"/>
            <w:vAlign w:val="center"/>
          </w:tcPr>
          <w:p w14:paraId="29A94C56">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白色</w:t>
            </w:r>
          </w:p>
        </w:tc>
      </w:tr>
    </w:tbl>
    <w:p w14:paraId="3D62DE56">
      <w:pPr>
        <w:pStyle w:val="4"/>
        <w:spacing w:before="120" w:after="120" w:line="500" w:lineRule="exact"/>
        <w:rPr>
          <w:rFonts w:hint="default" w:ascii="Times New Roman" w:hAnsi="Times New Roman" w:eastAsia="华文中宋" w:cs="Times New Roman"/>
          <w:kern w:val="0"/>
          <w:sz w:val="24"/>
          <w:szCs w:val="24"/>
          <w:lang w:val="en-US" w:eastAsia="zh-CN"/>
        </w:rPr>
      </w:pPr>
      <w:bookmarkStart w:id="337" w:name="_Toc21413"/>
      <w:r>
        <w:rPr>
          <w:rFonts w:hint="default" w:ascii="Times New Roman" w:hAnsi="Times New Roman" w:eastAsia="华文中宋" w:cs="Times New Roman"/>
          <w:kern w:val="0"/>
          <w:sz w:val="24"/>
          <w:szCs w:val="24"/>
          <w:lang w:val="en-US" w:eastAsia="zh-CN"/>
        </w:rPr>
        <w:t>8.2.2排污口建档管理</w:t>
      </w:r>
      <w:bookmarkEnd w:id="337"/>
    </w:p>
    <w:p w14:paraId="7020E1E5">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（1）要求使用国家环保局统一印刷的《中华人民共和国规范化排污口标志登记证》，并按要求填写有关内容；</w:t>
      </w:r>
    </w:p>
    <w:p w14:paraId="44F20923">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（2）根据排污口管理档案内容要求，项目建成后，应将主要污染物种类、数量、浓度、排放去向、达标情况及设施运行情况记录于档案。</w:t>
      </w:r>
    </w:p>
    <w:p w14:paraId="62CCF95D">
      <w:pPr>
        <w:pStyle w:val="4"/>
        <w:spacing w:before="120" w:after="120" w:line="500" w:lineRule="exact"/>
        <w:rPr>
          <w:rFonts w:hint="default" w:ascii="Times New Roman" w:hAnsi="Times New Roman" w:eastAsia="华文中宋" w:cs="Times New Roman"/>
          <w:kern w:val="0"/>
          <w:sz w:val="24"/>
          <w:szCs w:val="24"/>
          <w:lang w:val="en-US" w:eastAsia="zh-CN"/>
        </w:rPr>
      </w:pPr>
      <w:bookmarkStart w:id="338" w:name="_Toc3758"/>
      <w:r>
        <w:rPr>
          <w:rFonts w:hint="default" w:ascii="Times New Roman" w:hAnsi="Times New Roman" w:eastAsia="华文中宋" w:cs="Times New Roman"/>
          <w:kern w:val="0"/>
          <w:sz w:val="24"/>
          <w:szCs w:val="24"/>
          <w:lang w:val="en-US" w:eastAsia="zh-CN"/>
        </w:rPr>
        <w:t>8.2.3环境影响评价制度与排污许可制衔接分析</w:t>
      </w:r>
      <w:bookmarkEnd w:id="338"/>
    </w:p>
    <w:p w14:paraId="75695691">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根据《关于做好环境影响评价制度与排污许可制衔接相关工作的通知》</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环办环评〔201</w:t>
      </w:r>
      <w:r>
        <w:rPr>
          <w:rFonts w:hint="eastAsia" w:ascii="Times New Roman" w:hAnsi="Times New Roman" w:eastAsia="华文中宋" w:cs="Times New Roman"/>
          <w:color w:val="auto"/>
          <w:lang w:val="en-US" w:eastAsia="zh-CN"/>
        </w:rPr>
        <w:t>7</w:t>
      </w:r>
      <w:r>
        <w:rPr>
          <w:rFonts w:hint="default" w:ascii="Times New Roman" w:hAnsi="Times New Roman" w:eastAsia="华文中宋" w:cs="Times New Roman"/>
          <w:color w:val="auto"/>
          <w:lang w:val="en-US" w:eastAsia="zh-CN"/>
        </w:rPr>
        <w:t>〕84号</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，为贯彻落实《国务院办公厅关于印发控制污染物排放许可制实施方案的通知》（国办发〔2016〕81号），推进环境质量改善，现就做好建设项目环境影响评价制度与排污许可制有机衔接相关工作通知。</w:t>
      </w:r>
    </w:p>
    <w:p w14:paraId="226F2607">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建设项目发生实际排污行为之前，排污单位应当按照国家环境保护相关法律法规以及排污许可证申请与核发技术规范要求申请排污许可证，不得无证排污或不按证排污。污染物排放相关的主要内容应当纳入排污许可证。</w:t>
      </w:r>
    </w:p>
    <w:p w14:paraId="630EDD8F">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本工程大气污染物主要为露天采剥、排土场及运输产生的无组织粉尘。生产废水循环利用，不外排；生活污水处理后作为绿化及洒水降尘用水，不外排。运营期废土石运至废石堆放场堆存。生活垃圾集中收集后统一处理；废机油集中收集后暂存于危废暂存间内，最终交由专业机构回收处理；污水处理</w:t>
      </w:r>
      <w:r>
        <w:rPr>
          <w:rFonts w:hint="eastAsia" w:ascii="Times New Roman" w:hAnsi="Times New Roman" w:eastAsia="华文中宋" w:cs="Times New Roman"/>
          <w:color w:val="auto"/>
          <w:lang w:val="en-US" w:eastAsia="zh-CN"/>
        </w:rPr>
        <w:t>设施</w:t>
      </w:r>
      <w:r>
        <w:rPr>
          <w:rFonts w:hint="eastAsia" w:ascii="Times New Roman" w:hAnsi="Times New Roman" w:cs="Times New Roman"/>
          <w:color w:val="auto"/>
          <w:lang w:val="en-US" w:eastAsia="zh-CN"/>
        </w:rPr>
        <w:t>污泥</w:t>
      </w:r>
      <w:r>
        <w:rPr>
          <w:rFonts w:hint="eastAsia" w:ascii="Times New Roman" w:hAnsi="Times New Roman" w:eastAsia="华文中宋" w:cs="Times New Roman"/>
          <w:color w:val="auto"/>
          <w:lang w:val="en-US" w:eastAsia="zh-CN"/>
        </w:rPr>
        <w:t>随生活垃圾一同清运至垃圾填埋场处理</w:t>
      </w:r>
      <w:r>
        <w:rPr>
          <w:rFonts w:hint="default" w:ascii="Times New Roman" w:hAnsi="Times New Roman" w:eastAsia="华文中宋" w:cs="Times New Roman"/>
          <w:color w:val="auto"/>
          <w:lang w:val="en-US" w:eastAsia="zh-CN"/>
        </w:rPr>
        <w:t>。</w:t>
      </w:r>
    </w:p>
    <w:p w14:paraId="4BB9FB6D">
      <w:pPr>
        <w:pStyle w:val="3"/>
        <w:spacing w:before="120" w:after="120" w:line="500" w:lineRule="exact"/>
        <w:ind w:left="375" w:hanging="375" w:firstLineChars="0"/>
        <w:contextualSpacing/>
        <w:rPr>
          <w:rFonts w:hint="default" w:ascii="Times New Roman" w:hAnsi="Times New Roman" w:eastAsia="华文中宋" w:cs="Times New Roman"/>
          <w:snapToGrid w:val="0"/>
          <w:kern w:val="0"/>
          <w:sz w:val="28"/>
          <w:szCs w:val="28"/>
          <w:lang w:val="en-US" w:eastAsia="zh-CN"/>
        </w:rPr>
      </w:pPr>
      <w:bookmarkStart w:id="339" w:name="_Toc4467"/>
      <w:bookmarkStart w:id="340" w:name="_Toc2516"/>
      <w:r>
        <w:rPr>
          <w:rFonts w:hint="default" w:ascii="Times New Roman" w:hAnsi="Times New Roman" w:eastAsia="华文中宋" w:cs="Times New Roman"/>
          <w:snapToGrid w:val="0"/>
          <w:kern w:val="0"/>
          <w:sz w:val="28"/>
          <w:szCs w:val="28"/>
          <w:lang w:val="en-US" w:eastAsia="zh-CN"/>
        </w:rPr>
        <w:t>8.3环境监测计划</w:t>
      </w:r>
      <w:bookmarkEnd w:id="339"/>
      <w:bookmarkEnd w:id="340"/>
    </w:p>
    <w:p w14:paraId="4C9C19D0">
      <w:pPr>
        <w:pStyle w:val="4"/>
        <w:spacing w:before="120" w:after="120" w:line="500" w:lineRule="exact"/>
        <w:rPr>
          <w:rFonts w:hint="default" w:ascii="Times New Roman" w:hAnsi="Times New Roman" w:eastAsia="华文中宋" w:cs="Times New Roman"/>
          <w:kern w:val="0"/>
          <w:sz w:val="24"/>
          <w:szCs w:val="24"/>
          <w:lang w:val="en-US" w:eastAsia="zh-CN"/>
        </w:rPr>
      </w:pPr>
      <w:bookmarkStart w:id="341" w:name="_Toc28432"/>
      <w:r>
        <w:rPr>
          <w:rFonts w:hint="default" w:ascii="Times New Roman" w:hAnsi="Times New Roman" w:eastAsia="华文中宋" w:cs="Times New Roman"/>
          <w:kern w:val="0"/>
          <w:sz w:val="24"/>
          <w:szCs w:val="24"/>
          <w:lang w:val="en-US" w:eastAsia="zh-CN"/>
        </w:rPr>
        <w:t>8.3.1监测目的</w:t>
      </w:r>
      <w:bookmarkEnd w:id="341"/>
    </w:p>
    <w:p w14:paraId="6B3A756A">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环境监测是企业环境管理必不可少的一部分，也是环境管理规范化的重要手段，是企业进行主要污染物监测分析、资料整理、编制报表、建立技术文件档案的基本，也是上级环保主管部门进行环境规划、管理及执法的主要依据。根据建设项目工程影响分析，矿产资源开采过程中潜在的环境问题有：大气环境污染、水环境污染、固废排放、噪声污染、土壤污染及生态环境破坏等，报告书针对以上潜在污染提出对应防治措施，为检验污染防治措施的适用性和有效性，必须开展运营期环境监测，通过分析环境监测数据找出问题、解决问题，更好地控制项目运行环境影响范围和程度。</w:t>
      </w:r>
    </w:p>
    <w:p w14:paraId="041C292A">
      <w:pPr>
        <w:pStyle w:val="4"/>
        <w:spacing w:before="120" w:after="120" w:line="500" w:lineRule="exact"/>
        <w:rPr>
          <w:rFonts w:hint="default" w:ascii="Times New Roman" w:hAnsi="Times New Roman" w:eastAsia="华文中宋" w:cs="Times New Roman"/>
          <w:kern w:val="0"/>
          <w:sz w:val="24"/>
          <w:szCs w:val="24"/>
          <w:lang w:val="en-US" w:eastAsia="zh-CN"/>
        </w:rPr>
      </w:pPr>
      <w:bookmarkStart w:id="342" w:name="_Toc26878"/>
      <w:r>
        <w:rPr>
          <w:rFonts w:hint="default" w:ascii="Times New Roman" w:hAnsi="Times New Roman" w:eastAsia="华文中宋" w:cs="Times New Roman"/>
          <w:kern w:val="0"/>
          <w:sz w:val="24"/>
          <w:szCs w:val="24"/>
          <w:lang w:val="en-US" w:eastAsia="zh-CN"/>
        </w:rPr>
        <w:t>8.3.2监测计划</w:t>
      </w:r>
      <w:bookmarkEnd w:id="342"/>
    </w:p>
    <w:p w14:paraId="179C8412">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环境监测应按国家和地方的环保要求进行，应采用国家规定的标准监测方法，并应按照规定，定期向环境保护主管部门上报监测结果。本项目监测计划依据《排污单位自行监测技术指南 总则》（HJ819-2017）制定。</w:t>
      </w:r>
    </w:p>
    <w:p w14:paraId="0F7035AC">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（1）监测机构</w:t>
      </w:r>
    </w:p>
    <w:p w14:paraId="6316F235">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由建设方委托有资质的环境监测单位定期监测，事故监测由矿方事故科进行调查监测，其他环境和污染源监测工作由委托的环境监测单位承担，水土流失工作由建设单位与地方水保部门实施。</w:t>
      </w:r>
    </w:p>
    <w:p w14:paraId="56192839">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（2）监测内容及计划</w:t>
      </w:r>
    </w:p>
    <w:p w14:paraId="40C393A3">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rPr>
        <w:t>运营期环境监测分为污染源监测和环境质量监测，</w:t>
      </w:r>
      <w:r>
        <w:rPr>
          <w:rFonts w:hint="default" w:ascii="Times New Roman" w:hAnsi="Times New Roman" w:eastAsia="华文中宋" w:cs="Times New Roman"/>
          <w:color w:val="auto"/>
          <w:lang w:val="en-US" w:eastAsia="zh-CN"/>
        </w:rPr>
        <w:t>根据《排污单位自行监测技术指南</w:t>
      </w:r>
      <w:r>
        <w:rPr>
          <w:rFonts w:hint="eastAsia" w:ascii="Times New Roman" w:hAnsi="Times New Roman" w:cs="Times New Roman"/>
          <w:color w:val="auto"/>
          <w:lang w:val="en-US" w:eastAsia="zh-CN"/>
        </w:rPr>
        <w:t xml:space="preserve"> </w:t>
      </w:r>
      <w:r>
        <w:rPr>
          <w:rFonts w:hint="default" w:ascii="Times New Roman" w:hAnsi="Times New Roman" w:eastAsia="华文中宋" w:cs="Times New Roman"/>
          <w:color w:val="auto"/>
          <w:lang w:val="en-US" w:eastAsia="zh-CN"/>
        </w:rPr>
        <w:t>总则》</w:t>
      </w:r>
      <w:r>
        <w:rPr>
          <w:rFonts w:hint="eastAsia" w:ascii="Times New Roman" w:hAnsi="Times New Roman" w:eastAsia="华文中宋" w:cs="Times New Roman"/>
          <w:color w:val="auto"/>
          <w:lang w:val="en-US" w:eastAsia="zh-CN"/>
        </w:rPr>
        <w:t>（HJ819-2017）</w:t>
      </w:r>
      <w:r>
        <w:rPr>
          <w:rFonts w:hint="default" w:ascii="Times New Roman" w:hAnsi="Times New Roman" w:eastAsia="华文中宋" w:cs="Times New Roman"/>
          <w:color w:val="auto"/>
          <w:lang w:val="en-US" w:eastAsia="zh-CN"/>
        </w:rPr>
        <w:t>，</w:t>
      </w:r>
      <w:r>
        <w:rPr>
          <w:rFonts w:hint="default" w:ascii="Times New Roman" w:hAnsi="Times New Roman" w:eastAsia="华文中宋" w:cs="Times New Roman"/>
          <w:color w:val="auto"/>
        </w:rPr>
        <w:t>监测的主要因子、点位及监测频率等情况见表</w:t>
      </w:r>
      <w:r>
        <w:rPr>
          <w:rFonts w:hint="default" w:ascii="Times New Roman" w:hAnsi="Times New Roman" w:eastAsia="华文中宋" w:cs="Times New Roman"/>
          <w:color w:val="auto"/>
          <w:lang w:val="en-US" w:eastAsia="zh-CN"/>
        </w:rPr>
        <w:t>8.3-1。</w:t>
      </w:r>
    </w:p>
    <w:p w14:paraId="6F1D6A77">
      <w:pPr>
        <w:adjustRightInd w:val="0"/>
        <w:snapToGrid w:val="0"/>
        <w:spacing w:before="250" w:beforeLines="50"/>
        <w:ind w:firstLine="422" w:firstLineChars="200"/>
        <w:jc w:val="center"/>
        <w:rPr>
          <w:rFonts w:hint="default" w:ascii="Times New Roman" w:hAnsi="Times New Roman" w:eastAsia="华文中宋" w:cs="Times New Roman"/>
          <w:b/>
          <w:szCs w:val="21"/>
        </w:rPr>
      </w:pPr>
      <w:r>
        <w:rPr>
          <w:rFonts w:hint="default" w:ascii="Times New Roman" w:hAnsi="Times New Roman" w:eastAsia="华文中宋" w:cs="Times New Roman"/>
          <w:b/>
          <w:szCs w:val="21"/>
          <w:lang w:val="en-US" w:eastAsia="zh-CN"/>
        </w:rPr>
        <w:t>表8.3-1  环境监测内容及计划</w:t>
      </w:r>
    </w:p>
    <w:tbl>
      <w:tblPr>
        <w:tblStyle w:val="19"/>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07"/>
        <w:gridCol w:w="794"/>
        <w:gridCol w:w="1799"/>
        <w:gridCol w:w="2506"/>
        <w:gridCol w:w="1214"/>
        <w:gridCol w:w="1432"/>
      </w:tblGrid>
      <w:tr w14:paraId="49B1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85" w:type="dxa"/>
            <w:tcBorders>
              <w:tl2br w:val="nil"/>
              <w:tr2bl w:val="nil"/>
            </w:tcBorders>
            <w:noWrap/>
            <w:vAlign w:val="center"/>
          </w:tcPr>
          <w:p w14:paraId="2D7921F0">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阶段</w:t>
            </w:r>
          </w:p>
        </w:tc>
        <w:tc>
          <w:tcPr>
            <w:tcW w:w="759" w:type="dxa"/>
            <w:tcBorders>
              <w:tl2br w:val="nil"/>
              <w:tr2bl w:val="nil"/>
            </w:tcBorders>
            <w:noWrap/>
            <w:vAlign w:val="center"/>
          </w:tcPr>
          <w:p w14:paraId="70DC497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类别</w:t>
            </w:r>
          </w:p>
        </w:tc>
        <w:tc>
          <w:tcPr>
            <w:tcW w:w="1720" w:type="dxa"/>
            <w:tcBorders>
              <w:tl2br w:val="nil"/>
              <w:tr2bl w:val="nil"/>
            </w:tcBorders>
            <w:noWrap/>
            <w:vAlign w:val="center"/>
          </w:tcPr>
          <w:p w14:paraId="458389B4">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监测地点</w:t>
            </w:r>
          </w:p>
        </w:tc>
        <w:tc>
          <w:tcPr>
            <w:tcW w:w="2396" w:type="dxa"/>
            <w:tcBorders>
              <w:tl2br w:val="nil"/>
              <w:tr2bl w:val="nil"/>
            </w:tcBorders>
            <w:noWrap/>
            <w:vAlign w:val="center"/>
          </w:tcPr>
          <w:p w14:paraId="08796D6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监测</w:t>
            </w:r>
            <w:r>
              <w:rPr>
                <w:rFonts w:hint="default" w:ascii="Times New Roman" w:hAnsi="Times New Roman" w:eastAsia="华文中宋" w:cs="Times New Roman"/>
                <w:szCs w:val="21"/>
                <w:lang w:eastAsia="zh-CN"/>
              </w:rPr>
              <w:t>（观测）</w:t>
            </w:r>
            <w:r>
              <w:rPr>
                <w:rFonts w:hint="default" w:ascii="Times New Roman" w:hAnsi="Times New Roman" w:eastAsia="华文中宋" w:cs="Times New Roman"/>
                <w:szCs w:val="21"/>
              </w:rPr>
              <w:t>项目</w:t>
            </w:r>
          </w:p>
        </w:tc>
        <w:tc>
          <w:tcPr>
            <w:tcW w:w="1161" w:type="dxa"/>
            <w:tcBorders>
              <w:tl2br w:val="nil"/>
              <w:tr2bl w:val="nil"/>
            </w:tcBorders>
            <w:noWrap/>
            <w:vAlign w:val="center"/>
          </w:tcPr>
          <w:p w14:paraId="3BDA5B0D">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监测频率</w:t>
            </w:r>
          </w:p>
        </w:tc>
        <w:tc>
          <w:tcPr>
            <w:tcW w:w="1368" w:type="dxa"/>
            <w:tcBorders>
              <w:tl2br w:val="nil"/>
              <w:tr2bl w:val="nil"/>
            </w:tcBorders>
            <w:noWrap/>
            <w:vAlign w:val="center"/>
          </w:tcPr>
          <w:p w14:paraId="6A635440">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val="en-US" w:eastAsia="zh-CN"/>
              </w:rPr>
              <w:t>监测（观测）方式</w:t>
            </w:r>
          </w:p>
        </w:tc>
      </w:tr>
      <w:tr w14:paraId="08077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85" w:type="dxa"/>
            <w:tcBorders>
              <w:tl2br w:val="nil"/>
              <w:tr2bl w:val="nil"/>
            </w:tcBorders>
            <w:noWrap/>
            <w:vAlign w:val="center"/>
          </w:tcPr>
          <w:p w14:paraId="063DF3A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施工期</w:t>
            </w:r>
          </w:p>
        </w:tc>
        <w:tc>
          <w:tcPr>
            <w:tcW w:w="759" w:type="dxa"/>
            <w:tcBorders>
              <w:tl2br w:val="nil"/>
              <w:tr2bl w:val="nil"/>
            </w:tcBorders>
            <w:noWrap/>
            <w:vAlign w:val="center"/>
          </w:tcPr>
          <w:p w14:paraId="03A11D3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施工现场清理</w:t>
            </w:r>
          </w:p>
        </w:tc>
        <w:tc>
          <w:tcPr>
            <w:tcW w:w="1720" w:type="dxa"/>
            <w:tcBorders>
              <w:tl2br w:val="nil"/>
              <w:tr2bl w:val="nil"/>
            </w:tcBorders>
            <w:noWrap/>
            <w:vAlign w:val="center"/>
          </w:tcPr>
          <w:p w14:paraId="27502D0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项目各个施工区</w:t>
            </w:r>
          </w:p>
        </w:tc>
        <w:tc>
          <w:tcPr>
            <w:tcW w:w="2396" w:type="dxa"/>
            <w:tcBorders>
              <w:tl2br w:val="nil"/>
              <w:tr2bl w:val="nil"/>
            </w:tcBorders>
            <w:noWrap/>
            <w:vAlign w:val="center"/>
          </w:tcPr>
          <w:p w14:paraId="75773DC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施工现场的弃土、弃石、废渣等垃圾和环境恢复情况。</w:t>
            </w:r>
          </w:p>
        </w:tc>
        <w:tc>
          <w:tcPr>
            <w:tcW w:w="1161" w:type="dxa"/>
            <w:tcBorders>
              <w:tl2br w:val="nil"/>
              <w:tr2bl w:val="nil"/>
            </w:tcBorders>
            <w:noWrap/>
            <w:vAlign w:val="center"/>
          </w:tcPr>
          <w:p w14:paraId="4DE8DC60">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施工期</w:t>
            </w:r>
            <w:r>
              <w:rPr>
                <w:rFonts w:hint="eastAsia" w:ascii="Times New Roman" w:hAnsi="Times New Roman" w:eastAsia="华文中宋" w:cs="Times New Roman"/>
                <w:szCs w:val="21"/>
                <w:lang w:val="en-US" w:eastAsia="zh-CN"/>
              </w:rPr>
              <w:t>结束后</w:t>
            </w:r>
            <w:r>
              <w:rPr>
                <w:rFonts w:hint="default" w:ascii="Times New Roman" w:hAnsi="Times New Roman" w:eastAsia="华文中宋" w:cs="Times New Roman"/>
                <w:szCs w:val="21"/>
                <w:lang w:val="en-US" w:eastAsia="zh-CN"/>
              </w:rPr>
              <w:t>一次</w:t>
            </w:r>
          </w:p>
        </w:tc>
        <w:tc>
          <w:tcPr>
            <w:tcW w:w="1368" w:type="dxa"/>
            <w:tcBorders>
              <w:tl2br w:val="nil"/>
              <w:tr2bl w:val="nil"/>
            </w:tcBorders>
            <w:noWrap/>
            <w:vAlign w:val="center"/>
          </w:tcPr>
          <w:p w14:paraId="669DDF1E">
            <w:pPr>
              <w:spacing w:line="300" w:lineRule="exact"/>
              <w:jc w:val="center"/>
              <w:rPr>
                <w:rFonts w:hint="eastAsia" w:ascii="Times New Roman" w:hAnsi="Times New Roman" w:eastAsia="华文中宋" w:cs="Times New Roman"/>
                <w:szCs w:val="21"/>
                <w:lang w:val="en-US" w:eastAsia="zh-CN"/>
              </w:rPr>
            </w:pPr>
            <w:r>
              <w:rPr>
                <w:rFonts w:hint="default" w:ascii="Times New Roman" w:hAnsi="Times New Roman" w:eastAsia="华文中宋" w:cs="Times New Roman"/>
                <w:szCs w:val="21"/>
              </w:rPr>
              <w:t>委托监测</w:t>
            </w:r>
          </w:p>
        </w:tc>
      </w:tr>
      <w:tr w14:paraId="08243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485" w:type="dxa"/>
            <w:vMerge w:val="restart"/>
            <w:tcBorders>
              <w:tl2br w:val="nil"/>
              <w:tr2bl w:val="nil"/>
            </w:tcBorders>
            <w:noWrap/>
            <w:vAlign w:val="center"/>
          </w:tcPr>
          <w:p w14:paraId="72508D3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运营期</w:t>
            </w:r>
          </w:p>
        </w:tc>
        <w:tc>
          <w:tcPr>
            <w:tcW w:w="759" w:type="dxa"/>
            <w:tcBorders>
              <w:tl2br w:val="nil"/>
              <w:tr2bl w:val="nil"/>
            </w:tcBorders>
            <w:noWrap/>
            <w:vAlign w:val="center"/>
          </w:tcPr>
          <w:p w14:paraId="36BB2DA6">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废气</w:t>
            </w:r>
          </w:p>
        </w:tc>
        <w:tc>
          <w:tcPr>
            <w:tcW w:w="1720" w:type="dxa"/>
            <w:tcBorders>
              <w:tl2br w:val="nil"/>
              <w:tr2bl w:val="nil"/>
            </w:tcBorders>
            <w:noWrap/>
            <w:vAlign w:val="center"/>
          </w:tcPr>
          <w:p w14:paraId="6B010383">
            <w:pPr>
              <w:spacing w:line="300" w:lineRule="exact"/>
              <w:jc w:val="center"/>
              <w:rPr>
                <w:rFonts w:hint="default" w:ascii="Times New Roman" w:hAnsi="Times New Roman" w:eastAsia="华文中宋" w:cs="Times New Roman"/>
                <w:szCs w:val="21"/>
              </w:rPr>
            </w:pPr>
            <w:r>
              <w:rPr>
                <w:rFonts w:hint="eastAsia" w:ascii="Times New Roman" w:hAnsi="Times New Roman" w:eastAsia="华文中宋" w:cs="Times New Roman"/>
                <w:szCs w:val="21"/>
                <w:lang w:val="en-US" w:eastAsia="zh-CN"/>
              </w:rPr>
              <w:t>矿区上风向设置一个监测点，</w:t>
            </w:r>
            <w:r>
              <w:rPr>
                <w:rFonts w:hint="default" w:ascii="Times New Roman" w:hAnsi="Times New Roman" w:eastAsia="华文中宋" w:cs="Times New Roman"/>
                <w:szCs w:val="21"/>
              </w:rPr>
              <w:t>采</w:t>
            </w:r>
            <w:r>
              <w:rPr>
                <w:rFonts w:hint="default" w:ascii="Times New Roman" w:hAnsi="Times New Roman" w:eastAsia="华文中宋" w:cs="Times New Roman"/>
                <w:szCs w:val="21"/>
                <w:lang w:eastAsia="zh-CN"/>
              </w:rPr>
              <w:t>矿</w:t>
            </w:r>
            <w:r>
              <w:rPr>
                <w:rFonts w:hint="default" w:ascii="Times New Roman" w:hAnsi="Times New Roman" w:eastAsia="华文中宋" w:cs="Times New Roman"/>
                <w:szCs w:val="21"/>
              </w:rPr>
              <w:t>场、</w:t>
            </w:r>
            <w:r>
              <w:rPr>
                <w:rFonts w:hint="default" w:ascii="Times New Roman" w:hAnsi="Times New Roman" w:eastAsia="华文中宋" w:cs="Times New Roman"/>
                <w:szCs w:val="21"/>
                <w:lang w:eastAsia="zh-CN"/>
              </w:rPr>
              <w:t>废石</w:t>
            </w:r>
            <w:r>
              <w:rPr>
                <w:rFonts w:hint="default" w:ascii="Times New Roman" w:hAnsi="Times New Roman" w:eastAsia="华文中宋" w:cs="Times New Roman"/>
                <w:szCs w:val="21"/>
                <w:lang w:val="en-US" w:eastAsia="zh-CN"/>
              </w:rPr>
              <w:t>堆放</w:t>
            </w:r>
            <w:r>
              <w:rPr>
                <w:rFonts w:hint="default" w:ascii="Times New Roman" w:hAnsi="Times New Roman" w:eastAsia="华文中宋" w:cs="Times New Roman"/>
                <w:szCs w:val="21"/>
              </w:rPr>
              <w:t>场</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lang w:val="en-US" w:eastAsia="zh-CN"/>
              </w:rPr>
              <w:t>表土堆场、矿石转运场</w:t>
            </w:r>
            <w:r>
              <w:rPr>
                <w:rFonts w:hint="default" w:ascii="Times New Roman" w:hAnsi="Times New Roman" w:eastAsia="华文中宋" w:cs="Times New Roman"/>
                <w:szCs w:val="21"/>
              </w:rPr>
              <w:t>下风向各设一个监测点，监测颗粒物无组织排放浓度。</w:t>
            </w:r>
          </w:p>
        </w:tc>
        <w:tc>
          <w:tcPr>
            <w:tcW w:w="2396" w:type="dxa"/>
            <w:tcBorders>
              <w:tl2br w:val="nil"/>
              <w:tr2bl w:val="nil"/>
            </w:tcBorders>
            <w:noWrap/>
            <w:vAlign w:val="center"/>
          </w:tcPr>
          <w:p w14:paraId="54EF52B7">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val="en-US" w:eastAsia="zh-CN"/>
              </w:rPr>
              <w:t>TSP小时</w:t>
            </w:r>
            <w:r>
              <w:rPr>
                <w:rFonts w:hint="default" w:ascii="Times New Roman" w:hAnsi="Times New Roman" w:eastAsia="华文中宋" w:cs="Times New Roman"/>
                <w:szCs w:val="21"/>
                <w:lang w:eastAsia="zh-CN"/>
              </w:rPr>
              <w:t>浓度</w:t>
            </w:r>
          </w:p>
        </w:tc>
        <w:tc>
          <w:tcPr>
            <w:tcW w:w="1161" w:type="dxa"/>
            <w:tcBorders>
              <w:tl2br w:val="nil"/>
              <w:tr2bl w:val="nil"/>
            </w:tcBorders>
            <w:noWrap/>
            <w:vAlign w:val="center"/>
          </w:tcPr>
          <w:p w14:paraId="546CD92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1次/季度</w:t>
            </w:r>
          </w:p>
        </w:tc>
        <w:tc>
          <w:tcPr>
            <w:tcW w:w="1368" w:type="dxa"/>
            <w:tcBorders>
              <w:tl2br w:val="nil"/>
              <w:tr2bl w:val="nil"/>
            </w:tcBorders>
            <w:noWrap/>
            <w:vAlign w:val="center"/>
          </w:tcPr>
          <w:p w14:paraId="6B346D6C">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委托监测</w:t>
            </w:r>
          </w:p>
        </w:tc>
      </w:tr>
      <w:tr w14:paraId="519CD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85" w:type="dxa"/>
            <w:vMerge w:val="continue"/>
            <w:tcBorders>
              <w:tl2br w:val="nil"/>
              <w:tr2bl w:val="nil"/>
            </w:tcBorders>
            <w:noWrap/>
            <w:vAlign w:val="center"/>
          </w:tcPr>
          <w:p w14:paraId="785F1B67">
            <w:pPr>
              <w:spacing w:line="300" w:lineRule="exact"/>
              <w:jc w:val="center"/>
              <w:rPr>
                <w:rFonts w:hint="default" w:ascii="Times New Roman" w:hAnsi="Times New Roman" w:eastAsia="华文中宋" w:cs="Times New Roman"/>
                <w:szCs w:val="21"/>
              </w:rPr>
            </w:pPr>
          </w:p>
        </w:tc>
        <w:tc>
          <w:tcPr>
            <w:tcW w:w="759" w:type="dxa"/>
            <w:tcBorders>
              <w:tl2br w:val="nil"/>
              <w:tr2bl w:val="nil"/>
            </w:tcBorders>
            <w:noWrap/>
            <w:vAlign w:val="center"/>
          </w:tcPr>
          <w:p w14:paraId="2F4CB666">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污水</w:t>
            </w:r>
          </w:p>
        </w:tc>
        <w:tc>
          <w:tcPr>
            <w:tcW w:w="1720" w:type="dxa"/>
            <w:tcBorders>
              <w:tl2br w:val="nil"/>
              <w:tr2bl w:val="nil"/>
            </w:tcBorders>
            <w:noWrap/>
            <w:vAlign w:val="center"/>
          </w:tcPr>
          <w:p w14:paraId="39D862C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生活污水处理设施出口</w:t>
            </w:r>
          </w:p>
        </w:tc>
        <w:tc>
          <w:tcPr>
            <w:tcW w:w="2396" w:type="dxa"/>
            <w:tcBorders>
              <w:tl2br w:val="nil"/>
              <w:tr2bl w:val="nil"/>
            </w:tcBorders>
            <w:noWrap/>
            <w:vAlign w:val="center"/>
          </w:tcPr>
          <w:p w14:paraId="07A2129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pH值、化学需氧量、五日生化需氧量、悬浮物、动植物油、大肠菌群数、氨氮</w:t>
            </w:r>
          </w:p>
        </w:tc>
        <w:tc>
          <w:tcPr>
            <w:tcW w:w="1161" w:type="dxa"/>
            <w:tcBorders>
              <w:tl2br w:val="nil"/>
              <w:tr2bl w:val="nil"/>
            </w:tcBorders>
            <w:noWrap/>
            <w:vAlign w:val="center"/>
          </w:tcPr>
          <w:p w14:paraId="6C2FBCB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1次/季度</w:t>
            </w:r>
          </w:p>
        </w:tc>
        <w:tc>
          <w:tcPr>
            <w:tcW w:w="1368" w:type="dxa"/>
            <w:tcBorders>
              <w:tl2br w:val="nil"/>
              <w:tr2bl w:val="nil"/>
            </w:tcBorders>
            <w:noWrap/>
            <w:vAlign w:val="center"/>
          </w:tcPr>
          <w:p w14:paraId="2135E17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委托监测</w:t>
            </w:r>
          </w:p>
        </w:tc>
      </w:tr>
      <w:tr w14:paraId="5DA68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85" w:type="dxa"/>
            <w:vMerge w:val="continue"/>
            <w:tcBorders>
              <w:tl2br w:val="nil"/>
              <w:tr2bl w:val="nil"/>
            </w:tcBorders>
            <w:noWrap/>
            <w:vAlign w:val="center"/>
          </w:tcPr>
          <w:p w14:paraId="4881D41F">
            <w:pPr>
              <w:spacing w:line="300" w:lineRule="exact"/>
              <w:jc w:val="center"/>
              <w:rPr>
                <w:rFonts w:hint="default" w:ascii="Times New Roman" w:hAnsi="Times New Roman" w:eastAsia="华文中宋" w:cs="Times New Roman"/>
                <w:szCs w:val="21"/>
              </w:rPr>
            </w:pPr>
          </w:p>
        </w:tc>
        <w:tc>
          <w:tcPr>
            <w:tcW w:w="759" w:type="dxa"/>
            <w:tcBorders>
              <w:tl2br w:val="nil"/>
              <w:tr2bl w:val="nil"/>
            </w:tcBorders>
            <w:noWrap/>
            <w:vAlign w:val="center"/>
          </w:tcPr>
          <w:p w14:paraId="7099BABA">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噪声</w:t>
            </w:r>
          </w:p>
        </w:tc>
        <w:tc>
          <w:tcPr>
            <w:tcW w:w="1720" w:type="dxa"/>
            <w:tcBorders>
              <w:tl2br w:val="nil"/>
              <w:tr2bl w:val="nil"/>
            </w:tcBorders>
            <w:noWrap/>
            <w:vAlign w:val="center"/>
          </w:tcPr>
          <w:p w14:paraId="355111E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厂界外1m处</w:t>
            </w:r>
          </w:p>
        </w:tc>
        <w:tc>
          <w:tcPr>
            <w:tcW w:w="2396" w:type="dxa"/>
            <w:tcBorders>
              <w:tl2br w:val="nil"/>
              <w:tr2bl w:val="nil"/>
            </w:tcBorders>
            <w:noWrap/>
            <w:vAlign w:val="center"/>
          </w:tcPr>
          <w:p w14:paraId="676F506E">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Leq</w:t>
            </w:r>
            <w:r>
              <w:rPr>
                <w:rFonts w:hint="default" w:ascii="Times New Roman" w:hAnsi="Times New Roman" w:eastAsia="华文中宋" w:cs="Times New Roman"/>
                <w:szCs w:val="21"/>
                <w:lang w:eastAsia="zh-CN"/>
              </w:rPr>
              <w:t>(</w:t>
            </w:r>
            <w:r>
              <w:rPr>
                <w:rFonts w:hint="default" w:ascii="Times New Roman" w:hAnsi="Times New Roman" w:eastAsia="华文中宋" w:cs="Times New Roman"/>
                <w:szCs w:val="21"/>
              </w:rPr>
              <w:t>A</w:t>
            </w:r>
            <w:r>
              <w:rPr>
                <w:rFonts w:hint="default" w:ascii="Times New Roman" w:hAnsi="Times New Roman" w:eastAsia="华文中宋" w:cs="Times New Roman"/>
                <w:szCs w:val="21"/>
                <w:lang w:eastAsia="zh-CN"/>
              </w:rPr>
              <w:t>)</w:t>
            </w:r>
          </w:p>
        </w:tc>
        <w:tc>
          <w:tcPr>
            <w:tcW w:w="1161" w:type="dxa"/>
            <w:tcBorders>
              <w:tl2br w:val="nil"/>
              <w:tr2bl w:val="nil"/>
            </w:tcBorders>
            <w:noWrap/>
            <w:vAlign w:val="center"/>
          </w:tcPr>
          <w:p w14:paraId="28B929D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1次/季度</w:t>
            </w:r>
          </w:p>
        </w:tc>
        <w:tc>
          <w:tcPr>
            <w:tcW w:w="1368" w:type="dxa"/>
            <w:tcBorders>
              <w:tl2br w:val="nil"/>
              <w:tr2bl w:val="nil"/>
            </w:tcBorders>
            <w:noWrap/>
            <w:vAlign w:val="center"/>
          </w:tcPr>
          <w:p w14:paraId="3195037B">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委托监测</w:t>
            </w:r>
          </w:p>
        </w:tc>
      </w:tr>
      <w:tr w14:paraId="046B1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85" w:type="dxa"/>
            <w:vMerge w:val="continue"/>
            <w:tcBorders>
              <w:tl2br w:val="nil"/>
              <w:tr2bl w:val="nil"/>
            </w:tcBorders>
            <w:noWrap/>
            <w:vAlign w:val="center"/>
          </w:tcPr>
          <w:p w14:paraId="3678B8FA">
            <w:pPr>
              <w:spacing w:line="300" w:lineRule="exact"/>
              <w:jc w:val="center"/>
              <w:rPr>
                <w:rFonts w:hint="default" w:ascii="Times New Roman" w:hAnsi="Times New Roman" w:eastAsia="华文中宋" w:cs="Times New Roman"/>
                <w:szCs w:val="21"/>
              </w:rPr>
            </w:pPr>
          </w:p>
        </w:tc>
        <w:tc>
          <w:tcPr>
            <w:tcW w:w="759" w:type="dxa"/>
            <w:tcBorders>
              <w:tl2br w:val="nil"/>
              <w:tr2bl w:val="nil"/>
            </w:tcBorders>
            <w:noWrap/>
            <w:vAlign w:val="center"/>
          </w:tcPr>
          <w:p w14:paraId="7DA0F00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固体废物</w:t>
            </w:r>
          </w:p>
        </w:tc>
        <w:tc>
          <w:tcPr>
            <w:tcW w:w="1720" w:type="dxa"/>
            <w:tcBorders>
              <w:tl2br w:val="nil"/>
              <w:tr2bl w:val="nil"/>
            </w:tcBorders>
            <w:noWrap/>
            <w:vAlign w:val="center"/>
          </w:tcPr>
          <w:p w14:paraId="42F95B3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废石堆放场、矿石转运场、表土堆场</w:t>
            </w:r>
          </w:p>
        </w:tc>
        <w:tc>
          <w:tcPr>
            <w:tcW w:w="2396" w:type="dxa"/>
            <w:tcBorders>
              <w:tl2br w:val="nil"/>
              <w:tr2bl w:val="nil"/>
            </w:tcBorders>
            <w:noWrap/>
            <w:vAlign w:val="center"/>
          </w:tcPr>
          <w:p w14:paraId="70B71376">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废石浸出实验、固体废物排放量及处置方式</w:t>
            </w:r>
          </w:p>
        </w:tc>
        <w:tc>
          <w:tcPr>
            <w:tcW w:w="1161" w:type="dxa"/>
            <w:tcBorders>
              <w:tl2br w:val="nil"/>
              <w:tr2bl w:val="nil"/>
            </w:tcBorders>
            <w:noWrap/>
            <w:vAlign w:val="center"/>
          </w:tcPr>
          <w:p w14:paraId="00E9151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不定期持续监测</w:t>
            </w:r>
          </w:p>
        </w:tc>
        <w:tc>
          <w:tcPr>
            <w:tcW w:w="1368" w:type="dxa"/>
            <w:tcBorders>
              <w:tl2br w:val="nil"/>
              <w:tr2bl w:val="nil"/>
            </w:tcBorders>
            <w:noWrap/>
            <w:vAlign w:val="center"/>
          </w:tcPr>
          <w:p w14:paraId="76100C82">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委托监测</w:t>
            </w:r>
          </w:p>
        </w:tc>
      </w:tr>
      <w:tr w14:paraId="38B17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85" w:type="dxa"/>
            <w:vMerge w:val="continue"/>
            <w:tcBorders>
              <w:tl2br w:val="nil"/>
              <w:tr2bl w:val="nil"/>
            </w:tcBorders>
            <w:noWrap/>
            <w:vAlign w:val="center"/>
          </w:tcPr>
          <w:p w14:paraId="17F8F08C">
            <w:pPr>
              <w:spacing w:line="300" w:lineRule="exact"/>
              <w:jc w:val="center"/>
              <w:rPr>
                <w:rFonts w:hint="default" w:ascii="Times New Roman" w:hAnsi="Times New Roman" w:eastAsia="华文中宋" w:cs="Times New Roman"/>
                <w:szCs w:val="21"/>
              </w:rPr>
            </w:pPr>
          </w:p>
        </w:tc>
        <w:tc>
          <w:tcPr>
            <w:tcW w:w="759" w:type="dxa"/>
            <w:tcBorders>
              <w:tl2br w:val="nil"/>
              <w:tr2bl w:val="nil"/>
            </w:tcBorders>
            <w:noWrap/>
            <w:vAlign w:val="center"/>
          </w:tcPr>
          <w:p w14:paraId="777ACB5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土壤环境</w:t>
            </w:r>
          </w:p>
        </w:tc>
        <w:tc>
          <w:tcPr>
            <w:tcW w:w="1720" w:type="dxa"/>
            <w:tcBorders>
              <w:tl2br w:val="nil"/>
              <w:tr2bl w:val="nil"/>
            </w:tcBorders>
            <w:noWrap/>
            <w:vAlign w:val="center"/>
          </w:tcPr>
          <w:p w14:paraId="3A24498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上游空白区1点，</w:t>
            </w:r>
            <w:r>
              <w:rPr>
                <w:rFonts w:hint="eastAsia" w:ascii="Times New Roman" w:hAnsi="Times New Roman" w:eastAsia="华文中宋" w:cs="Times New Roman"/>
                <w:szCs w:val="21"/>
                <w:lang w:val="en-US" w:eastAsia="zh-CN"/>
              </w:rPr>
              <w:t>废石</w:t>
            </w:r>
            <w:r>
              <w:rPr>
                <w:rFonts w:hint="default" w:ascii="Times New Roman" w:hAnsi="Times New Roman" w:eastAsia="华文中宋" w:cs="Times New Roman"/>
                <w:szCs w:val="21"/>
                <w:lang w:val="en-US" w:eastAsia="zh-CN"/>
              </w:rPr>
              <w:t>堆放场、矿石转运场、表土堆场</w:t>
            </w:r>
          </w:p>
        </w:tc>
        <w:tc>
          <w:tcPr>
            <w:tcW w:w="2396" w:type="dxa"/>
            <w:tcBorders>
              <w:tl2br w:val="nil"/>
              <w:tr2bl w:val="nil"/>
            </w:tcBorders>
            <w:noWrap/>
            <w:vAlign w:val="center"/>
          </w:tcPr>
          <w:p w14:paraId="1BB9228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pH、</w:t>
            </w:r>
            <w:r>
              <w:rPr>
                <w:rFonts w:hint="eastAsia" w:ascii="Times New Roman" w:hAnsi="Times New Roman" w:eastAsia="华文中宋" w:cs="Times New Roman"/>
                <w:szCs w:val="21"/>
                <w:lang w:val="en-US" w:eastAsia="zh-CN"/>
              </w:rPr>
              <w:t>有机质、</w:t>
            </w:r>
            <w:r>
              <w:rPr>
                <w:rFonts w:hint="default" w:ascii="Times New Roman" w:hAnsi="Times New Roman" w:eastAsia="华文中宋" w:cs="Times New Roman"/>
                <w:szCs w:val="21"/>
                <w:lang w:val="en-US" w:eastAsia="zh-CN"/>
              </w:rPr>
              <w:t>砷、镉、铬（六价）、铜、铅、锑、汞、镍</w:t>
            </w:r>
            <w:r>
              <w:rPr>
                <w:rFonts w:hint="eastAsia" w:ascii="Times New Roman" w:hAnsi="Times New Roman" w:eastAsia="华文中宋" w:cs="Times New Roman"/>
                <w:szCs w:val="21"/>
                <w:lang w:val="en-US" w:eastAsia="zh-CN"/>
              </w:rPr>
              <w:t>、锌、全盐量</w:t>
            </w:r>
            <w:r>
              <w:rPr>
                <w:rFonts w:hint="default" w:ascii="Times New Roman" w:hAnsi="Times New Roman" w:eastAsia="华文中宋" w:cs="Times New Roman"/>
                <w:szCs w:val="21"/>
                <w:lang w:val="en-US" w:eastAsia="zh-CN"/>
              </w:rPr>
              <w:t>。</w:t>
            </w:r>
          </w:p>
        </w:tc>
        <w:tc>
          <w:tcPr>
            <w:tcW w:w="1161" w:type="dxa"/>
            <w:tcBorders>
              <w:tl2br w:val="nil"/>
              <w:tr2bl w:val="nil"/>
            </w:tcBorders>
            <w:noWrap/>
            <w:vAlign w:val="center"/>
          </w:tcPr>
          <w:p w14:paraId="06529F3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1次/</w:t>
            </w:r>
            <w:r>
              <w:rPr>
                <w:rFonts w:hint="eastAsia" w:ascii="Times New Roman" w:hAnsi="Times New Roman" w:eastAsia="华文中宋" w:cs="Times New Roman"/>
                <w:szCs w:val="21"/>
                <w:lang w:val="en-US" w:eastAsia="zh-CN"/>
              </w:rPr>
              <w:t>5</w:t>
            </w:r>
            <w:r>
              <w:rPr>
                <w:rFonts w:hint="default" w:ascii="Times New Roman" w:hAnsi="Times New Roman" w:eastAsia="华文中宋" w:cs="Times New Roman"/>
                <w:szCs w:val="21"/>
                <w:lang w:val="en-US" w:eastAsia="zh-CN"/>
              </w:rPr>
              <w:t>年</w:t>
            </w:r>
          </w:p>
        </w:tc>
        <w:tc>
          <w:tcPr>
            <w:tcW w:w="1368" w:type="dxa"/>
            <w:tcBorders>
              <w:tl2br w:val="nil"/>
              <w:tr2bl w:val="nil"/>
            </w:tcBorders>
            <w:noWrap/>
            <w:vAlign w:val="center"/>
          </w:tcPr>
          <w:p w14:paraId="3CEECB45">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委托监测</w:t>
            </w:r>
          </w:p>
        </w:tc>
      </w:tr>
      <w:tr w14:paraId="5828D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64" w:hRule="atLeast"/>
          <w:jc w:val="center"/>
        </w:trPr>
        <w:tc>
          <w:tcPr>
            <w:tcW w:w="485" w:type="dxa"/>
            <w:vMerge w:val="continue"/>
            <w:tcBorders>
              <w:tl2br w:val="nil"/>
              <w:tr2bl w:val="nil"/>
            </w:tcBorders>
            <w:noWrap/>
            <w:vAlign w:val="center"/>
          </w:tcPr>
          <w:p w14:paraId="54BC5BD9">
            <w:pPr>
              <w:spacing w:line="300" w:lineRule="exact"/>
              <w:jc w:val="center"/>
              <w:rPr>
                <w:rFonts w:hint="default" w:ascii="Times New Roman" w:hAnsi="Times New Roman" w:eastAsia="华文中宋" w:cs="Times New Roman"/>
                <w:szCs w:val="21"/>
              </w:rPr>
            </w:pPr>
          </w:p>
        </w:tc>
        <w:tc>
          <w:tcPr>
            <w:tcW w:w="759" w:type="dxa"/>
            <w:tcBorders>
              <w:tl2br w:val="nil"/>
              <w:tr2bl w:val="nil"/>
            </w:tcBorders>
            <w:noWrap/>
            <w:vAlign w:val="center"/>
          </w:tcPr>
          <w:p w14:paraId="56E0086A">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地下水</w:t>
            </w:r>
          </w:p>
        </w:tc>
        <w:tc>
          <w:tcPr>
            <w:tcW w:w="1720" w:type="dxa"/>
            <w:tcBorders>
              <w:tl2br w:val="nil"/>
              <w:tr2bl w:val="nil"/>
            </w:tcBorders>
            <w:noWrap/>
            <w:vAlign w:val="center"/>
          </w:tcPr>
          <w:p w14:paraId="5A21AC8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本项目地下水埋深超过102m，</w:t>
            </w:r>
            <w:r>
              <w:rPr>
                <w:rFonts w:hint="eastAsia" w:ascii="Times New Roman" w:hAnsi="Times New Roman" w:cs="Times New Roman"/>
                <w:color w:val="auto"/>
                <w:lang w:val="en-US" w:eastAsia="zh-CN"/>
              </w:rPr>
              <w:t>采坑最大开采深度64m，远高于地下水埋深，不会产生矿坑涌水等，地表水与地下水水力联系较弱。基本不存在地下水污染途径，因此运营期间不进行地下水监测工作。</w:t>
            </w:r>
          </w:p>
        </w:tc>
        <w:tc>
          <w:tcPr>
            <w:tcW w:w="2396" w:type="dxa"/>
            <w:tcBorders>
              <w:tl2br w:val="nil"/>
              <w:tr2bl w:val="nil"/>
            </w:tcBorders>
            <w:noWrap/>
            <w:vAlign w:val="center"/>
          </w:tcPr>
          <w:p w14:paraId="03E481F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c>
          <w:tcPr>
            <w:tcW w:w="1161" w:type="dxa"/>
            <w:tcBorders>
              <w:tl2br w:val="nil"/>
              <w:tr2bl w:val="nil"/>
            </w:tcBorders>
            <w:noWrap/>
            <w:vAlign w:val="center"/>
          </w:tcPr>
          <w:p w14:paraId="2EA2AB71">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c>
          <w:tcPr>
            <w:tcW w:w="1368" w:type="dxa"/>
            <w:tcBorders>
              <w:tl2br w:val="nil"/>
              <w:tr2bl w:val="nil"/>
            </w:tcBorders>
            <w:noWrap/>
            <w:vAlign w:val="center"/>
          </w:tcPr>
          <w:p w14:paraId="3540CCB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r>
      <w:tr w14:paraId="19463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85" w:type="dxa"/>
            <w:vMerge w:val="continue"/>
            <w:tcBorders>
              <w:tl2br w:val="nil"/>
              <w:tr2bl w:val="nil"/>
            </w:tcBorders>
            <w:noWrap/>
            <w:vAlign w:val="center"/>
          </w:tcPr>
          <w:p w14:paraId="2FEC26CB">
            <w:pPr>
              <w:spacing w:line="300" w:lineRule="exact"/>
              <w:jc w:val="center"/>
              <w:rPr>
                <w:rFonts w:hint="default" w:ascii="Times New Roman" w:hAnsi="Times New Roman" w:eastAsia="华文中宋" w:cs="Times New Roman"/>
                <w:szCs w:val="21"/>
              </w:rPr>
            </w:pPr>
          </w:p>
        </w:tc>
        <w:tc>
          <w:tcPr>
            <w:tcW w:w="759" w:type="dxa"/>
            <w:vMerge w:val="restart"/>
            <w:tcBorders>
              <w:tl2br w:val="nil"/>
              <w:tr2bl w:val="nil"/>
            </w:tcBorders>
            <w:noWrap/>
            <w:vAlign w:val="center"/>
          </w:tcPr>
          <w:p w14:paraId="73D0F2AC">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lang w:eastAsia="zh-CN"/>
              </w:rPr>
              <w:t>生态环境</w:t>
            </w:r>
          </w:p>
        </w:tc>
        <w:tc>
          <w:tcPr>
            <w:tcW w:w="1720" w:type="dxa"/>
            <w:tcBorders>
              <w:tl2br w:val="nil"/>
              <w:tr2bl w:val="nil"/>
            </w:tcBorders>
            <w:noWrap/>
            <w:vAlign w:val="center"/>
          </w:tcPr>
          <w:p w14:paraId="4B6A26BF">
            <w:pPr>
              <w:spacing w:line="300" w:lineRule="exact"/>
              <w:jc w:val="center"/>
              <w:rPr>
                <w:rFonts w:hint="default" w:ascii="Times New Roman" w:hAnsi="Times New Roman" w:eastAsia="华文中宋" w:cs="Times New Roman"/>
                <w:szCs w:val="21"/>
                <w:lang w:eastAsia="zh-CN"/>
              </w:rPr>
            </w:pPr>
            <w:r>
              <w:rPr>
                <w:rFonts w:hint="default" w:ascii="Times New Roman" w:hAnsi="Times New Roman" w:eastAsia="华文中宋" w:cs="Times New Roman"/>
                <w:szCs w:val="21"/>
              </w:rPr>
              <w:t>参考相关资料布点</w:t>
            </w:r>
            <w:r>
              <w:rPr>
                <w:rFonts w:hint="default" w:ascii="Times New Roman" w:hAnsi="Times New Roman" w:eastAsia="华文中宋" w:cs="Times New Roman"/>
                <w:szCs w:val="21"/>
                <w:lang w:eastAsia="zh-CN"/>
              </w:rPr>
              <w:t>在</w:t>
            </w:r>
            <w:r>
              <w:rPr>
                <w:rFonts w:hint="default" w:ascii="Times New Roman" w:hAnsi="Times New Roman" w:eastAsia="华文中宋" w:cs="Times New Roman"/>
                <w:szCs w:val="21"/>
              </w:rPr>
              <w:t>采区、</w:t>
            </w:r>
            <w:r>
              <w:rPr>
                <w:rFonts w:hint="default" w:ascii="Times New Roman" w:hAnsi="Times New Roman" w:eastAsia="华文中宋" w:cs="Times New Roman"/>
                <w:szCs w:val="21"/>
                <w:lang w:eastAsia="zh-CN"/>
              </w:rPr>
              <w:t>废石</w:t>
            </w:r>
            <w:r>
              <w:rPr>
                <w:rFonts w:hint="default" w:ascii="Times New Roman" w:hAnsi="Times New Roman" w:eastAsia="华文中宋" w:cs="Times New Roman"/>
                <w:szCs w:val="21"/>
              </w:rPr>
              <w:t>堆放场地</w:t>
            </w:r>
            <w:r>
              <w:rPr>
                <w:rFonts w:hint="default" w:ascii="Times New Roman" w:hAnsi="Times New Roman" w:eastAsia="华文中宋" w:cs="Times New Roman"/>
                <w:szCs w:val="21"/>
                <w:lang w:eastAsia="zh-CN"/>
              </w:rPr>
              <w:t>边坡</w:t>
            </w:r>
          </w:p>
        </w:tc>
        <w:tc>
          <w:tcPr>
            <w:tcW w:w="2396" w:type="dxa"/>
            <w:tcBorders>
              <w:tl2br w:val="nil"/>
              <w:tr2bl w:val="nil"/>
            </w:tcBorders>
            <w:noWrap/>
            <w:vAlign w:val="center"/>
          </w:tcPr>
          <w:p w14:paraId="2794D758">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位移观测</w:t>
            </w:r>
          </w:p>
        </w:tc>
        <w:tc>
          <w:tcPr>
            <w:tcW w:w="1161" w:type="dxa"/>
            <w:tcBorders>
              <w:tl2br w:val="nil"/>
              <w:tr2bl w:val="nil"/>
            </w:tcBorders>
            <w:noWrap/>
            <w:vAlign w:val="center"/>
          </w:tcPr>
          <w:p w14:paraId="03C41E0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各监测点1次/月</w:t>
            </w:r>
          </w:p>
        </w:tc>
        <w:tc>
          <w:tcPr>
            <w:tcW w:w="1368" w:type="dxa"/>
            <w:tcBorders>
              <w:tl2br w:val="nil"/>
              <w:tr2bl w:val="nil"/>
            </w:tcBorders>
            <w:noWrap/>
            <w:vAlign w:val="center"/>
          </w:tcPr>
          <w:p w14:paraId="7C3A489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观测</w:t>
            </w:r>
          </w:p>
        </w:tc>
      </w:tr>
      <w:tr w14:paraId="10B80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85" w:type="dxa"/>
            <w:vMerge w:val="continue"/>
            <w:tcBorders>
              <w:tl2br w:val="nil"/>
              <w:tr2bl w:val="nil"/>
            </w:tcBorders>
            <w:noWrap/>
            <w:vAlign w:val="center"/>
          </w:tcPr>
          <w:p w14:paraId="06E87A66">
            <w:pPr>
              <w:spacing w:line="300" w:lineRule="exact"/>
              <w:jc w:val="center"/>
              <w:rPr>
                <w:rFonts w:hint="default" w:ascii="Times New Roman" w:hAnsi="Times New Roman" w:eastAsia="华文中宋" w:cs="Times New Roman"/>
                <w:szCs w:val="21"/>
              </w:rPr>
            </w:pPr>
          </w:p>
        </w:tc>
        <w:tc>
          <w:tcPr>
            <w:tcW w:w="759" w:type="dxa"/>
            <w:vMerge w:val="continue"/>
            <w:tcBorders>
              <w:tl2br w:val="nil"/>
              <w:tr2bl w:val="nil"/>
            </w:tcBorders>
            <w:noWrap/>
            <w:vAlign w:val="center"/>
          </w:tcPr>
          <w:p w14:paraId="3D5BD8FE">
            <w:pPr>
              <w:spacing w:line="300" w:lineRule="exact"/>
              <w:jc w:val="center"/>
              <w:rPr>
                <w:rFonts w:hint="default" w:ascii="Times New Roman" w:hAnsi="Times New Roman" w:eastAsia="华文中宋" w:cs="Times New Roman"/>
                <w:szCs w:val="21"/>
                <w:lang w:eastAsia="zh-CN"/>
              </w:rPr>
            </w:pPr>
          </w:p>
        </w:tc>
        <w:tc>
          <w:tcPr>
            <w:tcW w:w="1720" w:type="dxa"/>
            <w:tcBorders>
              <w:tl2br w:val="nil"/>
              <w:tr2bl w:val="nil"/>
            </w:tcBorders>
            <w:noWrap/>
            <w:vAlign w:val="center"/>
          </w:tcPr>
          <w:p w14:paraId="6C3BC6F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采场、废石堆放场、表土堆放场、矿石转运场</w:t>
            </w:r>
          </w:p>
        </w:tc>
        <w:tc>
          <w:tcPr>
            <w:tcW w:w="2396" w:type="dxa"/>
            <w:tcBorders>
              <w:tl2br w:val="nil"/>
              <w:tr2bl w:val="nil"/>
            </w:tcBorders>
            <w:noWrap/>
            <w:vAlign w:val="center"/>
          </w:tcPr>
          <w:p w14:paraId="590EB4D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土壤侵蚀类型、侵蚀量</w:t>
            </w:r>
            <w:r>
              <w:rPr>
                <w:rFonts w:hint="default" w:ascii="Times New Roman" w:hAnsi="Times New Roman" w:eastAsia="华文中宋" w:cs="Times New Roman"/>
                <w:szCs w:val="21"/>
                <w:lang w:eastAsia="zh-CN"/>
              </w:rPr>
              <w:t>及水土流失</w:t>
            </w:r>
          </w:p>
        </w:tc>
        <w:tc>
          <w:tcPr>
            <w:tcW w:w="1161" w:type="dxa"/>
            <w:tcBorders>
              <w:tl2br w:val="nil"/>
              <w:tr2bl w:val="nil"/>
            </w:tcBorders>
            <w:noWrap/>
            <w:vAlign w:val="center"/>
          </w:tcPr>
          <w:p w14:paraId="2E77075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1年/次</w:t>
            </w:r>
          </w:p>
        </w:tc>
        <w:tc>
          <w:tcPr>
            <w:tcW w:w="1368" w:type="dxa"/>
            <w:tcBorders>
              <w:tl2br w:val="nil"/>
              <w:tr2bl w:val="nil"/>
            </w:tcBorders>
            <w:noWrap/>
            <w:vAlign w:val="center"/>
          </w:tcPr>
          <w:p w14:paraId="0F9CBAD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定期观测</w:t>
            </w:r>
          </w:p>
        </w:tc>
      </w:tr>
      <w:tr w14:paraId="261C6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85" w:type="dxa"/>
            <w:vMerge w:val="continue"/>
            <w:tcBorders>
              <w:tl2br w:val="nil"/>
              <w:tr2bl w:val="nil"/>
            </w:tcBorders>
            <w:noWrap/>
            <w:vAlign w:val="center"/>
          </w:tcPr>
          <w:p w14:paraId="0B27633A">
            <w:pPr>
              <w:spacing w:line="300" w:lineRule="exact"/>
              <w:jc w:val="center"/>
              <w:rPr>
                <w:rFonts w:hint="default" w:ascii="Times New Roman" w:hAnsi="Times New Roman" w:eastAsia="华文中宋" w:cs="Times New Roman"/>
                <w:szCs w:val="21"/>
              </w:rPr>
            </w:pPr>
          </w:p>
        </w:tc>
        <w:tc>
          <w:tcPr>
            <w:tcW w:w="759" w:type="dxa"/>
            <w:vMerge w:val="continue"/>
            <w:tcBorders>
              <w:tl2br w:val="nil"/>
              <w:tr2bl w:val="nil"/>
            </w:tcBorders>
            <w:noWrap/>
            <w:vAlign w:val="center"/>
          </w:tcPr>
          <w:p w14:paraId="2DD2B2A5">
            <w:pPr>
              <w:spacing w:line="300" w:lineRule="exact"/>
              <w:jc w:val="center"/>
              <w:rPr>
                <w:rFonts w:hint="default" w:ascii="Times New Roman" w:hAnsi="Times New Roman" w:eastAsia="华文中宋" w:cs="Times New Roman"/>
                <w:szCs w:val="21"/>
                <w:lang w:eastAsia="zh-CN"/>
              </w:rPr>
            </w:pPr>
          </w:p>
        </w:tc>
        <w:tc>
          <w:tcPr>
            <w:tcW w:w="1720" w:type="dxa"/>
            <w:tcBorders>
              <w:tl2br w:val="nil"/>
              <w:tr2bl w:val="nil"/>
            </w:tcBorders>
            <w:noWrap/>
            <w:vAlign w:val="center"/>
          </w:tcPr>
          <w:p w14:paraId="0577D82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采场和废石堆放场、表土堆放场、矿石转运场周边</w:t>
            </w:r>
          </w:p>
        </w:tc>
        <w:tc>
          <w:tcPr>
            <w:tcW w:w="2396" w:type="dxa"/>
            <w:tcBorders>
              <w:tl2br w:val="nil"/>
              <w:tr2bl w:val="nil"/>
            </w:tcBorders>
            <w:noWrap/>
            <w:vAlign w:val="center"/>
          </w:tcPr>
          <w:p w14:paraId="0B3C35A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生态恢复情况</w:t>
            </w:r>
          </w:p>
        </w:tc>
        <w:tc>
          <w:tcPr>
            <w:tcW w:w="1161" w:type="dxa"/>
            <w:tcBorders>
              <w:tl2br w:val="nil"/>
              <w:tr2bl w:val="nil"/>
            </w:tcBorders>
            <w:noWrap/>
            <w:vAlign w:val="center"/>
          </w:tcPr>
          <w:p w14:paraId="482A053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1年/次</w:t>
            </w:r>
          </w:p>
        </w:tc>
        <w:tc>
          <w:tcPr>
            <w:tcW w:w="1368" w:type="dxa"/>
            <w:tcBorders>
              <w:tl2br w:val="nil"/>
              <w:tr2bl w:val="nil"/>
            </w:tcBorders>
            <w:noWrap/>
            <w:vAlign w:val="center"/>
          </w:tcPr>
          <w:p w14:paraId="466569A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定期观测</w:t>
            </w:r>
          </w:p>
        </w:tc>
      </w:tr>
      <w:tr w14:paraId="18CB4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85" w:type="dxa"/>
            <w:vMerge w:val="continue"/>
            <w:tcBorders>
              <w:tl2br w:val="nil"/>
              <w:tr2bl w:val="nil"/>
            </w:tcBorders>
            <w:noWrap/>
            <w:vAlign w:val="center"/>
          </w:tcPr>
          <w:p w14:paraId="0DE3FD5A">
            <w:pPr>
              <w:spacing w:line="300" w:lineRule="exact"/>
              <w:jc w:val="center"/>
              <w:rPr>
                <w:rFonts w:hint="default" w:ascii="Times New Roman" w:hAnsi="Times New Roman" w:eastAsia="华文中宋" w:cs="Times New Roman"/>
                <w:szCs w:val="21"/>
              </w:rPr>
            </w:pPr>
          </w:p>
        </w:tc>
        <w:tc>
          <w:tcPr>
            <w:tcW w:w="759" w:type="dxa"/>
            <w:vMerge w:val="continue"/>
            <w:tcBorders>
              <w:tl2br w:val="nil"/>
              <w:tr2bl w:val="nil"/>
            </w:tcBorders>
            <w:noWrap/>
            <w:vAlign w:val="center"/>
          </w:tcPr>
          <w:p w14:paraId="00A1CD25">
            <w:pPr>
              <w:spacing w:line="300" w:lineRule="exact"/>
              <w:jc w:val="center"/>
              <w:rPr>
                <w:rFonts w:hint="default" w:ascii="Times New Roman" w:hAnsi="Times New Roman" w:eastAsia="华文中宋" w:cs="Times New Roman"/>
                <w:szCs w:val="21"/>
                <w:lang w:eastAsia="zh-CN"/>
              </w:rPr>
            </w:pPr>
          </w:p>
        </w:tc>
        <w:tc>
          <w:tcPr>
            <w:tcW w:w="1720" w:type="dxa"/>
            <w:tcBorders>
              <w:tl2br w:val="nil"/>
              <w:tr2bl w:val="nil"/>
            </w:tcBorders>
            <w:noWrap/>
            <w:vAlign w:val="center"/>
          </w:tcPr>
          <w:p w14:paraId="60C395A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植物多样性</w:t>
            </w:r>
          </w:p>
        </w:tc>
        <w:tc>
          <w:tcPr>
            <w:tcW w:w="2396" w:type="dxa"/>
            <w:tcBorders>
              <w:tl2br w:val="nil"/>
              <w:tr2bl w:val="nil"/>
            </w:tcBorders>
            <w:noWrap/>
            <w:vAlign w:val="center"/>
          </w:tcPr>
          <w:p w14:paraId="4EE9E96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物种组成数量</w:t>
            </w:r>
          </w:p>
        </w:tc>
        <w:tc>
          <w:tcPr>
            <w:tcW w:w="1161" w:type="dxa"/>
            <w:tcBorders>
              <w:tl2br w:val="nil"/>
              <w:tr2bl w:val="nil"/>
            </w:tcBorders>
            <w:noWrap/>
            <w:vAlign w:val="center"/>
          </w:tcPr>
          <w:p w14:paraId="517F3E1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春、夏季各1次</w:t>
            </w:r>
          </w:p>
        </w:tc>
        <w:tc>
          <w:tcPr>
            <w:tcW w:w="1368" w:type="dxa"/>
            <w:tcBorders>
              <w:tl2br w:val="nil"/>
              <w:tr2bl w:val="nil"/>
            </w:tcBorders>
            <w:noWrap/>
            <w:vAlign w:val="center"/>
          </w:tcPr>
          <w:p w14:paraId="317E6D8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观测</w:t>
            </w:r>
          </w:p>
        </w:tc>
      </w:tr>
      <w:tr w14:paraId="0F3DD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85" w:type="dxa"/>
            <w:vMerge w:val="continue"/>
            <w:tcBorders>
              <w:tl2br w:val="nil"/>
              <w:tr2bl w:val="nil"/>
            </w:tcBorders>
            <w:noWrap/>
            <w:vAlign w:val="center"/>
          </w:tcPr>
          <w:p w14:paraId="58E3303F">
            <w:pPr>
              <w:spacing w:line="300" w:lineRule="exact"/>
              <w:jc w:val="center"/>
              <w:rPr>
                <w:rFonts w:hint="default" w:ascii="Times New Roman" w:hAnsi="Times New Roman" w:eastAsia="华文中宋" w:cs="Times New Roman"/>
                <w:szCs w:val="21"/>
              </w:rPr>
            </w:pPr>
          </w:p>
        </w:tc>
        <w:tc>
          <w:tcPr>
            <w:tcW w:w="759" w:type="dxa"/>
            <w:vMerge w:val="continue"/>
            <w:tcBorders>
              <w:tl2br w:val="nil"/>
              <w:tr2bl w:val="nil"/>
            </w:tcBorders>
            <w:noWrap/>
            <w:vAlign w:val="center"/>
          </w:tcPr>
          <w:p w14:paraId="75431D60">
            <w:pPr>
              <w:spacing w:line="300" w:lineRule="exact"/>
              <w:jc w:val="center"/>
              <w:rPr>
                <w:rFonts w:hint="default" w:ascii="Times New Roman" w:hAnsi="Times New Roman" w:eastAsia="华文中宋" w:cs="Times New Roman"/>
                <w:szCs w:val="21"/>
                <w:lang w:eastAsia="zh-CN"/>
              </w:rPr>
            </w:pPr>
          </w:p>
        </w:tc>
        <w:tc>
          <w:tcPr>
            <w:tcW w:w="1720" w:type="dxa"/>
            <w:tcBorders>
              <w:tl2br w:val="nil"/>
              <w:tr2bl w:val="nil"/>
            </w:tcBorders>
            <w:noWrap/>
            <w:vAlign w:val="center"/>
          </w:tcPr>
          <w:p w14:paraId="798029E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动物</w:t>
            </w:r>
          </w:p>
        </w:tc>
        <w:tc>
          <w:tcPr>
            <w:tcW w:w="2396" w:type="dxa"/>
            <w:tcBorders>
              <w:tl2br w:val="nil"/>
              <w:tr2bl w:val="nil"/>
            </w:tcBorders>
            <w:noWrap/>
            <w:vAlign w:val="center"/>
          </w:tcPr>
          <w:p w14:paraId="1740E33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物种组成数量</w:t>
            </w:r>
          </w:p>
        </w:tc>
        <w:tc>
          <w:tcPr>
            <w:tcW w:w="1161" w:type="dxa"/>
            <w:tcBorders>
              <w:tl2br w:val="nil"/>
              <w:tr2bl w:val="nil"/>
            </w:tcBorders>
            <w:noWrap/>
            <w:vAlign w:val="center"/>
          </w:tcPr>
          <w:p w14:paraId="7F5DD02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春、夏季各1次</w:t>
            </w:r>
          </w:p>
        </w:tc>
        <w:tc>
          <w:tcPr>
            <w:tcW w:w="1368" w:type="dxa"/>
            <w:tcBorders>
              <w:tl2br w:val="nil"/>
              <w:tr2bl w:val="nil"/>
            </w:tcBorders>
            <w:noWrap/>
            <w:vAlign w:val="center"/>
          </w:tcPr>
          <w:p w14:paraId="7F872989">
            <w:pPr>
              <w:spacing w:line="300" w:lineRule="exact"/>
              <w:jc w:val="center"/>
              <w:rPr>
                <w:rFonts w:hint="default" w:ascii="Times New Roman" w:hAnsi="Times New Roman" w:eastAsia="华文中宋" w:cs="Times New Roman"/>
                <w:szCs w:val="21"/>
              </w:rPr>
            </w:pPr>
            <w:r>
              <w:rPr>
                <w:rFonts w:hint="default" w:ascii="Times New Roman" w:hAnsi="Times New Roman" w:eastAsia="华文中宋" w:cs="Times New Roman"/>
                <w:szCs w:val="21"/>
              </w:rPr>
              <w:t>观测</w:t>
            </w:r>
          </w:p>
        </w:tc>
      </w:tr>
      <w:tr w14:paraId="335ED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85" w:type="dxa"/>
            <w:vMerge w:val="continue"/>
            <w:tcBorders>
              <w:tl2br w:val="nil"/>
              <w:tr2bl w:val="nil"/>
            </w:tcBorders>
            <w:noWrap/>
            <w:vAlign w:val="center"/>
          </w:tcPr>
          <w:p w14:paraId="5E0E230B">
            <w:pPr>
              <w:spacing w:line="300" w:lineRule="exact"/>
              <w:jc w:val="center"/>
              <w:rPr>
                <w:rFonts w:hint="default" w:ascii="Times New Roman" w:hAnsi="Times New Roman" w:eastAsia="华文中宋" w:cs="Times New Roman"/>
                <w:szCs w:val="21"/>
              </w:rPr>
            </w:pPr>
          </w:p>
        </w:tc>
        <w:tc>
          <w:tcPr>
            <w:tcW w:w="759" w:type="dxa"/>
            <w:vMerge w:val="continue"/>
            <w:tcBorders>
              <w:tl2br w:val="nil"/>
              <w:tr2bl w:val="nil"/>
            </w:tcBorders>
            <w:noWrap/>
            <w:vAlign w:val="center"/>
          </w:tcPr>
          <w:p w14:paraId="7C303AC7">
            <w:pPr>
              <w:spacing w:line="300" w:lineRule="exact"/>
              <w:jc w:val="center"/>
              <w:rPr>
                <w:rFonts w:hint="default" w:ascii="Times New Roman" w:hAnsi="Times New Roman" w:eastAsia="华文中宋" w:cs="Times New Roman"/>
                <w:szCs w:val="21"/>
                <w:lang w:eastAsia="zh-CN"/>
              </w:rPr>
            </w:pPr>
          </w:p>
        </w:tc>
        <w:tc>
          <w:tcPr>
            <w:tcW w:w="1720" w:type="dxa"/>
            <w:tcBorders>
              <w:tl2br w:val="nil"/>
              <w:tr2bl w:val="nil"/>
            </w:tcBorders>
            <w:noWrap/>
            <w:vAlign w:val="center"/>
          </w:tcPr>
          <w:p w14:paraId="7C38A99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植被恢复区</w:t>
            </w:r>
          </w:p>
        </w:tc>
        <w:tc>
          <w:tcPr>
            <w:tcW w:w="2396" w:type="dxa"/>
            <w:tcBorders>
              <w:tl2br w:val="nil"/>
              <w:tr2bl w:val="nil"/>
            </w:tcBorders>
            <w:noWrap/>
            <w:vAlign w:val="center"/>
          </w:tcPr>
          <w:p w14:paraId="2329861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盖度、高度等</w:t>
            </w:r>
          </w:p>
        </w:tc>
        <w:tc>
          <w:tcPr>
            <w:tcW w:w="1161" w:type="dxa"/>
            <w:tcBorders>
              <w:tl2br w:val="nil"/>
              <w:tr2bl w:val="nil"/>
            </w:tcBorders>
            <w:noWrap/>
            <w:vAlign w:val="center"/>
          </w:tcPr>
          <w:p w14:paraId="5AB226D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监测一次</w:t>
            </w:r>
          </w:p>
        </w:tc>
        <w:tc>
          <w:tcPr>
            <w:tcW w:w="1368" w:type="dxa"/>
            <w:tcBorders>
              <w:tl2br w:val="nil"/>
              <w:tr2bl w:val="nil"/>
            </w:tcBorders>
            <w:noWrap/>
            <w:vAlign w:val="center"/>
          </w:tcPr>
          <w:p w14:paraId="4031030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rPr>
              <w:t>观测</w:t>
            </w:r>
          </w:p>
        </w:tc>
      </w:tr>
    </w:tbl>
    <w:p w14:paraId="45A7FB27">
      <w:pPr>
        <w:pStyle w:val="4"/>
        <w:spacing w:before="120" w:after="120" w:line="500" w:lineRule="exact"/>
        <w:rPr>
          <w:rFonts w:hint="default" w:ascii="Times New Roman" w:hAnsi="Times New Roman" w:eastAsia="华文中宋" w:cs="Times New Roman"/>
          <w:kern w:val="0"/>
          <w:sz w:val="24"/>
          <w:szCs w:val="24"/>
          <w:lang w:val="en-US" w:eastAsia="zh-CN"/>
        </w:rPr>
      </w:pPr>
      <w:bookmarkStart w:id="343" w:name="_Toc13633"/>
      <w:r>
        <w:rPr>
          <w:rFonts w:hint="default" w:ascii="Times New Roman" w:hAnsi="Times New Roman" w:eastAsia="华文中宋" w:cs="Times New Roman"/>
          <w:kern w:val="0"/>
          <w:sz w:val="24"/>
          <w:szCs w:val="24"/>
          <w:lang w:val="en-US" w:eastAsia="zh-CN"/>
        </w:rPr>
        <w:t>8.3.3应急环境监测计划</w:t>
      </w:r>
      <w:bookmarkEnd w:id="343"/>
    </w:p>
    <w:p w14:paraId="42D22F90">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本项目事故和非正常工况下对区域环境质量会产生较大影响，因此，应加强事故和非正常工况下对周围环境质量的监测，本项目应急环境监测计划见表8.3-2。</w:t>
      </w:r>
    </w:p>
    <w:p w14:paraId="4A110E73">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表8.3-2  本项目应急环境监测计划</w:t>
      </w:r>
    </w:p>
    <w:tbl>
      <w:tblPr>
        <w:tblStyle w:val="20"/>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2581"/>
        <w:gridCol w:w="1181"/>
        <w:gridCol w:w="2164"/>
        <w:gridCol w:w="1672"/>
      </w:tblGrid>
      <w:tr w14:paraId="5CB41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dxa"/>
            <w:vAlign w:val="center"/>
          </w:tcPr>
          <w:p w14:paraId="0807841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项目</w:t>
            </w:r>
          </w:p>
        </w:tc>
        <w:tc>
          <w:tcPr>
            <w:tcW w:w="2642" w:type="dxa"/>
            <w:vAlign w:val="center"/>
          </w:tcPr>
          <w:p w14:paraId="1C9655C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监测位置</w:t>
            </w:r>
          </w:p>
        </w:tc>
        <w:tc>
          <w:tcPr>
            <w:tcW w:w="1198" w:type="dxa"/>
            <w:vAlign w:val="center"/>
          </w:tcPr>
          <w:p w14:paraId="3802200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监测因子</w:t>
            </w:r>
          </w:p>
        </w:tc>
        <w:tc>
          <w:tcPr>
            <w:tcW w:w="2208" w:type="dxa"/>
            <w:vAlign w:val="center"/>
          </w:tcPr>
          <w:p w14:paraId="3B9A1A1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监测频率</w:t>
            </w:r>
          </w:p>
        </w:tc>
        <w:tc>
          <w:tcPr>
            <w:tcW w:w="1704" w:type="dxa"/>
            <w:vAlign w:val="center"/>
          </w:tcPr>
          <w:p w14:paraId="119DF7A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备注</w:t>
            </w:r>
          </w:p>
        </w:tc>
      </w:tr>
      <w:tr w14:paraId="1EA7B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dxa"/>
            <w:vMerge w:val="restart"/>
            <w:vAlign w:val="center"/>
          </w:tcPr>
          <w:p w14:paraId="1791356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废气</w:t>
            </w:r>
          </w:p>
        </w:tc>
        <w:tc>
          <w:tcPr>
            <w:tcW w:w="2642" w:type="dxa"/>
            <w:vAlign w:val="center"/>
          </w:tcPr>
          <w:p w14:paraId="5391B67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事故发生地</w:t>
            </w:r>
          </w:p>
        </w:tc>
        <w:tc>
          <w:tcPr>
            <w:tcW w:w="1198" w:type="dxa"/>
            <w:vMerge w:val="restart"/>
            <w:vAlign w:val="center"/>
          </w:tcPr>
          <w:p w14:paraId="1987132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非甲烷总烃、颗粒物、二氧化硫和氮氧化物</w:t>
            </w:r>
          </w:p>
        </w:tc>
        <w:tc>
          <w:tcPr>
            <w:tcW w:w="2208" w:type="dxa"/>
            <w:vMerge w:val="restart"/>
            <w:vAlign w:val="center"/>
          </w:tcPr>
          <w:p w14:paraId="1E287FD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事故发生及处理过程中进行实时监测，过后20min一次直至应急结束</w:t>
            </w:r>
          </w:p>
        </w:tc>
        <w:tc>
          <w:tcPr>
            <w:tcW w:w="1704" w:type="dxa"/>
            <w:vMerge w:val="restart"/>
            <w:vAlign w:val="center"/>
          </w:tcPr>
          <w:p w14:paraId="78958A8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根据发生事故的部位确定具体的监测因子；根据风向调整采样点位置</w:t>
            </w:r>
          </w:p>
        </w:tc>
      </w:tr>
      <w:tr w14:paraId="7DD9D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dxa"/>
            <w:vMerge w:val="continue"/>
            <w:vAlign w:val="center"/>
          </w:tcPr>
          <w:p w14:paraId="6992A66B">
            <w:pPr>
              <w:spacing w:line="300" w:lineRule="exact"/>
              <w:jc w:val="center"/>
              <w:rPr>
                <w:rFonts w:hint="default" w:ascii="Times New Roman" w:hAnsi="Times New Roman" w:eastAsia="华文中宋" w:cs="Times New Roman"/>
                <w:szCs w:val="21"/>
                <w:lang w:val="en-US" w:eastAsia="zh-CN"/>
              </w:rPr>
            </w:pPr>
          </w:p>
        </w:tc>
        <w:tc>
          <w:tcPr>
            <w:tcW w:w="2642" w:type="dxa"/>
            <w:vAlign w:val="center"/>
          </w:tcPr>
          <w:p w14:paraId="1147086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事故发生地上风向对照点</w:t>
            </w:r>
          </w:p>
        </w:tc>
        <w:tc>
          <w:tcPr>
            <w:tcW w:w="1198" w:type="dxa"/>
            <w:vMerge w:val="continue"/>
            <w:vAlign w:val="center"/>
          </w:tcPr>
          <w:p w14:paraId="3A612100">
            <w:pPr>
              <w:spacing w:line="300" w:lineRule="exact"/>
              <w:jc w:val="center"/>
              <w:rPr>
                <w:rFonts w:hint="default" w:ascii="Times New Roman" w:hAnsi="Times New Roman" w:eastAsia="华文中宋" w:cs="Times New Roman"/>
                <w:szCs w:val="21"/>
                <w:lang w:val="en-US" w:eastAsia="zh-CN"/>
              </w:rPr>
            </w:pPr>
          </w:p>
        </w:tc>
        <w:tc>
          <w:tcPr>
            <w:tcW w:w="2208" w:type="dxa"/>
            <w:vMerge w:val="continue"/>
            <w:vAlign w:val="center"/>
          </w:tcPr>
          <w:p w14:paraId="10DB17FB">
            <w:pPr>
              <w:spacing w:line="300" w:lineRule="exact"/>
              <w:jc w:val="center"/>
              <w:rPr>
                <w:rFonts w:hint="default" w:ascii="Times New Roman" w:hAnsi="Times New Roman" w:eastAsia="华文中宋" w:cs="Times New Roman"/>
                <w:szCs w:val="21"/>
                <w:lang w:val="en-US" w:eastAsia="zh-CN"/>
              </w:rPr>
            </w:pPr>
          </w:p>
        </w:tc>
        <w:tc>
          <w:tcPr>
            <w:tcW w:w="1704" w:type="dxa"/>
            <w:vMerge w:val="continue"/>
            <w:vAlign w:val="center"/>
          </w:tcPr>
          <w:p w14:paraId="73DB1FA9">
            <w:pPr>
              <w:spacing w:line="300" w:lineRule="exact"/>
              <w:jc w:val="center"/>
              <w:rPr>
                <w:rFonts w:hint="default" w:ascii="Times New Roman" w:hAnsi="Times New Roman" w:eastAsia="华文中宋" w:cs="Times New Roman"/>
                <w:szCs w:val="21"/>
                <w:lang w:val="en-US" w:eastAsia="zh-CN"/>
              </w:rPr>
            </w:pPr>
          </w:p>
        </w:tc>
      </w:tr>
      <w:tr w14:paraId="23754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4" w:type="dxa"/>
            <w:vMerge w:val="continue"/>
            <w:vAlign w:val="center"/>
          </w:tcPr>
          <w:p w14:paraId="053E7CA9">
            <w:pPr>
              <w:spacing w:line="300" w:lineRule="exact"/>
              <w:jc w:val="center"/>
              <w:rPr>
                <w:rFonts w:hint="default" w:ascii="Times New Roman" w:hAnsi="Times New Roman" w:eastAsia="华文中宋" w:cs="Times New Roman"/>
                <w:szCs w:val="21"/>
                <w:lang w:val="en-US" w:eastAsia="zh-CN"/>
              </w:rPr>
            </w:pPr>
          </w:p>
        </w:tc>
        <w:tc>
          <w:tcPr>
            <w:tcW w:w="2642" w:type="dxa"/>
            <w:vAlign w:val="center"/>
          </w:tcPr>
          <w:p w14:paraId="271C5AE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事故发生地下风向，按一定间隔的扇形或者圆形布点</w:t>
            </w:r>
          </w:p>
        </w:tc>
        <w:tc>
          <w:tcPr>
            <w:tcW w:w="1198" w:type="dxa"/>
            <w:vMerge w:val="continue"/>
            <w:vAlign w:val="center"/>
          </w:tcPr>
          <w:p w14:paraId="70F1CA72">
            <w:pPr>
              <w:spacing w:line="300" w:lineRule="exact"/>
              <w:jc w:val="center"/>
              <w:rPr>
                <w:rFonts w:hint="default" w:ascii="Times New Roman" w:hAnsi="Times New Roman" w:eastAsia="华文中宋" w:cs="Times New Roman"/>
                <w:szCs w:val="21"/>
                <w:lang w:val="en-US" w:eastAsia="zh-CN"/>
              </w:rPr>
            </w:pPr>
          </w:p>
        </w:tc>
        <w:tc>
          <w:tcPr>
            <w:tcW w:w="2208" w:type="dxa"/>
            <w:vMerge w:val="continue"/>
            <w:vAlign w:val="center"/>
          </w:tcPr>
          <w:p w14:paraId="1EA737DE">
            <w:pPr>
              <w:spacing w:line="300" w:lineRule="exact"/>
              <w:jc w:val="center"/>
              <w:rPr>
                <w:rFonts w:hint="default" w:ascii="Times New Roman" w:hAnsi="Times New Roman" w:eastAsia="华文中宋" w:cs="Times New Roman"/>
                <w:szCs w:val="21"/>
                <w:lang w:val="en-US" w:eastAsia="zh-CN"/>
              </w:rPr>
            </w:pPr>
          </w:p>
        </w:tc>
        <w:tc>
          <w:tcPr>
            <w:tcW w:w="1704" w:type="dxa"/>
            <w:vMerge w:val="continue"/>
            <w:vAlign w:val="center"/>
          </w:tcPr>
          <w:p w14:paraId="225CEA58">
            <w:pPr>
              <w:spacing w:line="300" w:lineRule="exact"/>
              <w:jc w:val="center"/>
              <w:rPr>
                <w:rFonts w:hint="default" w:ascii="Times New Roman" w:hAnsi="Times New Roman" w:eastAsia="华文中宋" w:cs="Times New Roman"/>
                <w:szCs w:val="21"/>
                <w:lang w:val="en-US" w:eastAsia="zh-CN"/>
              </w:rPr>
            </w:pPr>
          </w:p>
        </w:tc>
      </w:tr>
      <w:tr w14:paraId="57849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6" w:type="dxa"/>
            <w:gridSpan w:val="5"/>
            <w:vAlign w:val="center"/>
          </w:tcPr>
          <w:p w14:paraId="7D39135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注：按照《突发环境事件应急监测技术规范》（HJ589-2021）等要求进行。</w:t>
            </w:r>
          </w:p>
        </w:tc>
      </w:tr>
    </w:tbl>
    <w:p w14:paraId="08240B08">
      <w:pPr>
        <w:pStyle w:val="3"/>
        <w:spacing w:before="120" w:after="120" w:line="500" w:lineRule="exact"/>
        <w:ind w:left="375" w:hanging="375" w:firstLineChars="0"/>
        <w:contextualSpacing/>
        <w:rPr>
          <w:rFonts w:hint="default" w:ascii="Times New Roman" w:hAnsi="Times New Roman" w:eastAsia="华文中宋" w:cs="Times New Roman"/>
          <w:snapToGrid w:val="0"/>
          <w:kern w:val="0"/>
          <w:sz w:val="28"/>
          <w:szCs w:val="28"/>
          <w:lang w:val="en-US" w:eastAsia="zh-CN"/>
        </w:rPr>
      </w:pPr>
      <w:bookmarkStart w:id="344" w:name="_Toc24184"/>
      <w:bookmarkStart w:id="345" w:name="_Toc15746"/>
      <w:r>
        <w:rPr>
          <w:rFonts w:hint="default" w:ascii="Times New Roman" w:hAnsi="Times New Roman" w:eastAsia="华文中宋" w:cs="Times New Roman"/>
          <w:snapToGrid w:val="0"/>
          <w:kern w:val="0"/>
          <w:sz w:val="28"/>
          <w:szCs w:val="28"/>
          <w:lang w:val="en-US" w:eastAsia="zh-CN"/>
        </w:rPr>
        <w:t>8.4环境管理及环保行动计划</w:t>
      </w:r>
      <w:bookmarkEnd w:id="344"/>
      <w:bookmarkEnd w:id="345"/>
    </w:p>
    <w:p w14:paraId="54A4CD3E">
      <w:pPr>
        <w:adjustRightInd w:val="0"/>
        <w:snapToGrid w:val="0"/>
        <w:spacing w:line="500" w:lineRule="exact"/>
        <w:ind w:firstLine="480" w:firstLineChars="200"/>
        <w:jc w:val="left"/>
        <w:rPr>
          <w:rFonts w:hint="default" w:ascii="Times New Roman" w:hAnsi="Times New Roman" w:eastAsia="华文中宋" w:cs="Times New Roman"/>
          <w:sz w:val="24"/>
        </w:rPr>
      </w:pPr>
      <w:r>
        <w:rPr>
          <w:rFonts w:hint="default" w:ascii="Times New Roman" w:hAnsi="Times New Roman" w:eastAsia="华文中宋" w:cs="Times New Roman"/>
          <w:sz w:val="24"/>
          <w:lang w:val="en-US" w:eastAsia="zh-CN"/>
        </w:rPr>
        <w:t>本项目环境管理措施及环保行动计划见表8.4-1、8.4-2。</w:t>
      </w:r>
    </w:p>
    <w:p w14:paraId="39188563">
      <w:pPr>
        <w:adjustRightInd w:val="0"/>
        <w:snapToGrid w:val="0"/>
        <w:spacing w:before="250" w:beforeLines="50"/>
        <w:ind w:firstLine="422" w:firstLineChars="200"/>
        <w:jc w:val="center"/>
        <w:rPr>
          <w:rFonts w:hint="default" w:ascii="Times New Roman" w:hAnsi="Times New Roman" w:eastAsia="华文中宋" w:cs="Times New Roman"/>
          <w:b/>
          <w:szCs w:val="21"/>
        </w:rPr>
      </w:pPr>
      <w:r>
        <w:rPr>
          <w:rFonts w:hint="default" w:ascii="Times New Roman" w:hAnsi="Times New Roman" w:eastAsia="华文中宋" w:cs="Times New Roman"/>
          <w:b/>
          <w:szCs w:val="21"/>
          <w:lang w:val="en-US" w:eastAsia="zh-CN"/>
        </w:rPr>
        <w:t>表8.4-1  环境管理措施</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8"/>
        <w:gridCol w:w="1219"/>
        <w:gridCol w:w="1210"/>
      </w:tblGrid>
      <w:tr w14:paraId="4EE14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8" w:type="dxa"/>
            <w:vAlign w:val="center"/>
          </w:tcPr>
          <w:p w14:paraId="43EBB92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环境监控管理措施</w:t>
            </w:r>
          </w:p>
        </w:tc>
        <w:tc>
          <w:tcPr>
            <w:tcW w:w="1219" w:type="dxa"/>
            <w:vAlign w:val="center"/>
          </w:tcPr>
          <w:p w14:paraId="4C2B873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实施方</w:t>
            </w:r>
          </w:p>
        </w:tc>
        <w:tc>
          <w:tcPr>
            <w:tcW w:w="1210" w:type="dxa"/>
            <w:vAlign w:val="center"/>
          </w:tcPr>
          <w:p w14:paraId="13FE90F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监督管理</w:t>
            </w:r>
          </w:p>
        </w:tc>
      </w:tr>
      <w:tr w14:paraId="7F5B4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8" w:type="dxa"/>
            <w:vAlign w:val="center"/>
          </w:tcPr>
          <w:p w14:paraId="0EE56830">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（1）废气</w:t>
            </w:r>
          </w:p>
          <w:p w14:paraId="7C15E099">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①工作面和装卸点喷雾洒水降尘；</w:t>
            </w:r>
          </w:p>
          <w:p w14:paraId="6BE685EB">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②矿石装卸过程控制落差，降低扬尘排放量；</w:t>
            </w:r>
          </w:p>
          <w:p w14:paraId="4BA6AEB1">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③加强工人的个人防护；</w:t>
            </w:r>
          </w:p>
          <w:p w14:paraId="36825ADB">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④控制厂内车速，道路和</w:t>
            </w:r>
            <w:r>
              <w:rPr>
                <w:rFonts w:hint="eastAsia" w:ascii="Times New Roman" w:hAnsi="Times New Roman" w:eastAsia="华文中宋" w:cs="Times New Roman"/>
                <w:szCs w:val="21"/>
                <w:lang w:val="en-US" w:eastAsia="zh-CN"/>
              </w:rPr>
              <w:t>生活办公区</w:t>
            </w:r>
            <w:r>
              <w:rPr>
                <w:rFonts w:hint="default" w:ascii="Times New Roman" w:hAnsi="Times New Roman" w:eastAsia="华文中宋" w:cs="Times New Roman"/>
                <w:szCs w:val="21"/>
                <w:lang w:val="en-US" w:eastAsia="zh-CN"/>
              </w:rPr>
              <w:t>硬化处理，定期洒水，进行绿化；</w:t>
            </w:r>
          </w:p>
          <w:p w14:paraId="3D2DC3CA">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⑤按照监测计划定期开展废气监测。</w:t>
            </w:r>
          </w:p>
        </w:tc>
        <w:tc>
          <w:tcPr>
            <w:tcW w:w="1219" w:type="dxa"/>
            <w:vAlign w:val="center"/>
          </w:tcPr>
          <w:p w14:paraId="39F66AB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建设单位</w:t>
            </w:r>
          </w:p>
        </w:tc>
        <w:tc>
          <w:tcPr>
            <w:tcW w:w="1210" w:type="dxa"/>
            <w:vMerge w:val="restart"/>
            <w:vAlign w:val="center"/>
          </w:tcPr>
          <w:p w14:paraId="209E068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和田地区生态环境局</w:t>
            </w:r>
          </w:p>
        </w:tc>
      </w:tr>
      <w:tr w14:paraId="03B1C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8" w:type="dxa"/>
            <w:vAlign w:val="center"/>
          </w:tcPr>
          <w:p w14:paraId="4B9396C2">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（2）废水</w:t>
            </w:r>
          </w:p>
          <w:p w14:paraId="789B1A48">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①职工生活污水经处理后作为企业已建办公生活区绿化、降尘使用，不外排。</w:t>
            </w:r>
          </w:p>
        </w:tc>
        <w:tc>
          <w:tcPr>
            <w:tcW w:w="1219" w:type="dxa"/>
            <w:vAlign w:val="center"/>
          </w:tcPr>
          <w:p w14:paraId="4F8811B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建设单位</w:t>
            </w:r>
          </w:p>
        </w:tc>
        <w:tc>
          <w:tcPr>
            <w:tcW w:w="1210" w:type="dxa"/>
            <w:vMerge w:val="continue"/>
            <w:vAlign w:val="center"/>
          </w:tcPr>
          <w:p w14:paraId="40D157D8">
            <w:pPr>
              <w:spacing w:line="300" w:lineRule="exact"/>
              <w:jc w:val="center"/>
              <w:rPr>
                <w:rFonts w:hint="default" w:ascii="Times New Roman" w:hAnsi="Times New Roman" w:eastAsia="华文中宋" w:cs="Times New Roman"/>
                <w:szCs w:val="21"/>
                <w:lang w:val="en-US" w:eastAsia="zh-CN"/>
              </w:rPr>
            </w:pPr>
          </w:p>
        </w:tc>
      </w:tr>
      <w:tr w14:paraId="14014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8" w:type="dxa"/>
            <w:vAlign w:val="center"/>
          </w:tcPr>
          <w:p w14:paraId="334F5A68">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（3）固体废物</w:t>
            </w:r>
          </w:p>
          <w:p w14:paraId="5B4DA779">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①表土堆场、矿石转运场、废石堆放场符合批复、设计要求</w:t>
            </w:r>
            <w:r>
              <w:rPr>
                <w:rFonts w:hint="eastAsia" w:ascii="Times New Roman" w:hAnsi="Times New Roman" w:eastAsia="华文中宋" w:cs="Times New Roman"/>
                <w:szCs w:val="21"/>
                <w:lang w:val="en-US" w:eastAsia="zh-CN"/>
              </w:rPr>
              <w:t>；</w:t>
            </w:r>
          </w:p>
          <w:p w14:paraId="33F7FC11">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②生活垃圾集中收集，最终拉运至民丰县生活垃圾填埋场处理</w:t>
            </w:r>
            <w:r>
              <w:rPr>
                <w:rFonts w:hint="eastAsia" w:ascii="Times New Roman" w:hAnsi="Times New Roman" w:eastAsia="华文中宋" w:cs="Times New Roman"/>
                <w:szCs w:val="21"/>
                <w:lang w:val="en-US" w:eastAsia="zh-CN"/>
              </w:rPr>
              <w:t>；</w:t>
            </w:r>
          </w:p>
          <w:p w14:paraId="023B276C">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③危险废物暂存于危废库，最终交由专业机构回收处理。</w:t>
            </w:r>
          </w:p>
        </w:tc>
        <w:tc>
          <w:tcPr>
            <w:tcW w:w="1219" w:type="dxa"/>
            <w:vAlign w:val="center"/>
          </w:tcPr>
          <w:p w14:paraId="3E23572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建设单位</w:t>
            </w:r>
          </w:p>
        </w:tc>
        <w:tc>
          <w:tcPr>
            <w:tcW w:w="1210" w:type="dxa"/>
            <w:vMerge w:val="continue"/>
            <w:vAlign w:val="center"/>
          </w:tcPr>
          <w:p w14:paraId="0AFC434B">
            <w:pPr>
              <w:spacing w:line="300" w:lineRule="exact"/>
              <w:jc w:val="center"/>
              <w:rPr>
                <w:rFonts w:hint="default" w:ascii="Times New Roman" w:hAnsi="Times New Roman" w:eastAsia="华文中宋" w:cs="Times New Roman"/>
                <w:szCs w:val="21"/>
                <w:lang w:val="en-US" w:eastAsia="zh-CN"/>
              </w:rPr>
            </w:pPr>
          </w:p>
        </w:tc>
      </w:tr>
      <w:tr w14:paraId="36A3F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8" w:type="dxa"/>
            <w:vAlign w:val="center"/>
          </w:tcPr>
          <w:p w14:paraId="13D24A13">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（4）噪声</w:t>
            </w:r>
          </w:p>
          <w:p w14:paraId="012A7971">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①选用低噪声设备，安装消声措施</w:t>
            </w:r>
            <w:r>
              <w:rPr>
                <w:rFonts w:hint="eastAsia" w:ascii="Times New Roman" w:hAnsi="Times New Roman" w:eastAsia="华文中宋" w:cs="Times New Roman"/>
                <w:szCs w:val="21"/>
                <w:lang w:val="en-US" w:eastAsia="zh-CN"/>
              </w:rPr>
              <w:t>；</w:t>
            </w:r>
          </w:p>
          <w:p w14:paraId="6CD7B455">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②保持设备良好工况，定期检修、维护</w:t>
            </w:r>
            <w:r>
              <w:rPr>
                <w:rFonts w:hint="eastAsia" w:ascii="Times New Roman" w:hAnsi="Times New Roman" w:eastAsia="华文中宋" w:cs="Times New Roman"/>
                <w:szCs w:val="21"/>
                <w:lang w:val="en-US" w:eastAsia="zh-CN"/>
              </w:rPr>
              <w:t>；</w:t>
            </w:r>
          </w:p>
          <w:p w14:paraId="7FEB6653">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③制定合理的作业时间</w:t>
            </w:r>
            <w:r>
              <w:rPr>
                <w:rFonts w:hint="eastAsia" w:ascii="Times New Roman" w:hAnsi="Times New Roman" w:eastAsia="华文中宋" w:cs="Times New Roman"/>
                <w:szCs w:val="21"/>
                <w:lang w:val="en-US" w:eastAsia="zh-CN"/>
              </w:rPr>
              <w:t>；</w:t>
            </w:r>
          </w:p>
          <w:p w14:paraId="4C582811">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④加强个人防护。</w:t>
            </w:r>
          </w:p>
        </w:tc>
        <w:tc>
          <w:tcPr>
            <w:tcW w:w="1219" w:type="dxa"/>
            <w:vAlign w:val="center"/>
          </w:tcPr>
          <w:p w14:paraId="29FBB48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建设单位</w:t>
            </w:r>
          </w:p>
        </w:tc>
        <w:tc>
          <w:tcPr>
            <w:tcW w:w="1210" w:type="dxa"/>
            <w:vMerge w:val="continue"/>
            <w:vAlign w:val="center"/>
          </w:tcPr>
          <w:p w14:paraId="3C75B20C">
            <w:pPr>
              <w:spacing w:line="300" w:lineRule="exact"/>
              <w:jc w:val="center"/>
              <w:rPr>
                <w:rFonts w:hint="default" w:ascii="Times New Roman" w:hAnsi="Times New Roman" w:eastAsia="华文中宋" w:cs="Times New Roman"/>
                <w:szCs w:val="21"/>
                <w:lang w:val="en-US" w:eastAsia="zh-CN"/>
              </w:rPr>
            </w:pPr>
          </w:p>
        </w:tc>
      </w:tr>
      <w:tr w14:paraId="2B28C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8" w:type="dxa"/>
            <w:vAlign w:val="center"/>
          </w:tcPr>
          <w:p w14:paraId="3E990044">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（5）生态保护</w:t>
            </w:r>
          </w:p>
          <w:p w14:paraId="1AFEFA7A">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①控制开采活动地表扰动面积</w:t>
            </w:r>
            <w:r>
              <w:rPr>
                <w:rFonts w:hint="eastAsia" w:ascii="Times New Roman" w:hAnsi="Times New Roman" w:eastAsia="华文中宋" w:cs="Times New Roman"/>
                <w:szCs w:val="21"/>
                <w:lang w:val="en-US" w:eastAsia="zh-CN"/>
              </w:rPr>
              <w:t>；</w:t>
            </w:r>
          </w:p>
          <w:p w14:paraId="6DC56283">
            <w:pPr>
              <w:spacing w:line="300" w:lineRule="exact"/>
              <w:jc w:val="left"/>
              <w:rPr>
                <w:rFonts w:hint="eastAsia"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②限制车辆行驶路线，减小影响范围</w:t>
            </w:r>
            <w:r>
              <w:rPr>
                <w:rFonts w:hint="eastAsia" w:ascii="Times New Roman" w:hAnsi="Times New Roman" w:eastAsia="华文中宋" w:cs="Times New Roman"/>
                <w:szCs w:val="21"/>
                <w:lang w:val="en-US" w:eastAsia="zh-CN"/>
              </w:rPr>
              <w:t>；</w:t>
            </w:r>
          </w:p>
          <w:p w14:paraId="4ED79532">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③做好矿区整体水土保持工作</w:t>
            </w:r>
            <w:r>
              <w:rPr>
                <w:rFonts w:hint="eastAsia" w:ascii="Times New Roman" w:hAnsi="Times New Roman" w:eastAsia="华文中宋" w:cs="Times New Roman"/>
                <w:szCs w:val="21"/>
                <w:lang w:val="en-US" w:eastAsia="zh-CN"/>
              </w:rPr>
              <w:t>；</w:t>
            </w:r>
          </w:p>
          <w:p w14:paraId="62A2D5C9">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④开采结束尽快开展生态恢复建设工作</w:t>
            </w:r>
            <w:r>
              <w:rPr>
                <w:rFonts w:hint="eastAsia" w:ascii="Times New Roman" w:hAnsi="Times New Roman" w:eastAsia="华文中宋" w:cs="Times New Roman"/>
                <w:szCs w:val="21"/>
                <w:lang w:val="en-US" w:eastAsia="zh-CN"/>
              </w:rPr>
              <w:t>；</w:t>
            </w:r>
          </w:p>
          <w:p w14:paraId="74D0E2E7">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⑤保护未扰动区域土壤环境，禁止开展开垦、放牧、烧及采挖等破坏作业。</w:t>
            </w:r>
          </w:p>
        </w:tc>
        <w:tc>
          <w:tcPr>
            <w:tcW w:w="1219" w:type="dxa"/>
            <w:vAlign w:val="center"/>
          </w:tcPr>
          <w:p w14:paraId="6EA6291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建设单位</w:t>
            </w:r>
          </w:p>
        </w:tc>
        <w:tc>
          <w:tcPr>
            <w:tcW w:w="1210" w:type="dxa"/>
            <w:vMerge w:val="continue"/>
            <w:vAlign w:val="center"/>
          </w:tcPr>
          <w:p w14:paraId="621F7FEF">
            <w:pPr>
              <w:spacing w:line="300" w:lineRule="exact"/>
              <w:jc w:val="center"/>
              <w:rPr>
                <w:rFonts w:hint="default" w:ascii="Times New Roman" w:hAnsi="Times New Roman" w:eastAsia="华文中宋" w:cs="Times New Roman"/>
                <w:szCs w:val="21"/>
                <w:lang w:val="en-US" w:eastAsia="zh-CN"/>
              </w:rPr>
            </w:pPr>
          </w:p>
        </w:tc>
      </w:tr>
      <w:tr w14:paraId="0B23E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8" w:type="dxa"/>
            <w:vAlign w:val="center"/>
          </w:tcPr>
          <w:p w14:paraId="2BFA05E2">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（6）安全措施</w:t>
            </w:r>
          </w:p>
          <w:p w14:paraId="5FCDBE40">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①矿区安全出口、危险地带应设置相应标识，避免事故发生</w:t>
            </w:r>
            <w:r>
              <w:rPr>
                <w:rFonts w:hint="eastAsia" w:ascii="Times New Roman" w:hAnsi="Times New Roman" w:eastAsia="华文中宋" w:cs="Times New Roman"/>
                <w:szCs w:val="21"/>
                <w:lang w:val="en-US" w:eastAsia="zh-CN"/>
              </w:rPr>
              <w:t>；</w:t>
            </w:r>
          </w:p>
          <w:p w14:paraId="725785B1">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②爆破严格按规程操作，保证安全</w:t>
            </w:r>
            <w:r>
              <w:rPr>
                <w:rFonts w:hint="eastAsia" w:ascii="Times New Roman" w:hAnsi="Times New Roman" w:eastAsia="华文中宋" w:cs="Times New Roman"/>
                <w:szCs w:val="21"/>
                <w:lang w:val="en-US" w:eastAsia="zh-CN"/>
              </w:rPr>
              <w:t>；</w:t>
            </w:r>
          </w:p>
          <w:p w14:paraId="136559C7">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③加强爆破材料库的安全管理</w:t>
            </w:r>
            <w:r>
              <w:rPr>
                <w:rFonts w:hint="eastAsia" w:ascii="Times New Roman" w:hAnsi="Times New Roman" w:eastAsia="华文中宋" w:cs="Times New Roman"/>
                <w:szCs w:val="21"/>
                <w:lang w:val="en-US" w:eastAsia="zh-CN"/>
              </w:rPr>
              <w:t>；</w:t>
            </w:r>
          </w:p>
          <w:p w14:paraId="25444CC1">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④开采期保证边坡稳定性，确保工作安全。</w:t>
            </w:r>
          </w:p>
        </w:tc>
        <w:tc>
          <w:tcPr>
            <w:tcW w:w="1219" w:type="dxa"/>
            <w:vAlign w:val="center"/>
          </w:tcPr>
          <w:p w14:paraId="6EA7D0F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建设单位</w:t>
            </w:r>
          </w:p>
        </w:tc>
        <w:tc>
          <w:tcPr>
            <w:tcW w:w="1210" w:type="dxa"/>
            <w:vMerge w:val="continue"/>
            <w:vAlign w:val="center"/>
          </w:tcPr>
          <w:p w14:paraId="76E6CD47">
            <w:pPr>
              <w:spacing w:line="300" w:lineRule="exact"/>
              <w:jc w:val="center"/>
              <w:rPr>
                <w:rFonts w:hint="default" w:ascii="Times New Roman" w:hAnsi="Times New Roman" w:eastAsia="华文中宋" w:cs="Times New Roman"/>
                <w:szCs w:val="21"/>
                <w:lang w:val="en-US" w:eastAsia="zh-CN"/>
              </w:rPr>
            </w:pPr>
          </w:p>
        </w:tc>
      </w:tr>
      <w:tr w14:paraId="47B7A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8" w:type="dxa"/>
            <w:vAlign w:val="center"/>
          </w:tcPr>
          <w:p w14:paraId="32C29092">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（7）环境管理</w:t>
            </w:r>
          </w:p>
          <w:p w14:paraId="3E31B52F">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建立环境管理，制定环境管理手段，按要求开展环境监测，完善矿区环境管理工作。</w:t>
            </w:r>
          </w:p>
        </w:tc>
        <w:tc>
          <w:tcPr>
            <w:tcW w:w="1219" w:type="dxa"/>
            <w:vAlign w:val="center"/>
          </w:tcPr>
          <w:p w14:paraId="6E3963D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建设单位</w:t>
            </w:r>
          </w:p>
        </w:tc>
        <w:tc>
          <w:tcPr>
            <w:tcW w:w="1210" w:type="dxa"/>
            <w:vMerge w:val="continue"/>
            <w:vAlign w:val="center"/>
          </w:tcPr>
          <w:p w14:paraId="08BC7D27">
            <w:pPr>
              <w:spacing w:line="300" w:lineRule="exact"/>
              <w:jc w:val="center"/>
              <w:rPr>
                <w:rFonts w:hint="default" w:ascii="Times New Roman" w:hAnsi="Times New Roman" w:eastAsia="华文中宋" w:cs="Times New Roman"/>
                <w:szCs w:val="21"/>
                <w:lang w:val="en-US" w:eastAsia="zh-CN"/>
              </w:rPr>
            </w:pPr>
          </w:p>
        </w:tc>
      </w:tr>
    </w:tbl>
    <w:p w14:paraId="4F7C229D">
      <w:pPr>
        <w:adjustRightInd w:val="0"/>
        <w:snapToGrid w:val="0"/>
        <w:spacing w:before="250" w:beforeLines="50"/>
        <w:ind w:firstLine="422" w:firstLineChars="200"/>
        <w:jc w:val="center"/>
        <w:rPr>
          <w:rFonts w:hint="default" w:ascii="Times New Roman" w:hAnsi="Times New Roman" w:eastAsia="华文中宋" w:cs="Times New Roman"/>
          <w:b/>
          <w:szCs w:val="21"/>
          <w:lang w:val="en-US" w:eastAsia="zh-CN"/>
        </w:rPr>
      </w:pPr>
      <w:r>
        <w:rPr>
          <w:rFonts w:hint="default" w:ascii="Times New Roman" w:hAnsi="Times New Roman" w:eastAsia="华文中宋" w:cs="Times New Roman"/>
          <w:b/>
          <w:szCs w:val="21"/>
          <w:lang w:val="en-US" w:eastAsia="zh-CN"/>
        </w:rPr>
        <w:t>表8.4-2  环保行动计划</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
        <w:gridCol w:w="1354"/>
        <w:gridCol w:w="5190"/>
        <w:gridCol w:w="750"/>
        <w:gridCol w:w="747"/>
      </w:tblGrid>
      <w:tr w14:paraId="33E57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 w:type="dxa"/>
            <w:vAlign w:val="center"/>
          </w:tcPr>
          <w:p w14:paraId="67E527B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时段</w:t>
            </w:r>
          </w:p>
        </w:tc>
        <w:tc>
          <w:tcPr>
            <w:tcW w:w="1354" w:type="dxa"/>
            <w:vAlign w:val="center"/>
          </w:tcPr>
          <w:p w14:paraId="7E0C3E4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环境问题</w:t>
            </w:r>
          </w:p>
        </w:tc>
        <w:tc>
          <w:tcPr>
            <w:tcW w:w="5190" w:type="dxa"/>
            <w:vAlign w:val="center"/>
          </w:tcPr>
          <w:p w14:paraId="2C36410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环境保护措施</w:t>
            </w:r>
          </w:p>
        </w:tc>
        <w:tc>
          <w:tcPr>
            <w:tcW w:w="750" w:type="dxa"/>
            <w:vAlign w:val="center"/>
          </w:tcPr>
          <w:p w14:paraId="2613553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实施单位</w:t>
            </w:r>
          </w:p>
        </w:tc>
        <w:tc>
          <w:tcPr>
            <w:tcW w:w="747" w:type="dxa"/>
            <w:vAlign w:val="center"/>
          </w:tcPr>
          <w:p w14:paraId="5436576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监督单位</w:t>
            </w:r>
          </w:p>
        </w:tc>
      </w:tr>
      <w:tr w14:paraId="5E571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 w:type="dxa"/>
            <w:vMerge w:val="restart"/>
            <w:vAlign w:val="center"/>
          </w:tcPr>
          <w:p w14:paraId="7D6ECE2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施工期</w:t>
            </w:r>
          </w:p>
        </w:tc>
        <w:tc>
          <w:tcPr>
            <w:tcW w:w="1354" w:type="dxa"/>
            <w:vAlign w:val="center"/>
          </w:tcPr>
          <w:p w14:paraId="38E6926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生态防治</w:t>
            </w:r>
          </w:p>
        </w:tc>
        <w:tc>
          <w:tcPr>
            <w:tcW w:w="5190" w:type="dxa"/>
            <w:vAlign w:val="center"/>
          </w:tcPr>
          <w:p w14:paraId="72190FB3">
            <w:pPr>
              <w:spacing w:line="300" w:lineRule="exact"/>
              <w:jc w:val="left"/>
              <w:rPr>
                <w:rFonts w:hint="default" w:ascii="Times New Roman" w:hAnsi="Times New Roman" w:eastAsia="华文中宋" w:cs="Times New Roman"/>
                <w:szCs w:val="21"/>
              </w:rPr>
            </w:pPr>
            <w:r>
              <w:rPr>
                <w:rFonts w:hint="eastAsia" w:ascii="Times New Roman" w:hAnsi="Times New Roman" w:eastAsia="华文中宋" w:cs="Times New Roman"/>
                <w:szCs w:val="21"/>
                <w:lang w:val="en-US" w:eastAsia="zh-CN"/>
              </w:rPr>
              <w:t>1.</w:t>
            </w:r>
            <w:r>
              <w:rPr>
                <w:rFonts w:hint="default" w:ascii="Times New Roman" w:hAnsi="Times New Roman" w:eastAsia="华文中宋" w:cs="Times New Roman"/>
                <w:szCs w:val="21"/>
                <w:lang w:val="en-US" w:eastAsia="zh-CN"/>
              </w:rPr>
              <w:t>设置集中办公生活区，项目区内不设置临时生活设施；</w:t>
            </w:r>
          </w:p>
          <w:p w14:paraId="07EFD046">
            <w:pPr>
              <w:spacing w:line="300" w:lineRule="exact"/>
              <w:jc w:val="left"/>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w:t>
            </w:r>
            <w:r>
              <w:rPr>
                <w:rFonts w:hint="default" w:ascii="Times New Roman" w:hAnsi="Times New Roman" w:eastAsia="华文中宋" w:cs="Times New Roman"/>
                <w:szCs w:val="21"/>
                <w:lang w:val="en-US" w:eastAsia="zh-CN"/>
              </w:rPr>
              <w:t>剥离的表土单独放置、废石用于配套工程建设、回填场地和修筑道路，废弃材料堆放在指定区域；</w:t>
            </w:r>
          </w:p>
          <w:p w14:paraId="5E71E87C">
            <w:pPr>
              <w:spacing w:line="300" w:lineRule="exact"/>
              <w:jc w:val="left"/>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w:t>
            </w:r>
            <w:r>
              <w:rPr>
                <w:rFonts w:hint="default" w:ascii="Times New Roman" w:hAnsi="Times New Roman" w:eastAsia="华文中宋" w:cs="Times New Roman"/>
                <w:szCs w:val="21"/>
                <w:lang w:val="en-US" w:eastAsia="zh-CN"/>
              </w:rPr>
              <w:t>按设计方案控制基础设施占地，尽量减少永久占地面积。</w:t>
            </w:r>
          </w:p>
        </w:tc>
        <w:tc>
          <w:tcPr>
            <w:tcW w:w="750" w:type="dxa"/>
            <w:vMerge w:val="restart"/>
            <w:vAlign w:val="center"/>
          </w:tcPr>
          <w:p w14:paraId="11BAF08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施工方</w:t>
            </w:r>
          </w:p>
        </w:tc>
        <w:tc>
          <w:tcPr>
            <w:tcW w:w="747" w:type="dxa"/>
            <w:vMerge w:val="restart"/>
            <w:vAlign w:val="center"/>
          </w:tcPr>
          <w:p w14:paraId="3CB2A70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和田地区生态环境局</w:t>
            </w:r>
          </w:p>
        </w:tc>
      </w:tr>
      <w:tr w14:paraId="2670F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 w:type="dxa"/>
            <w:vMerge w:val="continue"/>
            <w:vAlign w:val="center"/>
          </w:tcPr>
          <w:p w14:paraId="408CE3D9">
            <w:pPr>
              <w:spacing w:line="300" w:lineRule="exact"/>
              <w:jc w:val="center"/>
              <w:rPr>
                <w:rFonts w:hint="default" w:ascii="Times New Roman" w:hAnsi="Times New Roman" w:eastAsia="华文中宋" w:cs="Times New Roman"/>
                <w:szCs w:val="21"/>
                <w:lang w:val="en-US" w:eastAsia="zh-CN"/>
              </w:rPr>
            </w:pPr>
          </w:p>
        </w:tc>
        <w:tc>
          <w:tcPr>
            <w:tcW w:w="1354" w:type="dxa"/>
            <w:vAlign w:val="center"/>
          </w:tcPr>
          <w:p w14:paraId="326D9F0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大气防治</w:t>
            </w:r>
          </w:p>
        </w:tc>
        <w:tc>
          <w:tcPr>
            <w:tcW w:w="5190" w:type="dxa"/>
            <w:vAlign w:val="center"/>
          </w:tcPr>
          <w:p w14:paraId="00591FA2">
            <w:pPr>
              <w:spacing w:line="300" w:lineRule="exact"/>
              <w:jc w:val="left"/>
              <w:rPr>
                <w:rFonts w:hint="default" w:ascii="Times New Roman" w:hAnsi="Times New Roman" w:eastAsia="华文中宋" w:cs="Times New Roman"/>
                <w:szCs w:val="21"/>
              </w:rPr>
            </w:pPr>
            <w:r>
              <w:rPr>
                <w:rFonts w:hint="eastAsia" w:ascii="Times New Roman" w:hAnsi="Times New Roman" w:eastAsia="华文中宋" w:cs="Times New Roman"/>
                <w:szCs w:val="21"/>
                <w:lang w:val="en-US" w:eastAsia="zh-CN"/>
              </w:rPr>
              <w:t>1.</w:t>
            </w:r>
            <w:r>
              <w:rPr>
                <w:rFonts w:hint="default" w:ascii="Times New Roman" w:hAnsi="Times New Roman" w:eastAsia="华文中宋" w:cs="Times New Roman"/>
                <w:szCs w:val="21"/>
                <w:lang w:val="en-US" w:eastAsia="zh-CN"/>
              </w:rPr>
              <w:t>施工道路和场地硬化处理，定期洒水降尘；堆场设置洒水降尘设施</w:t>
            </w:r>
            <w:r>
              <w:rPr>
                <w:rFonts w:hint="eastAsia" w:ascii="Times New Roman" w:hAnsi="Times New Roman" w:eastAsia="华文中宋" w:cs="Times New Roman"/>
                <w:szCs w:val="21"/>
                <w:lang w:val="en-US" w:eastAsia="zh-CN"/>
              </w:rPr>
              <w:t>；</w:t>
            </w:r>
          </w:p>
          <w:p w14:paraId="58495822">
            <w:pPr>
              <w:spacing w:line="300" w:lineRule="exact"/>
              <w:jc w:val="left"/>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w:t>
            </w:r>
            <w:r>
              <w:rPr>
                <w:rFonts w:hint="default" w:ascii="Times New Roman" w:hAnsi="Times New Roman" w:eastAsia="华文中宋" w:cs="Times New Roman"/>
                <w:szCs w:val="21"/>
                <w:lang w:val="en-US" w:eastAsia="zh-CN"/>
              </w:rPr>
              <w:t>合理安排施工进度，避免大面积土壤裸露。</w:t>
            </w:r>
          </w:p>
        </w:tc>
        <w:tc>
          <w:tcPr>
            <w:tcW w:w="750" w:type="dxa"/>
            <w:vMerge w:val="continue"/>
            <w:vAlign w:val="center"/>
          </w:tcPr>
          <w:p w14:paraId="462B85E7">
            <w:pPr>
              <w:spacing w:line="300" w:lineRule="exact"/>
              <w:jc w:val="center"/>
              <w:rPr>
                <w:rFonts w:hint="default" w:ascii="Times New Roman" w:hAnsi="Times New Roman" w:eastAsia="华文中宋" w:cs="Times New Roman"/>
                <w:szCs w:val="21"/>
                <w:lang w:val="en-US" w:eastAsia="zh-CN"/>
              </w:rPr>
            </w:pPr>
          </w:p>
        </w:tc>
        <w:tc>
          <w:tcPr>
            <w:tcW w:w="747" w:type="dxa"/>
            <w:vMerge w:val="continue"/>
            <w:vAlign w:val="center"/>
          </w:tcPr>
          <w:p w14:paraId="7C3F0827">
            <w:pPr>
              <w:spacing w:line="300" w:lineRule="exact"/>
              <w:jc w:val="center"/>
              <w:rPr>
                <w:rFonts w:hint="default" w:ascii="Times New Roman" w:hAnsi="Times New Roman" w:eastAsia="华文中宋" w:cs="Times New Roman"/>
                <w:szCs w:val="21"/>
                <w:lang w:val="en-US" w:eastAsia="zh-CN"/>
              </w:rPr>
            </w:pPr>
          </w:p>
        </w:tc>
      </w:tr>
      <w:tr w14:paraId="4D11F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 w:type="dxa"/>
            <w:vMerge w:val="continue"/>
            <w:vAlign w:val="center"/>
          </w:tcPr>
          <w:p w14:paraId="5237F79D">
            <w:pPr>
              <w:spacing w:line="300" w:lineRule="exact"/>
              <w:jc w:val="center"/>
              <w:rPr>
                <w:rFonts w:hint="default" w:ascii="Times New Roman" w:hAnsi="Times New Roman" w:eastAsia="华文中宋" w:cs="Times New Roman"/>
                <w:szCs w:val="21"/>
                <w:lang w:val="en-US" w:eastAsia="zh-CN"/>
              </w:rPr>
            </w:pPr>
          </w:p>
        </w:tc>
        <w:tc>
          <w:tcPr>
            <w:tcW w:w="1354" w:type="dxa"/>
            <w:vAlign w:val="center"/>
          </w:tcPr>
          <w:p w14:paraId="59A591E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噪声防治</w:t>
            </w:r>
          </w:p>
        </w:tc>
        <w:tc>
          <w:tcPr>
            <w:tcW w:w="5190" w:type="dxa"/>
            <w:vAlign w:val="center"/>
          </w:tcPr>
          <w:p w14:paraId="2FB94210">
            <w:pPr>
              <w:spacing w:line="300" w:lineRule="exact"/>
              <w:jc w:val="left"/>
              <w:rPr>
                <w:rFonts w:hint="default" w:ascii="Times New Roman" w:hAnsi="Times New Roman" w:eastAsia="华文中宋" w:cs="Times New Roman"/>
                <w:szCs w:val="21"/>
              </w:rPr>
            </w:pPr>
            <w:r>
              <w:rPr>
                <w:rFonts w:hint="eastAsia" w:ascii="Times New Roman" w:hAnsi="Times New Roman" w:eastAsia="华文中宋" w:cs="Times New Roman"/>
                <w:szCs w:val="21"/>
                <w:lang w:val="en-US" w:eastAsia="zh-CN"/>
              </w:rPr>
              <w:t>1.</w:t>
            </w:r>
            <w:r>
              <w:rPr>
                <w:rFonts w:hint="default" w:ascii="Times New Roman" w:hAnsi="Times New Roman" w:eastAsia="华文中宋" w:cs="Times New Roman"/>
                <w:szCs w:val="21"/>
                <w:lang w:val="en-US" w:eastAsia="zh-CN"/>
              </w:rPr>
              <w:t>尽量选用低噪的铲装设备和运输车辆；</w:t>
            </w:r>
          </w:p>
          <w:p w14:paraId="0C9F9558">
            <w:pPr>
              <w:spacing w:line="300" w:lineRule="exact"/>
              <w:jc w:val="left"/>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w:t>
            </w:r>
            <w:r>
              <w:rPr>
                <w:rFonts w:hint="default" w:ascii="Times New Roman" w:hAnsi="Times New Roman" w:eastAsia="华文中宋" w:cs="Times New Roman"/>
                <w:szCs w:val="21"/>
                <w:lang w:val="en-US" w:eastAsia="zh-CN"/>
              </w:rPr>
              <w:t>对无法采取措施的作业场所，工作时操作人员佩戴耳塞、耳罩和头盔等个人防护用品。</w:t>
            </w:r>
          </w:p>
        </w:tc>
        <w:tc>
          <w:tcPr>
            <w:tcW w:w="750" w:type="dxa"/>
            <w:vMerge w:val="continue"/>
            <w:vAlign w:val="center"/>
          </w:tcPr>
          <w:p w14:paraId="4E6E14E9">
            <w:pPr>
              <w:spacing w:line="300" w:lineRule="exact"/>
              <w:jc w:val="center"/>
              <w:rPr>
                <w:rFonts w:hint="default" w:ascii="Times New Roman" w:hAnsi="Times New Roman" w:eastAsia="华文中宋" w:cs="Times New Roman"/>
                <w:szCs w:val="21"/>
                <w:lang w:val="en-US" w:eastAsia="zh-CN"/>
              </w:rPr>
            </w:pPr>
          </w:p>
        </w:tc>
        <w:tc>
          <w:tcPr>
            <w:tcW w:w="747" w:type="dxa"/>
            <w:vMerge w:val="continue"/>
            <w:vAlign w:val="center"/>
          </w:tcPr>
          <w:p w14:paraId="4259457A">
            <w:pPr>
              <w:spacing w:line="300" w:lineRule="exact"/>
              <w:jc w:val="center"/>
              <w:rPr>
                <w:rFonts w:hint="default" w:ascii="Times New Roman" w:hAnsi="Times New Roman" w:eastAsia="华文中宋" w:cs="Times New Roman"/>
                <w:szCs w:val="21"/>
                <w:lang w:val="en-US" w:eastAsia="zh-CN"/>
              </w:rPr>
            </w:pPr>
          </w:p>
        </w:tc>
      </w:tr>
      <w:tr w14:paraId="59F8D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 w:type="dxa"/>
            <w:vMerge w:val="continue"/>
            <w:vAlign w:val="center"/>
          </w:tcPr>
          <w:p w14:paraId="35736562">
            <w:pPr>
              <w:spacing w:line="300" w:lineRule="exact"/>
              <w:jc w:val="center"/>
              <w:rPr>
                <w:rFonts w:hint="default" w:ascii="Times New Roman" w:hAnsi="Times New Roman" w:eastAsia="华文中宋" w:cs="Times New Roman"/>
                <w:szCs w:val="21"/>
                <w:lang w:val="en-US" w:eastAsia="zh-CN"/>
              </w:rPr>
            </w:pPr>
          </w:p>
        </w:tc>
        <w:tc>
          <w:tcPr>
            <w:tcW w:w="1354" w:type="dxa"/>
            <w:vAlign w:val="center"/>
          </w:tcPr>
          <w:p w14:paraId="6A34768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水环境防治</w:t>
            </w:r>
          </w:p>
        </w:tc>
        <w:tc>
          <w:tcPr>
            <w:tcW w:w="5190" w:type="dxa"/>
            <w:vAlign w:val="center"/>
          </w:tcPr>
          <w:p w14:paraId="3BC049F6">
            <w:pPr>
              <w:spacing w:line="300" w:lineRule="exact"/>
              <w:jc w:val="left"/>
              <w:rPr>
                <w:rFonts w:hint="default" w:ascii="Times New Roman" w:hAnsi="Times New Roman" w:eastAsia="华文中宋" w:cs="Times New Roman"/>
                <w:szCs w:val="21"/>
              </w:rPr>
            </w:pPr>
            <w:r>
              <w:rPr>
                <w:rFonts w:hint="eastAsia" w:ascii="Times New Roman" w:hAnsi="Times New Roman" w:eastAsia="华文中宋" w:cs="Times New Roman"/>
                <w:szCs w:val="21"/>
                <w:lang w:val="en-US" w:eastAsia="zh-CN"/>
              </w:rPr>
              <w:t>1.</w:t>
            </w:r>
            <w:r>
              <w:rPr>
                <w:rFonts w:hint="default" w:ascii="Times New Roman" w:hAnsi="Times New Roman" w:eastAsia="华文中宋" w:cs="Times New Roman"/>
                <w:szCs w:val="21"/>
                <w:lang w:val="en-US" w:eastAsia="zh-CN"/>
              </w:rPr>
              <w:t>作业职工生活起居依托办公生活区设施，生活污水经污水处理设施处理后作为厂区绿化、降尘使用，不外排</w:t>
            </w:r>
            <w:r>
              <w:rPr>
                <w:rFonts w:hint="eastAsia" w:ascii="Times New Roman" w:hAnsi="Times New Roman" w:eastAsia="华文中宋" w:cs="Times New Roman"/>
                <w:szCs w:val="21"/>
                <w:lang w:val="en-US" w:eastAsia="zh-CN"/>
              </w:rPr>
              <w:t>；</w:t>
            </w:r>
          </w:p>
          <w:p w14:paraId="69545E2F">
            <w:pPr>
              <w:spacing w:line="300" w:lineRule="exact"/>
              <w:jc w:val="left"/>
              <w:rPr>
                <w:rFonts w:hint="default" w:ascii="Times New Roman" w:hAnsi="Times New Roman" w:eastAsia="华文中宋" w:cs="Times New Roman"/>
                <w:szCs w:val="21"/>
              </w:rPr>
            </w:pPr>
            <w:r>
              <w:rPr>
                <w:rFonts w:hint="eastAsia" w:ascii="Times New Roman" w:hAnsi="Times New Roman" w:eastAsia="华文中宋" w:cs="Times New Roman"/>
                <w:szCs w:val="21"/>
                <w:lang w:val="en-US" w:eastAsia="zh-CN"/>
              </w:rPr>
              <w:t>2.</w:t>
            </w:r>
            <w:r>
              <w:rPr>
                <w:rFonts w:hint="default" w:ascii="Times New Roman" w:hAnsi="Times New Roman" w:eastAsia="华文中宋" w:cs="Times New Roman"/>
                <w:szCs w:val="21"/>
                <w:lang w:val="en-US" w:eastAsia="zh-CN"/>
              </w:rPr>
              <w:t>排土场与废石堆场上游设置防排洪设施，防止雨季短暂洪水进入露天采坑以及冲刷堆场边坡</w:t>
            </w:r>
            <w:r>
              <w:rPr>
                <w:rFonts w:hint="eastAsia" w:ascii="Times New Roman" w:hAnsi="Times New Roman" w:eastAsia="华文中宋" w:cs="Times New Roman"/>
                <w:szCs w:val="21"/>
                <w:lang w:val="en-US" w:eastAsia="zh-CN"/>
              </w:rPr>
              <w:t>；</w:t>
            </w:r>
          </w:p>
          <w:p w14:paraId="78228B1C">
            <w:pPr>
              <w:spacing w:line="300" w:lineRule="exact"/>
              <w:jc w:val="left"/>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w:t>
            </w:r>
            <w:r>
              <w:rPr>
                <w:rFonts w:hint="default" w:ascii="Times New Roman" w:hAnsi="Times New Roman" w:eastAsia="华文中宋" w:cs="Times New Roman"/>
                <w:szCs w:val="21"/>
                <w:lang w:val="en-US" w:eastAsia="zh-CN"/>
              </w:rPr>
              <w:t>废机油暂存在危废暂存间内，最终交由专业机构处理。</w:t>
            </w:r>
          </w:p>
        </w:tc>
        <w:tc>
          <w:tcPr>
            <w:tcW w:w="750" w:type="dxa"/>
            <w:vMerge w:val="continue"/>
            <w:vAlign w:val="center"/>
          </w:tcPr>
          <w:p w14:paraId="3301DDF3">
            <w:pPr>
              <w:spacing w:line="300" w:lineRule="exact"/>
              <w:jc w:val="center"/>
              <w:rPr>
                <w:rFonts w:hint="default" w:ascii="Times New Roman" w:hAnsi="Times New Roman" w:eastAsia="华文中宋" w:cs="Times New Roman"/>
                <w:szCs w:val="21"/>
                <w:lang w:val="en-US" w:eastAsia="zh-CN"/>
              </w:rPr>
            </w:pPr>
          </w:p>
        </w:tc>
        <w:tc>
          <w:tcPr>
            <w:tcW w:w="747" w:type="dxa"/>
            <w:vMerge w:val="continue"/>
            <w:vAlign w:val="center"/>
          </w:tcPr>
          <w:p w14:paraId="695FBBB3">
            <w:pPr>
              <w:spacing w:line="300" w:lineRule="exact"/>
              <w:jc w:val="center"/>
              <w:rPr>
                <w:rFonts w:hint="default" w:ascii="Times New Roman" w:hAnsi="Times New Roman" w:eastAsia="华文中宋" w:cs="Times New Roman"/>
                <w:szCs w:val="21"/>
                <w:lang w:val="en-US" w:eastAsia="zh-CN"/>
              </w:rPr>
            </w:pPr>
          </w:p>
        </w:tc>
      </w:tr>
      <w:tr w14:paraId="4E787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 w:type="dxa"/>
            <w:vMerge w:val="continue"/>
            <w:vAlign w:val="center"/>
          </w:tcPr>
          <w:p w14:paraId="4BD7A035">
            <w:pPr>
              <w:spacing w:line="300" w:lineRule="exact"/>
              <w:jc w:val="center"/>
              <w:rPr>
                <w:rFonts w:hint="default" w:ascii="Times New Roman" w:hAnsi="Times New Roman" w:eastAsia="华文中宋" w:cs="Times New Roman"/>
                <w:szCs w:val="21"/>
                <w:lang w:val="en-US" w:eastAsia="zh-CN"/>
              </w:rPr>
            </w:pPr>
          </w:p>
        </w:tc>
        <w:tc>
          <w:tcPr>
            <w:tcW w:w="1354" w:type="dxa"/>
            <w:vAlign w:val="center"/>
          </w:tcPr>
          <w:p w14:paraId="5340AF3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固体废物</w:t>
            </w:r>
          </w:p>
        </w:tc>
        <w:tc>
          <w:tcPr>
            <w:tcW w:w="5190" w:type="dxa"/>
            <w:vAlign w:val="center"/>
          </w:tcPr>
          <w:p w14:paraId="098B313F">
            <w:pPr>
              <w:spacing w:line="300" w:lineRule="exact"/>
              <w:jc w:val="left"/>
              <w:rPr>
                <w:rFonts w:hint="default" w:ascii="Times New Roman" w:hAnsi="Times New Roman" w:eastAsia="华文中宋" w:cs="Times New Roman"/>
                <w:szCs w:val="21"/>
              </w:rPr>
            </w:pPr>
            <w:r>
              <w:rPr>
                <w:rFonts w:hint="eastAsia" w:ascii="Times New Roman" w:hAnsi="Times New Roman" w:eastAsia="华文中宋" w:cs="Times New Roman"/>
                <w:szCs w:val="21"/>
                <w:lang w:val="en-US" w:eastAsia="zh-CN"/>
              </w:rPr>
              <w:t>1.</w:t>
            </w:r>
            <w:r>
              <w:rPr>
                <w:rFonts w:hint="default" w:ascii="Times New Roman" w:hAnsi="Times New Roman" w:eastAsia="华文中宋" w:cs="Times New Roman"/>
                <w:szCs w:val="21"/>
                <w:lang w:val="en-US" w:eastAsia="zh-CN"/>
              </w:rPr>
              <w:t>减少施工场地内土石方临时堆存量，弃土、弃渣及时清理；</w:t>
            </w:r>
          </w:p>
          <w:p w14:paraId="6F564B37">
            <w:pPr>
              <w:spacing w:line="300" w:lineRule="exact"/>
              <w:jc w:val="left"/>
              <w:rPr>
                <w:rFonts w:hint="default" w:ascii="Times New Roman" w:hAnsi="Times New Roman" w:eastAsia="华文中宋" w:cs="Times New Roman"/>
                <w:szCs w:val="21"/>
              </w:rPr>
            </w:pPr>
            <w:r>
              <w:rPr>
                <w:rFonts w:hint="eastAsia" w:ascii="Times New Roman" w:hAnsi="Times New Roman" w:eastAsia="华文中宋" w:cs="Times New Roman"/>
                <w:szCs w:val="21"/>
                <w:lang w:val="en-US" w:eastAsia="zh-CN"/>
              </w:rPr>
              <w:t>2.</w:t>
            </w:r>
            <w:r>
              <w:rPr>
                <w:rFonts w:hint="default" w:ascii="Times New Roman" w:hAnsi="Times New Roman" w:eastAsia="华文中宋" w:cs="Times New Roman"/>
                <w:szCs w:val="21"/>
                <w:lang w:val="en-US" w:eastAsia="zh-CN"/>
              </w:rPr>
              <w:t>生活垃圾依托办公生活区处理系统处置，不得随意堆放；</w:t>
            </w:r>
          </w:p>
          <w:p w14:paraId="6C011C47">
            <w:pPr>
              <w:spacing w:line="300" w:lineRule="exact"/>
              <w:jc w:val="left"/>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w:t>
            </w:r>
            <w:r>
              <w:rPr>
                <w:rFonts w:hint="default" w:ascii="Times New Roman" w:hAnsi="Times New Roman" w:eastAsia="华文中宋" w:cs="Times New Roman"/>
                <w:szCs w:val="21"/>
                <w:lang w:val="en-US" w:eastAsia="zh-CN"/>
              </w:rPr>
              <w:t>废机油暂存在危废暂存间内，最终交由专业机构处理。</w:t>
            </w:r>
          </w:p>
        </w:tc>
        <w:tc>
          <w:tcPr>
            <w:tcW w:w="750" w:type="dxa"/>
            <w:vMerge w:val="continue"/>
            <w:vAlign w:val="center"/>
          </w:tcPr>
          <w:p w14:paraId="4F148CD6">
            <w:pPr>
              <w:spacing w:line="300" w:lineRule="exact"/>
              <w:jc w:val="center"/>
              <w:rPr>
                <w:rFonts w:hint="default" w:ascii="Times New Roman" w:hAnsi="Times New Roman" w:eastAsia="华文中宋" w:cs="Times New Roman"/>
                <w:szCs w:val="21"/>
                <w:lang w:val="en-US" w:eastAsia="zh-CN"/>
              </w:rPr>
            </w:pPr>
          </w:p>
        </w:tc>
        <w:tc>
          <w:tcPr>
            <w:tcW w:w="747" w:type="dxa"/>
            <w:vMerge w:val="continue"/>
            <w:vAlign w:val="center"/>
          </w:tcPr>
          <w:p w14:paraId="76B22E12">
            <w:pPr>
              <w:spacing w:line="300" w:lineRule="exact"/>
              <w:jc w:val="center"/>
              <w:rPr>
                <w:rFonts w:hint="default" w:ascii="Times New Roman" w:hAnsi="Times New Roman" w:eastAsia="华文中宋" w:cs="Times New Roman"/>
                <w:szCs w:val="21"/>
                <w:lang w:val="en-US" w:eastAsia="zh-CN"/>
              </w:rPr>
            </w:pPr>
          </w:p>
        </w:tc>
      </w:tr>
      <w:tr w14:paraId="02F37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 w:type="dxa"/>
            <w:vMerge w:val="continue"/>
            <w:vAlign w:val="center"/>
          </w:tcPr>
          <w:p w14:paraId="1152422D">
            <w:pPr>
              <w:spacing w:line="300" w:lineRule="exact"/>
              <w:jc w:val="center"/>
              <w:rPr>
                <w:rFonts w:hint="default" w:ascii="Times New Roman" w:hAnsi="Times New Roman" w:eastAsia="华文中宋" w:cs="Times New Roman"/>
                <w:szCs w:val="21"/>
                <w:lang w:val="en-US" w:eastAsia="zh-CN"/>
              </w:rPr>
            </w:pPr>
          </w:p>
        </w:tc>
        <w:tc>
          <w:tcPr>
            <w:tcW w:w="1354" w:type="dxa"/>
            <w:vAlign w:val="center"/>
          </w:tcPr>
          <w:p w14:paraId="6579F8F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环境风险</w:t>
            </w:r>
          </w:p>
        </w:tc>
        <w:tc>
          <w:tcPr>
            <w:tcW w:w="5190" w:type="dxa"/>
            <w:vAlign w:val="center"/>
          </w:tcPr>
          <w:p w14:paraId="602389B5">
            <w:pPr>
              <w:spacing w:line="300" w:lineRule="exact"/>
              <w:jc w:val="left"/>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w:t>
            </w:r>
            <w:r>
              <w:rPr>
                <w:rFonts w:hint="default" w:ascii="Times New Roman" w:hAnsi="Times New Roman" w:eastAsia="华文中宋" w:cs="Times New Roman"/>
                <w:szCs w:val="21"/>
                <w:lang w:val="en-US" w:eastAsia="zh-CN"/>
              </w:rPr>
              <w:t>基建期使用柴油</w:t>
            </w:r>
            <w:r>
              <w:rPr>
                <w:rFonts w:hint="eastAsia" w:ascii="Times New Roman" w:hAnsi="Times New Roman" w:eastAsia="华文中宋" w:cs="Times New Roman"/>
                <w:szCs w:val="21"/>
                <w:lang w:val="en-US" w:eastAsia="zh-CN"/>
              </w:rPr>
              <w:t>储罐</w:t>
            </w:r>
            <w:r>
              <w:rPr>
                <w:rFonts w:hint="default" w:ascii="Times New Roman" w:hAnsi="Times New Roman" w:eastAsia="华文中宋" w:cs="Times New Roman"/>
                <w:szCs w:val="21"/>
                <w:lang w:val="en-US" w:eastAsia="zh-CN"/>
              </w:rPr>
              <w:t>储存设备所需柴油，并配备消防器材。</w:t>
            </w:r>
          </w:p>
        </w:tc>
        <w:tc>
          <w:tcPr>
            <w:tcW w:w="750" w:type="dxa"/>
            <w:vMerge w:val="continue"/>
            <w:vAlign w:val="center"/>
          </w:tcPr>
          <w:p w14:paraId="206055A2">
            <w:pPr>
              <w:spacing w:line="300" w:lineRule="exact"/>
              <w:jc w:val="center"/>
              <w:rPr>
                <w:rFonts w:hint="default" w:ascii="Times New Roman" w:hAnsi="Times New Roman" w:eastAsia="华文中宋" w:cs="Times New Roman"/>
                <w:szCs w:val="21"/>
                <w:lang w:val="en-US" w:eastAsia="zh-CN"/>
              </w:rPr>
            </w:pPr>
          </w:p>
        </w:tc>
        <w:tc>
          <w:tcPr>
            <w:tcW w:w="747" w:type="dxa"/>
            <w:vMerge w:val="continue"/>
            <w:vAlign w:val="center"/>
          </w:tcPr>
          <w:p w14:paraId="6C5C9FBA">
            <w:pPr>
              <w:spacing w:line="300" w:lineRule="exact"/>
              <w:jc w:val="center"/>
              <w:rPr>
                <w:rFonts w:hint="default" w:ascii="Times New Roman" w:hAnsi="Times New Roman" w:eastAsia="华文中宋" w:cs="Times New Roman"/>
                <w:szCs w:val="21"/>
                <w:lang w:val="en-US" w:eastAsia="zh-CN"/>
              </w:rPr>
            </w:pPr>
          </w:p>
        </w:tc>
      </w:tr>
      <w:tr w14:paraId="25BB4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 w:type="dxa"/>
            <w:vMerge w:val="restart"/>
            <w:vAlign w:val="center"/>
          </w:tcPr>
          <w:p w14:paraId="20D79EE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运营期</w:t>
            </w:r>
          </w:p>
        </w:tc>
        <w:tc>
          <w:tcPr>
            <w:tcW w:w="1354" w:type="dxa"/>
            <w:vAlign w:val="center"/>
          </w:tcPr>
          <w:p w14:paraId="1D69407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生态保护</w:t>
            </w:r>
          </w:p>
        </w:tc>
        <w:tc>
          <w:tcPr>
            <w:tcW w:w="5190" w:type="dxa"/>
            <w:vAlign w:val="center"/>
          </w:tcPr>
          <w:p w14:paraId="0443D590">
            <w:pPr>
              <w:spacing w:line="300" w:lineRule="exact"/>
              <w:jc w:val="left"/>
              <w:rPr>
                <w:rFonts w:hint="default" w:ascii="Times New Roman" w:hAnsi="Times New Roman" w:eastAsia="华文中宋" w:cs="Times New Roman"/>
                <w:szCs w:val="21"/>
              </w:rPr>
            </w:pPr>
            <w:r>
              <w:rPr>
                <w:rFonts w:hint="eastAsia" w:ascii="Times New Roman" w:hAnsi="Times New Roman" w:eastAsia="华文中宋" w:cs="Times New Roman"/>
                <w:szCs w:val="21"/>
                <w:lang w:val="en-US" w:eastAsia="zh-CN"/>
              </w:rPr>
              <w:t>1.</w:t>
            </w:r>
            <w:r>
              <w:rPr>
                <w:rFonts w:hint="default" w:ascii="Times New Roman" w:hAnsi="Times New Roman" w:eastAsia="华文中宋" w:cs="Times New Roman"/>
                <w:szCs w:val="21"/>
                <w:lang w:val="en-US" w:eastAsia="zh-CN"/>
              </w:rPr>
              <w:t>矿区内所有人员不得随地抛洒生活垃圾；</w:t>
            </w:r>
          </w:p>
          <w:p w14:paraId="2FF359F4">
            <w:pPr>
              <w:spacing w:line="300" w:lineRule="exact"/>
              <w:jc w:val="left"/>
              <w:rPr>
                <w:rFonts w:hint="default" w:ascii="Times New Roman" w:hAnsi="Times New Roman" w:eastAsia="华文中宋" w:cs="Times New Roman"/>
                <w:szCs w:val="21"/>
              </w:rPr>
            </w:pPr>
            <w:r>
              <w:rPr>
                <w:rFonts w:hint="eastAsia" w:ascii="Times New Roman" w:hAnsi="Times New Roman" w:eastAsia="华文中宋" w:cs="Times New Roman"/>
                <w:szCs w:val="21"/>
                <w:lang w:val="en-US" w:eastAsia="zh-CN"/>
              </w:rPr>
              <w:t>2.</w:t>
            </w:r>
            <w:r>
              <w:rPr>
                <w:rFonts w:hint="default" w:ascii="Times New Roman" w:hAnsi="Times New Roman" w:eastAsia="华文中宋" w:cs="Times New Roman"/>
                <w:szCs w:val="21"/>
                <w:lang w:val="en-US" w:eastAsia="zh-CN"/>
              </w:rPr>
              <w:t>及时恢复施工期临时占地，保护未扰动区域生态环境；</w:t>
            </w:r>
          </w:p>
          <w:p w14:paraId="1A9EB885">
            <w:pPr>
              <w:spacing w:line="300" w:lineRule="exact"/>
              <w:jc w:val="left"/>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w:t>
            </w:r>
            <w:r>
              <w:rPr>
                <w:rFonts w:hint="default" w:ascii="Times New Roman" w:hAnsi="Times New Roman" w:eastAsia="华文中宋" w:cs="Times New Roman"/>
                <w:szCs w:val="21"/>
                <w:lang w:val="en-US" w:eastAsia="zh-CN"/>
              </w:rPr>
              <w:t>错动带周围设置围栏和警示牌，防止人员、机械进入，发生意外。</w:t>
            </w:r>
          </w:p>
        </w:tc>
        <w:tc>
          <w:tcPr>
            <w:tcW w:w="750" w:type="dxa"/>
            <w:vMerge w:val="restart"/>
            <w:vAlign w:val="center"/>
          </w:tcPr>
          <w:p w14:paraId="1C6D2C4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建设方</w:t>
            </w:r>
          </w:p>
        </w:tc>
        <w:tc>
          <w:tcPr>
            <w:tcW w:w="747" w:type="dxa"/>
            <w:vMerge w:val="continue"/>
            <w:vAlign w:val="center"/>
          </w:tcPr>
          <w:p w14:paraId="56D78E7D">
            <w:pPr>
              <w:spacing w:line="300" w:lineRule="exact"/>
              <w:jc w:val="center"/>
              <w:rPr>
                <w:rFonts w:hint="default" w:ascii="Times New Roman" w:hAnsi="Times New Roman" w:eastAsia="华文中宋" w:cs="Times New Roman"/>
                <w:szCs w:val="21"/>
                <w:lang w:val="en-US" w:eastAsia="zh-CN"/>
              </w:rPr>
            </w:pPr>
          </w:p>
        </w:tc>
      </w:tr>
      <w:tr w14:paraId="15A16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 w:type="dxa"/>
            <w:vMerge w:val="continue"/>
            <w:vAlign w:val="center"/>
          </w:tcPr>
          <w:p w14:paraId="299B7107">
            <w:pPr>
              <w:spacing w:line="300" w:lineRule="exact"/>
              <w:jc w:val="center"/>
              <w:rPr>
                <w:rFonts w:hint="default" w:ascii="Times New Roman" w:hAnsi="Times New Roman" w:eastAsia="华文中宋" w:cs="Times New Roman"/>
                <w:szCs w:val="21"/>
                <w:lang w:val="en-US" w:eastAsia="zh-CN"/>
              </w:rPr>
            </w:pPr>
          </w:p>
        </w:tc>
        <w:tc>
          <w:tcPr>
            <w:tcW w:w="1354" w:type="dxa"/>
            <w:vAlign w:val="center"/>
          </w:tcPr>
          <w:p w14:paraId="6B7DF4E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大气防治</w:t>
            </w:r>
          </w:p>
        </w:tc>
        <w:tc>
          <w:tcPr>
            <w:tcW w:w="5190" w:type="dxa"/>
            <w:vAlign w:val="center"/>
          </w:tcPr>
          <w:p w14:paraId="43F3650D">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对运输道路、矿石转运点、堆场等处设置洒水降尘设施；运输车辆装载应加盖篷布，降低运输粉尘排放。</w:t>
            </w:r>
          </w:p>
        </w:tc>
        <w:tc>
          <w:tcPr>
            <w:tcW w:w="750" w:type="dxa"/>
            <w:vMerge w:val="continue"/>
            <w:vAlign w:val="center"/>
          </w:tcPr>
          <w:p w14:paraId="0CB57F80">
            <w:pPr>
              <w:spacing w:line="300" w:lineRule="exact"/>
              <w:jc w:val="center"/>
              <w:rPr>
                <w:rFonts w:hint="default" w:ascii="Times New Roman" w:hAnsi="Times New Roman" w:eastAsia="华文中宋" w:cs="Times New Roman"/>
                <w:szCs w:val="21"/>
                <w:lang w:val="en-US" w:eastAsia="zh-CN"/>
              </w:rPr>
            </w:pPr>
          </w:p>
        </w:tc>
        <w:tc>
          <w:tcPr>
            <w:tcW w:w="747" w:type="dxa"/>
            <w:vMerge w:val="continue"/>
            <w:vAlign w:val="center"/>
          </w:tcPr>
          <w:p w14:paraId="016272FF">
            <w:pPr>
              <w:spacing w:line="300" w:lineRule="exact"/>
              <w:jc w:val="center"/>
              <w:rPr>
                <w:rFonts w:hint="default" w:ascii="Times New Roman" w:hAnsi="Times New Roman" w:eastAsia="华文中宋" w:cs="Times New Roman"/>
                <w:szCs w:val="21"/>
                <w:lang w:val="en-US" w:eastAsia="zh-CN"/>
              </w:rPr>
            </w:pPr>
          </w:p>
        </w:tc>
      </w:tr>
      <w:tr w14:paraId="208E6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 w:type="dxa"/>
            <w:vMerge w:val="continue"/>
            <w:vAlign w:val="center"/>
          </w:tcPr>
          <w:p w14:paraId="1544F752">
            <w:pPr>
              <w:spacing w:line="300" w:lineRule="exact"/>
              <w:jc w:val="center"/>
              <w:rPr>
                <w:rFonts w:hint="default" w:ascii="Times New Roman" w:hAnsi="Times New Roman" w:eastAsia="华文中宋" w:cs="Times New Roman"/>
                <w:szCs w:val="21"/>
                <w:lang w:val="en-US" w:eastAsia="zh-CN"/>
              </w:rPr>
            </w:pPr>
          </w:p>
        </w:tc>
        <w:tc>
          <w:tcPr>
            <w:tcW w:w="1354" w:type="dxa"/>
            <w:vAlign w:val="center"/>
          </w:tcPr>
          <w:p w14:paraId="1A61BBC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噪声防治</w:t>
            </w:r>
          </w:p>
        </w:tc>
        <w:tc>
          <w:tcPr>
            <w:tcW w:w="5190" w:type="dxa"/>
            <w:vAlign w:val="center"/>
          </w:tcPr>
          <w:p w14:paraId="630EC2BA">
            <w:pPr>
              <w:spacing w:line="300" w:lineRule="exact"/>
              <w:jc w:val="left"/>
              <w:rPr>
                <w:rFonts w:hint="default" w:ascii="Times New Roman" w:hAnsi="Times New Roman" w:eastAsia="华文中宋" w:cs="Times New Roman"/>
                <w:szCs w:val="21"/>
              </w:rPr>
            </w:pPr>
            <w:r>
              <w:rPr>
                <w:rFonts w:hint="eastAsia" w:ascii="Times New Roman" w:hAnsi="Times New Roman" w:eastAsia="华文中宋" w:cs="Times New Roman"/>
                <w:szCs w:val="21"/>
                <w:lang w:val="en-US" w:eastAsia="zh-CN"/>
              </w:rPr>
              <w:t>1.</w:t>
            </w:r>
            <w:r>
              <w:rPr>
                <w:rFonts w:hint="default" w:ascii="Times New Roman" w:hAnsi="Times New Roman" w:eastAsia="华文中宋" w:cs="Times New Roman"/>
                <w:szCs w:val="21"/>
                <w:lang w:val="en-US" w:eastAsia="zh-CN"/>
              </w:rPr>
              <w:t>高噪设备如空压机、通风机应放置在设备间内；</w:t>
            </w:r>
          </w:p>
          <w:p w14:paraId="46CC2A00">
            <w:pPr>
              <w:spacing w:line="300" w:lineRule="exact"/>
              <w:jc w:val="left"/>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w:t>
            </w:r>
            <w:r>
              <w:rPr>
                <w:rFonts w:hint="default" w:ascii="Times New Roman" w:hAnsi="Times New Roman" w:eastAsia="华文中宋" w:cs="Times New Roman"/>
                <w:szCs w:val="21"/>
                <w:lang w:val="en-US" w:eastAsia="zh-CN"/>
              </w:rPr>
              <w:t>工作场所作业人员佩戴耳塞、耳罩和头盔等个人防护用品。</w:t>
            </w:r>
          </w:p>
        </w:tc>
        <w:tc>
          <w:tcPr>
            <w:tcW w:w="750" w:type="dxa"/>
            <w:vMerge w:val="continue"/>
            <w:vAlign w:val="center"/>
          </w:tcPr>
          <w:p w14:paraId="332791EB">
            <w:pPr>
              <w:spacing w:line="300" w:lineRule="exact"/>
              <w:jc w:val="center"/>
              <w:rPr>
                <w:rFonts w:hint="default" w:ascii="Times New Roman" w:hAnsi="Times New Roman" w:eastAsia="华文中宋" w:cs="Times New Roman"/>
                <w:szCs w:val="21"/>
                <w:lang w:val="en-US" w:eastAsia="zh-CN"/>
              </w:rPr>
            </w:pPr>
          </w:p>
        </w:tc>
        <w:tc>
          <w:tcPr>
            <w:tcW w:w="747" w:type="dxa"/>
            <w:vMerge w:val="continue"/>
            <w:vAlign w:val="center"/>
          </w:tcPr>
          <w:p w14:paraId="1079C32B">
            <w:pPr>
              <w:spacing w:line="300" w:lineRule="exact"/>
              <w:jc w:val="center"/>
              <w:rPr>
                <w:rFonts w:hint="default" w:ascii="Times New Roman" w:hAnsi="Times New Roman" w:eastAsia="华文中宋" w:cs="Times New Roman"/>
                <w:szCs w:val="21"/>
                <w:lang w:val="en-US" w:eastAsia="zh-CN"/>
              </w:rPr>
            </w:pPr>
          </w:p>
        </w:tc>
      </w:tr>
      <w:tr w14:paraId="2A696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 w:type="dxa"/>
            <w:vMerge w:val="continue"/>
            <w:vAlign w:val="center"/>
          </w:tcPr>
          <w:p w14:paraId="63942CEE">
            <w:pPr>
              <w:spacing w:line="300" w:lineRule="exact"/>
              <w:jc w:val="center"/>
              <w:rPr>
                <w:rFonts w:hint="default" w:ascii="Times New Roman" w:hAnsi="Times New Roman" w:eastAsia="华文中宋" w:cs="Times New Roman"/>
                <w:szCs w:val="21"/>
                <w:lang w:val="en-US" w:eastAsia="zh-CN"/>
              </w:rPr>
            </w:pPr>
          </w:p>
        </w:tc>
        <w:tc>
          <w:tcPr>
            <w:tcW w:w="1354" w:type="dxa"/>
            <w:vAlign w:val="center"/>
          </w:tcPr>
          <w:p w14:paraId="775B2B85">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水环境保护</w:t>
            </w:r>
          </w:p>
        </w:tc>
        <w:tc>
          <w:tcPr>
            <w:tcW w:w="5190" w:type="dxa"/>
            <w:vAlign w:val="center"/>
          </w:tcPr>
          <w:p w14:paraId="75AE5E6D">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生活污水经处理后作为生活区绿化、降尘用水，不外排。本项目不产生生产废水。</w:t>
            </w:r>
          </w:p>
        </w:tc>
        <w:tc>
          <w:tcPr>
            <w:tcW w:w="750" w:type="dxa"/>
            <w:vMerge w:val="continue"/>
            <w:vAlign w:val="center"/>
          </w:tcPr>
          <w:p w14:paraId="3F2FA920">
            <w:pPr>
              <w:spacing w:line="300" w:lineRule="exact"/>
              <w:jc w:val="center"/>
              <w:rPr>
                <w:rFonts w:hint="default" w:ascii="Times New Roman" w:hAnsi="Times New Roman" w:eastAsia="华文中宋" w:cs="Times New Roman"/>
                <w:szCs w:val="21"/>
                <w:lang w:val="en-US" w:eastAsia="zh-CN"/>
              </w:rPr>
            </w:pPr>
          </w:p>
        </w:tc>
        <w:tc>
          <w:tcPr>
            <w:tcW w:w="747" w:type="dxa"/>
            <w:vMerge w:val="continue"/>
            <w:vAlign w:val="center"/>
          </w:tcPr>
          <w:p w14:paraId="34D51BCC">
            <w:pPr>
              <w:spacing w:line="300" w:lineRule="exact"/>
              <w:jc w:val="center"/>
              <w:rPr>
                <w:rFonts w:hint="default" w:ascii="Times New Roman" w:hAnsi="Times New Roman" w:eastAsia="华文中宋" w:cs="Times New Roman"/>
                <w:szCs w:val="21"/>
                <w:lang w:val="en-US" w:eastAsia="zh-CN"/>
              </w:rPr>
            </w:pPr>
          </w:p>
        </w:tc>
      </w:tr>
      <w:tr w14:paraId="04BC7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 w:type="dxa"/>
            <w:vMerge w:val="continue"/>
            <w:vAlign w:val="center"/>
          </w:tcPr>
          <w:p w14:paraId="5A9BEDE2">
            <w:pPr>
              <w:spacing w:line="300" w:lineRule="exact"/>
              <w:jc w:val="center"/>
              <w:rPr>
                <w:rFonts w:hint="default" w:ascii="Times New Roman" w:hAnsi="Times New Roman" w:eastAsia="华文中宋" w:cs="Times New Roman"/>
                <w:szCs w:val="21"/>
                <w:lang w:val="en-US" w:eastAsia="zh-CN"/>
              </w:rPr>
            </w:pPr>
          </w:p>
        </w:tc>
        <w:tc>
          <w:tcPr>
            <w:tcW w:w="1354" w:type="dxa"/>
            <w:vAlign w:val="center"/>
          </w:tcPr>
          <w:p w14:paraId="0F92C80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固体废物</w:t>
            </w:r>
          </w:p>
        </w:tc>
        <w:tc>
          <w:tcPr>
            <w:tcW w:w="5190" w:type="dxa"/>
            <w:vAlign w:val="center"/>
          </w:tcPr>
          <w:p w14:paraId="3FDC6211">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新堆弃的岩土密实性小、空隙大，经压实后排土台阶顶面逐渐下沉，为保证安全卸载，台阶顶面应保持2%的方向坡度。另外，在废石滚落范围内不允许修建道路和建筑物。生活垃圾集中收集，运往生活垃圾填埋场填埋处理。废机油暂存在危废暂存间内，最终交由专业机构处理。</w:t>
            </w:r>
          </w:p>
        </w:tc>
        <w:tc>
          <w:tcPr>
            <w:tcW w:w="750" w:type="dxa"/>
            <w:vMerge w:val="continue"/>
            <w:vAlign w:val="center"/>
          </w:tcPr>
          <w:p w14:paraId="3F7E4CB8">
            <w:pPr>
              <w:spacing w:line="300" w:lineRule="exact"/>
              <w:jc w:val="center"/>
              <w:rPr>
                <w:rFonts w:hint="default" w:ascii="Times New Roman" w:hAnsi="Times New Roman" w:eastAsia="华文中宋" w:cs="Times New Roman"/>
                <w:szCs w:val="21"/>
                <w:lang w:val="en-US" w:eastAsia="zh-CN"/>
              </w:rPr>
            </w:pPr>
          </w:p>
        </w:tc>
        <w:tc>
          <w:tcPr>
            <w:tcW w:w="747" w:type="dxa"/>
            <w:vMerge w:val="continue"/>
            <w:vAlign w:val="center"/>
          </w:tcPr>
          <w:p w14:paraId="3D5284F6">
            <w:pPr>
              <w:spacing w:line="300" w:lineRule="exact"/>
              <w:jc w:val="center"/>
              <w:rPr>
                <w:rFonts w:hint="default" w:ascii="Times New Roman" w:hAnsi="Times New Roman" w:eastAsia="华文中宋" w:cs="Times New Roman"/>
                <w:szCs w:val="21"/>
                <w:lang w:val="en-US" w:eastAsia="zh-CN"/>
              </w:rPr>
            </w:pPr>
          </w:p>
        </w:tc>
      </w:tr>
      <w:tr w14:paraId="2F77D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 w:type="dxa"/>
            <w:vMerge w:val="continue"/>
            <w:vAlign w:val="center"/>
          </w:tcPr>
          <w:p w14:paraId="0C6BA2F0">
            <w:pPr>
              <w:spacing w:line="300" w:lineRule="exact"/>
              <w:jc w:val="center"/>
              <w:rPr>
                <w:rFonts w:hint="default" w:ascii="Times New Roman" w:hAnsi="Times New Roman" w:eastAsia="华文中宋" w:cs="Times New Roman"/>
                <w:szCs w:val="21"/>
                <w:lang w:val="en-US" w:eastAsia="zh-CN"/>
              </w:rPr>
            </w:pPr>
          </w:p>
        </w:tc>
        <w:tc>
          <w:tcPr>
            <w:tcW w:w="1354" w:type="dxa"/>
            <w:vAlign w:val="center"/>
          </w:tcPr>
          <w:p w14:paraId="03B29D0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土壤环境保护</w:t>
            </w:r>
          </w:p>
        </w:tc>
        <w:tc>
          <w:tcPr>
            <w:tcW w:w="5190" w:type="dxa"/>
            <w:vAlign w:val="center"/>
          </w:tcPr>
          <w:p w14:paraId="0A4942D9">
            <w:pPr>
              <w:spacing w:line="300" w:lineRule="exact"/>
              <w:jc w:val="left"/>
              <w:rPr>
                <w:rFonts w:hint="default" w:ascii="Times New Roman" w:hAnsi="Times New Roman" w:eastAsia="华文中宋" w:cs="Times New Roman"/>
                <w:szCs w:val="21"/>
              </w:rPr>
            </w:pPr>
            <w:r>
              <w:rPr>
                <w:rFonts w:hint="eastAsia" w:ascii="Times New Roman" w:hAnsi="Times New Roman" w:eastAsia="华文中宋" w:cs="Times New Roman"/>
                <w:szCs w:val="21"/>
                <w:lang w:val="en-US" w:eastAsia="zh-CN"/>
              </w:rPr>
              <w:t>1.</w:t>
            </w:r>
            <w:r>
              <w:rPr>
                <w:rFonts w:hint="default" w:ascii="Times New Roman" w:hAnsi="Times New Roman" w:eastAsia="华文中宋" w:cs="Times New Roman"/>
                <w:szCs w:val="21"/>
                <w:lang w:val="en-US" w:eastAsia="zh-CN"/>
              </w:rPr>
              <w:t>控制运营期扰动面积，圈护未扰动区域</w:t>
            </w:r>
            <w:r>
              <w:rPr>
                <w:rFonts w:hint="eastAsia" w:ascii="Times New Roman" w:hAnsi="Times New Roman" w:eastAsia="华文中宋" w:cs="Times New Roman"/>
                <w:szCs w:val="21"/>
                <w:lang w:val="en-US" w:eastAsia="zh-CN"/>
              </w:rPr>
              <w:t>；</w:t>
            </w:r>
          </w:p>
          <w:p w14:paraId="334E1DD6">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2</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禁止将危险固体废弃物直接堆放在无防护设施的地表</w:t>
            </w:r>
            <w:r>
              <w:rPr>
                <w:rFonts w:hint="eastAsia" w:ascii="Times New Roman" w:hAnsi="Times New Roman" w:eastAsia="华文中宋" w:cs="Times New Roman"/>
                <w:szCs w:val="21"/>
                <w:lang w:val="en-US" w:eastAsia="zh-CN"/>
              </w:rPr>
              <w:t>；</w:t>
            </w:r>
          </w:p>
          <w:p w14:paraId="71A2ABBA">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3</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禁止在矿区内随意取土、焚烧、填埋生活垃圾。</w:t>
            </w:r>
          </w:p>
        </w:tc>
        <w:tc>
          <w:tcPr>
            <w:tcW w:w="750" w:type="dxa"/>
            <w:vMerge w:val="continue"/>
            <w:vAlign w:val="center"/>
          </w:tcPr>
          <w:p w14:paraId="21757FE0">
            <w:pPr>
              <w:spacing w:line="300" w:lineRule="exact"/>
              <w:jc w:val="center"/>
              <w:rPr>
                <w:rFonts w:hint="default" w:ascii="Times New Roman" w:hAnsi="Times New Roman" w:eastAsia="华文中宋" w:cs="Times New Roman"/>
                <w:szCs w:val="21"/>
                <w:lang w:val="en-US" w:eastAsia="zh-CN"/>
              </w:rPr>
            </w:pPr>
          </w:p>
        </w:tc>
        <w:tc>
          <w:tcPr>
            <w:tcW w:w="747" w:type="dxa"/>
            <w:vMerge w:val="continue"/>
            <w:vAlign w:val="center"/>
          </w:tcPr>
          <w:p w14:paraId="539C8879">
            <w:pPr>
              <w:spacing w:line="300" w:lineRule="exact"/>
              <w:jc w:val="center"/>
              <w:rPr>
                <w:rFonts w:hint="default" w:ascii="Times New Roman" w:hAnsi="Times New Roman" w:eastAsia="华文中宋" w:cs="Times New Roman"/>
                <w:szCs w:val="21"/>
                <w:lang w:val="en-US" w:eastAsia="zh-CN"/>
              </w:rPr>
            </w:pPr>
          </w:p>
        </w:tc>
      </w:tr>
      <w:tr w14:paraId="5BA92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 w:type="dxa"/>
            <w:vMerge w:val="continue"/>
            <w:vAlign w:val="center"/>
          </w:tcPr>
          <w:p w14:paraId="146EF8E0">
            <w:pPr>
              <w:spacing w:line="300" w:lineRule="exact"/>
              <w:jc w:val="center"/>
              <w:rPr>
                <w:rFonts w:hint="default" w:ascii="Times New Roman" w:hAnsi="Times New Roman" w:eastAsia="华文中宋" w:cs="Times New Roman"/>
                <w:szCs w:val="21"/>
                <w:lang w:val="en-US" w:eastAsia="zh-CN"/>
              </w:rPr>
            </w:pPr>
          </w:p>
        </w:tc>
        <w:tc>
          <w:tcPr>
            <w:tcW w:w="1354" w:type="dxa"/>
            <w:vAlign w:val="center"/>
          </w:tcPr>
          <w:p w14:paraId="7D4A978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环境风险</w:t>
            </w:r>
          </w:p>
        </w:tc>
        <w:tc>
          <w:tcPr>
            <w:tcW w:w="5190" w:type="dxa"/>
            <w:vAlign w:val="center"/>
          </w:tcPr>
          <w:p w14:paraId="4A28AC27">
            <w:pPr>
              <w:spacing w:line="300" w:lineRule="exact"/>
              <w:jc w:val="left"/>
              <w:rPr>
                <w:rFonts w:hint="default" w:ascii="Times New Roman" w:hAnsi="Times New Roman" w:eastAsia="华文中宋" w:cs="Times New Roman"/>
                <w:szCs w:val="21"/>
              </w:rPr>
            </w:pPr>
            <w:r>
              <w:rPr>
                <w:rFonts w:hint="default" w:ascii="Times New Roman" w:hAnsi="Times New Roman" w:eastAsia="华文中宋" w:cs="Times New Roman"/>
                <w:szCs w:val="21"/>
                <w:lang w:val="en-US" w:eastAsia="zh-CN"/>
              </w:rPr>
              <w:t>1</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清理露天采坑台阶边坡碎石和伞岩</w:t>
            </w:r>
            <w:r>
              <w:rPr>
                <w:rFonts w:hint="eastAsia" w:ascii="Times New Roman" w:hAnsi="Times New Roman" w:eastAsia="华文中宋" w:cs="Times New Roman"/>
                <w:szCs w:val="21"/>
                <w:lang w:val="en-US" w:eastAsia="zh-CN"/>
              </w:rPr>
              <w:t>；</w:t>
            </w:r>
          </w:p>
          <w:p w14:paraId="273A26BF">
            <w:pPr>
              <w:spacing w:line="300" w:lineRule="exact"/>
              <w:jc w:val="left"/>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2</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设置露天采坑、</w:t>
            </w:r>
            <w:r>
              <w:rPr>
                <w:rFonts w:hint="eastAsia" w:ascii="Times New Roman" w:hAnsi="Times New Roman" w:eastAsia="华文中宋" w:cs="Times New Roman"/>
                <w:szCs w:val="21"/>
                <w:lang w:val="en-US" w:eastAsia="zh-CN"/>
              </w:rPr>
              <w:t>表土堆场</w:t>
            </w:r>
            <w:r>
              <w:rPr>
                <w:rFonts w:hint="default" w:ascii="Times New Roman" w:hAnsi="Times New Roman" w:eastAsia="华文中宋" w:cs="Times New Roman"/>
                <w:szCs w:val="21"/>
                <w:lang w:val="en-US" w:eastAsia="zh-CN"/>
              </w:rPr>
              <w:t>、废石堆场</w:t>
            </w:r>
            <w:r>
              <w:rPr>
                <w:rFonts w:hint="eastAsia" w:ascii="Times New Roman" w:hAnsi="Times New Roman" w:eastAsia="华文中宋" w:cs="Times New Roman"/>
                <w:szCs w:val="21"/>
                <w:lang w:val="en-US" w:eastAsia="zh-CN"/>
              </w:rPr>
              <w:t>，在以上区域</w:t>
            </w:r>
            <w:r>
              <w:rPr>
                <w:rFonts w:hint="default" w:ascii="Times New Roman" w:hAnsi="Times New Roman" w:eastAsia="华文中宋" w:cs="Times New Roman"/>
                <w:szCs w:val="21"/>
                <w:lang w:val="en-US" w:eastAsia="zh-CN"/>
              </w:rPr>
              <w:t>上游防排洪设施，防止洪水冲刷造成水土流失，防止堆场边坡滑坡、滚石坠落造成人、畜伤亡。</w:t>
            </w:r>
          </w:p>
        </w:tc>
        <w:tc>
          <w:tcPr>
            <w:tcW w:w="750" w:type="dxa"/>
            <w:vMerge w:val="continue"/>
            <w:vAlign w:val="center"/>
          </w:tcPr>
          <w:p w14:paraId="7BEBD776">
            <w:pPr>
              <w:spacing w:line="300" w:lineRule="exact"/>
              <w:jc w:val="center"/>
              <w:rPr>
                <w:rFonts w:hint="default" w:ascii="Times New Roman" w:hAnsi="Times New Roman" w:eastAsia="华文中宋" w:cs="Times New Roman"/>
                <w:szCs w:val="21"/>
                <w:lang w:val="en-US" w:eastAsia="zh-CN"/>
              </w:rPr>
            </w:pPr>
          </w:p>
        </w:tc>
        <w:tc>
          <w:tcPr>
            <w:tcW w:w="747" w:type="dxa"/>
            <w:vMerge w:val="continue"/>
            <w:vAlign w:val="center"/>
          </w:tcPr>
          <w:p w14:paraId="0A4E6F9C">
            <w:pPr>
              <w:spacing w:line="300" w:lineRule="exact"/>
              <w:jc w:val="center"/>
              <w:rPr>
                <w:rFonts w:hint="default" w:ascii="Times New Roman" w:hAnsi="Times New Roman" w:eastAsia="华文中宋" w:cs="Times New Roman"/>
                <w:szCs w:val="21"/>
                <w:lang w:val="en-US" w:eastAsia="zh-CN"/>
              </w:rPr>
            </w:pPr>
          </w:p>
        </w:tc>
      </w:tr>
      <w:tr w14:paraId="3932A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 w:type="dxa"/>
            <w:vAlign w:val="center"/>
          </w:tcPr>
          <w:p w14:paraId="6B505C5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退役期</w:t>
            </w:r>
          </w:p>
        </w:tc>
        <w:tc>
          <w:tcPr>
            <w:tcW w:w="1354" w:type="dxa"/>
            <w:vAlign w:val="center"/>
          </w:tcPr>
          <w:p w14:paraId="390F4EC2">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生态保护</w:t>
            </w:r>
          </w:p>
        </w:tc>
        <w:tc>
          <w:tcPr>
            <w:tcW w:w="5190" w:type="dxa"/>
            <w:vAlign w:val="center"/>
          </w:tcPr>
          <w:p w14:paraId="5C8E25D4">
            <w:pPr>
              <w:spacing w:line="300" w:lineRule="exact"/>
              <w:jc w:val="left"/>
              <w:rPr>
                <w:rFonts w:hint="default" w:ascii="Times New Roman" w:hAnsi="Times New Roman" w:eastAsia="华文中宋" w:cs="Times New Roman"/>
                <w:szCs w:val="21"/>
              </w:rPr>
            </w:pPr>
            <w:r>
              <w:rPr>
                <w:rFonts w:hint="eastAsia" w:ascii="Times New Roman" w:hAnsi="Times New Roman" w:eastAsia="华文中宋" w:cs="Times New Roman"/>
                <w:szCs w:val="21"/>
                <w:lang w:val="en-US" w:eastAsia="zh-CN"/>
              </w:rPr>
              <w:t>1.</w:t>
            </w:r>
            <w:r>
              <w:rPr>
                <w:rFonts w:hint="default" w:ascii="Times New Roman" w:hAnsi="Times New Roman" w:eastAsia="华文中宋" w:cs="Times New Roman"/>
                <w:szCs w:val="21"/>
                <w:lang w:val="en-US" w:eastAsia="zh-CN"/>
              </w:rPr>
              <w:t>拆除矿区内建筑、构筑物，及时开展生态恢复治理；</w:t>
            </w:r>
          </w:p>
          <w:p w14:paraId="4507D266">
            <w:pPr>
              <w:spacing w:line="300" w:lineRule="exact"/>
              <w:jc w:val="left"/>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w:t>
            </w:r>
            <w:r>
              <w:rPr>
                <w:rFonts w:hint="default" w:ascii="Times New Roman" w:hAnsi="Times New Roman" w:eastAsia="华文中宋" w:cs="Times New Roman"/>
                <w:szCs w:val="21"/>
                <w:lang w:val="en-US" w:eastAsia="zh-CN"/>
              </w:rPr>
              <w:t>废石回填</w:t>
            </w:r>
            <w:r>
              <w:rPr>
                <w:rFonts w:hint="eastAsia" w:ascii="Times New Roman" w:hAnsi="Times New Roman" w:eastAsia="华文中宋" w:cs="Times New Roman"/>
                <w:szCs w:val="21"/>
                <w:lang w:val="en-US" w:eastAsia="zh-CN"/>
              </w:rPr>
              <w:t>开</w:t>
            </w:r>
            <w:r>
              <w:rPr>
                <w:rFonts w:hint="default" w:ascii="Times New Roman" w:hAnsi="Times New Roman" w:eastAsia="华文中宋" w:cs="Times New Roman"/>
                <w:szCs w:val="21"/>
                <w:lang w:val="en-US" w:eastAsia="zh-CN"/>
              </w:rPr>
              <w:t>采区，废石堆场应覆土绿化。</w:t>
            </w:r>
          </w:p>
        </w:tc>
        <w:tc>
          <w:tcPr>
            <w:tcW w:w="750" w:type="dxa"/>
            <w:vMerge w:val="continue"/>
            <w:vAlign w:val="center"/>
          </w:tcPr>
          <w:p w14:paraId="00EEF354">
            <w:pPr>
              <w:spacing w:line="300" w:lineRule="exact"/>
              <w:jc w:val="center"/>
              <w:rPr>
                <w:rFonts w:hint="default" w:ascii="Times New Roman" w:hAnsi="Times New Roman" w:eastAsia="华文中宋" w:cs="Times New Roman"/>
                <w:szCs w:val="21"/>
                <w:lang w:val="en-US" w:eastAsia="zh-CN"/>
              </w:rPr>
            </w:pPr>
          </w:p>
        </w:tc>
        <w:tc>
          <w:tcPr>
            <w:tcW w:w="747" w:type="dxa"/>
            <w:vMerge w:val="continue"/>
            <w:vAlign w:val="center"/>
          </w:tcPr>
          <w:p w14:paraId="0A4F2AED">
            <w:pPr>
              <w:spacing w:line="300" w:lineRule="exact"/>
              <w:jc w:val="center"/>
              <w:rPr>
                <w:rFonts w:hint="default" w:ascii="Times New Roman" w:hAnsi="Times New Roman" w:eastAsia="华文中宋" w:cs="Times New Roman"/>
                <w:szCs w:val="21"/>
                <w:lang w:val="en-US" w:eastAsia="zh-CN"/>
              </w:rPr>
            </w:pPr>
          </w:p>
        </w:tc>
      </w:tr>
    </w:tbl>
    <w:p w14:paraId="6DE045B2">
      <w:pPr>
        <w:pStyle w:val="3"/>
        <w:spacing w:before="120" w:after="120" w:line="500" w:lineRule="exact"/>
        <w:ind w:left="375" w:hanging="375" w:firstLineChars="0"/>
        <w:contextualSpacing/>
        <w:rPr>
          <w:rFonts w:hint="default" w:ascii="Times New Roman" w:hAnsi="Times New Roman" w:eastAsia="华文中宋" w:cs="Times New Roman"/>
          <w:snapToGrid w:val="0"/>
          <w:kern w:val="0"/>
          <w:sz w:val="28"/>
          <w:szCs w:val="28"/>
          <w:lang w:val="en-US" w:eastAsia="zh-CN"/>
        </w:rPr>
      </w:pPr>
      <w:bookmarkStart w:id="346" w:name="_Toc110"/>
      <w:bookmarkStart w:id="347" w:name="_Toc19476"/>
      <w:r>
        <w:rPr>
          <w:rFonts w:hint="default" w:ascii="Times New Roman" w:hAnsi="Times New Roman" w:eastAsia="华文中宋" w:cs="Times New Roman"/>
          <w:snapToGrid w:val="0"/>
          <w:kern w:val="0"/>
          <w:sz w:val="28"/>
          <w:szCs w:val="28"/>
          <w:lang w:val="en-US" w:eastAsia="zh-CN"/>
        </w:rPr>
        <w:t>8.5环境监理</w:t>
      </w:r>
      <w:bookmarkEnd w:id="346"/>
      <w:bookmarkEnd w:id="347"/>
    </w:p>
    <w:p w14:paraId="04C7BDBA">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对采矿建设项目（包括新建、改建、扩建和技术改造项目），环境监理需按照“预防为主”的方针，重点对项目规划选址、环境影响评价及“三同时”制度执行情况、运行情况、竣工验收情况进行监督检查。按照“综合整治”的原则，重点对矿山生态环境保护与恢复治理等环保措施的落实情况进行监督检查。环境监理内容如下：</w:t>
      </w:r>
    </w:p>
    <w:p w14:paraId="099BA3FE">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val="en-US" w:eastAsia="zh-CN"/>
        </w:rPr>
        <w:t>（1）项目生产规模、生产工艺和设备等是否符合《产业结构调整指导目录</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2024年本</w:t>
      </w:r>
      <w:r>
        <w:rPr>
          <w:rFonts w:hint="eastAsia" w:ascii="Times New Roman" w:hAnsi="Times New Roman" w:cs="Times New Roman"/>
          <w:color w:val="auto"/>
          <w:lang w:val="en-US" w:eastAsia="zh-CN"/>
        </w:rPr>
        <w:t>）</w:t>
      </w:r>
      <w:r>
        <w:rPr>
          <w:rFonts w:hint="default" w:ascii="Times New Roman" w:hAnsi="Times New Roman" w:eastAsia="华文中宋" w:cs="Times New Roman"/>
          <w:color w:val="auto"/>
          <w:lang w:val="en-US" w:eastAsia="zh-CN"/>
        </w:rPr>
        <w:t>》中的相关政策；</w:t>
      </w:r>
    </w:p>
    <w:p w14:paraId="62132A9D">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val="en-US" w:eastAsia="zh-CN"/>
        </w:rPr>
        <w:t>（2）选址是否符合要求，即项目区是否位于禁止开发区、重点生态功能区等；</w:t>
      </w:r>
    </w:p>
    <w:p w14:paraId="5714C5F5">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val="en-US" w:eastAsia="zh-CN"/>
        </w:rPr>
        <w:t>（3）检查项目是否进行了环境影响评价；环境影响评价文件是否取得批复。项目的性质、规模、地点、采用的生产工艺或者防治污染、防止生态破坏的措施发生重大变动的，是否重新报批项目的环境影响评价文件。环境影响评价文件自批准之日起超过五年项目才开工建设的，其环境影响评价文件是否报原审批部门重新审核；</w:t>
      </w:r>
    </w:p>
    <w:p w14:paraId="5C20D9D3">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val="en-US" w:eastAsia="zh-CN"/>
        </w:rPr>
        <w:t>（4）检查环保设施和生态保护措施是否符合环境影响评价审批文件和相关要求，是否与主体工程同时设计、同时施工、同时投产使用；</w:t>
      </w:r>
    </w:p>
    <w:p w14:paraId="41027D60">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val="en-US" w:eastAsia="zh-CN"/>
        </w:rPr>
        <w:t>（5）建立了生态环境保护与恢复治理机制的地区，检查企业是否按规定编制并执行生态环境保护与恢复治理方案，提交环境恢复治理保证金；</w:t>
      </w:r>
    </w:p>
    <w:p w14:paraId="24A73C45">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val="en-US" w:eastAsia="zh-CN"/>
        </w:rPr>
        <w:t>（6）对采矿工程的废石堆场、污染防治设施及生态保护等有关情况的现场检查；</w:t>
      </w:r>
    </w:p>
    <w:p w14:paraId="52143DDF">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val="en-US" w:eastAsia="zh-CN"/>
        </w:rPr>
        <w:t>（7）企业是否编制及评估《突发环境事件应急预案》，预案是否具备可操作性并按照《突发环境事件应急预案管理暂行办法》的规定及时修订报有关环保部门备案；企业是否按预案要求定期进行应急演练。</w:t>
      </w:r>
    </w:p>
    <w:p w14:paraId="572BA6C2">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（8）在依法实施排污许可证管理的区域内，企业是否依法取得《排污许可证》，并按照《排污许可证》的规定排放污染物；企业是否按规定向所在地的</w:t>
      </w:r>
      <w:r>
        <w:rPr>
          <w:rFonts w:hint="eastAsia" w:ascii="Times New Roman" w:hAnsi="Times New Roman" w:eastAsia="华文中宋" w:cs="Times New Roman"/>
          <w:color w:val="auto"/>
          <w:lang w:val="en-US" w:eastAsia="zh-CN"/>
        </w:rPr>
        <w:t>生态环境部</w:t>
      </w:r>
      <w:r>
        <w:rPr>
          <w:rFonts w:hint="default" w:ascii="Times New Roman" w:hAnsi="Times New Roman" w:eastAsia="华文中宋" w:cs="Times New Roman"/>
          <w:color w:val="auto"/>
          <w:lang w:val="en-US" w:eastAsia="zh-CN"/>
        </w:rPr>
        <w:t>门依法进行排污申报登记。排放污染物需作重大改变或者发生紧急重大改变的，排污者是否按规定履行变更申报手续；企业是否制定环保设施操作规程及维护制度、环境监测制度等各项环境管理制度。是否配置专业环保管理人员。</w:t>
      </w:r>
    </w:p>
    <w:p w14:paraId="0550A547">
      <w:pPr>
        <w:pStyle w:val="3"/>
        <w:spacing w:before="120" w:after="120" w:line="500" w:lineRule="exact"/>
        <w:ind w:left="375" w:hanging="375" w:firstLineChars="0"/>
        <w:contextualSpacing/>
        <w:rPr>
          <w:rFonts w:hint="default" w:ascii="Times New Roman" w:hAnsi="Times New Roman" w:eastAsia="华文中宋" w:cs="Times New Roman"/>
          <w:snapToGrid w:val="0"/>
          <w:kern w:val="0"/>
          <w:sz w:val="28"/>
          <w:szCs w:val="28"/>
          <w:lang w:val="en-US" w:eastAsia="zh-CN"/>
        </w:rPr>
      </w:pPr>
      <w:bookmarkStart w:id="348" w:name="_Toc7950"/>
      <w:bookmarkStart w:id="349" w:name="_Toc5297"/>
      <w:r>
        <w:rPr>
          <w:rFonts w:hint="default" w:ascii="Times New Roman" w:hAnsi="Times New Roman" w:eastAsia="华文中宋" w:cs="Times New Roman"/>
          <w:snapToGrid w:val="0"/>
          <w:kern w:val="0"/>
          <w:sz w:val="28"/>
          <w:szCs w:val="28"/>
          <w:lang w:val="en-US" w:eastAsia="zh-CN"/>
        </w:rPr>
        <w:t>8.6竣工验收</w:t>
      </w:r>
      <w:bookmarkEnd w:id="348"/>
      <w:bookmarkEnd w:id="349"/>
    </w:p>
    <w:p w14:paraId="2151DA3E">
      <w:pPr>
        <w:pStyle w:val="4"/>
        <w:spacing w:before="120" w:after="120" w:line="500" w:lineRule="exact"/>
        <w:rPr>
          <w:rFonts w:hint="default" w:ascii="Times New Roman" w:hAnsi="Times New Roman" w:eastAsia="华文中宋" w:cs="Times New Roman"/>
          <w:kern w:val="0"/>
          <w:sz w:val="24"/>
          <w:szCs w:val="24"/>
          <w:lang w:val="en-US" w:eastAsia="zh-CN"/>
        </w:rPr>
      </w:pPr>
      <w:bookmarkStart w:id="350" w:name="_Toc3074"/>
      <w:r>
        <w:rPr>
          <w:rFonts w:hint="default" w:ascii="Times New Roman" w:hAnsi="Times New Roman" w:eastAsia="华文中宋" w:cs="Times New Roman"/>
          <w:kern w:val="0"/>
          <w:sz w:val="24"/>
          <w:szCs w:val="24"/>
          <w:lang w:val="en-US" w:eastAsia="zh-CN"/>
        </w:rPr>
        <w:t>8.6.1验收范围</w:t>
      </w:r>
      <w:bookmarkEnd w:id="350"/>
    </w:p>
    <w:p w14:paraId="1A17FA3D">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（1）与工程有关的各项环保设施，包括为防治污染和保护环境所建成或配套建成的治理工程、设备、装置和监测手段，以及各项生态保护设施等。</w:t>
      </w:r>
    </w:p>
    <w:p w14:paraId="31ADCBE0">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（2）本项目环评文件和有关设计文件规定应采取的其他各项环保措施。</w:t>
      </w:r>
    </w:p>
    <w:p w14:paraId="1088E31F">
      <w:pPr>
        <w:pStyle w:val="4"/>
        <w:spacing w:before="120" w:after="120" w:line="500" w:lineRule="exact"/>
        <w:rPr>
          <w:rFonts w:hint="default" w:ascii="Times New Roman" w:hAnsi="Times New Roman" w:eastAsia="华文中宋" w:cs="Times New Roman"/>
          <w:kern w:val="0"/>
          <w:sz w:val="24"/>
          <w:szCs w:val="24"/>
          <w:lang w:val="en-US" w:eastAsia="zh-CN"/>
        </w:rPr>
      </w:pPr>
      <w:bookmarkStart w:id="351" w:name="_Toc11699"/>
      <w:r>
        <w:rPr>
          <w:rFonts w:hint="default" w:ascii="Times New Roman" w:hAnsi="Times New Roman" w:eastAsia="华文中宋" w:cs="Times New Roman"/>
          <w:kern w:val="0"/>
          <w:sz w:val="24"/>
          <w:szCs w:val="24"/>
          <w:lang w:val="en-US" w:eastAsia="zh-CN"/>
        </w:rPr>
        <w:t>8.6.2验收内容</w:t>
      </w:r>
      <w:bookmarkEnd w:id="351"/>
    </w:p>
    <w:p w14:paraId="5444C73A">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本项目验收内容见以下的“三同时”验收表，建设项目各项污染物治理必须严格执行</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三同时</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制度，具体计划见表8.6-1</w:t>
      </w:r>
    </w:p>
    <w:p w14:paraId="000C8B71">
      <w:pPr>
        <w:adjustRightInd w:val="0"/>
        <w:snapToGrid w:val="0"/>
        <w:spacing w:before="250" w:beforeLines="50"/>
        <w:ind w:firstLine="422" w:firstLineChars="200"/>
        <w:jc w:val="center"/>
        <w:rPr>
          <w:rFonts w:hint="default" w:ascii="Times New Roman" w:hAnsi="Times New Roman" w:eastAsia="华文中宋" w:cs="Times New Roman"/>
          <w:b/>
          <w:szCs w:val="21"/>
        </w:rPr>
      </w:pPr>
      <w:r>
        <w:rPr>
          <w:rFonts w:hint="default" w:ascii="Times New Roman" w:hAnsi="Times New Roman" w:eastAsia="华文中宋" w:cs="Times New Roman"/>
          <w:b/>
          <w:szCs w:val="21"/>
          <w:lang w:val="en-US" w:eastAsia="zh-CN"/>
        </w:rPr>
        <w:t>表8.6-1  环保设施“三同时”验收表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601"/>
        <w:gridCol w:w="526"/>
        <w:gridCol w:w="3324"/>
        <w:gridCol w:w="750"/>
        <w:gridCol w:w="850"/>
        <w:gridCol w:w="1835"/>
      </w:tblGrid>
      <w:tr w14:paraId="52A4C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7A05E1E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污染物</w:t>
            </w:r>
          </w:p>
        </w:tc>
        <w:tc>
          <w:tcPr>
            <w:tcW w:w="601" w:type="dxa"/>
            <w:vAlign w:val="center"/>
          </w:tcPr>
          <w:p w14:paraId="5C8D69D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序号</w:t>
            </w:r>
          </w:p>
        </w:tc>
        <w:tc>
          <w:tcPr>
            <w:tcW w:w="526" w:type="dxa"/>
            <w:vAlign w:val="center"/>
          </w:tcPr>
          <w:p w14:paraId="51779BF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治理对象</w:t>
            </w:r>
          </w:p>
        </w:tc>
        <w:tc>
          <w:tcPr>
            <w:tcW w:w="3324" w:type="dxa"/>
            <w:vAlign w:val="center"/>
          </w:tcPr>
          <w:p w14:paraId="63B1F89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验收内容</w:t>
            </w:r>
          </w:p>
        </w:tc>
        <w:tc>
          <w:tcPr>
            <w:tcW w:w="750" w:type="dxa"/>
            <w:vAlign w:val="center"/>
          </w:tcPr>
          <w:p w14:paraId="417FC466">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台（套）</w:t>
            </w:r>
          </w:p>
        </w:tc>
        <w:tc>
          <w:tcPr>
            <w:tcW w:w="850" w:type="dxa"/>
            <w:vAlign w:val="center"/>
          </w:tcPr>
          <w:p w14:paraId="629D579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治理效果</w:t>
            </w:r>
          </w:p>
        </w:tc>
        <w:tc>
          <w:tcPr>
            <w:tcW w:w="1835" w:type="dxa"/>
            <w:vAlign w:val="center"/>
          </w:tcPr>
          <w:p w14:paraId="4BB0E583">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验收</w:t>
            </w:r>
            <w:r>
              <w:rPr>
                <w:rFonts w:hint="default" w:ascii="Times New Roman" w:hAnsi="Times New Roman" w:eastAsia="华文中宋" w:cs="Times New Roman"/>
                <w:szCs w:val="21"/>
                <w:lang w:val="en-US" w:eastAsia="zh-CN"/>
              </w:rPr>
              <w:t>标准</w:t>
            </w:r>
          </w:p>
        </w:tc>
      </w:tr>
      <w:tr w14:paraId="3203E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9" w:hRule="atLeast"/>
        </w:trPr>
        <w:tc>
          <w:tcPr>
            <w:tcW w:w="636" w:type="dxa"/>
            <w:vMerge w:val="restart"/>
            <w:vAlign w:val="center"/>
          </w:tcPr>
          <w:p w14:paraId="7EEF953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废气</w:t>
            </w:r>
          </w:p>
        </w:tc>
        <w:tc>
          <w:tcPr>
            <w:tcW w:w="601" w:type="dxa"/>
            <w:vAlign w:val="center"/>
          </w:tcPr>
          <w:p w14:paraId="6EB0CDA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采矿作业</w:t>
            </w:r>
          </w:p>
        </w:tc>
        <w:tc>
          <w:tcPr>
            <w:tcW w:w="526" w:type="dxa"/>
            <w:vMerge w:val="restart"/>
            <w:vAlign w:val="center"/>
          </w:tcPr>
          <w:p w14:paraId="4278E7B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粉尘防治</w:t>
            </w:r>
          </w:p>
        </w:tc>
        <w:tc>
          <w:tcPr>
            <w:tcW w:w="3324" w:type="dxa"/>
            <w:vAlign w:val="center"/>
          </w:tcPr>
          <w:p w14:paraId="2733AA2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露天湿式凿岩，</w:t>
            </w:r>
            <w:r>
              <w:rPr>
                <w:rFonts w:hint="eastAsia" w:ascii="Times New Roman" w:hAnsi="Times New Roman" w:eastAsia="华文中宋" w:cs="Times New Roman"/>
                <w:szCs w:val="21"/>
                <w:lang w:val="en-US" w:eastAsia="zh-CN"/>
              </w:rPr>
              <w:t>钻机设置捕尘装置，</w:t>
            </w:r>
            <w:r>
              <w:rPr>
                <w:rFonts w:hint="default" w:ascii="Times New Roman" w:hAnsi="Times New Roman" w:eastAsia="华文中宋" w:cs="Times New Roman"/>
                <w:szCs w:val="21"/>
                <w:lang w:val="en-US" w:eastAsia="zh-CN"/>
              </w:rPr>
              <w:t>矿堆洒水</w:t>
            </w:r>
            <w:r>
              <w:rPr>
                <w:rFonts w:hint="eastAsia" w:ascii="Times New Roman" w:hAnsi="Times New Roman" w:eastAsia="华文中宋" w:cs="Times New Roman"/>
                <w:szCs w:val="21"/>
                <w:lang w:val="en-US" w:eastAsia="zh-CN"/>
              </w:rPr>
              <w:t>，</w:t>
            </w:r>
          </w:p>
        </w:tc>
        <w:tc>
          <w:tcPr>
            <w:tcW w:w="750" w:type="dxa"/>
            <w:vMerge w:val="restart"/>
            <w:vAlign w:val="center"/>
          </w:tcPr>
          <w:p w14:paraId="1BA7447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c>
          <w:tcPr>
            <w:tcW w:w="850" w:type="dxa"/>
            <w:vMerge w:val="restart"/>
            <w:vAlign w:val="center"/>
          </w:tcPr>
          <w:p w14:paraId="6959AFB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有效抑制扬尘</w:t>
            </w:r>
          </w:p>
        </w:tc>
        <w:tc>
          <w:tcPr>
            <w:tcW w:w="1835" w:type="dxa"/>
            <w:vMerge w:val="restart"/>
            <w:vAlign w:val="center"/>
          </w:tcPr>
          <w:p w14:paraId="6E6932B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边界外最高点颗粒物浓度≤1.0mg/m</w:t>
            </w:r>
            <w:r>
              <w:rPr>
                <w:rFonts w:hint="default" w:ascii="Times New Roman" w:hAnsi="Times New Roman" w:eastAsia="华文中宋" w:cs="Times New Roman"/>
                <w:szCs w:val="21"/>
                <w:vertAlign w:val="superscript"/>
                <w:lang w:val="en-US" w:eastAsia="zh-CN"/>
              </w:rPr>
              <w:t>3</w:t>
            </w:r>
            <w:r>
              <w:rPr>
                <w:rFonts w:hint="default" w:ascii="Times New Roman" w:hAnsi="Times New Roman" w:eastAsia="华文中宋" w:cs="Times New Roman"/>
                <w:szCs w:val="21"/>
                <w:lang w:val="en-US" w:eastAsia="zh-CN"/>
              </w:rPr>
              <w:t>。</w:t>
            </w:r>
          </w:p>
        </w:tc>
      </w:tr>
      <w:tr w14:paraId="6A4C1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6D62D9D4">
            <w:pPr>
              <w:spacing w:line="300" w:lineRule="exact"/>
              <w:jc w:val="center"/>
              <w:rPr>
                <w:rFonts w:hint="default" w:ascii="Times New Roman" w:hAnsi="Times New Roman" w:eastAsia="华文中宋" w:cs="Times New Roman"/>
                <w:szCs w:val="21"/>
                <w:lang w:val="en-US" w:eastAsia="zh-CN"/>
              </w:rPr>
            </w:pPr>
          </w:p>
        </w:tc>
        <w:tc>
          <w:tcPr>
            <w:tcW w:w="601" w:type="dxa"/>
            <w:vAlign w:val="center"/>
          </w:tcPr>
          <w:p w14:paraId="655657A7">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运输废气</w:t>
            </w:r>
          </w:p>
        </w:tc>
        <w:tc>
          <w:tcPr>
            <w:tcW w:w="526" w:type="dxa"/>
            <w:vMerge w:val="continue"/>
            <w:vAlign w:val="center"/>
          </w:tcPr>
          <w:p w14:paraId="5901405C">
            <w:pPr>
              <w:spacing w:line="300" w:lineRule="exact"/>
              <w:jc w:val="center"/>
              <w:rPr>
                <w:rFonts w:hint="default" w:ascii="Times New Roman" w:hAnsi="Times New Roman" w:eastAsia="华文中宋" w:cs="Times New Roman"/>
                <w:szCs w:val="21"/>
                <w:lang w:val="en-US" w:eastAsia="zh-CN"/>
              </w:rPr>
            </w:pPr>
          </w:p>
        </w:tc>
        <w:tc>
          <w:tcPr>
            <w:tcW w:w="3324" w:type="dxa"/>
            <w:vAlign w:val="center"/>
          </w:tcPr>
          <w:p w14:paraId="7E74CE46">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1.定时在路面洒水，干旱、多风季节应增加洒水次数。</w:t>
            </w:r>
          </w:p>
          <w:p w14:paraId="12F9F959">
            <w:pPr>
              <w:spacing w:line="300" w:lineRule="exact"/>
              <w:jc w:val="both"/>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2.车辆严禁超载，降低装卸高度，禁止大风天作业，运输车辆遮盖篷布，矿山范围车速以不超过20km/h 为宜。</w:t>
            </w:r>
          </w:p>
          <w:p w14:paraId="4325197B">
            <w:pPr>
              <w:spacing w:line="300" w:lineRule="exact"/>
              <w:jc w:val="both"/>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3.下雨期间对轮胎应进行及时的清洗。</w:t>
            </w:r>
          </w:p>
          <w:p w14:paraId="3E5B3208">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4.加强路面清扫，使路面保持清洁。</w:t>
            </w:r>
          </w:p>
        </w:tc>
        <w:tc>
          <w:tcPr>
            <w:tcW w:w="750" w:type="dxa"/>
            <w:vMerge w:val="continue"/>
            <w:vAlign w:val="center"/>
          </w:tcPr>
          <w:p w14:paraId="59E629C1">
            <w:pPr>
              <w:spacing w:line="300" w:lineRule="exact"/>
              <w:jc w:val="center"/>
              <w:rPr>
                <w:rFonts w:hint="default" w:ascii="Times New Roman" w:hAnsi="Times New Roman" w:eastAsia="华文中宋" w:cs="Times New Roman"/>
                <w:szCs w:val="21"/>
                <w:lang w:val="en-US" w:eastAsia="zh-CN"/>
              </w:rPr>
            </w:pPr>
          </w:p>
        </w:tc>
        <w:tc>
          <w:tcPr>
            <w:tcW w:w="850" w:type="dxa"/>
            <w:vMerge w:val="continue"/>
            <w:vAlign w:val="center"/>
          </w:tcPr>
          <w:p w14:paraId="2037600C">
            <w:pPr>
              <w:spacing w:line="300" w:lineRule="exact"/>
              <w:jc w:val="center"/>
              <w:rPr>
                <w:rFonts w:hint="default" w:ascii="Times New Roman" w:hAnsi="Times New Roman" w:eastAsia="华文中宋" w:cs="Times New Roman"/>
                <w:szCs w:val="21"/>
                <w:lang w:val="en-US" w:eastAsia="zh-CN"/>
              </w:rPr>
            </w:pPr>
          </w:p>
        </w:tc>
        <w:tc>
          <w:tcPr>
            <w:tcW w:w="1835" w:type="dxa"/>
            <w:vMerge w:val="continue"/>
            <w:vAlign w:val="center"/>
          </w:tcPr>
          <w:p w14:paraId="780A3A26">
            <w:pPr>
              <w:spacing w:line="300" w:lineRule="exact"/>
              <w:jc w:val="center"/>
              <w:rPr>
                <w:rFonts w:hint="default" w:ascii="Times New Roman" w:hAnsi="Times New Roman" w:eastAsia="华文中宋" w:cs="Times New Roman"/>
                <w:szCs w:val="21"/>
                <w:lang w:val="en-US" w:eastAsia="zh-CN"/>
              </w:rPr>
            </w:pPr>
          </w:p>
        </w:tc>
      </w:tr>
      <w:tr w14:paraId="7BBE1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65F5C041">
            <w:pPr>
              <w:spacing w:line="300" w:lineRule="exact"/>
              <w:jc w:val="center"/>
              <w:rPr>
                <w:rFonts w:hint="default" w:ascii="Times New Roman" w:hAnsi="Times New Roman" w:eastAsia="华文中宋" w:cs="Times New Roman"/>
                <w:szCs w:val="21"/>
                <w:lang w:val="en-US" w:eastAsia="zh-CN"/>
              </w:rPr>
            </w:pPr>
          </w:p>
        </w:tc>
        <w:tc>
          <w:tcPr>
            <w:tcW w:w="601" w:type="dxa"/>
            <w:vAlign w:val="center"/>
          </w:tcPr>
          <w:p w14:paraId="358D34D0">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废石堆放场</w:t>
            </w:r>
          </w:p>
        </w:tc>
        <w:tc>
          <w:tcPr>
            <w:tcW w:w="526" w:type="dxa"/>
            <w:vMerge w:val="continue"/>
            <w:vAlign w:val="center"/>
          </w:tcPr>
          <w:p w14:paraId="56FE1F57">
            <w:pPr>
              <w:spacing w:line="300" w:lineRule="exact"/>
              <w:jc w:val="center"/>
              <w:rPr>
                <w:rFonts w:hint="default" w:ascii="Times New Roman" w:hAnsi="Times New Roman" w:eastAsia="华文中宋" w:cs="Times New Roman"/>
                <w:szCs w:val="21"/>
                <w:lang w:val="en-US" w:eastAsia="zh-CN"/>
              </w:rPr>
            </w:pPr>
          </w:p>
        </w:tc>
        <w:tc>
          <w:tcPr>
            <w:tcW w:w="3324" w:type="dxa"/>
            <w:vAlign w:val="center"/>
          </w:tcPr>
          <w:p w14:paraId="718A567B">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对排土场洒水降尘，在废土石卸载区域设置移动式洒水装置定时洒水，并对达到最终堆存高度的区域地表进行压实处理。严格对排土场等堆放场所的管理，固废排放分块逐步推进堆放，减小场内人为扰动面</w:t>
            </w:r>
          </w:p>
        </w:tc>
        <w:tc>
          <w:tcPr>
            <w:tcW w:w="750" w:type="dxa"/>
            <w:vMerge w:val="continue"/>
            <w:vAlign w:val="center"/>
          </w:tcPr>
          <w:p w14:paraId="4098317F">
            <w:pPr>
              <w:spacing w:line="300" w:lineRule="exact"/>
              <w:jc w:val="center"/>
              <w:rPr>
                <w:rFonts w:hint="default" w:ascii="Times New Roman" w:hAnsi="Times New Roman" w:eastAsia="华文中宋" w:cs="Times New Roman"/>
                <w:szCs w:val="21"/>
                <w:lang w:val="en-US" w:eastAsia="zh-CN"/>
              </w:rPr>
            </w:pPr>
          </w:p>
        </w:tc>
        <w:tc>
          <w:tcPr>
            <w:tcW w:w="850" w:type="dxa"/>
            <w:vMerge w:val="continue"/>
            <w:vAlign w:val="center"/>
          </w:tcPr>
          <w:p w14:paraId="23F064B3">
            <w:pPr>
              <w:spacing w:line="300" w:lineRule="exact"/>
              <w:jc w:val="center"/>
              <w:rPr>
                <w:rFonts w:hint="default" w:ascii="Times New Roman" w:hAnsi="Times New Roman" w:eastAsia="华文中宋" w:cs="Times New Roman"/>
                <w:szCs w:val="21"/>
                <w:lang w:val="en-US" w:eastAsia="zh-CN"/>
              </w:rPr>
            </w:pPr>
          </w:p>
        </w:tc>
        <w:tc>
          <w:tcPr>
            <w:tcW w:w="1835" w:type="dxa"/>
            <w:vMerge w:val="continue"/>
            <w:vAlign w:val="center"/>
          </w:tcPr>
          <w:p w14:paraId="2C76F83C">
            <w:pPr>
              <w:spacing w:line="300" w:lineRule="exact"/>
              <w:jc w:val="center"/>
              <w:rPr>
                <w:rFonts w:hint="default" w:ascii="Times New Roman" w:hAnsi="Times New Roman" w:eastAsia="华文中宋" w:cs="Times New Roman"/>
                <w:szCs w:val="21"/>
                <w:lang w:val="en-US" w:eastAsia="zh-CN"/>
              </w:rPr>
            </w:pPr>
          </w:p>
        </w:tc>
      </w:tr>
      <w:tr w14:paraId="0AA5E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restart"/>
            <w:vAlign w:val="center"/>
          </w:tcPr>
          <w:p w14:paraId="4C44CC1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废水</w:t>
            </w:r>
          </w:p>
        </w:tc>
        <w:tc>
          <w:tcPr>
            <w:tcW w:w="1127" w:type="dxa"/>
            <w:gridSpan w:val="2"/>
            <w:vAlign w:val="center"/>
          </w:tcPr>
          <w:p w14:paraId="362E90D0">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生活污水</w:t>
            </w:r>
          </w:p>
        </w:tc>
        <w:tc>
          <w:tcPr>
            <w:tcW w:w="3324" w:type="dxa"/>
            <w:vAlign w:val="center"/>
          </w:tcPr>
          <w:p w14:paraId="7781B72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地埋式一体化污水处理设施</w:t>
            </w:r>
          </w:p>
        </w:tc>
        <w:tc>
          <w:tcPr>
            <w:tcW w:w="750" w:type="dxa"/>
            <w:vAlign w:val="center"/>
          </w:tcPr>
          <w:p w14:paraId="45EE95DF">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w:t>
            </w:r>
          </w:p>
        </w:tc>
        <w:tc>
          <w:tcPr>
            <w:tcW w:w="850" w:type="dxa"/>
            <w:vAlign w:val="center"/>
          </w:tcPr>
          <w:p w14:paraId="2BB77FB4">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污水不外排</w:t>
            </w:r>
          </w:p>
        </w:tc>
        <w:tc>
          <w:tcPr>
            <w:tcW w:w="1835" w:type="dxa"/>
            <w:vAlign w:val="center"/>
          </w:tcPr>
          <w:p w14:paraId="2494134D">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《农村生活污水处理排放标准》（DB654275-2019）表2中A级排放标准</w:t>
            </w:r>
          </w:p>
        </w:tc>
      </w:tr>
      <w:tr w14:paraId="0C863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20084CED">
            <w:pPr>
              <w:spacing w:line="300" w:lineRule="exact"/>
              <w:jc w:val="center"/>
              <w:rPr>
                <w:rFonts w:hint="default" w:ascii="Times New Roman" w:hAnsi="Times New Roman" w:eastAsia="华文中宋" w:cs="Times New Roman"/>
                <w:szCs w:val="21"/>
                <w:lang w:val="en-US" w:eastAsia="zh-CN"/>
              </w:rPr>
            </w:pPr>
          </w:p>
        </w:tc>
        <w:tc>
          <w:tcPr>
            <w:tcW w:w="1127" w:type="dxa"/>
            <w:gridSpan w:val="2"/>
            <w:vAlign w:val="center"/>
          </w:tcPr>
          <w:p w14:paraId="4472913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矿坑水</w:t>
            </w:r>
          </w:p>
        </w:tc>
        <w:tc>
          <w:tcPr>
            <w:tcW w:w="3324" w:type="dxa"/>
            <w:vAlign w:val="center"/>
          </w:tcPr>
          <w:p w14:paraId="62DD291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矿坑水集水池内自然蒸发</w:t>
            </w:r>
          </w:p>
        </w:tc>
        <w:tc>
          <w:tcPr>
            <w:tcW w:w="750" w:type="dxa"/>
            <w:vAlign w:val="center"/>
          </w:tcPr>
          <w:p w14:paraId="4C57FCAC">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w:t>
            </w:r>
          </w:p>
        </w:tc>
        <w:tc>
          <w:tcPr>
            <w:tcW w:w="850" w:type="dxa"/>
            <w:vAlign w:val="center"/>
          </w:tcPr>
          <w:p w14:paraId="2449F562">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废水不外排</w:t>
            </w:r>
          </w:p>
        </w:tc>
        <w:tc>
          <w:tcPr>
            <w:tcW w:w="1835" w:type="dxa"/>
            <w:vAlign w:val="center"/>
          </w:tcPr>
          <w:p w14:paraId="0F5BDAF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r>
      <w:tr w14:paraId="7FE71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trPr>
        <w:tc>
          <w:tcPr>
            <w:tcW w:w="636" w:type="dxa"/>
            <w:vAlign w:val="center"/>
          </w:tcPr>
          <w:p w14:paraId="74AB547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噪声</w:t>
            </w:r>
          </w:p>
        </w:tc>
        <w:tc>
          <w:tcPr>
            <w:tcW w:w="1127" w:type="dxa"/>
            <w:gridSpan w:val="2"/>
            <w:vAlign w:val="center"/>
          </w:tcPr>
          <w:p w14:paraId="5BF9E510">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生产设备</w:t>
            </w:r>
          </w:p>
        </w:tc>
        <w:tc>
          <w:tcPr>
            <w:tcW w:w="3324" w:type="dxa"/>
            <w:vAlign w:val="center"/>
          </w:tcPr>
          <w:p w14:paraId="1E8C89A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基础减震及设备自身降噪</w:t>
            </w:r>
          </w:p>
        </w:tc>
        <w:tc>
          <w:tcPr>
            <w:tcW w:w="750" w:type="dxa"/>
            <w:vAlign w:val="center"/>
          </w:tcPr>
          <w:p w14:paraId="7556ABA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c>
          <w:tcPr>
            <w:tcW w:w="850" w:type="dxa"/>
            <w:vAlign w:val="center"/>
          </w:tcPr>
          <w:p w14:paraId="0D1E8DBD">
            <w:pPr>
              <w:keepNext w:val="0"/>
              <w:keepLines w:val="0"/>
              <w:widowControl/>
              <w:suppressLineNumbers w:val="0"/>
              <w:jc w:val="center"/>
              <w:rPr>
                <w:rFonts w:ascii="华文中宋" w:hAnsi="华文中宋" w:eastAsia="华文中宋" w:cs="华文中宋"/>
                <w:color w:val="000000"/>
                <w:kern w:val="0"/>
                <w:sz w:val="20"/>
                <w:szCs w:val="20"/>
                <w:lang w:val="en-US" w:eastAsia="zh-CN" w:bidi="ar"/>
              </w:rPr>
            </w:pPr>
            <w:r>
              <w:rPr>
                <w:rFonts w:ascii="华文中宋" w:hAnsi="华文中宋" w:eastAsia="华文中宋" w:cs="华文中宋"/>
                <w:color w:val="000000"/>
                <w:kern w:val="0"/>
                <w:sz w:val="20"/>
                <w:szCs w:val="20"/>
                <w:lang w:val="en-US" w:eastAsia="zh-CN" w:bidi="ar"/>
              </w:rPr>
              <w:t>厂界噪声：</w:t>
            </w:r>
          </w:p>
          <w:p w14:paraId="6458B324">
            <w:pPr>
              <w:keepNext w:val="0"/>
              <w:keepLines w:val="0"/>
              <w:widowControl/>
              <w:suppressLineNumbers w:val="0"/>
              <w:jc w:val="center"/>
            </w:pPr>
            <w:r>
              <w:rPr>
                <w:rFonts w:ascii="华文中宋" w:hAnsi="华文中宋" w:eastAsia="华文中宋" w:cs="华文中宋"/>
                <w:color w:val="000000"/>
                <w:kern w:val="0"/>
                <w:sz w:val="20"/>
                <w:szCs w:val="20"/>
                <w:lang w:val="en-US" w:eastAsia="zh-CN" w:bidi="ar"/>
              </w:rPr>
              <w:t>昼间</w:t>
            </w:r>
            <w:r>
              <w:rPr>
                <w:rFonts w:hint="default" w:ascii="Times New Roman" w:hAnsi="Times New Roman" w:eastAsia="宋体" w:cs="Times New Roman"/>
                <w:color w:val="000000"/>
                <w:kern w:val="0"/>
                <w:sz w:val="20"/>
                <w:szCs w:val="20"/>
                <w:lang w:val="en-US" w:eastAsia="zh-CN" w:bidi="ar"/>
              </w:rPr>
              <w:t>≤60dB(A)</w:t>
            </w:r>
          </w:p>
          <w:p w14:paraId="584CA156">
            <w:pPr>
              <w:keepNext w:val="0"/>
              <w:keepLines w:val="0"/>
              <w:widowControl/>
              <w:suppressLineNumbers w:val="0"/>
              <w:jc w:val="center"/>
              <w:rPr>
                <w:rFonts w:hint="default" w:ascii="Times New Roman" w:hAnsi="Times New Roman" w:eastAsia="华文中宋" w:cs="Times New Roman"/>
                <w:szCs w:val="21"/>
                <w:lang w:val="en-US" w:eastAsia="zh-CN"/>
              </w:rPr>
            </w:pPr>
            <w:r>
              <w:rPr>
                <w:rFonts w:ascii="华文中宋" w:hAnsi="华文中宋" w:eastAsia="华文中宋" w:cs="华文中宋"/>
                <w:color w:val="000000"/>
                <w:kern w:val="0"/>
                <w:sz w:val="20"/>
                <w:szCs w:val="20"/>
                <w:lang w:val="en-US" w:eastAsia="zh-CN" w:bidi="ar"/>
              </w:rPr>
              <w:t>夜间</w:t>
            </w:r>
            <w:r>
              <w:rPr>
                <w:rFonts w:hint="default" w:ascii="Times New Roman" w:hAnsi="Times New Roman" w:eastAsia="宋体" w:cs="Times New Roman"/>
                <w:color w:val="000000"/>
                <w:kern w:val="0"/>
                <w:sz w:val="20"/>
                <w:szCs w:val="20"/>
                <w:lang w:val="en-US" w:eastAsia="zh-CN" w:bidi="ar"/>
              </w:rPr>
              <w:t>≤50dB(A)</w:t>
            </w:r>
          </w:p>
        </w:tc>
        <w:tc>
          <w:tcPr>
            <w:tcW w:w="1835" w:type="dxa"/>
            <w:vAlign w:val="center"/>
          </w:tcPr>
          <w:p w14:paraId="6EBC45A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《工业企业厂界环境噪声排放标准》（GB12348-2008）2类标准</w:t>
            </w:r>
          </w:p>
        </w:tc>
      </w:tr>
      <w:tr w14:paraId="64055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restart"/>
            <w:vAlign w:val="center"/>
          </w:tcPr>
          <w:p w14:paraId="3226E45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固废</w:t>
            </w:r>
          </w:p>
        </w:tc>
        <w:tc>
          <w:tcPr>
            <w:tcW w:w="1127" w:type="dxa"/>
            <w:gridSpan w:val="2"/>
            <w:vAlign w:val="center"/>
          </w:tcPr>
          <w:p w14:paraId="16E1A347">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废石</w:t>
            </w:r>
          </w:p>
        </w:tc>
        <w:tc>
          <w:tcPr>
            <w:tcW w:w="3324" w:type="dxa"/>
            <w:vAlign w:val="center"/>
          </w:tcPr>
          <w:p w14:paraId="1A76B74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废石</w:t>
            </w:r>
            <w:r>
              <w:rPr>
                <w:rFonts w:hint="eastAsia" w:ascii="Times New Roman" w:hAnsi="Times New Roman" w:eastAsia="华文中宋" w:cs="Times New Roman"/>
                <w:szCs w:val="21"/>
                <w:lang w:val="en-US" w:eastAsia="zh-CN"/>
              </w:rPr>
              <w:t>堆放场</w:t>
            </w:r>
          </w:p>
        </w:tc>
        <w:tc>
          <w:tcPr>
            <w:tcW w:w="750" w:type="dxa"/>
            <w:vAlign w:val="center"/>
          </w:tcPr>
          <w:p w14:paraId="34957AC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c>
          <w:tcPr>
            <w:tcW w:w="850" w:type="dxa"/>
            <w:vAlign w:val="center"/>
          </w:tcPr>
          <w:p w14:paraId="2F9ADE4D">
            <w:pPr>
              <w:keepNext w:val="0"/>
              <w:keepLines w:val="0"/>
              <w:widowControl/>
              <w:suppressLineNumbers w:val="0"/>
              <w:jc w:val="center"/>
              <w:rPr>
                <w:rFonts w:hint="default" w:ascii="Times New Roman" w:hAnsi="Times New Roman" w:eastAsia="华文中宋" w:cs="Times New Roman"/>
                <w:szCs w:val="21"/>
                <w:lang w:val="en-US" w:eastAsia="zh-CN"/>
              </w:rPr>
            </w:pPr>
            <w:r>
              <w:rPr>
                <w:rFonts w:hint="default" w:ascii="Times New Roman" w:hAnsi="Times New Roman" w:eastAsia="宋体" w:cs="Times New Roman"/>
                <w:color w:val="000000"/>
                <w:kern w:val="0"/>
                <w:sz w:val="20"/>
                <w:szCs w:val="20"/>
                <w:lang w:val="en-US" w:eastAsia="zh-CN" w:bidi="ar"/>
              </w:rPr>
              <w:t>100%</w:t>
            </w:r>
            <w:r>
              <w:rPr>
                <w:rFonts w:ascii="华文中宋" w:hAnsi="华文中宋" w:eastAsia="华文中宋" w:cs="华文中宋"/>
                <w:color w:val="000000"/>
                <w:kern w:val="0"/>
                <w:sz w:val="20"/>
                <w:szCs w:val="20"/>
                <w:lang w:val="en-US" w:eastAsia="zh-CN" w:bidi="ar"/>
              </w:rPr>
              <w:t>综合利用</w:t>
            </w:r>
          </w:p>
        </w:tc>
        <w:tc>
          <w:tcPr>
            <w:tcW w:w="1835" w:type="dxa"/>
            <w:vAlign w:val="center"/>
          </w:tcPr>
          <w:p w14:paraId="6B7F7F58">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《一般工业固体废物贮存和填埋污染控制标准》（GB18599-2020）Ⅰ类场标准</w:t>
            </w:r>
          </w:p>
        </w:tc>
      </w:tr>
      <w:tr w14:paraId="11610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356A9644">
            <w:pPr>
              <w:spacing w:line="300" w:lineRule="exact"/>
              <w:jc w:val="center"/>
              <w:rPr>
                <w:rFonts w:hint="default" w:ascii="Times New Roman" w:hAnsi="Times New Roman" w:eastAsia="华文中宋" w:cs="Times New Roman"/>
                <w:szCs w:val="21"/>
                <w:lang w:val="en-US" w:eastAsia="zh-CN"/>
              </w:rPr>
            </w:pPr>
          </w:p>
        </w:tc>
        <w:tc>
          <w:tcPr>
            <w:tcW w:w="1127" w:type="dxa"/>
            <w:gridSpan w:val="2"/>
            <w:vAlign w:val="center"/>
          </w:tcPr>
          <w:p w14:paraId="1C96FC33">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生活垃圾</w:t>
            </w:r>
          </w:p>
        </w:tc>
        <w:tc>
          <w:tcPr>
            <w:tcW w:w="3324" w:type="dxa"/>
            <w:vAlign w:val="center"/>
          </w:tcPr>
          <w:p w14:paraId="775F91D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集中收集处理</w:t>
            </w:r>
          </w:p>
        </w:tc>
        <w:tc>
          <w:tcPr>
            <w:tcW w:w="750" w:type="dxa"/>
            <w:vAlign w:val="center"/>
          </w:tcPr>
          <w:p w14:paraId="398F9BF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c>
          <w:tcPr>
            <w:tcW w:w="850" w:type="dxa"/>
            <w:vMerge w:val="restart"/>
            <w:vAlign w:val="center"/>
          </w:tcPr>
          <w:p w14:paraId="278B6A0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合理处置</w:t>
            </w:r>
          </w:p>
        </w:tc>
        <w:tc>
          <w:tcPr>
            <w:tcW w:w="1835" w:type="dxa"/>
            <w:vAlign w:val="center"/>
          </w:tcPr>
          <w:p w14:paraId="55D0330B">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《生活垃圾填埋场污染控制标准》</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GB16889-20</w:t>
            </w:r>
            <w:r>
              <w:rPr>
                <w:rFonts w:hint="eastAsia" w:ascii="Times New Roman" w:hAnsi="Times New Roman" w:eastAsia="华文中宋" w:cs="Times New Roman"/>
                <w:szCs w:val="21"/>
                <w:lang w:val="en-US" w:eastAsia="zh-CN"/>
              </w:rPr>
              <w:t>24）</w:t>
            </w:r>
          </w:p>
        </w:tc>
      </w:tr>
      <w:tr w14:paraId="40753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0783333B">
            <w:pPr>
              <w:spacing w:line="300" w:lineRule="exact"/>
              <w:jc w:val="center"/>
              <w:rPr>
                <w:rFonts w:hint="default" w:ascii="Times New Roman" w:hAnsi="Times New Roman" w:eastAsia="华文中宋" w:cs="Times New Roman"/>
                <w:szCs w:val="21"/>
                <w:lang w:val="en-US" w:eastAsia="zh-CN"/>
              </w:rPr>
            </w:pPr>
          </w:p>
        </w:tc>
        <w:tc>
          <w:tcPr>
            <w:tcW w:w="1127" w:type="dxa"/>
            <w:gridSpan w:val="2"/>
            <w:vAlign w:val="center"/>
          </w:tcPr>
          <w:p w14:paraId="52CBC49F">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污泥</w:t>
            </w:r>
          </w:p>
        </w:tc>
        <w:tc>
          <w:tcPr>
            <w:tcW w:w="3324" w:type="dxa"/>
            <w:vAlign w:val="center"/>
          </w:tcPr>
          <w:p w14:paraId="6737392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100%综合利用</w:t>
            </w:r>
          </w:p>
        </w:tc>
        <w:tc>
          <w:tcPr>
            <w:tcW w:w="750" w:type="dxa"/>
            <w:vAlign w:val="center"/>
          </w:tcPr>
          <w:p w14:paraId="5210E36D">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c>
          <w:tcPr>
            <w:tcW w:w="850" w:type="dxa"/>
            <w:vMerge w:val="continue"/>
            <w:vAlign w:val="center"/>
          </w:tcPr>
          <w:p w14:paraId="4277BD7E">
            <w:pPr>
              <w:spacing w:line="300" w:lineRule="exact"/>
              <w:jc w:val="center"/>
              <w:rPr>
                <w:rFonts w:hint="default" w:ascii="Times New Roman" w:hAnsi="Times New Roman" w:eastAsia="华文中宋" w:cs="Times New Roman"/>
                <w:szCs w:val="21"/>
                <w:lang w:val="en-US" w:eastAsia="zh-CN"/>
              </w:rPr>
            </w:pPr>
          </w:p>
        </w:tc>
        <w:tc>
          <w:tcPr>
            <w:tcW w:w="1835" w:type="dxa"/>
            <w:vAlign w:val="center"/>
          </w:tcPr>
          <w:p w14:paraId="46B177EE">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100%综合利用</w:t>
            </w:r>
          </w:p>
        </w:tc>
      </w:tr>
      <w:tr w14:paraId="464A8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vAlign w:val="center"/>
          </w:tcPr>
          <w:p w14:paraId="45786F6B">
            <w:pPr>
              <w:spacing w:line="300" w:lineRule="exact"/>
              <w:jc w:val="center"/>
              <w:rPr>
                <w:rFonts w:hint="default" w:ascii="Times New Roman" w:hAnsi="Times New Roman" w:eastAsia="华文中宋" w:cs="Times New Roman"/>
                <w:szCs w:val="21"/>
                <w:lang w:val="en-US" w:eastAsia="zh-CN"/>
              </w:rPr>
            </w:pPr>
          </w:p>
        </w:tc>
        <w:tc>
          <w:tcPr>
            <w:tcW w:w="1127" w:type="dxa"/>
            <w:gridSpan w:val="2"/>
            <w:vAlign w:val="center"/>
          </w:tcPr>
          <w:p w14:paraId="0A07AA9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废</w:t>
            </w:r>
            <w:r>
              <w:rPr>
                <w:rFonts w:hint="eastAsia" w:ascii="Times New Roman" w:hAnsi="Times New Roman" w:eastAsia="华文中宋" w:cs="Times New Roman"/>
                <w:szCs w:val="21"/>
                <w:lang w:val="en-US" w:eastAsia="zh-CN"/>
              </w:rPr>
              <w:t>润滑油</w:t>
            </w:r>
          </w:p>
        </w:tc>
        <w:tc>
          <w:tcPr>
            <w:tcW w:w="3324" w:type="dxa"/>
            <w:vAlign w:val="center"/>
          </w:tcPr>
          <w:p w14:paraId="6B5A64D9">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设置暂存间，由资质单位回收处理</w:t>
            </w:r>
          </w:p>
        </w:tc>
        <w:tc>
          <w:tcPr>
            <w:tcW w:w="750" w:type="dxa"/>
            <w:vAlign w:val="center"/>
          </w:tcPr>
          <w:p w14:paraId="08F8F04A">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1</w:t>
            </w:r>
          </w:p>
        </w:tc>
        <w:tc>
          <w:tcPr>
            <w:tcW w:w="850" w:type="dxa"/>
            <w:vAlign w:val="center"/>
          </w:tcPr>
          <w:p w14:paraId="681D427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防止污染项目土壤、地下水环境</w:t>
            </w:r>
          </w:p>
        </w:tc>
        <w:tc>
          <w:tcPr>
            <w:tcW w:w="1835" w:type="dxa"/>
            <w:vAlign w:val="center"/>
          </w:tcPr>
          <w:p w14:paraId="61AAF555">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《危险废物贮存污染控制标准》（</w:t>
            </w:r>
            <w:r>
              <w:rPr>
                <w:rFonts w:hint="default" w:ascii="Times New Roman" w:hAnsi="Times New Roman" w:eastAsia="华文中宋" w:cs="Times New Roman"/>
                <w:szCs w:val="21"/>
                <w:lang w:val="en-US" w:eastAsia="zh-CN"/>
              </w:rPr>
              <w:t>GB18597-2023</w:t>
            </w:r>
            <w:r>
              <w:rPr>
                <w:rFonts w:hint="eastAsia" w:ascii="Times New Roman" w:hAnsi="Times New Roman" w:eastAsia="华文中宋" w:cs="Times New Roman"/>
                <w:szCs w:val="21"/>
                <w:lang w:val="en-US" w:eastAsia="zh-CN"/>
              </w:rPr>
              <w:t>）</w:t>
            </w:r>
          </w:p>
        </w:tc>
      </w:tr>
      <w:tr w14:paraId="15DA3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6" w:hRule="atLeast"/>
        </w:trPr>
        <w:tc>
          <w:tcPr>
            <w:tcW w:w="636" w:type="dxa"/>
            <w:vAlign w:val="center"/>
          </w:tcPr>
          <w:p w14:paraId="47F4966E">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生态</w:t>
            </w:r>
          </w:p>
        </w:tc>
        <w:tc>
          <w:tcPr>
            <w:tcW w:w="1127" w:type="dxa"/>
            <w:gridSpan w:val="2"/>
            <w:vAlign w:val="center"/>
          </w:tcPr>
          <w:p w14:paraId="6DA3B91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项目区</w:t>
            </w:r>
          </w:p>
        </w:tc>
        <w:tc>
          <w:tcPr>
            <w:tcW w:w="3324" w:type="dxa"/>
            <w:vAlign w:val="center"/>
          </w:tcPr>
          <w:p w14:paraId="25CDF119">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堆场及生活办公区</w:t>
            </w:r>
            <w:r>
              <w:rPr>
                <w:rFonts w:hint="default" w:ascii="Times New Roman" w:hAnsi="Times New Roman" w:eastAsia="华文中宋" w:cs="Times New Roman"/>
                <w:szCs w:val="21"/>
                <w:lang w:val="en-US" w:eastAsia="zh-CN"/>
              </w:rPr>
              <w:t>地面进行硬化，各种临时占地在施工完成后应尽快进行迹地恢复。施工结束后，应对场地内各种生活、生产垃圾、废料进行清理，不得影响周围环境景观。</w:t>
            </w:r>
            <w:r>
              <w:rPr>
                <w:rFonts w:hint="eastAsia" w:ascii="Times New Roman" w:hAnsi="Times New Roman" w:eastAsia="华文中宋" w:cs="Times New Roman"/>
                <w:szCs w:val="21"/>
                <w:lang w:val="en-US" w:eastAsia="zh-CN"/>
              </w:rPr>
              <w:t>废石堆放</w:t>
            </w:r>
            <w:r>
              <w:rPr>
                <w:rFonts w:hint="default" w:ascii="Times New Roman" w:hAnsi="Times New Roman" w:eastAsia="华文中宋" w:cs="Times New Roman"/>
                <w:szCs w:val="21"/>
                <w:lang w:val="en-US" w:eastAsia="zh-CN"/>
              </w:rPr>
              <w:t>场设置防护围栏和悬挂多种文字的警示牌；采取“先拦后弃”，按规范做好边坡防护和稳定工作，定期对排土场进行巡检，及时发现隐患并安全处置；加强监督管理，在废土石滚落范围内不允许修建道路和建筑物，竖警示牌。</w:t>
            </w:r>
          </w:p>
        </w:tc>
        <w:tc>
          <w:tcPr>
            <w:tcW w:w="750" w:type="dxa"/>
            <w:vAlign w:val="center"/>
          </w:tcPr>
          <w:p w14:paraId="6035289B">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w:t>
            </w:r>
          </w:p>
        </w:tc>
        <w:tc>
          <w:tcPr>
            <w:tcW w:w="850" w:type="dxa"/>
            <w:vAlign w:val="center"/>
          </w:tcPr>
          <w:p w14:paraId="4D441A0C">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满足《矿山生态环境保护与恢复治理技术规范</w:t>
            </w:r>
            <w:r>
              <w:rPr>
                <w:rFonts w:hint="eastAsia" w:ascii="Times New Roman" w:hAnsi="Times New Roman" w:eastAsia="华文中宋" w:cs="Times New Roman"/>
                <w:szCs w:val="21"/>
                <w:lang w:val="en-US" w:eastAsia="zh-CN"/>
              </w:rPr>
              <w:t>（试行）</w:t>
            </w:r>
            <w:r>
              <w:rPr>
                <w:rFonts w:hint="default" w:ascii="Times New Roman" w:hAnsi="Times New Roman" w:eastAsia="华文中宋" w:cs="Times New Roman"/>
                <w:szCs w:val="21"/>
                <w:lang w:val="en-US" w:eastAsia="zh-CN"/>
              </w:rPr>
              <w:t>》要求。</w:t>
            </w:r>
          </w:p>
        </w:tc>
        <w:tc>
          <w:tcPr>
            <w:tcW w:w="1835" w:type="dxa"/>
            <w:vAlign w:val="center"/>
          </w:tcPr>
          <w:p w14:paraId="24BA0B21">
            <w:pPr>
              <w:spacing w:line="300" w:lineRule="exact"/>
              <w:jc w:val="center"/>
              <w:rPr>
                <w:rFonts w:hint="default" w:ascii="Times New Roman" w:hAnsi="Times New Roman" w:eastAsia="华文中宋" w:cs="Times New Roman"/>
                <w:szCs w:val="21"/>
                <w:lang w:val="en-US" w:eastAsia="zh-CN"/>
              </w:rPr>
            </w:pPr>
            <w:r>
              <w:rPr>
                <w:rFonts w:hint="default" w:ascii="Times New Roman" w:hAnsi="Times New Roman" w:eastAsia="华文中宋" w:cs="Times New Roman"/>
                <w:szCs w:val="21"/>
                <w:lang w:val="en-US" w:eastAsia="zh-CN"/>
              </w:rPr>
              <w:t>按验收内容完成生态恢复治理。</w:t>
            </w:r>
          </w:p>
        </w:tc>
      </w:tr>
      <w:tr w14:paraId="4DC04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3" w:hRule="atLeast"/>
        </w:trPr>
        <w:tc>
          <w:tcPr>
            <w:tcW w:w="1763" w:type="dxa"/>
            <w:gridSpan w:val="3"/>
            <w:vAlign w:val="center"/>
          </w:tcPr>
          <w:p w14:paraId="2836922A">
            <w:pPr>
              <w:spacing w:line="300" w:lineRule="exact"/>
              <w:jc w:val="center"/>
              <w:rPr>
                <w:rFonts w:hint="eastAsia"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防渗措施</w:t>
            </w:r>
          </w:p>
        </w:tc>
        <w:tc>
          <w:tcPr>
            <w:tcW w:w="6759" w:type="dxa"/>
            <w:gridSpan w:val="4"/>
            <w:vAlign w:val="center"/>
          </w:tcPr>
          <w:p w14:paraId="64EE6C18">
            <w:pPr>
              <w:spacing w:line="300" w:lineRule="exact"/>
              <w:jc w:val="center"/>
              <w:rPr>
                <w:rFonts w:hint="default" w:ascii="Times New Roman" w:hAnsi="Times New Roman" w:eastAsia="华文中宋" w:cs="Times New Roman"/>
                <w:szCs w:val="21"/>
                <w:lang w:val="en-US" w:eastAsia="zh-CN"/>
              </w:rPr>
            </w:pPr>
            <w:r>
              <w:rPr>
                <w:rFonts w:hint="eastAsia" w:ascii="Times New Roman" w:hAnsi="Times New Roman" w:eastAsia="华文中宋" w:cs="Times New Roman"/>
                <w:szCs w:val="21"/>
                <w:lang w:val="en-US" w:eastAsia="zh-CN"/>
              </w:rPr>
              <w:t>废石堆放场</w:t>
            </w:r>
            <w:r>
              <w:rPr>
                <w:rFonts w:hint="default" w:ascii="Times New Roman" w:hAnsi="Times New Roman" w:eastAsia="华文中宋" w:cs="Times New Roman"/>
                <w:szCs w:val="21"/>
                <w:lang w:val="en-US" w:eastAsia="zh-CN"/>
              </w:rPr>
              <w:t>需按《一般工业固体废物贮存和填埋污染控制标准》</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GB18599-2020</w:t>
            </w:r>
            <w:r>
              <w:rPr>
                <w:rFonts w:hint="eastAsia" w:ascii="Times New Roman" w:hAnsi="Times New Roman" w:eastAsia="华文中宋" w:cs="Times New Roman"/>
                <w:szCs w:val="21"/>
                <w:lang w:val="en-US" w:eastAsia="zh-CN"/>
              </w:rPr>
              <w:t>）</w:t>
            </w:r>
            <w:r>
              <w:rPr>
                <w:rFonts w:hint="default" w:ascii="Times New Roman" w:hAnsi="Times New Roman" w:eastAsia="华文中宋" w:cs="Times New Roman"/>
                <w:szCs w:val="21"/>
                <w:lang w:val="en-US" w:eastAsia="zh-CN"/>
              </w:rPr>
              <w:t>要求进行防，周边需设置截排水设施。</w:t>
            </w:r>
          </w:p>
        </w:tc>
      </w:tr>
    </w:tbl>
    <w:p w14:paraId="5185975F">
      <w:pP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br w:type="page"/>
      </w:r>
    </w:p>
    <w:p w14:paraId="030E2FE9">
      <w:pPr>
        <w:pStyle w:val="2"/>
        <w:pageBreakBefore/>
        <w:spacing w:before="250" w:beforeLines="50" w:after="250" w:afterLines="50" w:line="560" w:lineRule="exact"/>
        <w:ind w:left="554" w:hanging="555" w:hangingChars="152"/>
        <w:rPr>
          <w:rFonts w:hint="default" w:ascii="Times New Roman" w:hAnsi="Times New Roman" w:eastAsia="华文中宋" w:cs="Times New Roman"/>
          <w:snapToGrid w:val="0"/>
          <w:spacing w:val="2"/>
          <w:sz w:val="36"/>
          <w:szCs w:val="44"/>
          <w:lang w:val="en-US" w:eastAsia="zh-CN"/>
        </w:rPr>
      </w:pPr>
      <w:bookmarkStart w:id="352" w:name="_Toc103"/>
      <w:bookmarkStart w:id="353" w:name="_Toc27112"/>
      <w:r>
        <w:rPr>
          <w:rFonts w:hint="default" w:ascii="Times New Roman" w:hAnsi="Times New Roman" w:eastAsia="华文中宋" w:cs="Times New Roman"/>
          <w:snapToGrid w:val="0"/>
          <w:spacing w:val="2"/>
          <w:sz w:val="36"/>
          <w:szCs w:val="44"/>
          <w:lang w:val="en-US" w:eastAsia="zh-CN"/>
        </w:rPr>
        <w:t>9环境影响评价结论</w:t>
      </w:r>
      <w:bookmarkEnd w:id="352"/>
      <w:bookmarkEnd w:id="353"/>
    </w:p>
    <w:p w14:paraId="3BD9416F">
      <w:pPr>
        <w:pStyle w:val="3"/>
        <w:spacing w:before="120" w:after="120" w:line="500" w:lineRule="exact"/>
        <w:ind w:left="375" w:hanging="375" w:firstLineChars="0"/>
        <w:contextualSpacing/>
        <w:rPr>
          <w:rFonts w:hint="default" w:ascii="Times New Roman" w:hAnsi="Times New Roman" w:eastAsia="华文中宋" w:cs="Times New Roman"/>
          <w:snapToGrid w:val="0"/>
          <w:kern w:val="0"/>
          <w:sz w:val="28"/>
          <w:szCs w:val="28"/>
          <w:lang w:val="en-US" w:eastAsia="zh-CN"/>
        </w:rPr>
      </w:pPr>
      <w:bookmarkStart w:id="354" w:name="_Toc29426"/>
      <w:bookmarkStart w:id="355" w:name="_Toc19621"/>
      <w:r>
        <w:rPr>
          <w:rFonts w:hint="default" w:ascii="Times New Roman" w:hAnsi="Times New Roman" w:eastAsia="华文中宋" w:cs="Times New Roman"/>
          <w:snapToGrid w:val="0"/>
          <w:kern w:val="0"/>
          <w:sz w:val="28"/>
          <w:szCs w:val="28"/>
          <w:lang w:val="en-US" w:eastAsia="zh-CN"/>
        </w:rPr>
        <w:t>9.1建设项目概括</w:t>
      </w:r>
      <w:bookmarkEnd w:id="354"/>
      <w:bookmarkEnd w:id="355"/>
    </w:p>
    <w:p w14:paraId="115244AB">
      <w:pPr>
        <w:pStyle w:val="24"/>
        <w:snapToGrid w:val="0"/>
        <w:jc w:val="left"/>
        <w:rPr>
          <w:rFonts w:hint="default" w:ascii="Times New Roman" w:hAnsi="Times New Roman" w:eastAsia="华文中宋" w:cs="Times New Roman"/>
          <w:color w:val="auto"/>
          <w:lang w:eastAsia="zh-CN"/>
        </w:rPr>
      </w:pPr>
      <w:r>
        <w:rPr>
          <w:rFonts w:hint="eastAsia" w:ascii="Times New Roman" w:hAnsi="Times New Roman" w:eastAsia="华文中宋" w:cs="Times New Roman"/>
          <w:color w:val="auto"/>
          <w:lang w:val="en-US" w:eastAsia="zh-CN"/>
        </w:rPr>
        <w:t>民丰县盼水河铅锑矿工程</w:t>
      </w:r>
      <w:r>
        <w:rPr>
          <w:rFonts w:hint="default" w:ascii="Times New Roman" w:hAnsi="Times New Roman" w:eastAsia="华文中宋" w:cs="Times New Roman"/>
          <w:color w:val="auto"/>
          <w:lang w:val="en-US" w:eastAsia="zh-CN"/>
        </w:rPr>
        <w:t>项目</w:t>
      </w:r>
      <w:r>
        <w:rPr>
          <w:rFonts w:hint="default" w:ascii="Times New Roman" w:hAnsi="Times New Roman" w:eastAsia="华文中宋" w:cs="Times New Roman"/>
          <w:color w:val="auto"/>
          <w:lang w:eastAsia="zh-CN"/>
        </w:rPr>
        <w:t>位于民丰县城</w:t>
      </w:r>
      <w:r>
        <w:rPr>
          <w:rFonts w:hint="default" w:ascii="Times New Roman" w:hAnsi="Times New Roman" w:eastAsia="华文中宋" w:cs="Times New Roman"/>
          <w:color w:val="auto"/>
          <w:lang w:val="en-US" w:eastAsia="zh-CN"/>
        </w:rPr>
        <w:t>170</w:t>
      </w:r>
      <w:r>
        <w:rPr>
          <w:rFonts w:hint="default" w:ascii="Times New Roman" w:hAnsi="Times New Roman" w:eastAsia="华文中宋" w:cs="Times New Roman"/>
          <w:color w:val="auto"/>
          <w:lang w:eastAsia="zh-CN"/>
        </w:rPr>
        <w:t>°方向、直距约</w:t>
      </w:r>
      <w:r>
        <w:rPr>
          <w:rFonts w:hint="default" w:ascii="Times New Roman" w:hAnsi="Times New Roman" w:eastAsia="华文中宋" w:cs="Times New Roman"/>
          <w:color w:val="auto"/>
          <w:lang w:val="en-US" w:eastAsia="zh-CN"/>
        </w:rPr>
        <w:t>140</w:t>
      </w:r>
      <w:r>
        <w:rPr>
          <w:rFonts w:hint="default" w:ascii="Times New Roman" w:hAnsi="Times New Roman" w:eastAsia="华文中宋" w:cs="Times New Roman"/>
          <w:color w:val="auto"/>
          <w:lang w:eastAsia="zh-CN"/>
        </w:rPr>
        <w:t>千米处，行政区划隶属和田地区民丰县管辖。矿区地理坐标（</w:t>
      </w:r>
      <w:r>
        <w:rPr>
          <w:rFonts w:hint="default" w:ascii="Times New Roman" w:hAnsi="Times New Roman" w:eastAsia="华文中宋" w:cs="Times New Roman"/>
          <w:color w:val="auto"/>
          <w:lang w:val="en-US" w:eastAsia="zh-CN"/>
        </w:rPr>
        <w:t>CGCS2000坐标系</w:t>
      </w:r>
      <w:r>
        <w:rPr>
          <w:rFonts w:hint="default" w:ascii="Times New Roman" w:hAnsi="Times New Roman" w:eastAsia="华文中宋" w:cs="Times New Roman"/>
          <w:color w:val="auto"/>
          <w:lang w:eastAsia="zh-CN"/>
        </w:rPr>
        <w:t>）：东经</w:t>
      </w:r>
      <w:r>
        <w:rPr>
          <w:rFonts w:hint="default" w:ascii="Times New Roman" w:hAnsi="Times New Roman" w:eastAsia="华文中宋" w:cs="Times New Roman"/>
          <w:color w:val="auto"/>
          <w:lang w:val="en-US" w:eastAsia="zh-CN"/>
        </w:rPr>
        <w:t>83</w:t>
      </w:r>
      <w:r>
        <w:rPr>
          <w:rFonts w:hint="default" w:ascii="Times New Roman" w:hAnsi="Times New Roman" w:eastAsia="华文中宋" w:cs="Times New Roman"/>
          <w:color w:val="auto"/>
          <w:lang w:eastAsia="zh-CN"/>
        </w:rPr>
        <w:t>°</w:t>
      </w:r>
      <w:r>
        <w:rPr>
          <w:rFonts w:hint="default" w:ascii="Times New Roman" w:hAnsi="Times New Roman" w:eastAsia="华文中宋" w:cs="Times New Roman"/>
          <w:color w:val="auto"/>
          <w:lang w:val="en-US" w:eastAsia="zh-CN"/>
        </w:rPr>
        <w:t>04</w:t>
      </w:r>
      <w:r>
        <w:rPr>
          <w:rFonts w:hint="default" w:ascii="Times New Roman" w:hAnsi="Times New Roman" w:eastAsia="华文中宋" w:cs="Times New Roman"/>
          <w:color w:val="auto"/>
          <w:lang w:eastAsia="zh-CN"/>
        </w:rPr>
        <w:t>′</w:t>
      </w:r>
      <w:r>
        <w:rPr>
          <w:rFonts w:hint="default" w:ascii="Times New Roman" w:hAnsi="Times New Roman" w:eastAsia="华文中宋" w:cs="Times New Roman"/>
          <w:color w:val="auto"/>
          <w:lang w:val="en-US" w:eastAsia="zh-CN"/>
        </w:rPr>
        <w:t>49</w:t>
      </w:r>
      <w:r>
        <w:rPr>
          <w:rFonts w:hint="default" w:ascii="Times New Roman" w:hAnsi="Times New Roman" w:eastAsia="华文中宋" w:cs="Times New Roman"/>
          <w:color w:val="auto"/>
          <w:lang w:eastAsia="zh-CN"/>
        </w:rPr>
        <w:t>″</w:t>
      </w:r>
      <w:r>
        <w:rPr>
          <w:rFonts w:hint="default" w:ascii="Times New Roman" w:hAnsi="Times New Roman" w:eastAsia="华文中宋" w:cs="Times New Roman"/>
          <w:color w:val="auto"/>
          <w:lang w:val="en-US" w:eastAsia="zh-CN"/>
        </w:rPr>
        <w:t>-83</w:t>
      </w:r>
      <w:r>
        <w:rPr>
          <w:rFonts w:hint="default" w:ascii="Times New Roman" w:hAnsi="Times New Roman" w:eastAsia="华文中宋" w:cs="Times New Roman"/>
          <w:color w:val="auto"/>
          <w:lang w:eastAsia="zh-CN"/>
        </w:rPr>
        <w:t>°</w:t>
      </w:r>
      <w:r>
        <w:rPr>
          <w:rFonts w:hint="default" w:ascii="Times New Roman" w:hAnsi="Times New Roman" w:eastAsia="华文中宋" w:cs="Times New Roman"/>
          <w:color w:val="auto"/>
          <w:lang w:val="en-US" w:eastAsia="zh-CN"/>
        </w:rPr>
        <w:t>05</w:t>
      </w:r>
      <w:r>
        <w:rPr>
          <w:rFonts w:hint="default" w:ascii="Times New Roman" w:hAnsi="Times New Roman" w:eastAsia="华文中宋" w:cs="Times New Roman"/>
          <w:color w:val="auto"/>
          <w:lang w:eastAsia="zh-CN"/>
        </w:rPr>
        <w:t>′</w:t>
      </w:r>
      <w:r>
        <w:rPr>
          <w:rFonts w:hint="default" w:ascii="Times New Roman" w:hAnsi="Times New Roman" w:eastAsia="华文中宋" w:cs="Times New Roman"/>
          <w:color w:val="auto"/>
          <w:lang w:val="en-US" w:eastAsia="zh-CN"/>
        </w:rPr>
        <w:t>41</w:t>
      </w:r>
      <w:r>
        <w:rPr>
          <w:rFonts w:hint="default" w:ascii="Times New Roman" w:hAnsi="Times New Roman" w:eastAsia="华文中宋" w:cs="Times New Roman"/>
          <w:color w:val="auto"/>
          <w:lang w:eastAsia="zh-CN"/>
        </w:rPr>
        <w:t>″、北纬</w:t>
      </w:r>
      <w:r>
        <w:rPr>
          <w:rFonts w:hint="default" w:ascii="Times New Roman" w:hAnsi="Times New Roman" w:eastAsia="华文中宋" w:cs="Times New Roman"/>
          <w:color w:val="auto"/>
          <w:lang w:val="en-US" w:eastAsia="zh-CN"/>
        </w:rPr>
        <w:t>35</w:t>
      </w:r>
      <w:r>
        <w:rPr>
          <w:rFonts w:hint="default" w:ascii="Times New Roman" w:hAnsi="Times New Roman" w:eastAsia="华文中宋" w:cs="Times New Roman"/>
          <w:color w:val="auto"/>
          <w:lang w:eastAsia="zh-CN"/>
        </w:rPr>
        <w:t>°</w:t>
      </w:r>
      <w:r>
        <w:rPr>
          <w:rFonts w:hint="default" w:ascii="Times New Roman" w:hAnsi="Times New Roman" w:eastAsia="华文中宋" w:cs="Times New Roman"/>
          <w:color w:val="auto"/>
          <w:lang w:val="en-US" w:eastAsia="zh-CN"/>
        </w:rPr>
        <w:t>50</w:t>
      </w:r>
      <w:r>
        <w:rPr>
          <w:rFonts w:hint="default" w:ascii="Times New Roman" w:hAnsi="Times New Roman" w:eastAsia="华文中宋" w:cs="Times New Roman"/>
          <w:color w:val="auto"/>
          <w:lang w:eastAsia="zh-CN"/>
        </w:rPr>
        <w:t>′</w:t>
      </w:r>
      <w:r>
        <w:rPr>
          <w:rFonts w:hint="default" w:ascii="Times New Roman" w:hAnsi="Times New Roman" w:eastAsia="华文中宋" w:cs="Times New Roman"/>
          <w:color w:val="auto"/>
          <w:lang w:val="en-US" w:eastAsia="zh-CN"/>
        </w:rPr>
        <w:t>12</w:t>
      </w:r>
      <w:r>
        <w:rPr>
          <w:rFonts w:hint="default" w:ascii="Times New Roman" w:hAnsi="Times New Roman" w:eastAsia="华文中宋" w:cs="Times New Roman"/>
          <w:color w:val="auto"/>
          <w:lang w:eastAsia="zh-CN"/>
        </w:rPr>
        <w:t>″</w:t>
      </w:r>
      <w:r>
        <w:rPr>
          <w:rFonts w:hint="default" w:ascii="Times New Roman" w:hAnsi="Times New Roman" w:eastAsia="华文中宋" w:cs="Times New Roman"/>
          <w:color w:val="auto"/>
          <w:lang w:val="en-US" w:eastAsia="zh-CN"/>
        </w:rPr>
        <w:t>-35</w:t>
      </w:r>
      <w:r>
        <w:rPr>
          <w:rFonts w:hint="default" w:ascii="Times New Roman" w:hAnsi="Times New Roman" w:eastAsia="华文中宋" w:cs="Times New Roman"/>
          <w:color w:val="auto"/>
          <w:lang w:eastAsia="zh-CN"/>
        </w:rPr>
        <w:t>°</w:t>
      </w:r>
      <w:r>
        <w:rPr>
          <w:rFonts w:hint="default" w:ascii="Times New Roman" w:hAnsi="Times New Roman" w:eastAsia="华文中宋" w:cs="Times New Roman"/>
          <w:color w:val="auto"/>
          <w:lang w:val="en-US" w:eastAsia="zh-CN"/>
        </w:rPr>
        <w:t>50</w:t>
      </w:r>
      <w:r>
        <w:rPr>
          <w:rFonts w:hint="default" w:ascii="Times New Roman" w:hAnsi="Times New Roman" w:eastAsia="华文中宋" w:cs="Times New Roman"/>
          <w:color w:val="auto"/>
          <w:lang w:eastAsia="zh-CN"/>
        </w:rPr>
        <w:t>′</w:t>
      </w:r>
      <w:r>
        <w:rPr>
          <w:rFonts w:hint="default" w:ascii="Times New Roman" w:hAnsi="Times New Roman" w:eastAsia="华文中宋" w:cs="Times New Roman"/>
          <w:color w:val="auto"/>
          <w:lang w:val="en-US" w:eastAsia="zh-CN"/>
        </w:rPr>
        <w:t>39</w:t>
      </w:r>
      <w:r>
        <w:rPr>
          <w:rFonts w:hint="default" w:ascii="Times New Roman" w:hAnsi="Times New Roman" w:eastAsia="华文中宋" w:cs="Times New Roman"/>
          <w:color w:val="auto"/>
          <w:lang w:eastAsia="zh-CN"/>
        </w:rPr>
        <w:t>″。</w:t>
      </w:r>
    </w:p>
    <w:p w14:paraId="773AC845">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项目投资</w:t>
      </w:r>
      <w:r>
        <w:rPr>
          <w:rFonts w:hint="default" w:ascii="Times New Roman" w:hAnsi="Times New Roman" w:eastAsia="华文中宋" w:cs="Times New Roman"/>
          <w:color w:val="auto"/>
        </w:rPr>
        <w:t>：总投资为</w:t>
      </w:r>
      <w:r>
        <w:rPr>
          <w:rFonts w:hint="eastAsia" w:ascii="Times New Roman" w:hAnsi="Times New Roman" w:cs="Times New Roman"/>
          <w:color w:val="auto"/>
          <w:lang w:val="en-US" w:eastAsia="zh-CN"/>
        </w:rPr>
        <w:t>6131</w:t>
      </w:r>
      <w:r>
        <w:rPr>
          <w:rFonts w:hint="default" w:ascii="Times New Roman" w:hAnsi="Times New Roman" w:eastAsia="华文中宋" w:cs="Times New Roman"/>
          <w:color w:val="auto"/>
        </w:rPr>
        <w:t>万元</w:t>
      </w:r>
      <w:r>
        <w:rPr>
          <w:rFonts w:hint="default" w:ascii="Times New Roman" w:hAnsi="Times New Roman" w:eastAsia="华文中宋" w:cs="Times New Roman"/>
          <w:color w:val="auto"/>
          <w:lang w:eastAsia="zh-CN"/>
        </w:rPr>
        <w:t>，属于新建项目，项目矿区面积</w:t>
      </w:r>
      <w:r>
        <w:rPr>
          <w:rFonts w:hint="default" w:ascii="Times New Roman" w:hAnsi="Times New Roman" w:eastAsia="华文中宋" w:cs="Times New Roman"/>
          <w:color w:val="auto"/>
          <w:lang w:val="en-US" w:eastAsia="zh-CN"/>
        </w:rPr>
        <w:t>0.9168km</w:t>
      </w:r>
      <w:r>
        <w:rPr>
          <w:rFonts w:hint="default" w:ascii="Times New Roman" w:hAnsi="Times New Roman" w:eastAsia="华文中宋" w:cs="Times New Roman"/>
          <w:color w:val="auto"/>
          <w:vertAlign w:val="superscript"/>
          <w:lang w:val="en-US" w:eastAsia="zh-CN"/>
        </w:rPr>
        <w:t>2</w:t>
      </w:r>
      <w:r>
        <w:rPr>
          <w:rFonts w:hint="default" w:ascii="Times New Roman" w:hAnsi="Times New Roman" w:eastAsia="华文中宋" w:cs="Times New Roman"/>
          <w:color w:val="auto"/>
          <w:lang w:val="en-US" w:eastAsia="zh-CN"/>
        </w:rPr>
        <w:t>，年产锑铅矿12万t，采用露天开采方式，并建设矿区及配套设施。</w:t>
      </w:r>
    </w:p>
    <w:p w14:paraId="5DB3E712">
      <w:pPr>
        <w:pStyle w:val="3"/>
        <w:spacing w:before="120" w:after="120" w:line="500" w:lineRule="exact"/>
        <w:ind w:left="375" w:hanging="375" w:firstLineChars="0"/>
        <w:contextualSpacing/>
        <w:rPr>
          <w:rFonts w:hint="default" w:ascii="Times New Roman" w:hAnsi="Times New Roman" w:eastAsia="华文中宋" w:cs="Times New Roman"/>
          <w:snapToGrid w:val="0"/>
          <w:kern w:val="0"/>
          <w:sz w:val="28"/>
          <w:szCs w:val="28"/>
          <w:lang w:val="en-US" w:eastAsia="zh-CN"/>
        </w:rPr>
      </w:pPr>
      <w:bookmarkStart w:id="356" w:name="_Toc11083"/>
      <w:bookmarkStart w:id="357" w:name="_Toc31774"/>
      <w:bookmarkStart w:id="358" w:name="_Toc23881"/>
      <w:bookmarkStart w:id="359" w:name="_Toc27224"/>
      <w:bookmarkStart w:id="360" w:name="_Toc29100"/>
      <w:bookmarkStart w:id="361" w:name="_Toc6186"/>
      <w:bookmarkStart w:id="362" w:name="_Toc10438"/>
      <w:bookmarkStart w:id="363" w:name="_Toc16820"/>
      <w:bookmarkStart w:id="364" w:name="_Toc6090"/>
      <w:r>
        <w:rPr>
          <w:rFonts w:hint="default" w:ascii="Times New Roman" w:hAnsi="Times New Roman" w:eastAsia="华文中宋" w:cs="Times New Roman"/>
          <w:snapToGrid w:val="0"/>
          <w:kern w:val="0"/>
          <w:sz w:val="28"/>
          <w:szCs w:val="28"/>
          <w:lang w:val="en-US" w:eastAsia="zh-CN"/>
        </w:rPr>
        <w:t>9.2</w:t>
      </w:r>
      <w:bookmarkEnd w:id="356"/>
      <w:bookmarkEnd w:id="357"/>
      <w:bookmarkEnd w:id="358"/>
      <w:bookmarkEnd w:id="359"/>
      <w:bookmarkEnd w:id="360"/>
      <w:bookmarkEnd w:id="361"/>
      <w:bookmarkEnd w:id="362"/>
      <w:r>
        <w:rPr>
          <w:rFonts w:hint="default" w:ascii="Times New Roman" w:hAnsi="Times New Roman" w:eastAsia="华文中宋" w:cs="Times New Roman"/>
          <w:snapToGrid w:val="0"/>
          <w:kern w:val="0"/>
          <w:sz w:val="28"/>
          <w:szCs w:val="28"/>
          <w:lang w:val="en-US" w:eastAsia="zh-CN"/>
        </w:rPr>
        <w:t>环境质量现状</w:t>
      </w:r>
      <w:bookmarkEnd w:id="363"/>
      <w:bookmarkEnd w:id="364"/>
    </w:p>
    <w:p w14:paraId="31A449D7">
      <w:pPr>
        <w:pStyle w:val="4"/>
        <w:spacing w:before="120" w:after="120" w:line="500" w:lineRule="exact"/>
        <w:rPr>
          <w:rFonts w:hint="default" w:ascii="Times New Roman" w:hAnsi="Times New Roman" w:eastAsia="华文中宋" w:cs="Times New Roman"/>
          <w:kern w:val="0"/>
          <w:sz w:val="24"/>
          <w:szCs w:val="24"/>
          <w:lang w:val="en-US" w:eastAsia="zh-CN"/>
        </w:rPr>
      </w:pPr>
      <w:bookmarkStart w:id="365" w:name="_Toc28650"/>
      <w:r>
        <w:rPr>
          <w:rFonts w:hint="default" w:ascii="Times New Roman" w:hAnsi="Times New Roman" w:eastAsia="华文中宋" w:cs="Times New Roman"/>
          <w:kern w:val="0"/>
          <w:sz w:val="24"/>
          <w:szCs w:val="24"/>
          <w:lang w:val="en-US" w:eastAsia="zh-CN"/>
        </w:rPr>
        <w:t>9.2.</w:t>
      </w:r>
      <w:r>
        <w:rPr>
          <w:rFonts w:hint="eastAsia" w:ascii="Times New Roman" w:hAnsi="Times New Roman" w:eastAsia="华文中宋" w:cs="Times New Roman"/>
          <w:kern w:val="0"/>
          <w:sz w:val="24"/>
          <w:szCs w:val="24"/>
          <w:lang w:val="en-US" w:eastAsia="zh-CN"/>
        </w:rPr>
        <w:t>1</w:t>
      </w:r>
      <w:r>
        <w:rPr>
          <w:rFonts w:hint="default" w:ascii="Times New Roman" w:hAnsi="Times New Roman" w:eastAsia="华文中宋" w:cs="Times New Roman"/>
          <w:kern w:val="0"/>
          <w:sz w:val="24"/>
          <w:szCs w:val="24"/>
          <w:lang w:val="en-US" w:eastAsia="zh-CN"/>
        </w:rPr>
        <w:t>环境空气质量</w:t>
      </w:r>
      <w:bookmarkEnd w:id="365"/>
    </w:p>
    <w:p w14:paraId="36DF4461">
      <w:pPr>
        <w:pStyle w:val="24"/>
        <w:snapToGrid w:val="0"/>
        <w:jc w:val="left"/>
        <w:rPr>
          <w:rFonts w:hint="default" w:ascii="Times New Roman" w:hAnsi="Times New Roman" w:eastAsia="华文中宋" w:cs="Times New Roman"/>
          <w:color w:val="auto"/>
        </w:rPr>
      </w:pPr>
      <w:r>
        <w:rPr>
          <w:rFonts w:hint="eastAsia" w:ascii="Times New Roman" w:hAnsi="Times New Roman" w:cs="Times New Roman"/>
          <w:color w:val="auto"/>
          <w:highlight w:val="none"/>
          <w:lang w:val="en-US" w:eastAsia="zh-CN"/>
        </w:rPr>
        <w:t>民丰县</w:t>
      </w:r>
      <w:r>
        <w:rPr>
          <w:rFonts w:hint="default" w:ascii="Times New Roman" w:hAnsi="Times New Roman" w:eastAsia="华文中宋" w:cs="Times New Roman"/>
          <w:color w:val="auto"/>
          <w:highlight w:val="none"/>
          <w:lang w:eastAsia="zh-CN"/>
        </w:rPr>
        <w:t>202</w:t>
      </w:r>
      <w:r>
        <w:rPr>
          <w:rFonts w:hint="eastAsia" w:ascii="Times New Roman" w:hAnsi="Times New Roman" w:cs="Times New Roman"/>
          <w:color w:val="auto"/>
          <w:highlight w:val="none"/>
          <w:lang w:val="en-US" w:eastAsia="zh-CN"/>
        </w:rPr>
        <w:t>4</w:t>
      </w:r>
      <w:r>
        <w:rPr>
          <w:rFonts w:hint="default" w:ascii="Times New Roman" w:hAnsi="Times New Roman" w:eastAsia="华文中宋" w:cs="Times New Roman"/>
          <w:color w:val="auto"/>
          <w:highlight w:val="none"/>
          <w:lang w:eastAsia="zh-CN"/>
        </w:rPr>
        <w:t>年SO</w:t>
      </w:r>
      <w:r>
        <w:rPr>
          <w:rFonts w:hint="default" w:ascii="Times New Roman" w:hAnsi="Times New Roman" w:eastAsia="华文中宋" w:cs="Times New Roman"/>
          <w:color w:val="auto"/>
          <w:highlight w:val="none"/>
          <w:vertAlign w:val="subscript"/>
          <w:lang w:eastAsia="zh-CN"/>
        </w:rPr>
        <w:t>2</w:t>
      </w:r>
      <w:r>
        <w:rPr>
          <w:rFonts w:hint="default" w:ascii="Times New Roman" w:hAnsi="Times New Roman" w:eastAsia="华文中宋" w:cs="Times New Roman"/>
          <w:color w:val="auto"/>
          <w:highlight w:val="none"/>
          <w:lang w:eastAsia="zh-CN"/>
        </w:rPr>
        <w:t>、NO</w:t>
      </w:r>
      <w:r>
        <w:rPr>
          <w:rFonts w:hint="default" w:ascii="Times New Roman" w:hAnsi="Times New Roman" w:eastAsia="华文中宋" w:cs="Times New Roman"/>
          <w:color w:val="auto"/>
          <w:highlight w:val="none"/>
          <w:vertAlign w:val="subscript"/>
          <w:lang w:eastAsia="zh-CN"/>
        </w:rPr>
        <w:t>2</w:t>
      </w:r>
      <w:r>
        <w:rPr>
          <w:rFonts w:hint="default" w:ascii="Times New Roman" w:hAnsi="Times New Roman" w:eastAsia="华文中宋" w:cs="Times New Roman"/>
          <w:color w:val="auto"/>
          <w:highlight w:val="none"/>
          <w:lang w:eastAsia="zh-CN"/>
        </w:rPr>
        <w:t>、PM</w:t>
      </w:r>
      <w:r>
        <w:rPr>
          <w:rFonts w:hint="default" w:ascii="Times New Roman" w:hAnsi="Times New Roman" w:eastAsia="华文中宋" w:cs="Times New Roman"/>
          <w:color w:val="auto"/>
          <w:highlight w:val="none"/>
          <w:vertAlign w:val="subscript"/>
          <w:lang w:eastAsia="zh-CN"/>
        </w:rPr>
        <w:t>10</w:t>
      </w:r>
      <w:r>
        <w:rPr>
          <w:rFonts w:hint="default" w:ascii="Times New Roman" w:hAnsi="Times New Roman" w:eastAsia="华文中宋" w:cs="Times New Roman"/>
          <w:color w:val="auto"/>
          <w:highlight w:val="none"/>
          <w:lang w:eastAsia="zh-CN"/>
        </w:rPr>
        <w:t>、PM</w:t>
      </w:r>
      <w:r>
        <w:rPr>
          <w:rFonts w:hint="default" w:ascii="Times New Roman" w:hAnsi="Times New Roman" w:eastAsia="华文中宋" w:cs="Times New Roman"/>
          <w:color w:val="auto"/>
          <w:highlight w:val="none"/>
          <w:vertAlign w:val="subscript"/>
          <w:lang w:eastAsia="zh-CN"/>
        </w:rPr>
        <w:t>2.5</w:t>
      </w:r>
      <w:r>
        <w:rPr>
          <w:rFonts w:hint="eastAsia" w:ascii="Times New Roman" w:hAnsi="Times New Roman" w:cs="Times New Roman"/>
          <w:color w:val="auto"/>
          <w:highlight w:val="none"/>
          <w:vertAlign w:val="subscript"/>
          <w:lang w:eastAsia="zh-CN"/>
        </w:rPr>
        <w:t>、</w:t>
      </w:r>
      <w:r>
        <w:rPr>
          <w:rFonts w:hint="eastAsia" w:ascii="Times New Roman" w:hAnsi="Times New Roman" w:cs="Times New Roman"/>
          <w:color w:val="auto"/>
          <w:highlight w:val="none"/>
          <w:vertAlign w:val="baseline"/>
          <w:lang w:val="en-US" w:eastAsia="zh-CN"/>
        </w:rPr>
        <w:t>CO</w:t>
      </w:r>
      <w:r>
        <w:rPr>
          <w:rFonts w:hint="default" w:ascii="Times New Roman" w:hAnsi="Times New Roman" w:eastAsia="华文中宋" w:cs="Times New Roman"/>
          <w:color w:val="auto"/>
          <w:highlight w:val="none"/>
          <w:lang w:eastAsia="zh-CN"/>
        </w:rPr>
        <w:t>年均浓度分别为</w:t>
      </w:r>
      <w:r>
        <w:rPr>
          <w:rFonts w:hint="eastAsia" w:ascii="Times New Roman" w:hAnsi="Times New Roman" w:cs="Times New Roman"/>
          <w:color w:val="auto"/>
          <w:highlight w:val="none"/>
          <w:lang w:val="en-US" w:eastAsia="zh-CN"/>
        </w:rPr>
        <w:t>4</w:t>
      </w:r>
      <w:r>
        <w:rPr>
          <w:rFonts w:hint="default" w:ascii="Times New Roman" w:hAnsi="Times New Roman" w:eastAsia="华文中宋" w:cs="Times New Roman"/>
          <w:color w:val="auto"/>
          <w:highlight w:val="none"/>
          <w:lang w:eastAsia="zh-CN"/>
        </w:rPr>
        <w:t>μg/m</w:t>
      </w:r>
      <w:r>
        <w:rPr>
          <w:rFonts w:hint="default" w:ascii="Times New Roman" w:hAnsi="Times New Roman" w:eastAsia="华文中宋" w:cs="Times New Roman"/>
          <w:color w:val="auto"/>
          <w:highlight w:val="none"/>
          <w:vertAlign w:val="superscript"/>
          <w:lang w:eastAsia="zh-CN"/>
        </w:rPr>
        <w:t>3</w:t>
      </w:r>
      <w:r>
        <w:rPr>
          <w:rFonts w:hint="default" w:ascii="Times New Roman" w:hAnsi="Times New Roman" w:eastAsia="华文中宋" w:cs="Times New Roman"/>
          <w:color w:val="auto"/>
          <w:highlight w:val="none"/>
          <w:lang w:eastAsia="zh-CN"/>
        </w:rPr>
        <w:t>、</w:t>
      </w:r>
      <w:r>
        <w:rPr>
          <w:rFonts w:hint="eastAsia" w:ascii="Times New Roman" w:hAnsi="Times New Roman" w:cs="Times New Roman"/>
          <w:color w:val="auto"/>
          <w:highlight w:val="none"/>
          <w:lang w:val="en-US" w:eastAsia="zh-CN"/>
        </w:rPr>
        <w:t>8</w:t>
      </w:r>
      <w:r>
        <w:rPr>
          <w:rFonts w:hint="default" w:ascii="Times New Roman" w:hAnsi="Times New Roman" w:eastAsia="华文中宋" w:cs="Times New Roman"/>
          <w:color w:val="auto"/>
          <w:highlight w:val="none"/>
          <w:lang w:eastAsia="zh-CN"/>
        </w:rPr>
        <w:t>μg/m</w:t>
      </w:r>
      <w:r>
        <w:rPr>
          <w:rFonts w:hint="default" w:ascii="Times New Roman" w:hAnsi="Times New Roman" w:eastAsia="华文中宋" w:cs="Times New Roman"/>
          <w:color w:val="auto"/>
          <w:highlight w:val="none"/>
          <w:vertAlign w:val="superscript"/>
          <w:lang w:eastAsia="zh-CN"/>
        </w:rPr>
        <w:t>3</w:t>
      </w:r>
      <w:r>
        <w:rPr>
          <w:rFonts w:hint="default" w:ascii="Times New Roman" w:hAnsi="Times New Roman" w:eastAsia="华文中宋" w:cs="Times New Roman"/>
          <w:color w:val="auto"/>
          <w:highlight w:val="none"/>
          <w:lang w:eastAsia="zh-CN"/>
        </w:rPr>
        <w:t>、</w:t>
      </w:r>
      <w:r>
        <w:rPr>
          <w:rFonts w:hint="eastAsia" w:ascii="Times New Roman" w:hAnsi="Times New Roman" w:cs="Times New Roman"/>
          <w:color w:val="auto"/>
          <w:highlight w:val="none"/>
          <w:lang w:val="en-US" w:eastAsia="zh-CN"/>
        </w:rPr>
        <w:t>406</w:t>
      </w:r>
      <w:r>
        <w:rPr>
          <w:rFonts w:hint="default" w:ascii="Times New Roman" w:hAnsi="Times New Roman" w:eastAsia="华文中宋" w:cs="Times New Roman"/>
          <w:color w:val="auto"/>
          <w:highlight w:val="none"/>
          <w:lang w:eastAsia="zh-CN"/>
        </w:rPr>
        <w:t>μg/m</w:t>
      </w:r>
      <w:r>
        <w:rPr>
          <w:rFonts w:hint="default" w:ascii="Times New Roman" w:hAnsi="Times New Roman" w:eastAsia="华文中宋" w:cs="Times New Roman"/>
          <w:color w:val="auto"/>
          <w:highlight w:val="none"/>
          <w:vertAlign w:val="superscript"/>
          <w:lang w:eastAsia="zh-CN"/>
        </w:rPr>
        <w:t>3</w:t>
      </w:r>
      <w:r>
        <w:rPr>
          <w:rFonts w:hint="default" w:ascii="Times New Roman" w:hAnsi="Times New Roman" w:eastAsia="华文中宋" w:cs="Times New Roman"/>
          <w:color w:val="auto"/>
          <w:highlight w:val="none"/>
          <w:lang w:eastAsia="zh-CN"/>
        </w:rPr>
        <w:t>、</w:t>
      </w:r>
      <w:r>
        <w:rPr>
          <w:rFonts w:hint="eastAsia" w:ascii="Times New Roman" w:hAnsi="Times New Roman" w:cs="Times New Roman"/>
          <w:color w:val="auto"/>
          <w:highlight w:val="none"/>
          <w:lang w:val="en-US" w:eastAsia="zh-CN"/>
        </w:rPr>
        <w:t>101</w:t>
      </w:r>
      <w:r>
        <w:rPr>
          <w:rFonts w:hint="default" w:ascii="Times New Roman" w:hAnsi="Times New Roman" w:eastAsia="华文中宋" w:cs="Times New Roman"/>
          <w:color w:val="auto"/>
          <w:highlight w:val="none"/>
          <w:lang w:eastAsia="zh-CN"/>
        </w:rPr>
        <w:t>μg/m</w:t>
      </w:r>
      <w:r>
        <w:rPr>
          <w:rFonts w:hint="default" w:ascii="Times New Roman" w:hAnsi="Times New Roman" w:eastAsia="华文中宋" w:cs="Times New Roman"/>
          <w:color w:val="auto"/>
          <w:highlight w:val="none"/>
          <w:vertAlign w:val="superscript"/>
          <w:lang w:eastAsia="zh-CN"/>
        </w:rPr>
        <w:t>3</w:t>
      </w:r>
      <w:r>
        <w:rPr>
          <w:rFonts w:hint="eastAsia" w:ascii="Times New Roman" w:hAnsi="Times New Roman" w:cs="Times New Roman"/>
          <w:color w:val="auto"/>
          <w:highlight w:val="none"/>
          <w:vertAlign w:val="baseline"/>
          <w:lang w:val="en-US" w:eastAsia="zh-CN"/>
        </w:rPr>
        <w:t>、900</w:t>
      </w:r>
      <w:r>
        <w:rPr>
          <w:rFonts w:hint="default" w:ascii="Times New Roman" w:hAnsi="Times New Roman" w:eastAsia="华文中宋" w:cs="Times New Roman"/>
          <w:color w:val="auto"/>
          <w:highlight w:val="none"/>
          <w:lang w:eastAsia="zh-CN"/>
        </w:rPr>
        <w:t>μg/m</w:t>
      </w:r>
      <w:r>
        <w:rPr>
          <w:rFonts w:hint="default" w:ascii="Times New Roman" w:hAnsi="Times New Roman" w:eastAsia="华文中宋" w:cs="Times New Roman"/>
          <w:color w:val="auto"/>
          <w:highlight w:val="none"/>
          <w:vertAlign w:val="superscript"/>
          <w:lang w:eastAsia="zh-CN"/>
        </w:rPr>
        <w:t>3</w:t>
      </w:r>
      <w:r>
        <w:rPr>
          <w:rFonts w:hint="default" w:ascii="Times New Roman" w:hAnsi="Times New Roman" w:eastAsia="华文中宋" w:cs="Times New Roman"/>
          <w:color w:val="auto"/>
          <w:highlight w:val="none"/>
          <w:lang w:eastAsia="zh-CN"/>
        </w:rPr>
        <w:t>；O</w:t>
      </w:r>
      <w:r>
        <w:rPr>
          <w:rFonts w:hint="default" w:ascii="Times New Roman" w:hAnsi="Times New Roman" w:eastAsia="华文中宋" w:cs="Times New Roman"/>
          <w:color w:val="auto"/>
          <w:highlight w:val="none"/>
          <w:vertAlign w:val="subscript"/>
          <w:lang w:eastAsia="zh-CN"/>
        </w:rPr>
        <w:t>3</w:t>
      </w:r>
      <w:r>
        <w:rPr>
          <w:rFonts w:hint="default" w:ascii="Times New Roman" w:hAnsi="Times New Roman" w:eastAsia="华文中宋" w:cs="Times New Roman"/>
          <w:color w:val="auto"/>
          <w:highlight w:val="none"/>
          <w:lang w:eastAsia="zh-CN"/>
        </w:rPr>
        <w:t>日最大8小时</w:t>
      </w:r>
      <w:r>
        <w:rPr>
          <w:rFonts w:hint="eastAsia" w:ascii="Times New Roman" w:hAnsi="Times New Roman" w:cs="Times New Roman"/>
          <w:color w:val="auto"/>
          <w:highlight w:val="none"/>
          <w:lang w:val="en-US" w:eastAsia="zh-CN"/>
        </w:rPr>
        <w:t>日</w:t>
      </w:r>
      <w:r>
        <w:rPr>
          <w:rFonts w:hint="default" w:ascii="Times New Roman" w:hAnsi="Times New Roman" w:eastAsia="华文中宋" w:cs="Times New Roman"/>
          <w:color w:val="auto"/>
          <w:highlight w:val="none"/>
          <w:lang w:eastAsia="zh-CN"/>
        </w:rPr>
        <w:t>平均为1</w:t>
      </w:r>
      <w:r>
        <w:rPr>
          <w:rFonts w:hint="eastAsia" w:ascii="Times New Roman" w:hAnsi="Times New Roman" w:cs="Times New Roman"/>
          <w:color w:val="auto"/>
          <w:highlight w:val="none"/>
          <w:lang w:val="en-US" w:eastAsia="zh-CN"/>
        </w:rPr>
        <w:t>07</w:t>
      </w:r>
      <w:r>
        <w:rPr>
          <w:rFonts w:hint="default" w:ascii="Times New Roman" w:hAnsi="Times New Roman" w:eastAsia="华文中宋" w:cs="Times New Roman"/>
          <w:color w:val="auto"/>
          <w:highlight w:val="none"/>
          <w:lang w:eastAsia="zh-CN"/>
        </w:rPr>
        <w:t>μg/m</w:t>
      </w:r>
      <w:r>
        <w:rPr>
          <w:rFonts w:hint="default" w:ascii="Times New Roman" w:hAnsi="Times New Roman" w:eastAsia="华文中宋" w:cs="Times New Roman"/>
          <w:color w:val="auto"/>
          <w:highlight w:val="none"/>
          <w:vertAlign w:val="superscript"/>
          <w:lang w:eastAsia="zh-CN"/>
        </w:rPr>
        <w:t>3</w:t>
      </w:r>
      <w:r>
        <w:rPr>
          <w:rFonts w:hint="default" w:ascii="Times New Roman" w:hAnsi="Times New Roman" w:eastAsia="华文中宋" w:cs="Times New Roman"/>
          <w:color w:val="auto"/>
          <w:highlight w:val="none"/>
          <w:lang w:eastAsia="zh-CN"/>
        </w:rPr>
        <w:t>；</w:t>
      </w:r>
      <w:r>
        <w:rPr>
          <w:rFonts w:hint="eastAsia" w:ascii="Times New Roman" w:hAnsi="Times New Roman" w:cs="Times New Roman"/>
          <w:color w:val="auto"/>
          <w:highlight w:val="none"/>
          <w:lang w:val="en-US" w:eastAsia="zh-CN"/>
        </w:rPr>
        <w:t>铅季平均浓度为0.435</w:t>
      </w:r>
      <w:r>
        <w:rPr>
          <w:rFonts w:hint="default" w:ascii="Times New Roman" w:hAnsi="Times New Roman" w:eastAsia="华文中宋" w:cs="Times New Roman"/>
          <w:color w:val="auto"/>
          <w:highlight w:val="none"/>
          <w:lang w:eastAsia="zh-CN"/>
        </w:rPr>
        <w:t>μg/m</w:t>
      </w:r>
      <w:r>
        <w:rPr>
          <w:rFonts w:hint="default" w:ascii="Times New Roman" w:hAnsi="Times New Roman" w:eastAsia="华文中宋" w:cs="Times New Roman"/>
          <w:color w:val="auto"/>
          <w:highlight w:val="none"/>
          <w:vertAlign w:val="superscript"/>
          <w:lang w:eastAsia="zh-CN"/>
        </w:rPr>
        <w:t>3</w:t>
      </w:r>
      <w:r>
        <w:rPr>
          <w:rFonts w:hint="eastAsia" w:ascii="Times New Roman" w:hAnsi="Times New Roman" w:cs="Times New Roman"/>
          <w:color w:val="auto"/>
          <w:highlight w:val="none"/>
          <w:vertAlign w:val="baseline"/>
          <w:lang w:eastAsia="zh-CN"/>
        </w:rPr>
        <w:t>。</w:t>
      </w:r>
      <w:r>
        <w:rPr>
          <w:rFonts w:hint="default" w:ascii="Times New Roman" w:hAnsi="Times New Roman" w:eastAsia="华文中宋" w:cs="Times New Roman"/>
          <w:color w:val="auto"/>
          <w:highlight w:val="none"/>
          <w:lang w:eastAsia="zh-CN"/>
        </w:rPr>
        <w:t>PM</w:t>
      </w:r>
      <w:r>
        <w:rPr>
          <w:rFonts w:hint="default" w:ascii="Times New Roman" w:hAnsi="Times New Roman" w:eastAsia="华文中宋" w:cs="Times New Roman"/>
          <w:color w:val="auto"/>
          <w:highlight w:val="none"/>
          <w:vertAlign w:val="subscript"/>
          <w:lang w:eastAsia="zh-CN"/>
        </w:rPr>
        <w:t>10</w:t>
      </w:r>
      <w:r>
        <w:rPr>
          <w:rFonts w:hint="default" w:ascii="Times New Roman" w:hAnsi="Times New Roman" w:eastAsia="华文中宋" w:cs="Times New Roman"/>
          <w:color w:val="auto"/>
          <w:highlight w:val="none"/>
          <w:lang w:eastAsia="zh-CN"/>
        </w:rPr>
        <w:t>、PM</w:t>
      </w:r>
      <w:r>
        <w:rPr>
          <w:rFonts w:hint="default" w:ascii="Times New Roman" w:hAnsi="Times New Roman" w:eastAsia="华文中宋" w:cs="Times New Roman"/>
          <w:color w:val="auto"/>
          <w:highlight w:val="none"/>
          <w:vertAlign w:val="subscript"/>
          <w:lang w:eastAsia="zh-CN"/>
        </w:rPr>
        <w:t>2.5</w:t>
      </w:r>
      <w:r>
        <w:rPr>
          <w:rFonts w:hint="default" w:ascii="Times New Roman" w:hAnsi="Times New Roman" w:eastAsia="华文中宋" w:cs="Times New Roman"/>
          <w:color w:val="auto"/>
          <w:highlight w:val="none"/>
          <w:lang w:eastAsia="zh-CN"/>
        </w:rPr>
        <w:t>超过《环境空气质量标准》（GB3095-2012）中二级标准限值。</w:t>
      </w:r>
      <w:r>
        <w:rPr>
          <w:rFonts w:hint="default" w:ascii="Times New Roman" w:hAnsi="Times New Roman" w:eastAsia="华文中宋" w:cs="Times New Roman"/>
          <w:color w:val="auto"/>
          <w:highlight w:val="none"/>
          <w:lang w:val="en-US" w:eastAsia="zh-CN"/>
        </w:rPr>
        <w:t>判定为不达标区。根据《关于在南疆四地州深度贫困地区实施〈环境影响评价技术导则 大气环境〉（HJ2.2-2018）差别化政策有关事宜的复函》，本项目可不提供颗粒物削减方案、不需要进一步预测与叠加分析，在开展现状环境质量调查等工作后，可认为大气环境影响可接受</w:t>
      </w:r>
      <w:r>
        <w:rPr>
          <w:rFonts w:hint="default" w:ascii="Times New Roman" w:hAnsi="Times New Roman" w:eastAsia="华文中宋" w:cs="Times New Roman"/>
          <w:color w:val="auto"/>
          <w:lang w:val="en-US" w:eastAsia="zh-CN"/>
        </w:rPr>
        <w:t>。</w:t>
      </w:r>
    </w:p>
    <w:p w14:paraId="17EFB37D">
      <w:pPr>
        <w:pStyle w:val="4"/>
        <w:spacing w:before="120" w:after="120" w:line="500" w:lineRule="exact"/>
        <w:rPr>
          <w:rFonts w:hint="default" w:ascii="Times New Roman" w:hAnsi="Times New Roman" w:eastAsia="华文中宋" w:cs="Times New Roman"/>
          <w:kern w:val="0"/>
          <w:sz w:val="24"/>
          <w:szCs w:val="24"/>
          <w:lang w:val="en-US" w:eastAsia="zh-CN"/>
        </w:rPr>
      </w:pPr>
      <w:bookmarkStart w:id="366" w:name="_Toc8016"/>
      <w:r>
        <w:rPr>
          <w:rFonts w:hint="default" w:ascii="Times New Roman" w:hAnsi="Times New Roman" w:eastAsia="华文中宋" w:cs="Times New Roman"/>
          <w:kern w:val="0"/>
          <w:sz w:val="24"/>
          <w:szCs w:val="24"/>
          <w:lang w:val="en-US" w:eastAsia="zh-CN"/>
        </w:rPr>
        <w:t>9.2.</w:t>
      </w:r>
      <w:r>
        <w:rPr>
          <w:rFonts w:hint="eastAsia" w:ascii="Times New Roman" w:hAnsi="Times New Roman" w:eastAsia="华文中宋" w:cs="Times New Roman"/>
          <w:kern w:val="0"/>
          <w:sz w:val="24"/>
          <w:szCs w:val="24"/>
          <w:lang w:val="en-US" w:eastAsia="zh-CN"/>
        </w:rPr>
        <w:t>2</w:t>
      </w:r>
      <w:r>
        <w:rPr>
          <w:rFonts w:hint="default" w:ascii="Times New Roman" w:hAnsi="Times New Roman" w:eastAsia="华文中宋" w:cs="Times New Roman"/>
          <w:kern w:val="0"/>
          <w:sz w:val="24"/>
          <w:szCs w:val="24"/>
          <w:lang w:val="en-US" w:eastAsia="zh-CN"/>
        </w:rPr>
        <w:t>声环境质量</w:t>
      </w:r>
      <w:bookmarkEnd w:id="366"/>
    </w:p>
    <w:p w14:paraId="7B06D2AA">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rPr>
        <w:t>现状监测表明：东、南、西、北四个</w:t>
      </w:r>
      <w:r>
        <w:rPr>
          <w:rFonts w:hint="eastAsia" w:ascii="Times New Roman" w:hAnsi="Times New Roman" w:eastAsia="华文中宋" w:cs="Times New Roman"/>
          <w:color w:val="auto"/>
          <w:lang w:val="en-US" w:eastAsia="zh-CN"/>
        </w:rPr>
        <w:t>项目区边界</w:t>
      </w:r>
      <w:r>
        <w:rPr>
          <w:rFonts w:hint="default" w:ascii="Times New Roman" w:hAnsi="Times New Roman" w:eastAsia="华文中宋" w:cs="Times New Roman"/>
          <w:color w:val="auto"/>
        </w:rPr>
        <w:t>声环境均满足《</w:t>
      </w:r>
      <w:r>
        <w:rPr>
          <w:rFonts w:hint="eastAsia" w:ascii="Times New Roman" w:hAnsi="Times New Roman" w:cs="Times New Roman"/>
          <w:color w:val="auto"/>
          <w:lang w:val="en-US" w:eastAsia="zh-CN"/>
        </w:rPr>
        <w:t>声环境质量</w:t>
      </w:r>
      <w:r>
        <w:rPr>
          <w:rFonts w:hint="default" w:ascii="Times New Roman" w:hAnsi="Times New Roman" w:eastAsia="华文中宋" w:cs="Times New Roman"/>
          <w:color w:val="auto"/>
        </w:rPr>
        <w:t>标准》（GB</w:t>
      </w:r>
      <w:r>
        <w:rPr>
          <w:rFonts w:hint="eastAsia" w:ascii="Times New Roman" w:hAnsi="Times New Roman" w:cs="Times New Roman"/>
          <w:color w:val="auto"/>
          <w:lang w:val="en-US" w:eastAsia="zh-CN"/>
        </w:rPr>
        <w:t>3096</w:t>
      </w:r>
      <w:r>
        <w:rPr>
          <w:rFonts w:hint="default" w:ascii="Times New Roman" w:hAnsi="Times New Roman" w:eastAsia="华文中宋" w:cs="Times New Roman"/>
          <w:color w:val="auto"/>
        </w:rPr>
        <w:t>-2008）中的</w:t>
      </w:r>
      <w:r>
        <w:rPr>
          <w:rFonts w:hint="default" w:ascii="Times New Roman" w:hAnsi="Times New Roman" w:eastAsia="华文中宋" w:cs="Times New Roman"/>
          <w:color w:val="auto"/>
          <w:lang w:val="en-US" w:eastAsia="zh-CN"/>
        </w:rPr>
        <w:t>2</w:t>
      </w:r>
      <w:r>
        <w:rPr>
          <w:rFonts w:hint="default" w:ascii="Times New Roman" w:hAnsi="Times New Roman" w:eastAsia="华文中宋" w:cs="Times New Roman"/>
          <w:color w:val="auto"/>
        </w:rPr>
        <w:t>类标准要求。</w:t>
      </w:r>
    </w:p>
    <w:p w14:paraId="1F195598">
      <w:pPr>
        <w:pStyle w:val="4"/>
        <w:spacing w:before="120" w:after="120" w:line="500" w:lineRule="exact"/>
        <w:rPr>
          <w:rFonts w:hint="default" w:ascii="Times New Roman" w:hAnsi="Times New Roman" w:eastAsia="华文中宋" w:cs="Times New Roman"/>
          <w:kern w:val="0"/>
          <w:sz w:val="24"/>
          <w:szCs w:val="24"/>
          <w:lang w:val="en-US" w:eastAsia="zh-CN"/>
        </w:rPr>
      </w:pPr>
      <w:bookmarkStart w:id="367" w:name="_Toc31870"/>
      <w:r>
        <w:rPr>
          <w:rFonts w:hint="default" w:ascii="Times New Roman" w:hAnsi="Times New Roman" w:eastAsia="华文中宋" w:cs="Times New Roman"/>
          <w:kern w:val="0"/>
          <w:sz w:val="24"/>
          <w:szCs w:val="24"/>
          <w:lang w:val="en-US" w:eastAsia="zh-CN"/>
        </w:rPr>
        <w:t>9.2.</w:t>
      </w:r>
      <w:r>
        <w:rPr>
          <w:rFonts w:hint="eastAsia" w:ascii="Times New Roman" w:hAnsi="Times New Roman" w:eastAsia="华文中宋" w:cs="Times New Roman"/>
          <w:kern w:val="0"/>
          <w:sz w:val="24"/>
          <w:szCs w:val="24"/>
          <w:lang w:val="en-US" w:eastAsia="zh-CN"/>
        </w:rPr>
        <w:t>3</w:t>
      </w:r>
      <w:r>
        <w:rPr>
          <w:rFonts w:hint="default" w:ascii="Times New Roman" w:hAnsi="Times New Roman" w:eastAsia="华文中宋" w:cs="Times New Roman"/>
          <w:kern w:val="0"/>
          <w:sz w:val="24"/>
          <w:szCs w:val="24"/>
          <w:lang w:val="en-US" w:eastAsia="zh-CN"/>
        </w:rPr>
        <w:t>生态环境质量现状</w:t>
      </w:r>
      <w:bookmarkEnd w:id="367"/>
    </w:p>
    <w:p w14:paraId="2D93FF06">
      <w:pPr>
        <w:pStyle w:val="24"/>
        <w:snapToGrid w:val="0"/>
        <w:jc w:val="left"/>
        <w:rPr>
          <w:rFonts w:hint="eastAsia"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项目</w:t>
      </w:r>
      <w:r>
        <w:rPr>
          <w:rFonts w:hint="eastAsia" w:ascii="Times New Roman" w:hAnsi="Times New Roman" w:eastAsia="华文中宋" w:cs="Times New Roman"/>
          <w:color w:val="auto"/>
          <w:lang w:val="en-US" w:eastAsia="zh-CN"/>
        </w:rPr>
        <w:t>区周边无重要工业区、大型水利工程设施、城镇市政工程设施所在区域，军事管理区、机场、国防工程设施圈定的区域，居民聚集区以及重要河流和具有饮用功能的河流。</w:t>
      </w:r>
    </w:p>
    <w:p w14:paraId="06B84822">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项目区及周边人为活动痕迹较少，属于高海拔严寒地区，植被种类单一，植被覆盖率较低，主要为垫状驼绒藜。</w:t>
      </w:r>
      <w:r>
        <w:rPr>
          <w:rFonts w:hint="default" w:ascii="Times New Roman" w:hAnsi="Times New Roman" w:eastAsia="华文中宋" w:cs="Times New Roman"/>
          <w:color w:val="auto"/>
          <w:lang w:val="en-US" w:eastAsia="zh-CN"/>
        </w:rPr>
        <w:t>项目区内无藏羚羊、黄羊</w:t>
      </w:r>
      <w:r>
        <w:rPr>
          <w:rFonts w:hint="eastAsia" w:ascii="Times New Roman" w:hAnsi="Times New Roman" w:eastAsia="华文中宋" w:cs="Times New Roman"/>
          <w:color w:val="auto"/>
          <w:lang w:val="en-US" w:eastAsia="zh-CN"/>
        </w:rPr>
        <w:t>、野兔、赤狐、灰狼</w:t>
      </w:r>
      <w:r>
        <w:rPr>
          <w:rFonts w:hint="default" w:ascii="Times New Roman" w:hAnsi="Times New Roman" w:eastAsia="华文中宋" w:cs="Times New Roman"/>
          <w:color w:val="auto"/>
          <w:lang w:val="en-US" w:eastAsia="zh-CN"/>
        </w:rPr>
        <w:t>活动踪迹，但在项目区数公里外发现单个黄羊踪迹，经搜寻项目区无以上动物巢穴，判断为路过，后再未发现黄羊踪迹。</w:t>
      </w:r>
    </w:p>
    <w:p w14:paraId="0C47D088">
      <w:pPr>
        <w:pStyle w:val="24"/>
        <w:snapToGrid w:val="0"/>
        <w:jc w:val="left"/>
        <w:rPr>
          <w:rFonts w:hint="eastAsia"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项目区域土质主要为灰色单粒结构砂土，土质偏碱性，</w:t>
      </w:r>
      <w:r>
        <w:rPr>
          <w:rFonts w:hint="default" w:ascii="Times New Roman" w:hAnsi="Times New Roman" w:eastAsia="华文中宋" w:cs="Times New Roman"/>
          <w:color w:val="auto"/>
          <w:lang w:val="en-US" w:eastAsia="zh-CN"/>
        </w:rPr>
        <w:t>根据实地调查和卫星遥感影像解译，评价区土地利用类型为</w:t>
      </w:r>
      <w:r>
        <w:rPr>
          <w:rFonts w:hint="eastAsia" w:ascii="Times New Roman" w:hAnsi="Times New Roman" w:eastAsia="华文中宋" w:cs="Times New Roman"/>
          <w:color w:val="auto"/>
          <w:lang w:val="en-US" w:eastAsia="zh-CN"/>
        </w:rPr>
        <w:t>低覆盖度草地</w:t>
      </w:r>
      <w:r>
        <w:rPr>
          <w:rFonts w:hint="default" w:ascii="Times New Roman" w:hAnsi="Times New Roman" w:eastAsia="华文中宋" w:cs="Times New Roman"/>
          <w:color w:val="auto"/>
          <w:lang w:val="en-US" w:eastAsia="zh-CN"/>
        </w:rPr>
        <w:t>。</w:t>
      </w:r>
    </w:p>
    <w:p w14:paraId="7ADEC817">
      <w:pPr>
        <w:pStyle w:val="24"/>
        <w:snapToGrid w:val="0"/>
        <w:jc w:val="left"/>
        <w:rPr>
          <w:rFonts w:hint="eastAsia"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项目区水土流失情况比较严重，因此在矿山营运期间建设单位需按水保、矿山生态综合治理、土地复垦和环评的要求，对各工程区域采取工程措施及治污措施，对营运期所造成的生态破坏进行恢复，使水土流失得到有效控制。</w:t>
      </w:r>
    </w:p>
    <w:p w14:paraId="5A92B6EE">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eastAsia="华文中宋" w:cs="Times New Roman"/>
          <w:color w:val="auto"/>
          <w:lang w:val="en-US" w:eastAsia="zh-CN"/>
        </w:rPr>
        <w:t>据《新疆第六次沙化监测报告》调查数据显示，本项目不属于新疆荒漠化沙漠和新疆沙化土地，不涉及沙化土地封禁保护区。</w:t>
      </w:r>
    </w:p>
    <w:p w14:paraId="2F17C8BC">
      <w:pPr>
        <w:pStyle w:val="3"/>
        <w:spacing w:before="120" w:after="120" w:line="500" w:lineRule="exact"/>
        <w:contextualSpacing/>
        <w:rPr>
          <w:rFonts w:hint="default" w:ascii="Times New Roman" w:hAnsi="Times New Roman" w:eastAsia="华文中宋" w:cs="Times New Roman"/>
          <w:snapToGrid w:val="0"/>
          <w:kern w:val="0"/>
          <w:sz w:val="28"/>
          <w:szCs w:val="28"/>
          <w:lang w:val="en-US" w:eastAsia="zh-CN"/>
        </w:rPr>
      </w:pPr>
      <w:bookmarkStart w:id="368" w:name="_Toc19454"/>
      <w:bookmarkStart w:id="369" w:name="_Toc10945"/>
      <w:r>
        <w:rPr>
          <w:rFonts w:hint="default" w:ascii="Times New Roman" w:hAnsi="Times New Roman" w:eastAsia="华文中宋" w:cs="Times New Roman"/>
          <w:snapToGrid w:val="0"/>
          <w:kern w:val="0"/>
          <w:sz w:val="28"/>
          <w:szCs w:val="28"/>
          <w:lang w:val="en-US" w:eastAsia="zh-CN"/>
        </w:rPr>
        <w:t>9.3环境影响评价结论</w:t>
      </w:r>
      <w:bookmarkEnd w:id="368"/>
      <w:bookmarkEnd w:id="369"/>
    </w:p>
    <w:p w14:paraId="48789283">
      <w:pPr>
        <w:pStyle w:val="4"/>
        <w:spacing w:before="120" w:after="120" w:line="500" w:lineRule="exact"/>
        <w:rPr>
          <w:rFonts w:hint="default" w:ascii="Times New Roman" w:hAnsi="Times New Roman" w:eastAsia="华文中宋" w:cs="Times New Roman"/>
          <w:kern w:val="0"/>
          <w:sz w:val="24"/>
          <w:szCs w:val="24"/>
          <w:lang w:val="en-US" w:eastAsia="zh-CN"/>
        </w:rPr>
      </w:pPr>
      <w:bookmarkStart w:id="370" w:name="_Toc30402"/>
      <w:r>
        <w:rPr>
          <w:rFonts w:hint="default" w:ascii="Times New Roman" w:hAnsi="Times New Roman" w:eastAsia="华文中宋" w:cs="Times New Roman"/>
          <w:kern w:val="0"/>
          <w:sz w:val="24"/>
          <w:szCs w:val="24"/>
          <w:lang w:val="en-US" w:eastAsia="zh-CN"/>
        </w:rPr>
        <w:t>9.3.1生态环境影响评价结论</w:t>
      </w:r>
      <w:bookmarkEnd w:id="370"/>
    </w:p>
    <w:p w14:paraId="5E8AD6CC">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rPr>
        <w:t>本</w:t>
      </w:r>
      <w:r>
        <w:rPr>
          <w:rFonts w:hint="default" w:ascii="Times New Roman" w:hAnsi="Times New Roman" w:eastAsia="华文中宋" w:cs="Times New Roman"/>
          <w:color w:val="auto"/>
          <w:lang w:eastAsia="zh-CN"/>
        </w:rPr>
        <w:t>矿山开采</w:t>
      </w:r>
      <w:r>
        <w:rPr>
          <w:rFonts w:hint="default" w:ascii="Times New Roman" w:hAnsi="Times New Roman" w:eastAsia="华文中宋" w:cs="Times New Roman"/>
          <w:color w:val="auto"/>
        </w:rPr>
        <w:t>工程主要对生态环</w:t>
      </w:r>
      <w:r>
        <w:rPr>
          <w:rFonts w:hint="default" w:ascii="Times New Roman" w:hAnsi="Times New Roman" w:eastAsia="华文中宋" w:cs="Times New Roman"/>
          <w:color w:val="auto"/>
          <w:lang w:eastAsia="zh-CN"/>
        </w:rPr>
        <w:t>境的</w:t>
      </w:r>
      <w:r>
        <w:rPr>
          <w:rFonts w:hint="default" w:ascii="Times New Roman" w:hAnsi="Times New Roman" w:eastAsia="华文中宋" w:cs="Times New Roman"/>
          <w:color w:val="auto"/>
        </w:rPr>
        <w:t>影响为矿山开采部分，矿山的开发主要的影响为生态环</w:t>
      </w:r>
      <w:r>
        <w:rPr>
          <w:rFonts w:hint="eastAsia" w:ascii="Times New Roman" w:hAnsi="Times New Roman" w:eastAsia="华文中宋" w:cs="Times New Roman"/>
          <w:color w:val="auto"/>
          <w:lang w:eastAsia="zh-CN"/>
        </w:rPr>
        <w:t>境的</w:t>
      </w:r>
      <w:r>
        <w:rPr>
          <w:rFonts w:hint="default" w:ascii="Times New Roman" w:hAnsi="Times New Roman" w:eastAsia="华文中宋" w:cs="Times New Roman"/>
          <w:color w:val="auto"/>
        </w:rPr>
        <w:t>影响，矿区开采活动对生</w:t>
      </w:r>
      <w:r>
        <w:rPr>
          <w:rFonts w:hint="default" w:ascii="Times New Roman" w:hAnsi="Times New Roman" w:eastAsia="华文中宋" w:cs="Times New Roman"/>
          <w:color w:val="auto"/>
          <w:lang w:eastAsia="zh-CN"/>
        </w:rPr>
        <w:t>态的</w:t>
      </w:r>
      <w:r>
        <w:rPr>
          <w:rFonts w:hint="default" w:ascii="Times New Roman" w:hAnsi="Times New Roman" w:eastAsia="华文中宋" w:cs="Times New Roman"/>
          <w:color w:val="auto"/>
        </w:rPr>
        <w:t>影响主要表现在对地形地貌的影响、占地的影响、对地表植被的影响、对区域自然景观的影响、水土流失影响几个方面。矿区矿体的开采活动的开展将导致矿区地表形态的改变，开采活动占地将改变土地利用格局、扰动地表、破坏土壤植被、增加水土流失、影响生态环境质量。</w:t>
      </w:r>
    </w:p>
    <w:p w14:paraId="06D6203F">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val="en-US" w:eastAsia="zh-CN"/>
        </w:rPr>
        <w:t>本工程对局部自然生态环境造成一定的破坏，但对整个评价区域自然体系的稳定性不会造成明显影响，仅使局部区域植被铲除、水土流失侵蚀度增加，使局部生物量减少，局部自然生态环境遭到一定的破坏。但由于影响面积小，对评价区域内自然生态体系的稳定性和对外界环境干扰的阻抗和恢复功能影响不大，对整个评价范围内区域自然体系恢复稳定性不会产生明显的影响，评价区域内自然体系可以承受的；同时，工程建设和施工使区域生态环境局部动植物物种的移动和抵御内外界干扰受到了一定的影响，但对植被分布的空间影响不大。因此，项目实施与运行对区域自然体系中生态环境自身的异质化程度影响不大，对评价区域自然体系的稳定性不造成影响。</w:t>
      </w:r>
    </w:p>
    <w:p w14:paraId="02CA6EAD">
      <w:pPr>
        <w:pStyle w:val="4"/>
        <w:spacing w:before="120" w:after="120" w:line="500" w:lineRule="exact"/>
        <w:rPr>
          <w:rFonts w:hint="default" w:ascii="Times New Roman" w:hAnsi="Times New Roman" w:eastAsia="华文中宋" w:cs="Times New Roman"/>
          <w:kern w:val="0"/>
          <w:sz w:val="24"/>
          <w:szCs w:val="24"/>
          <w:lang w:val="en-US" w:eastAsia="zh-CN"/>
        </w:rPr>
      </w:pPr>
      <w:bookmarkStart w:id="371" w:name="_Toc21968"/>
      <w:r>
        <w:rPr>
          <w:rFonts w:hint="default" w:ascii="Times New Roman" w:hAnsi="Times New Roman" w:eastAsia="华文中宋" w:cs="Times New Roman"/>
          <w:kern w:val="0"/>
          <w:sz w:val="24"/>
          <w:szCs w:val="24"/>
          <w:lang w:val="en-US" w:eastAsia="zh-CN"/>
        </w:rPr>
        <w:t>9.3.2大气环境影响结论</w:t>
      </w:r>
      <w:bookmarkEnd w:id="371"/>
    </w:p>
    <w:p w14:paraId="3C1C03C3">
      <w:pPr>
        <w:pStyle w:val="24"/>
        <w:snapToGrid w:val="0"/>
        <w:jc w:val="left"/>
        <w:rPr>
          <w:rFonts w:hint="default" w:ascii="Times New Roman" w:hAnsi="Times New Roman" w:cs="Times New Roman" w:eastAsiaTheme="minorEastAsia"/>
          <w:color w:val="auto"/>
          <w:sz w:val="24"/>
        </w:rPr>
      </w:pPr>
      <w:r>
        <w:rPr>
          <w:rFonts w:hint="default" w:ascii="Times New Roman" w:hAnsi="Times New Roman" w:eastAsia="华文中宋" w:cs="Times New Roman"/>
          <w:color w:val="auto"/>
        </w:rPr>
        <w:t>采矿区主要大气污染问题是粉尘污染，污染物排放对较近距离环境有一定影响，在采取有效的防尘降尘措施后，对区域大气环境影响属于可接受范围内。</w:t>
      </w:r>
    </w:p>
    <w:p w14:paraId="46BC6445">
      <w:pPr>
        <w:pStyle w:val="4"/>
        <w:spacing w:before="120" w:after="120" w:line="500" w:lineRule="exact"/>
        <w:rPr>
          <w:rFonts w:hint="default" w:ascii="Times New Roman" w:hAnsi="Times New Roman" w:eastAsia="华文中宋" w:cs="Times New Roman"/>
          <w:kern w:val="0"/>
          <w:sz w:val="24"/>
          <w:szCs w:val="24"/>
          <w:lang w:val="en-US" w:eastAsia="zh-CN"/>
        </w:rPr>
      </w:pPr>
      <w:bookmarkStart w:id="372" w:name="_Toc22826"/>
      <w:r>
        <w:rPr>
          <w:rFonts w:hint="default" w:ascii="Times New Roman" w:hAnsi="Times New Roman" w:eastAsia="华文中宋" w:cs="Times New Roman"/>
          <w:kern w:val="0"/>
          <w:sz w:val="24"/>
          <w:szCs w:val="24"/>
          <w:lang w:val="en-US" w:eastAsia="zh-CN"/>
        </w:rPr>
        <w:t>9.3.3声环境影响结论</w:t>
      </w:r>
      <w:bookmarkEnd w:id="372"/>
    </w:p>
    <w:p w14:paraId="2E584762">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rPr>
        <w:t>本项目设备噪声源强度较大，通过采取有效的隔声、降噪措施后，矿界噪声均符合《工业企业厂界环境噪声排放标准》</w:t>
      </w:r>
      <w:r>
        <w:rPr>
          <w:rFonts w:hint="eastAsia" w:ascii="Times New Roman" w:hAnsi="Times New Roman" w:cs="Times New Roman"/>
          <w:color w:val="auto"/>
          <w:lang w:eastAsia="zh-CN"/>
        </w:rPr>
        <w:t>（</w:t>
      </w:r>
      <w:r>
        <w:rPr>
          <w:rFonts w:hint="default" w:ascii="Times New Roman" w:hAnsi="Times New Roman" w:eastAsia="华文中宋" w:cs="Times New Roman"/>
          <w:color w:val="auto"/>
        </w:rPr>
        <w:t>GB12348-2008</w:t>
      </w:r>
      <w:r>
        <w:rPr>
          <w:rFonts w:hint="eastAsia" w:ascii="Times New Roman" w:hAnsi="Times New Roman" w:cs="Times New Roman"/>
          <w:color w:val="auto"/>
          <w:lang w:eastAsia="zh-CN"/>
        </w:rPr>
        <w:t>）</w:t>
      </w:r>
      <w:r>
        <w:rPr>
          <w:rFonts w:hint="default" w:ascii="Times New Roman" w:hAnsi="Times New Roman" w:eastAsia="华文中宋" w:cs="Times New Roman"/>
          <w:color w:val="auto"/>
          <w:lang w:val="en-US" w:eastAsia="zh-CN"/>
        </w:rPr>
        <w:t>2</w:t>
      </w:r>
      <w:r>
        <w:rPr>
          <w:rFonts w:hint="default" w:ascii="Times New Roman" w:hAnsi="Times New Roman" w:eastAsia="华文中宋" w:cs="Times New Roman"/>
          <w:color w:val="auto"/>
        </w:rPr>
        <w:t>类标准的要求，采矿场噪声影响范围内及周围无居民区等敏感点，噪声影响对象主要是对在岗工作人员，对作业人员采取有效的劳动保护措施后，可减轻对身体健康的影响。</w:t>
      </w:r>
    </w:p>
    <w:p w14:paraId="165ED5D7">
      <w:pPr>
        <w:pStyle w:val="4"/>
        <w:spacing w:before="120" w:after="120" w:line="500" w:lineRule="exact"/>
        <w:rPr>
          <w:rFonts w:hint="default" w:ascii="Times New Roman" w:hAnsi="Times New Roman" w:eastAsia="华文中宋" w:cs="Times New Roman"/>
          <w:kern w:val="0"/>
          <w:sz w:val="24"/>
          <w:szCs w:val="24"/>
          <w:lang w:val="en-US" w:eastAsia="zh-CN"/>
        </w:rPr>
      </w:pPr>
      <w:bookmarkStart w:id="373" w:name="_Toc28800"/>
      <w:r>
        <w:rPr>
          <w:rFonts w:hint="default" w:ascii="Times New Roman" w:hAnsi="Times New Roman" w:eastAsia="华文中宋" w:cs="Times New Roman"/>
          <w:kern w:val="0"/>
          <w:sz w:val="24"/>
          <w:szCs w:val="24"/>
          <w:lang w:val="en-US" w:eastAsia="zh-CN"/>
        </w:rPr>
        <w:t>9.3.4水环境影响评价结论</w:t>
      </w:r>
      <w:bookmarkEnd w:id="373"/>
    </w:p>
    <w:p w14:paraId="490DA5DA">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eastAsia="zh-CN"/>
        </w:rPr>
        <w:t>本项目生活污水</w:t>
      </w:r>
      <w:r>
        <w:rPr>
          <w:rFonts w:hint="default" w:ascii="Times New Roman" w:hAnsi="Times New Roman" w:eastAsia="华文中宋" w:cs="Times New Roman"/>
          <w:color w:val="auto"/>
          <w:lang w:val="en-US" w:eastAsia="zh-CN"/>
        </w:rPr>
        <w:t>排入地埋式一体化污水处理装置</w:t>
      </w:r>
      <w:r>
        <w:rPr>
          <w:rFonts w:hint="default" w:ascii="Times New Roman" w:hAnsi="Times New Roman" w:eastAsia="华文中宋" w:cs="Times New Roman"/>
          <w:color w:val="auto"/>
          <w:lang w:eastAsia="zh-CN"/>
        </w:rPr>
        <w:t>，处理能力达到</w:t>
      </w:r>
      <w:r>
        <w:rPr>
          <w:rFonts w:hint="default" w:ascii="Times New Roman" w:hAnsi="Times New Roman" w:eastAsia="华文中宋" w:cs="Times New Roman"/>
          <w:color w:val="auto"/>
          <w:lang w:val="en-US" w:eastAsia="zh-CN"/>
        </w:rPr>
        <w:t>10</w:t>
      </w:r>
      <w:r>
        <w:rPr>
          <w:rFonts w:hint="default" w:ascii="Times New Roman" w:hAnsi="Times New Roman" w:eastAsia="华文中宋" w:cs="Times New Roman"/>
          <w:color w:val="auto"/>
        </w:rPr>
        <w:t>m</w:t>
      </w:r>
      <w:r>
        <w:rPr>
          <w:rFonts w:hint="default" w:ascii="Times New Roman" w:hAnsi="Times New Roman" w:eastAsia="华文中宋" w:cs="Times New Roman"/>
          <w:color w:val="auto"/>
          <w:vertAlign w:val="superscript"/>
        </w:rPr>
        <w:t>3</w:t>
      </w:r>
      <w:r>
        <w:rPr>
          <w:rFonts w:hint="default" w:ascii="Times New Roman" w:hAnsi="Times New Roman" w:eastAsia="华文中宋" w:cs="Times New Roman"/>
          <w:color w:val="auto"/>
        </w:rPr>
        <w:t>/d，</w:t>
      </w:r>
      <w:r>
        <w:rPr>
          <w:rFonts w:hint="default" w:ascii="Times New Roman" w:hAnsi="Times New Roman" w:eastAsia="华文中宋" w:cs="Times New Roman"/>
          <w:color w:val="auto"/>
          <w:lang w:eastAsia="zh-CN"/>
        </w:rPr>
        <w:t>处理后达到</w:t>
      </w:r>
      <w:r>
        <w:rPr>
          <w:rFonts w:hint="default" w:ascii="Times New Roman" w:hAnsi="Times New Roman" w:eastAsia="华文中宋" w:cs="Times New Roman"/>
          <w:color w:val="auto"/>
          <w:lang w:val="en-US" w:eastAsia="zh-CN"/>
        </w:rPr>
        <w:t>《农村生活污水处理排放标准》（DB654275-2019）表2中</w:t>
      </w:r>
      <w:r>
        <w:rPr>
          <w:rFonts w:hint="eastAsia" w:ascii="Times New Roman" w:hAnsi="Times New Roman" w:eastAsia="华文中宋" w:cs="Times New Roman"/>
          <w:color w:val="auto"/>
          <w:lang w:val="en-US" w:eastAsia="zh-CN"/>
        </w:rPr>
        <w:t>A</w:t>
      </w:r>
      <w:r>
        <w:rPr>
          <w:rFonts w:hint="default" w:ascii="Times New Roman" w:hAnsi="Times New Roman" w:eastAsia="华文中宋" w:cs="Times New Roman"/>
          <w:color w:val="auto"/>
          <w:lang w:val="en-US" w:eastAsia="zh-CN"/>
        </w:rPr>
        <w:t>级排放标准</w:t>
      </w:r>
      <w:r>
        <w:rPr>
          <w:rFonts w:hint="default" w:ascii="Times New Roman" w:hAnsi="Times New Roman" w:eastAsia="华文中宋" w:cs="Times New Roman"/>
          <w:color w:val="auto"/>
          <w:lang w:eastAsia="zh-CN"/>
        </w:rPr>
        <w:t>，</w:t>
      </w:r>
      <w:r>
        <w:rPr>
          <w:rFonts w:hint="default" w:ascii="Times New Roman" w:hAnsi="Times New Roman" w:eastAsia="华文中宋" w:cs="Times New Roman"/>
          <w:color w:val="auto"/>
          <w:lang w:val="en-US" w:eastAsia="zh-CN"/>
        </w:rPr>
        <w:t>全部回用矿区采场、废石堆放场和矿区道路降尘洒水等，不外排</w:t>
      </w:r>
      <w:r>
        <w:rPr>
          <w:rFonts w:hint="default" w:ascii="Times New Roman" w:hAnsi="Times New Roman" w:eastAsia="华文中宋" w:cs="Times New Roman"/>
          <w:color w:val="auto"/>
        </w:rPr>
        <w:t>。</w:t>
      </w:r>
    </w:p>
    <w:p w14:paraId="0D9F53DD">
      <w:pPr>
        <w:pStyle w:val="24"/>
        <w:snapToGrid w:val="0"/>
        <w:jc w:val="left"/>
        <w:rPr>
          <w:rFonts w:hint="default" w:ascii="Times New Roman" w:hAnsi="Times New Roman" w:eastAsia="华文中宋" w:cs="Times New Roman"/>
          <w:color w:val="auto"/>
          <w:lang w:val="en-US" w:eastAsia="zh-CN"/>
        </w:rPr>
      </w:pPr>
      <w:r>
        <w:rPr>
          <w:rFonts w:hint="eastAsia" w:ascii="Times New Roman" w:hAnsi="Times New Roman" w:cs="Times New Roman"/>
          <w:color w:val="auto"/>
          <w:lang w:val="en-US" w:eastAsia="zh-CN"/>
        </w:rPr>
        <w:t>项目矿坑水经集水池收集后全部自然蒸发，不外排。</w:t>
      </w:r>
    </w:p>
    <w:p w14:paraId="0A8A63CF">
      <w:pPr>
        <w:pStyle w:val="4"/>
        <w:spacing w:before="120" w:after="120" w:line="500" w:lineRule="exact"/>
        <w:rPr>
          <w:rFonts w:hint="default" w:ascii="Times New Roman" w:hAnsi="Times New Roman" w:eastAsia="华文中宋" w:cs="Times New Roman"/>
          <w:kern w:val="0"/>
          <w:sz w:val="24"/>
          <w:szCs w:val="24"/>
          <w:lang w:val="en-US" w:eastAsia="zh-CN"/>
        </w:rPr>
      </w:pPr>
      <w:bookmarkStart w:id="374" w:name="_Toc32130"/>
      <w:r>
        <w:rPr>
          <w:rFonts w:hint="default" w:ascii="Times New Roman" w:hAnsi="Times New Roman" w:eastAsia="华文中宋" w:cs="Times New Roman"/>
          <w:kern w:val="0"/>
          <w:sz w:val="24"/>
          <w:szCs w:val="24"/>
          <w:lang w:val="en-US" w:eastAsia="zh-CN"/>
        </w:rPr>
        <w:t>9.3.5固废影响分析结论</w:t>
      </w:r>
      <w:bookmarkEnd w:id="374"/>
    </w:p>
    <w:p w14:paraId="3A362249">
      <w:pPr>
        <w:pStyle w:val="24"/>
        <w:snapToGrid w:val="0"/>
        <w:jc w:val="left"/>
        <w:rPr>
          <w:rFonts w:hint="default" w:ascii="Times New Roman" w:hAnsi="Times New Roman" w:eastAsia="华文中宋" w:cs="Times New Roman"/>
          <w:color w:val="auto"/>
          <w:lang w:eastAsia="zh-CN"/>
        </w:rPr>
      </w:pPr>
      <w:r>
        <w:rPr>
          <w:rFonts w:hint="default" w:ascii="Times New Roman" w:hAnsi="Times New Roman" w:eastAsia="华文中宋" w:cs="Times New Roman"/>
          <w:color w:val="auto"/>
          <w:lang w:eastAsia="zh-CN"/>
        </w:rPr>
        <w:t>固体废弃物主要为采矿剥离废石、废机油及生活垃圾。</w:t>
      </w:r>
    </w:p>
    <w:p w14:paraId="2A898146">
      <w:pPr>
        <w:pStyle w:val="24"/>
        <w:snapToGrid w:val="0"/>
        <w:jc w:val="left"/>
        <w:rPr>
          <w:rFonts w:hint="default" w:ascii="Times New Roman" w:hAnsi="Times New Roman" w:eastAsia="华文中宋" w:cs="Times New Roman"/>
          <w:color w:val="auto"/>
          <w:lang w:eastAsia="zh-CN"/>
        </w:rPr>
      </w:pPr>
      <w:r>
        <w:rPr>
          <w:rFonts w:hint="default" w:ascii="Times New Roman" w:hAnsi="Times New Roman" w:eastAsia="华文中宋" w:cs="Times New Roman"/>
          <w:color w:val="auto"/>
          <w:lang w:eastAsia="zh-CN"/>
        </w:rPr>
        <w:t>剥离废石在堆存期间，对区域地形、地貌、区域景观、土壤、植被产生一定的影响，加强废弃物管理，避免次生地质灾害发生，项目固体废物经妥善处理后影响程度和范围较小。</w:t>
      </w:r>
    </w:p>
    <w:p w14:paraId="339318E9">
      <w:pPr>
        <w:pStyle w:val="24"/>
        <w:snapToGrid w:val="0"/>
        <w:jc w:val="left"/>
        <w:rPr>
          <w:rFonts w:hint="default" w:ascii="Times New Roman" w:hAnsi="Times New Roman" w:eastAsia="华文中宋" w:cs="Times New Roman"/>
          <w:color w:val="auto"/>
          <w:lang w:eastAsia="zh-CN"/>
        </w:rPr>
      </w:pPr>
      <w:r>
        <w:rPr>
          <w:rFonts w:hint="default" w:ascii="Times New Roman" w:hAnsi="Times New Roman" w:eastAsia="华文中宋" w:cs="Times New Roman"/>
          <w:color w:val="auto"/>
          <w:lang w:eastAsia="zh-CN"/>
        </w:rPr>
        <w:t>废机油装于空油桶，暂存于</w:t>
      </w:r>
      <w:r>
        <w:rPr>
          <w:rFonts w:hint="default" w:ascii="Times New Roman" w:hAnsi="Times New Roman" w:eastAsia="华文中宋" w:cs="Times New Roman"/>
          <w:color w:val="auto"/>
          <w:lang w:val="en-US" w:eastAsia="zh-CN"/>
        </w:rPr>
        <w:t>危废暂存间</w:t>
      </w:r>
      <w:r>
        <w:rPr>
          <w:rFonts w:hint="default" w:ascii="Times New Roman" w:hAnsi="Times New Roman" w:eastAsia="华文中宋" w:cs="Times New Roman"/>
          <w:color w:val="auto"/>
          <w:lang w:eastAsia="zh-CN"/>
        </w:rPr>
        <w:t>，外委有资质单位处置。</w:t>
      </w:r>
    </w:p>
    <w:p w14:paraId="08480204">
      <w:pPr>
        <w:pStyle w:val="24"/>
        <w:snapToGrid w:val="0"/>
        <w:jc w:val="left"/>
        <w:rPr>
          <w:rFonts w:hint="default" w:ascii="Times New Roman" w:hAnsi="Times New Roman" w:eastAsia="宋体" w:cs="Times New Roman"/>
          <w:color w:val="auto"/>
          <w:sz w:val="24"/>
          <w:lang w:eastAsia="zh-CN"/>
        </w:rPr>
      </w:pPr>
      <w:r>
        <w:rPr>
          <w:rFonts w:hint="default" w:ascii="Times New Roman" w:hAnsi="Times New Roman" w:eastAsia="华文中宋" w:cs="Times New Roman"/>
          <w:color w:val="auto"/>
          <w:lang w:eastAsia="zh-CN"/>
        </w:rPr>
        <w:t>在矿生活区设置生活垃圾池，在各场区内备有垃圾箱和垃圾桶，生活垃圾集中收集、定期运至</w:t>
      </w:r>
      <w:r>
        <w:rPr>
          <w:rFonts w:hint="default" w:ascii="Times New Roman" w:hAnsi="Times New Roman" w:eastAsia="华文中宋" w:cs="Times New Roman"/>
          <w:color w:val="auto"/>
          <w:lang w:val="en-US" w:eastAsia="zh-CN"/>
        </w:rPr>
        <w:t>民丰县生活垃圾填埋场</w:t>
      </w:r>
      <w:r>
        <w:rPr>
          <w:rFonts w:hint="default" w:ascii="Times New Roman" w:hAnsi="Times New Roman" w:eastAsia="华文中宋" w:cs="Times New Roman"/>
          <w:color w:val="auto"/>
          <w:lang w:eastAsia="zh-CN"/>
        </w:rPr>
        <w:t>填埋处置，对区域环境影响很小。</w:t>
      </w:r>
    </w:p>
    <w:p w14:paraId="40C37840">
      <w:pPr>
        <w:pStyle w:val="3"/>
        <w:spacing w:before="120" w:after="120" w:line="500" w:lineRule="exact"/>
        <w:ind w:left="375" w:hanging="375" w:firstLineChars="0"/>
        <w:contextualSpacing/>
        <w:rPr>
          <w:rFonts w:hint="default" w:ascii="Times New Roman" w:hAnsi="Times New Roman" w:eastAsia="华文中宋" w:cs="Times New Roman"/>
          <w:snapToGrid w:val="0"/>
          <w:kern w:val="0"/>
          <w:sz w:val="28"/>
          <w:szCs w:val="28"/>
          <w:lang w:val="en-US" w:eastAsia="zh-CN"/>
        </w:rPr>
      </w:pPr>
      <w:bookmarkStart w:id="375" w:name="_Toc27867"/>
      <w:bookmarkStart w:id="376" w:name="_Toc30687"/>
      <w:r>
        <w:rPr>
          <w:rFonts w:hint="default" w:ascii="Times New Roman" w:hAnsi="Times New Roman" w:eastAsia="华文中宋" w:cs="Times New Roman"/>
          <w:snapToGrid w:val="0"/>
          <w:kern w:val="0"/>
          <w:sz w:val="28"/>
          <w:szCs w:val="28"/>
          <w:lang w:val="en-US" w:eastAsia="zh-CN"/>
        </w:rPr>
        <w:t>9.4污染防治措施</w:t>
      </w:r>
      <w:bookmarkEnd w:id="375"/>
      <w:bookmarkEnd w:id="376"/>
    </w:p>
    <w:p w14:paraId="30A321AB">
      <w:pPr>
        <w:pStyle w:val="4"/>
        <w:spacing w:before="120" w:after="120" w:line="500" w:lineRule="exact"/>
        <w:rPr>
          <w:rFonts w:hint="default" w:ascii="Times New Roman" w:hAnsi="Times New Roman" w:eastAsia="华文中宋" w:cs="Times New Roman"/>
          <w:kern w:val="0"/>
          <w:sz w:val="24"/>
          <w:szCs w:val="24"/>
          <w:lang w:val="en-US" w:eastAsia="zh-CN"/>
        </w:rPr>
      </w:pPr>
      <w:bookmarkStart w:id="377" w:name="_Toc5450"/>
      <w:r>
        <w:rPr>
          <w:rFonts w:hint="default" w:ascii="Times New Roman" w:hAnsi="Times New Roman" w:eastAsia="华文中宋" w:cs="Times New Roman"/>
          <w:kern w:val="0"/>
          <w:sz w:val="24"/>
          <w:szCs w:val="24"/>
          <w:lang w:val="en-US" w:eastAsia="zh-CN"/>
        </w:rPr>
        <w:t>9.4.1大气污染防治措施</w:t>
      </w:r>
      <w:bookmarkEnd w:id="377"/>
    </w:p>
    <w:p w14:paraId="039DAC13">
      <w:pPr>
        <w:pStyle w:val="24"/>
        <w:snapToGrid w:val="0"/>
        <w:jc w:val="left"/>
        <w:rPr>
          <w:rFonts w:hint="default" w:ascii="Times New Roman" w:hAnsi="Times New Roman" w:eastAsia="华文中宋" w:cs="Times New Roman"/>
          <w:color w:val="auto"/>
          <w:lang w:eastAsia="zh-CN"/>
        </w:rPr>
      </w:pPr>
      <w:r>
        <w:rPr>
          <w:rFonts w:hint="default" w:ascii="Times New Roman" w:hAnsi="Times New Roman" w:eastAsia="华文中宋" w:cs="Times New Roman"/>
          <w:color w:val="auto"/>
          <w:lang w:eastAsia="zh-CN"/>
        </w:rPr>
        <w:t>（1）露天开采粉尘防治措施</w:t>
      </w:r>
    </w:p>
    <w:p w14:paraId="2D50A7E5">
      <w:pPr>
        <w:pStyle w:val="24"/>
        <w:snapToGrid w:val="0"/>
        <w:jc w:val="left"/>
        <w:rPr>
          <w:rFonts w:hint="default" w:ascii="Times New Roman" w:hAnsi="Times New Roman" w:eastAsia="华文中宋" w:cs="Times New Roman"/>
          <w:color w:val="auto"/>
          <w:lang w:eastAsia="zh-CN"/>
        </w:rPr>
      </w:pPr>
      <w:r>
        <w:rPr>
          <w:rFonts w:hint="default" w:ascii="Times New Roman" w:hAnsi="Times New Roman" w:eastAsia="华文中宋" w:cs="Times New Roman"/>
          <w:color w:val="auto"/>
          <w:lang w:eastAsia="zh-CN"/>
        </w:rPr>
        <w:t>①穿孔凿岩采用湿式穿孔凿岩，钻机配备干式捕尘器，并对工作面喷雾洒水降尘。</w:t>
      </w:r>
    </w:p>
    <w:p w14:paraId="061D46CD">
      <w:pPr>
        <w:pStyle w:val="24"/>
        <w:snapToGrid w:val="0"/>
        <w:jc w:val="left"/>
        <w:rPr>
          <w:rFonts w:hint="default" w:ascii="Times New Roman" w:hAnsi="Times New Roman" w:eastAsia="华文中宋" w:cs="Times New Roman"/>
          <w:color w:val="auto"/>
          <w:lang w:eastAsia="zh-CN"/>
        </w:rPr>
      </w:pPr>
      <w:r>
        <w:rPr>
          <w:rFonts w:hint="default" w:ascii="Times New Roman" w:hAnsi="Times New Roman" w:eastAsia="华文中宋" w:cs="Times New Roman"/>
          <w:color w:val="auto"/>
          <w:lang w:eastAsia="zh-CN"/>
        </w:rPr>
        <w:t>②爆破采用多排垂直深孔微差松动爆破，减少粉尘量，严禁大药量浅孔爆破，避免形成砂石飞溅和尘土飞扬。并对爆破作业场所、爆堆等进行喷雾洒水降尘预湿。</w:t>
      </w:r>
    </w:p>
    <w:p w14:paraId="1307DB2F">
      <w:pPr>
        <w:pStyle w:val="24"/>
        <w:snapToGrid w:val="0"/>
        <w:jc w:val="left"/>
        <w:rPr>
          <w:rFonts w:hint="default" w:ascii="Times New Roman" w:hAnsi="Times New Roman" w:eastAsia="华文中宋" w:cs="Times New Roman"/>
          <w:color w:val="auto"/>
          <w:lang w:eastAsia="zh-CN"/>
        </w:rPr>
      </w:pPr>
      <w:r>
        <w:rPr>
          <w:rFonts w:hint="default" w:ascii="Times New Roman" w:hAnsi="Times New Roman" w:eastAsia="华文中宋" w:cs="Times New Roman"/>
          <w:color w:val="auto"/>
          <w:lang w:eastAsia="zh-CN"/>
        </w:rPr>
        <w:t>③严格实行班末定时爆破制度，集中爆破；台阶爆破采用垂直孔，采用矩形或梅花形布孔，减少粉尘量，严禁大药量浅孔爆破，避免形成</w:t>
      </w:r>
      <w:r>
        <w:rPr>
          <w:rFonts w:hint="eastAsia" w:ascii="Times New Roman" w:hAnsi="Times New Roman" w:eastAsia="华文中宋" w:cs="Times New Roman"/>
          <w:color w:val="auto"/>
          <w:lang w:eastAsia="zh-CN"/>
        </w:rPr>
        <w:t>砂石</w:t>
      </w:r>
      <w:r>
        <w:rPr>
          <w:rFonts w:hint="default" w:ascii="Times New Roman" w:hAnsi="Times New Roman" w:eastAsia="华文中宋" w:cs="Times New Roman"/>
          <w:color w:val="auto"/>
          <w:lang w:eastAsia="zh-CN"/>
        </w:rPr>
        <w:t>飞溅和尘土飞扬。并对爆破作业场所、爆堆等进行喷雾洒水降尘预湿。</w:t>
      </w:r>
    </w:p>
    <w:p w14:paraId="30727B57">
      <w:pPr>
        <w:pStyle w:val="24"/>
        <w:snapToGrid w:val="0"/>
        <w:jc w:val="left"/>
        <w:rPr>
          <w:rFonts w:hint="default" w:ascii="Times New Roman" w:hAnsi="Times New Roman" w:eastAsia="华文中宋" w:cs="Times New Roman"/>
          <w:color w:val="auto"/>
          <w:lang w:eastAsia="zh-CN"/>
        </w:rPr>
      </w:pPr>
      <w:r>
        <w:rPr>
          <w:rFonts w:hint="default" w:ascii="Times New Roman" w:hAnsi="Times New Roman" w:eastAsia="华文中宋" w:cs="Times New Roman"/>
          <w:color w:val="auto"/>
          <w:lang w:eastAsia="zh-CN"/>
        </w:rPr>
        <w:t>④在风速达到7级及以上时，应停止采掘、剥离作业。</w:t>
      </w:r>
    </w:p>
    <w:p w14:paraId="147F9C79">
      <w:pPr>
        <w:pStyle w:val="24"/>
        <w:snapToGrid w:val="0"/>
        <w:jc w:val="left"/>
        <w:rPr>
          <w:rFonts w:hint="default" w:ascii="Times New Roman" w:hAnsi="Times New Roman" w:eastAsia="华文中宋" w:cs="Times New Roman"/>
          <w:color w:val="auto"/>
          <w:lang w:eastAsia="zh-CN"/>
        </w:rPr>
      </w:pPr>
      <w:r>
        <w:rPr>
          <w:rFonts w:hint="default" w:ascii="Times New Roman" w:hAnsi="Times New Roman" w:eastAsia="华文中宋" w:cs="Times New Roman"/>
          <w:color w:val="auto"/>
          <w:lang w:eastAsia="zh-CN"/>
        </w:rPr>
        <w:t>（2）</w:t>
      </w:r>
      <w:r>
        <w:rPr>
          <w:rFonts w:hint="default" w:ascii="Times New Roman" w:hAnsi="Times New Roman" w:eastAsia="华文中宋" w:cs="Times New Roman"/>
          <w:color w:val="auto"/>
          <w:lang w:val="en-US" w:eastAsia="zh-CN"/>
        </w:rPr>
        <w:t>装卸、废石堆存</w:t>
      </w:r>
      <w:r>
        <w:rPr>
          <w:rFonts w:hint="default" w:ascii="Times New Roman" w:hAnsi="Times New Roman" w:eastAsia="华文中宋" w:cs="Times New Roman"/>
          <w:color w:val="auto"/>
          <w:lang w:eastAsia="zh-CN"/>
        </w:rPr>
        <w:t>中扬尘防治措施</w:t>
      </w:r>
    </w:p>
    <w:p w14:paraId="3C4E168D">
      <w:pPr>
        <w:pStyle w:val="24"/>
        <w:snapToGrid w:val="0"/>
        <w:jc w:val="left"/>
        <w:rPr>
          <w:rFonts w:hint="default" w:ascii="Times New Roman" w:hAnsi="Times New Roman" w:eastAsia="华文中宋" w:cs="Times New Roman"/>
          <w:color w:val="auto"/>
          <w:lang w:eastAsia="zh-CN"/>
        </w:rPr>
      </w:pPr>
      <w:r>
        <w:rPr>
          <w:rFonts w:hint="default" w:ascii="Times New Roman" w:hAnsi="Times New Roman" w:eastAsia="华文中宋" w:cs="Times New Roman"/>
          <w:color w:val="auto"/>
          <w:lang w:eastAsia="zh-CN"/>
        </w:rPr>
        <w:t>矿岩铲装、卸车过程中产生的扬尘采取定期洒水措施；在矿岩装卸过程中应尽量降低矿岩落料的高差，以减少粉尘飞扬，减少矿岩运转过程中粉尘的产生。</w:t>
      </w:r>
    </w:p>
    <w:p w14:paraId="6238D4D0">
      <w:pPr>
        <w:pStyle w:val="24"/>
        <w:snapToGrid w:val="0"/>
        <w:jc w:val="left"/>
        <w:rPr>
          <w:rFonts w:hint="default" w:ascii="Times New Roman" w:hAnsi="Times New Roman" w:eastAsia="华文中宋" w:cs="Times New Roman"/>
          <w:color w:val="auto"/>
          <w:lang w:eastAsia="zh-CN"/>
        </w:rPr>
      </w:pPr>
      <w:r>
        <w:rPr>
          <w:rFonts w:hint="default" w:ascii="Times New Roman" w:hAnsi="Times New Roman" w:eastAsia="华文中宋" w:cs="Times New Roman"/>
          <w:color w:val="auto"/>
          <w:lang w:eastAsia="zh-CN"/>
        </w:rPr>
        <w:t>（</w:t>
      </w:r>
      <w:r>
        <w:rPr>
          <w:rFonts w:hint="default" w:ascii="Times New Roman" w:hAnsi="Times New Roman" w:eastAsia="华文中宋" w:cs="Times New Roman"/>
          <w:color w:val="auto"/>
          <w:lang w:val="en-US" w:eastAsia="zh-CN"/>
        </w:rPr>
        <w:t>3</w:t>
      </w:r>
      <w:r>
        <w:rPr>
          <w:rFonts w:hint="default" w:ascii="Times New Roman" w:hAnsi="Times New Roman" w:eastAsia="华文中宋" w:cs="Times New Roman"/>
          <w:color w:val="auto"/>
          <w:lang w:eastAsia="zh-CN"/>
        </w:rPr>
        <w:t>）道路扬尘污染防治措施</w:t>
      </w:r>
    </w:p>
    <w:p w14:paraId="74D9F08C">
      <w:pPr>
        <w:pStyle w:val="24"/>
        <w:snapToGrid w:val="0"/>
        <w:jc w:val="left"/>
        <w:rPr>
          <w:rFonts w:hint="default" w:ascii="Times New Roman" w:hAnsi="Times New Roman" w:eastAsia="华文中宋" w:cs="Times New Roman"/>
          <w:color w:val="auto"/>
          <w:lang w:eastAsia="zh-CN"/>
        </w:rPr>
      </w:pPr>
      <w:r>
        <w:rPr>
          <w:rFonts w:hint="default" w:ascii="Times New Roman" w:hAnsi="Times New Roman" w:eastAsia="华文中宋" w:cs="Times New Roman"/>
          <w:color w:val="auto"/>
          <w:lang w:eastAsia="zh-CN"/>
        </w:rPr>
        <w:t>对运材料车辆应进行统一管理，限载限速，装满物料后应加盖篷布防止抛洒碎屑；对附近的道路及专用公路应派专人负责，经常维护以保持良好的路面状况，并及时清扫洒在道路上散装物料，本矿配备洒水车，定期对场地和路面进行洒水，并配以人工清扫，有效减少地面、道路扬尘污染。</w:t>
      </w:r>
    </w:p>
    <w:p w14:paraId="4AB17CB4">
      <w:pPr>
        <w:pStyle w:val="24"/>
        <w:snapToGrid w:val="0"/>
        <w:jc w:val="left"/>
        <w:rPr>
          <w:rFonts w:hint="default" w:ascii="Times New Roman" w:hAnsi="Times New Roman" w:eastAsia="华文中宋" w:cs="Times New Roman"/>
          <w:color w:val="auto"/>
          <w:lang w:eastAsia="zh-CN"/>
        </w:rPr>
      </w:pPr>
      <w:r>
        <w:rPr>
          <w:rFonts w:hint="default" w:ascii="Times New Roman" w:hAnsi="Times New Roman" w:eastAsia="华文中宋" w:cs="Times New Roman"/>
          <w:color w:val="auto"/>
          <w:lang w:eastAsia="zh-CN"/>
        </w:rPr>
        <w:t>（</w:t>
      </w:r>
      <w:r>
        <w:rPr>
          <w:rFonts w:hint="default" w:ascii="Times New Roman" w:hAnsi="Times New Roman" w:eastAsia="华文中宋" w:cs="Times New Roman"/>
          <w:color w:val="auto"/>
          <w:lang w:val="en-US" w:eastAsia="zh-CN"/>
        </w:rPr>
        <w:t>4</w:t>
      </w:r>
      <w:r>
        <w:rPr>
          <w:rFonts w:hint="default" w:ascii="Times New Roman" w:hAnsi="Times New Roman" w:eastAsia="华文中宋" w:cs="Times New Roman"/>
          <w:color w:val="auto"/>
          <w:lang w:eastAsia="zh-CN"/>
        </w:rPr>
        <w:t>）爆破废气治理</w:t>
      </w:r>
    </w:p>
    <w:p w14:paraId="72B355E0">
      <w:pPr>
        <w:pStyle w:val="24"/>
        <w:snapToGrid w:val="0"/>
        <w:jc w:val="left"/>
        <w:rPr>
          <w:rFonts w:hint="default" w:ascii="Times New Roman" w:hAnsi="Times New Roman" w:eastAsia="华文中宋" w:cs="Times New Roman"/>
          <w:color w:val="auto"/>
          <w:lang w:eastAsia="zh-CN"/>
        </w:rPr>
      </w:pPr>
      <w:r>
        <w:rPr>
          <w:rFonts w:hint="default" w:ascii="Times New Roman" w:hAnsi="Times New Roman" w:eastAsia="华文中宋" w:cs="Times New Roman"/>
          <w:color w:val="auto"/>
          <w:lang w:eastAsia="zh-CN"/>
        </w:rPr>
        <w:t>由民爆公司定时进行爆破，严格实行定时爆破制度，集中爆破，采用先进的爆破技术，减少爆破次数和炸药使用量，爆破后对场地及时洒水降尘。</w:t>
      </w:r>
    </w:p>
    <w:p w14:paraId="5C924AE6">
      <w:pPr>
        <w:pStyle w:val="24"/>
        <w:snapToGrid w:val="0"/>
        <w:jc w:val="left"/>
        <w:rPr>
          <w:rFonts w:hint="default" w:ascii="Times New Roman" w:hAnsi="Times New Roman" w:eastAsia="华文中宋" w:cs="Times New Roman"/>
          <w:color w:val="auto"/>
          <w:lang w:eastAsia="zh-CN"/>
        </w:rPr>
      </w:pPr>
      <w:r>
        <w:rPr>
          <w:rFonts w:hint="default" w:ascii="Times New Roman" w:hAnsi="Times New Roman" w:eastAsia="华文中宋" w:cs="Times New Roman"/>
          <w:color w:val="auto"/>
          <w:lang w:eastAsia="zh-CN"/>
        </w:rPr>
        <w:t>以上措施是生产实践中防治粉尘无组织排放而普遍采用、简易可行的成熟的技</w:t>
      </w:r>
      <w:r>
        <w:rPr>
          <w:rFonts w:hint="default" w:ascii="Times New Roman" w:hAnsi="Times New Roman" w:eastAsia="华文中宋" w:cs="Times New Roman"/>
          <w:color w:val="auto"/>
          <w:highlight w:val="none"/>
          <w:lang w:eastAsia="zh-CN"/>
        </w:rPr>
        <w:t>术和方法，采取上述措施可使采场外围区域空气含尘浓度控制在</w:t>
      </w:r>
      <w:r>
        <w:rPr>
          <w:rFonts w:hint="eastAsia" w:ascii="Times New Roman" w:hAnsi="Times New Roman" w:cs="Times New Roman"/>
          <w:color w:val="auto"/>
          <w:highlight w:val="none"/>
          <w:lang w:val="en-US" w:eastAsia="zh-CN"/>
        </w:rPr>
        <w:t>1</w:t>
      </w:r>
      <w:r>
        <w:rPr>
          <w:rFonts w:hint="default" w:ascii="Times New Roman" w:hAnsi="Times New Roman" w:eastAsia="华文中宋" w:cs="Times New Roman"/>
          <w:color w:val="auto"/>
          <w:highlight w:val="none"/>
          <w:lang w:val="en-US" w:eastAsia="zh-CN"/>
        </w:rPr>
        <w:t>m</w:t>
      </w:r>
      <w:r>
        <w:rPr>
          <w:rFonts w:hint="default" w:ascii="Times New Roman" w:hAnsi="Times New Roman" w:eastAsia="华文中宋" w:cs="Times New Roman"/>
          <w:color w:val="auto"/>
          <w:highlight w:val="none"/>
          <w:lang w:eastAsia="zh-CN"/>
        </w:rPr>
        <w:t>g/m</w:t>
      </w:r>
      <w:r>
        <w:rPr>
          <w:rFonts w:hint="default" w:ascii="Times New Roman" w:hAnsi="Times New Roman" w:eastAsia="华文中宋" w:cs="Times New Roman"/>
          <w:color w:val="auto"/>
          <w:highlight w:val="none"/>
          <w:vertAlign w:val="superscript"/>
          <w:lang w:eastAsia="zh-CN"/>
        </w:rPr>
        <w:t>3</w:t>
      </w:r>
      <w:r>
        <w:rPr>
          <w:rFonts w:hint="default" w:ascii="Times New Roman" w:hAnsi="Times New Roman" w:eastAsia="华文中宋" w:cs="Times New Roman"/>
          <w:color w:val="auto"/>
          <w:highlight w:val="none"/>
          <w:lang w:eastAsia="zh-CN"/>
        </w:rPr>
        <w:t>以下，符合</w:t>
      </w:r>
      <w:r>
        <w:rPr>
          <w:rFonts w:hint="default" w:ascii="Times New Roman" w:hAnsi="Times New Roman" w:cs="Times New Roman"/>
          <w:color w:val="auto"/>
          <w:highlight w:val="none"/>
          <w:lang w:val="en-US" w:eastAsia="zh-CN"/>
        </w:rPr>
        <w:t>《铅、锌工业污染物排放标准》（GB25466-2010）及其修改单表6排放浓度限值</w:t>
      </w:r>
      <w:r>
        <w:rPr>
          <w:rFonts w:hint="default" w:ascii="Times New Roman" w:hAnsi="Times New Roman" w:eastAsia="华文中宋" w:cs="Times New Roman"/>
          <w:color w:val="auto"/>
          <w:highlight w:val="none"/>
          <w:lang w:eastAsia="zh-CN"/>
        </w:rPr>
        <w:t>要求，最大</w:t>
      </w:r>
      <w:r>
        <w:rPr>
          <w:rFonts w:hint="default" w:ascii="Times New Roman" w:hAnsi="Times New Roman" w:eastAsia="华文中宋" w:cs="Times New Roman"/>
          <w:color w:val="auto"/>
          <w:lang w:eastAsia="zh-CN"/>
        </w:rPr>
        <w:t>限度地减少对区域大气环境的影响。</w:t>
      </w:r>
    </w:p>
    <w:p w14:paraId="7BAD3BCA">
      <w:pPr>
        <w:pStyle w:val="4"/>
        <w:spacing w:before="120" w:after="120" w:line="500" w:lineRule="exact"/>
        <w:rPr>
          <w:rFonts w:hint="default" w:ascii="Times New Roman" w:hAnsi="Times New Roman" w:eastAsia="华文中宋" w:cs="Times New Roman"/>
          <w:kern w:val="0"/>
          <w:sz w:val="24"/>
          <w:szCs w:val="24"/>
          <w:lang w:val="en-US" w:eastAsia="zh-CN"/>
        </w:rPr>
      </w:pPr>
      <w:bookmarkStart w:id="378" w:name="_Toc1394"/>
      <w:r>
        <w:rPr>
          <w:rFonts w:hint="default" w:ascii="Times New Roman" w:hAnsi="Times New Roman" w:eastAsia="华文中宋" w:cs="Times New Roman"/>
          <w:kern w:val="0"/>
          <w:sz w:val="24"/>
          <w:szCs w:val="24"/>
          <w:lang w:val="en-US" w:eastAsia="zh-CN"/>
        </w:rPr>
        <w:t>9.4.2水环境污染防治措施</w:t>
      </w:r>
      <w:bookmarkEnd w:id="378"/>
    </w:p>
    <w:p w14:paraId="15F67630">
      <w:pPr>
        <w:pStyle w:val="24"/>
        <w:snapToGrid w:val="0"/>
        <w:jc w:val="left"/>
        <w:rPr>
          <w:rFonts w:hint="default" w:ascii="Times New Roman" w:hAnsi="Times New Roman" w:eastAsia="华文中宋" w:cs="Times New Roman"/>
          <w:color w:val="auto"/>
          <w:lang w:eastAsia="zh-CN"/>
        </w:rPr>
      </w:pPr>
      <w:r>
        <w:rPr>
          <w:rFonts w:hint="default" w:ascii="Times New Roman" w:hAnsi="Times New Roman" w:eastAsia="华文中宋" w:cs="Times New Roman"/>
          <w:color w:val="auto"/>
          <w:highlight w:val="none"/>
          <w:lang w:val="en-US" w:eastAsia="zh-CN"/>
        </w:rPr>
        <w:t>项目生活污水产生量约为4</w:t>
      </w:r>
      <w:r>
        <w:rPr>
          <w:rFonts w:hint="default" w:ascii="Times New Roman" w:hAnsi="Times New Roman" w:eastAsia="华文中宋" w:cs="Times New Roman"/>
          <w:color w:val="auto"/>
          <w:highlight w:val="none"/>
          <w:lang w:eastAsia="zh-CN"/>
        </w:rPr>
        <w:t>m</w:t>
      </w:r>
      <w:r>
        <w:rPr>
          <w:rFonts w:hint="default" w:ascii="Times New Roman" w:hAnsi="Times New Roman" w:eastAsia="华文中宋" w:cs="Times New Roman"/>
          <w:color w:val="auto"/>
          <w:highlight w:val="none"/>
          <w:vertAlign w:val="superscript"/>
          <w:lang w:eastAsia="zh-CN"/>
        </w:rPr>
        <w:t>3</w:t>
      </w:r>
      <w:r>
        <w:rPr>
          <w:rFonts w:hint="default" w:ascii="Times New Roman" w:hAnsi="Times New Roman" w:eastAsia="华文中宋" w:cs="Times New Roman"/>
          <w:color w:val="auto"/>
          <w:highlight w:val="none"/>
          <w:lang w:eastAsia="zh-CN"/>
        </w:rPr>
        <w:t>/d，</w:t>
      </w:r>
      <w:r>
        <w:rPr>
          <w:rFonts w:hint="eastAsia" w:ascii="Times New Roman" w:hAnsi="Times New Roman" w:cs="Times New Roman"/>
          <w:color w:val="auto"/>
          <w:highlight w:val="none"/>
          <w:lang w:val="en-US" w:eastAsia="zh-CN"/>
        </w:rPr>
        <w:t>800</w:t>
      </w:r>
      <w:r>
        <w:rPr>
          <w:rFonts w:hint="default" w:ascii="Times New Roman" w:hAnsi="Times New Roman" w:eastAsia="华文中宋" w:cs="Times New Roman"/>
          <w:color w:val="auto"/>
          <w:highlight w:val="none"/>
          <w:lang w:eastAsia="zh-CN"/>
        </w:rPr>
        <w:t>m</w:t>
      </w:r>
      <w:r>
        <w:rPr>
          <w:rFonts w:hint="default" w:ascii="Times New Roman" w:hAnsi="Times New Roman" w:eastAsia="华文中宋" w:cs="Times New Roman"/>
          <w:color w:val="auto"/>
          <w:highlight w:val="none"/>
          <w:vertAlign w:val="superscript"/>
          <w:lang w:eastAsia="zh-CN"/>
        </w:rPr>
        <w:t>3</w:t>
      </w:r>
      <w:r>
        <w:rPr>
          <w:rFonts w:hint="default" w:ascii="Times New Roman" w:hAnsi="Times New Roman" w:eastAsia="华文中宋" w:cs="Times New Roman"/>
          <w:color w:val="auto"/>
          <w:highlight w:val="none"/>
          <w:lang w:eastAsia="zh-CN"/>
        </w:rPr>
        <w:t>/a，</w:t>
      </w:r>
      <w:r>
        <w:rPr>
          <w:rFonts w:hint="default" w:ascii="Times New Roman" w:hAnsi="Times New Roman" w:eastAsia="华文中宋" w:cs="Times New Roman"/>
          <w:color w:val="auto"/>
          <w:highlight w:val="none"/>
          <w:lang w:val="en-US" w:eastAsia="zh-CN"/>
        </w:rPr>
        <w:t>矿部生活区拟建1座生活污水处理站，处理能力10m</w:t>
      </w:r>
      <w:r>
        <w:rPr>
          <w:rFonts w:hint="default" w:ascii="Times New Roman" w:hAnsi="Times New Roman" w:eastAsia="华文中宋" w:cs="Times New Roman"/>
          <w:color w:val="auto"/>
          <w:highlight w:val="none"/>
          <w:vertAlign w:val="superscript"/>
          <w:lang w:val="en-US" w:eastAsia="zh-CN"/>
        </w:rPr>
        <w:t>3</w:t>
      </w:r>
      <w:r>
        <w:rPr>
          <w:rFonts w:hint="default" w:ascii="Times New Roman" w:hAnsi="Times New Roman" w:eastAsia="华文中宋" w:cs="Times New Roman"/>
          <w:color w:val="auto"/>
          <w:highlight w:val="none"/>
          <w:lang w:val="en-US" w:eastAsia="zh-CN"/>
        </w:rPr>
        <w:t>/d，出水达到《农村</w:t>
      </w:r>
      <w:r>
        <w:rPr>
          <w:rFonts w:hint="default" w:ascii="Times New Roman" w:hAnsi="Times New Roman" w:eastAsia="华文中宋" w:cs="Times New Roman"/>
          <w:color w:val="auto"/>
          <w:lang w:val="en-US" w:eastAsia="zh-CN"/>
        </w:rPr>
        <w:t>生活污水处理排放标准》（DB654275-2019）表2中</w:t>
      </w:r>
      <w:r>
        <w:rPr>
          <w:rFonts w:hint="eastAsia" w:ascii="Times New Roman" w:hAnsi="Times New Roman" w:eastAsia="华文中宋" w:cs="Times New Roman"/>
          <w:color w:val="auto"/>
          <w:lang w:val="en-US" w:eastAsia="zh-CN"/>
        </w:rPr>
        <w:t>A</w:t>
      </w:r>
      <w:r>
        <w:rPr>
          <w:rFonts w:hint="default" w:ascii="Times New Roman" w:hAnsi="Times New Roman" w:eastAsia="华文中宋" w:cs="Times New Roman"/>
          <w:color w:val="auto"/>
          <w:lang w:val="en-US" w:eastAsia="zh-CN"/>
        </w:rPr>
        <w:t>级排放标准</w:t>
      </w:r>
      <w:r>
        <w:rPr>
          <w:rFonts w:hint="eastAsia" w:ascii="Times New Roman" w:hAnsi="Times New Roman" w:eastAsia="华文中宋" w:cs="Times New Roman"/>
          <w:color w:val="auto"/>
          <w:lang w:val="en-US" w:eastAsia="zh-CN"/>
        </w:rPr>
        <w:t>后</w:t>
      </w:r>
      <w:r>
        <w:rPr>
          <w:rFonts w:hint="default" w:ascii="Times New Roman" w:hAnsi="Times New Roman" w:eastAsia="华文中宋" w:cs="Times New Roman"/>
          <w:color w:val="auto"/>
          <w:lang w:val="en-US" w:eastAsia="zh-CN"/>
        </w:rPr>
        <w:t>全部回用矿区采掘场、废石堆放场和矿区道路降尘洒水等，不外排</w:t>
      </w:r>
      <w:r>
        <w:rPr>
          <w:rFonts w:hint="default" w:ascii="Times New Roman" w:hAnsi="Times New Roman" w:eastAsia="华文中宋" w:cs="Times New Roman"/>
          <w:color w:val="auto"/>
          <w:lang w:eastAsia="zh-CN"/>
        </w:rPr>
        <w:t>。</w:t>
      </w:r>
    </w:p>
    <w:p w14:paraId="22DFC606">
      <w:pPr>
        <w:pStyle w:val="4"/>
        <w:spacing w:before="120" w:after="120" w:line="500" w:lineRule="exact"/>
        <w:rPr>
          <w:rFonts w:hint="default" w:ascii="Times New Roman" w:hAnsi="Times New Roman" w:eastAsia="华文中宋" w:cs="Times New Roman"/>
          <w:kern w:val="0"/>
          <w:sz w:val="24"/>
          <w:szCs w:val="24"/>
          <w:lang w:val="en-US" w:eastAsia="zh-CN"/>
        </w:rPr>
      </w:pPr>
      <w:bookmarkStart w:id="379" w:name="_Toc20978"/>
      <w:r>
        <w:rPr>
          <w:rFonts w:hint="default" w:ascii="Times New Roman" w:hAnsi="Times New Roman" w:eastAsia="华文中宋" w:cs="Times New Roman"/>
          <w:kern w:val="0"/>
          <w:sz w:val="24"/>
          <w:szCs w:val="24"/>
          <w:lang w:val="en-US" w:eastAsia="zh-CN"/>
        </w:rPr>
        <w:t>9.4.3声环境污染防治措施</w:t>
      </w:r>
      <w:bookmarkEnd w:id="379"/>
    </w:p>
    <w:p w14:paraId="12F87140">
      <w:pPr>
        <w:pStyle w:val="24"/>
        <w:snapToGrid w:val="0"/>
        <w:jc w:val="left"/>
        <w:rPr>
          <w:rFonts w:hint="default" w:ascii="Times New Roman" w:hAnsi="Times New Roman" w:eastAsia="华文中宋" w:cs="Times New Roman"/>
          <w:color w:val="auto"/>
          <w:lang w:eastAsia="zh-CN"/>
        </w:rPr>
      </w:pPr>
      <w:r>
        <w:rPr>
          <w:rFonts w:hint="default" w:ascii="Times New Roman" w:hAnsi="Times New Roman" w:eastAsia="华文中宋" w:cs="Times New Roman"/>
          <w:color w:val="auto"/>
          <w:lang w:eastAsia="zh-CN"/>
        </w:rPr>
        <w:t>（1）采矿区噪声</w:t>
      </w:r>
    </w:p>
    <w:p w14:paraId="65EE49CF">
      <w:pPr>
        <w:pStyle w:val="24"/>
        <w:snapToGrid w:val="0"/>
        <w:jc w:val="left"/>
        <w:rPr>
          <w:rFonts w:hint="default" w:ascii="Times New Roman" w:hAnsi="Times New Roman" w:eastAsia="华文中宋" w:cs="Times New Roman"/>
          <w:color w:val="auto"/>
          <w:lang w:eastAsia="zh-CN"/>
        </w:rPr>
      </w:pPr>
      <w:r>
        <w:rPr>
          <w:rFonts w:hint="default" w:ascii="Times New Roman" w:hAnsi="Times New Roman" w:eastAsia="华文中宋" w:cs="Times New Roman"/>
          <w:color w:val="auto"/>
          <w:lang w:eastAsia="zh-CN"/>
        </w:rPr>
        <w:t>采矿区的噪声源主要为空压机、凿岩机、装载机、运输车辆等运行时产生的噪声。</w:t>
      </w:r>
    </w:p>
    <w:p w14:paraId="2CB624E1">
      <w:pPr>
        <w:pStyle w:val="24"/>
        <w:snapToGrid w:val="0"/>
        <w:jc w:val="left"/>
        <w:rPr>
          <w:rFonts w:hint="default" w:ascii="Times New Roman" w:hAnsi="Times New Roman" w:eastAsia="华文中宋" w:cs="Times New Roman"/>
          <w:color w:val="auto"/>
          <w:lang w:eastAsia="zh-CN"/>
        </w:rPr>
      </w:pPr>
      <w:r>
        <w:rPr>
          <w:rFonts w:hint="default" w:ascii="Times New Roman" w:hAnsi="Times New Roman" w:eastAsia="华文中宋" w:cs="Times New Roman"/>
          <w:color w:val="auto"/>
          <w:lang w:eastAsia="zh-CN"/>
        </w:rPr>
        <w:t>本项目采取噪声防治措施主要体现在以下几个方面：</w:t>
      </w:r>
    </w:p>
    <w:p w14:paraId="49826B88">
      <w:pPr>
        <w:pStyle w:val="24"/>
        <w:snapToGrid w:val="0"/>
        <w:jc w:val="left"/>
        <w:rPr>
          <w:rFonts w:hint="default" w:ascii="Times New Roman" w:hAnsi="Times New Roman" w:eastAsia="华文中宋" w:cs="Times New Roman"/>
          <w:color w:val="auto"/>
          <w:lang w:eastAsia="zh-CN"/>
        </w:rPr>
      </w:pPr>
      <w:r>
        <w:rPr>
          <w:rFonts w:hint="default" w:ascii="Times New Roman" w:hAnsi="Times New Roman" w:eastAsia="华文中宋" w:cs="Times New Roman"/>
          <w:color w:val="auto"/>
          <w:lang w:eastAsia="zh-CN"/>
        </w:rPr>
        <w:t>①从设备选型上尽量选用质量好、技术先进低噪声设备。</w:t>
      </w:r>
    </w:p>
    <w:p w14:paraId="5C244350">
      <w:pPr>
        <w:pStyle w:val="24"/>
        <w:snapToGrid w:val="0"/>
        <w:jc w:val="left"/>
        <w:rPr>
          <w:rFonts w:hint="default" w:ascii="Times New Roman" w:hAnsi="Times New Roman" w:eastAsia="华文中宋" w:cs="Times New Roman"/>
          <w:color w:val="auto"/>
          <w:lang w:eastAsia="zh-CN"/>
        </w:rPr>
      </w:pPr>
      <w:r>
        <w:rPr>
          <w:rFonts w:hint="default" w:ascii="Times New Roman" w:hAnsi="Times New Roman" w:eastAsia="华文中宋" w:cs="Times New Roman"/>
          <w:color w:val="auto"/>
          <w:lang w:eastAsia="zh-CN"/>
        </w:rPr>
        <w:t>②风机、空压机等应安装隔音罩、消声器等，使降噪效果达到10-20dB</w:t>
      </w:r>
      <w:r>
        <w:rPr>
          <w:rFonts w:hint="eastAsia" w:ascii="Times New Roman" w:hAnsi="Times New Roman" w:cs="Times New Roman"/>
          <w:color w:val="auto"/>
          <w:lang w:eastAsia="zh-CN"/>
        </w:rPr>
        <w:t>（</w:t>
      </w:r>
      <w:r>
        <w:rPr>
          <w:rFonts w:hint="default" w:ascii="Times New Roman" w:hAnsi="Times New Roman" w:eastAsia="华文中宋" w:cs="Times New Roman"/>
          <w:color w:val="auto"/>
          <w:lang w:eastAsia="zh-CN"/>
        </w:rPr>
        <w:t>A</w:t>
      </w:r>
      <w:r>
        <w:rPr>
          <w:rFonts w:hint="eastAsia" w:ascii="Times New Roman" w:hAnsi="Times New Roman" w:cs="Times New Roman"/>
          <w:color w:val="auto"/>
          <w:lang w:eastAsia="zh-CN"/>
        </w:rPr>
        <w:t>）</w:t>
      </w:r>
      <w:r>
        <w:rPr>
          <w:rFonts w:hint="default" w:ascii="Times New Roman" w:hAnsi="Times New Roman" w:eastAsia="华文中宋" w:cs="Times New Roman"/>
          <w:color w:val="auto"/>
          <w:lang w:eastAsia="zh-CN"/>
        </w:rPr>
        <w:t>。</w:t>
      </w:r>
    </w:p>
    <w:p w14:paraId="683EE8BC">
      <w:pPr>
        <w:pStyle w:val="24"/>
        <w:snapToGrid w:val="0"/>
        <w:jc w:val="left"/>
        <w:rPr>
          <w:rFonts w:hint="default" w:ascii="Times New Roman" w:hAnsi="Times New Roman" w:eastAsia="华文中宋" w:cs="Times New Roman"/>
          <w:color w:val="auto"/>
          <w:lang w:eastAsia="zh-CN"/>
        </w:rPr>
      </w:pPr>
      <w:r>
        <w:rPr>
          <w:rFonts w:hint="default" w:ascii="Times New Roman" w:hAnsi="Times New Roman" w:eastAsia="华文中宋" w:cs="Times New Roman"/>
          <w:color w:val="auto"/>
          <w:lang w:eastAsia="zh-CN"/>
        </w:rPr>
        <w:t>③对凿岩机等气流噪声采用加装消声器。</w:t>
      </w:r>
    </w:p>
    <w:p w14:paraId="0F9CFEF0">
      <w:pPr>
        <w:pStyle w:val="24"/>
        <w:snapToGrid w:val="0"/>
        <w:jc w:val="left"/>
        <w:rPr>
          <w:rFonts w:hint="default" w:ascii="Times New Roman" w:hAnsi="Times New Roman" w:eastAsia="华文中宋" w:cs="Times New Roman"/>
          <w:color w:val="auto"/>
          <w:lang w:eastAsia="zh-CN"/>
        </w:rPr>
      </w:pPr>
      <w:r>
        <w:rPr>
          <w:rFonts w:hint="default" w:ascii="Times New Roman" w:hAnsi="Times New Roman" w:eastAsia="华文中宋" w:cs="Times New Roman"/>
          <w:color w:val="auto"/>
          <w:lang w:eastAsia="zh-CN"/>
        </w:rPr>
        <w:t>④对设备及时保养和维修，使设备处于良好的技术状态。</w:t>
      </w:r>
    </w:p>
    <w:p w14:paraId="661DDDF1">
      <w:pPr>
        <w:pStyle w:val="24"/>
        <w:snapToGrid w:val="0"/>
        <w:jc w:val="left"/>
        <w:rPr>
          <w:rFonts w:hint="default" w:ascii="Times New Roman" w:hAnsi="Times New Roman" w:eastAsia="华文中宋" w:cs="Times New Roman"/>
          <w:color w:val="auto"/>
          <w:lang w:eastAsia="zh-CN"/>
        </w:rPr>
      </w:pPr>
      <w:r>
        <w:rPr>
          <w:rFonts w:hint="default" w:ascii="Times New Roman" w:hAnsi="Times New Roman" w:eastAsia="华文中宋" w:cs="Times New Roman"/>
          <w:color w:val="auto"/>
          <w:lang w:eastAsia="zh-CN"/>
        </w:rPr>
        <w:t>⑤操作人员必须佩戴隔声耳罩、耳塞等，并尽量减少接触强噪声的时间，加强个人防护。</w:t>
      </w:r>
    </w:p>
    <w:p w14:paraId="63B4A9BA">
      <w:pPr>
        <w:pStyle w:val="24"/>
        <w:snapToGrid w:val="0"/>
        <w:jc w:val="left"/>
        <w:rPr>
          <w:rFonts w:hint="default" w:ascii="Times New Roman" w:hAnsi="Times New Roman" w:eastAsia="华文中宋" w:cs="Times New Roman"/>
          <w:color w:val="auto"/>
          <w:lang w:eastAsia="zh-CN"/>
        </w:rPr>
      </w:pPr>
      <w:r>
        <w:rPr>
          <w:rFonts w:hint="default" w:ascii="Times New Roman" w:hAnsi="Times New Roman" w:eastAsia="华文中宋" w:cs="Times New Roman"/>
          <w:color w:val="auto"/>
          <w:lang w:eastAsia="zh-CN"/>
        </w:rPr>
        <w:t>（2）爆破噪声</w:t>
      </w:r>
    </w:p>
    <w:p w14:paraId="7DF755F9">
      <w:pPr>
        <w:pStyle w:val="24"/>
        <w:snapToGrid w:val="0"/>
        <w:jc w:val="left"/>
        <w:rPr>
          <w:rFonts w:hint="default" w:ascii="Times New Roman" w:hAnsi="Times New Roman" w:eastAsia="华文中宋" w:cs="Times New Roman"/>
          <w:color w:val="auto"/>
          <w:lang w:eastAsia="zh-CN"/>
        </w:rPr>
      </w:pPr>
      <w:r>
        <w:rPr>
          <w:rFonts w:hint="default" w:ascii="Times New Roman" w:hAnsi="Times New Roman" w:eastAsia="华文中宋" w:cs="Times New Roman"/>
          <w:color w:val="auto"/>
          <w:lang w:eastAsia="zh-CN"/>
        </w:rPr>
        <w:t>露天爆破噪声的声级较高，瞬时源强高达110dB（A）左右，本次评价要求合理安排放炮时间，采取定时集中爆破，此外，要求采用微爆破，减少炸药用量，减少爆破噪声影响范围和影响程度。</w:t>
      </w:r>
    </w:p>
    <w:p w14:paraId="6B88DFA7">
      <w:pPr>
        <w:pStyle w:val="24"/>
        <w:snapToGrid w:val="0"/>
        <w:jc w:val="left"/>
        <w:rPr>
          <w:rFonts w:hint="default" w:ascii="Times New Roman" w:hAnsi="Times New Roman" w:eastAsia="华文中宋" w:cs="Times New Roman"/>
          <w:color w:val="auto"/>
          <w:lang w:eastAsia="zh-CN"/>
        </w:rPr>
      </w:pPr>
      <w:r>
        <w:rPr>
          <w:rFonts w:hint="default" w:ascii="Times New Roman" w:hAnsi="Times New Roman" w:eastAsia="华文中宋" w:cs="Times New Roman"/>
          <w:color w:val="auto"/>
          <w:lang w:eastAsia="zh-CN"/>
        </w:rPr>
        <w:t>（3）交通噪声</w:t>
      </w:r>
    </w:p>
    <w:p w14:paraId="10C2098C">
      <w:pPr>
        <w:pStyle w:val="24"/>
        <w:snapToGrid w:val="0"/>
        <w:jc w:val="left"/>
        <w:rPr>
          <w:rFonts w:hint="default" w:ascii="Times New Roman" w:hAnsi="Times New Roman" w:eastAsia="华文中宋" w:cs="Times New Roman"/>
          <w:color w:val="auto"/>
          <w:lang w:val="zh-CN" w:eastAsia="zh-CN"/>
        </w:rPr>
      </w:pPr>
      <w:r>
        <w:rPr>
          <w:rFonts w:hint="default" w:ascii="Times New Roman" w:hAnsi="Times New Roman" w:eastAsia="华文中宋" w:cs="Times New Roman"/>
          <w:color w:val="auto"/>
          <w:lang w:val="zh-CN" w:eastAsia="zh-CN"/>
        </w:rPr>
        <w:t>禁止夜间运输，在途经生活区时减速慢行、禁止鸣笛，以减少交通噪声影响。</w:t>
      </w:r>
    </w:p>
    <w:p w14:paraId="627934C4">
      <w:pPr>
        <w:pStyle w:val="24"/>
        <w:snapToGrid w:val="0"/>
        <w:jc w:val="left"/>
        <w:rPr>
          <w:rFonts w:hint="default" w:ascii="Times New Roman" w:hAnsi="Times New Roman" w:eastAsia="华文中宋" w:cs="Times New Roman"/>
          <w:color w:val="auto"/>
          <w:lang w:eastAsia="zh-CN"/>
        </w:rPr>
      </w:pPr>
      <w:r>
        <w:rPr>
          <w:rFonts w:hint="default" w:ascii="Times New Roman" w:hAnsi="Times New Roman" w:eastAsia="华文中宋" w:cs="Times New Roman"/>
          <w:color w:val="auto"/>
          <w:lang w:eastAsia="zh-CN"/>
        </w:rPr>
        <w:t>类比同类项目验收噪声监测数据，通过采取以上降噪措施后，矿界、厂界噪声满足《工业企业厂界环境噪声排放标准》（GB12348-2008）</w:t>
      </w:r>
      <w:r>
        <w:rPr>
          <w:rFonts w:hint="default" w:ascii="Times New Roman" w:hAnsi="Times New Roman" w:eastAsia="华文中宋" w:cs="Times New Roman"/>
          <w:color w:val="auto"/>
          <w:lang w:val="en-US" w:eastAsia="zh-CN"/>
        </w:rPr>
        <w:t>2</w:t>
      </w:r>
      <w:r>
        <w:rPr>
          <w:rFonts w:hint="default" w:ascii="Times New Roman" w:hAnsi="Times New Roman" w:eastAsia="华文中宋" w:cs="Times New Roman"/>
          <w:color w:val="auto"/>
          <w:lang w:eastAsia="zh-CN"/>
        </w:rPr>
        <w:t>类标准的要求。</w:t>
      </w:r>
    </w:p>
    <w:p w14:paraId="60B0400C">
      <w:pPr>
        <w:pStyle w:val="4"/>
        <w:spacing w:before="120" w:after="120" w:line="500" w:lineRule="exact"/>
        <w:rPr>
          <w:rFonts w:hint="default" w:ascii="Times New Roman" w:hAnsi="Times New Roman" w:eastAsia="华文中宋" w:cs="Times New Roman"/>
          <w:kern w:val="0"/>
          <w:sz w:val="24"/>
          <w:szCs w:val="24"/>
          <w:lang w:val="en-US" w:eastAsia="zh-CN"/>
        </w:rPr>
      </w:pPr>
      <w:bookmarkStart w:id="380" w:name="_Toc29433"/>
      <w:r>
        <w:rPr>
          <w:rFonts w:hint="default" w:ascii="Times New Roman" w:hAnsi="Times New Roman" w:eastAsia="华文中宋" w:cs="Times New Roman"/>
          <w:kern w:val="0"/>
          <w:sz w:val="24"/>
          <w:szCs w:val="24"/>
          <w:lang w:val="en-US" w:eastAsia="zh-CN"/>
        </w:rPr>
        <w:t>9.4.4固体废物污染防治措施</w:t>
      </w:r>
      <w:bookmarkEnd w:id="380"/>
    </w:p>
    <w:p w14:paraId="76720ACC">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（1）废石</w:t>
      </w:r>
    </w:p>
    <w:p w14:paraId="611B3966">
      <w:pPr>
        <w:pStyle w:val="24"/>
        <w:snapToGrid w:val="0"/>
        <w:jc w:val="left"/>
        <w:rPr>
          <w:rFonts w:hint="default" w:ascii="Times New Roman" w:hAnsi="Times New Roman" w:eastAsia="华文中宋" w:cs="Times New Roman"/>
          <w:color w:val="auto"/>
          <w:lang w:eastAsia="zh-CN"/>
        </w:rPr>
      </w:pPr>
      <w:r>
        <w:rPr>
          <w:rFonts w:hint="default" w:ascii="Times New Roman" w:hAnsi="Times New Roman" w:eastAsia="华文中宋" w:cs="Times New Roman"/>
          <w:color w:val="auto"/>
          <w:lang w:eastAsia="zh-CN"/>
        </w:rPr>
        <w:t>根据设计，项目采用露天开采，</w:t>
      </w:r>
      <w:r>
        <w:rPr>
          <w:rFonts w:hint="default" w:ascii="Times New Roman" w:hAnsi="Times New Roman" w:eastAsia="华文中宋" w:cs="Times New Roman"/>
          <w:color w:val="auto"/>
          <w:lang w:val="en-US" w:eastAsia="zh-CN"/>
        </w:rPr>
        <w:t>在服务期内</w:t>
      </w:r>
      <w:r>
        <w:rPr>
          <w:rFonts w:hint="default" w:ascii="Times New Roman" w:hAnsi="Times New Roman" w:eastAsia="华文中宋" w:cs="Times New Roman"/>
          <w:color w:val="auto"/>
          <w:lang w:eastAsia="zh-CN"/>
        </w:rPr>
        <w:t>的废石总量</w:t>
      </w:r>
      <w:r>
        <w:rPr>
          <w:rFonts w:hint="default" w:ascii="Times New Roman" w:hAnsi="Times New Roman" w:eastAsia="华文中宋" w:cs="Times New Roman"/>
          <w:color w:val="auto"/>
          <w:lang w:val="en-US" w:eastAsia="zh-CN"/>
        </w:rPr>
        <w:t>471.76万t</w:t>
      </w:r>
      <w:r>
        <w:rPr>
          <w:rFonts w:hint="eastAsia" w:ascii="Times New Roman" w:hAnsi="Times New Roman" w:cs="Times New Roman"/>
          <w:color w:val="auto"/>
          <w:lang w:val="en-US" w:eastAsia="zh-CN"/>
        </w:rPr>
        <w:t>（北露天采场308.11万t，南露天采场163.65万t）</w:t>
      </w:r>
      <w:r>
        <w:rPr>
          <w:rFonts w:hint="default" w:ascii="Times New Roman" w:hAnsi="Times New Roman" w:eastAsia="华文中宋" w:cs="Times New Roman"/>
          <w:color w:val="auto"/>
          <w:lang w:val="en-US" w:eastAsia="zh-CN"/>
        </w:rPr>
        <w:t>，废石体重为2.9t/m</w:t>
      </w:r>
      <w:r>
        <w:rPr>
          <w:rFonts w:hint="default" w:ascii="Times New Roman" w:hAnsi="Times New Roman" w:eastAsia="华文中宋" w:cs="Times New Roman"/>
          <w:color w:val="auto"/>
          <w:vertAlign w:val="superscript"/>
          <w:lang w:val="en-US" w:eastAsia="zh-CN"/>
        </w:rPr>
        <w:t>3</w:t>
      </w:r>
      <w:r>
        <w:rPr>
          <w:rFonts w:hint="default"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eastAsia="zh-CN"/>
        </w:rPr>
        <w:t>设计废石堆放场有效堆放容积</w:t>
      </w:r>
      <w:r>
        <w:rPr>
          <w:rFonts w:hint="eastAsia" w:ascii="Times New Roman" w:hAnsi="Times New Roman" w:cs="Times New Roman"/>
          <w:color w:val="auto"/>
          <w:lang w:val="en-US" w:eastAsia="zh-CN"/>
        </w:rPr>
        <w:t>120</w:t>
      </w:r>
      <w:r>
        <w:rPr>
          <w:rFonts w:hint="default" w:ascii="Times New Roman" w:hAnsi="Times New Roman" w:eastAsia="华文中宋" w:cs="Times New Roman"/>
          <w:color w:val="auto"/>
          <w:lang w:eastAsia="zh-CN"/>
        </w:rPr>
        <w:t>万m</w:t>
      </w:r>
      <w:r>
        <w:rPr>
          <w:rFonts w:hint="default" w:ascii="Times New Roman" w:hAnsi="Times New Roman" w:eastAsia="华文中宋" w:cs="Times New Roman"/>
          <w:color w:val="auto"/>
          <w:vertAlign w:val="superscript"/>
          <w:lang w:eastAsia="zh-CN"/>
        </w:rPr>
        <w:t>3</w:t>
      </w:r>
      <w:r>
        <w:rPr>
          <w:rFonts w:hint="eastAsia" w:ascii="Times New Roman" w:hAnsi="Times New Roman" w:cs="Times New Roman"/>
          <w:color w:val="auto"/>
          <w:vertAlign w:val="baseline"/>
          <w:lang w:eastAsia="zh-CN"/>
        </w:rPr>
        <w:t>，</w:t>
      </w:r>
      <w:r>
        <w:rPr>
          <w:rFonts w:hint="eastAsia" w:ascii="Times New Roman" w:hAnsi="Times New Roman" w:cs="Times New Roman"/>
          <w:color w:val="auto"/>
          <w:vertAlign w:val="baseline"/>
          <w:lang w:val="en-US" w:eastAsia="zh-CN"/>
        </w:rPr>
        <w:t>用于堆存北露天采场废石</w:t>
      </w:r>
      <w:r>
        <w:rPr>
          <w:rFonts w:hint="eastAsia" w:ascii="Times New Roman" w:hAnsi="Times New Roman" w:cs="Times New Roman"/>
          <w:color w:val="auto"/>
          <w:lang w:eastAsia="zh-CN"/>
        </w:rPr>
        <w:t>，</w:t>
      </w:r>
      <w:r>
        <w:rPr>
          <w:rFonts w:hint="default" w:ascii="Times New Roman" w:hAnsi="Times New Roman" w:eastAsia="华文中宋" w:cs="Times New Roman"/>
          <w:color w:val="auto"/>
          <w:lang w:val="en-US" w:eastAsia="zh-CN"/>
        </w:rPr>
        <w:t>南露天采场废石直接回填至北露天采场内</w:t>
      </w:r>
      <w:r>
        <w:rPr>
          <w:rFonts w:hint="default" w:ascii="Times New Roman" w:hAnsi="Times New Roman" w:eastAsia="华文中宋" w:cs="Times New Roman"/>
          <w:color w:val="auto"/>
          <w:lang w:eastAsia="zh-CN"/>
        </w:rPr>
        <w:t>。</w:t>
      </w:r>
    </w:p>
    <w:p w14:paraId="089F8454">
      <w:pPr>
        <w:pStyle w:val="24"/>
        <w:snapToGrid w:val="0"/>
        <w:jc w:val="left"/>
        <w:rPr>
          <w:rFonts w:hint="default" w:ascii="Times New Roman" w:hAnsi="Times New Roman" w:eastAsia="华文中宋" w:cs="Times New Roman"/>
          <w:color w:val="auto"/>
          <w:lang w:eastAsia="zh-CN"/>
        </w:rPr>
      </w:pPr>
      <w:r>
        <w:rPr>
          <w:rFonts w:hint="default" w:ascii="Times New Roman" w:hAnsi="Times New Roman" w:eastAsia="华文中宋" w:cs="Times New Roman"/>
          <w:color w:val="auto"/>
          <w:lang w:eastAsia="zh-CN"/>
        </w:rPr>
        <w:t>（2）生活垃圾</w:t>
      </w:r>
    </w:p>
    <w:p w14:paraId="293B4E67">
      <w:pPr>
        <w:pStyle w:val="24"/>
        <w:snapToGrid w:val="0"/>
        <w:jc w:val="left"/>
        <w:rPr>
          <w:rFonts w:hint="default" w:ascii="Times New Roman" w:hAnsi="Times New Roman" w:eastAsia="华文中宋" w:cs="Times New Roman"/>
          <w:color w:val="auto"/>
          <w:lang w:eastAsia="zh-CN"/>
        </w:rPr>
      </w:pPr>
      <w:r>
        <w:rPr>
          <w:rFonts w:hint="default" w:ascii="Times New Roman" w:hAnsi="Times New Roman" w:eastAsia="华文中宋" w:cs="Times New Roman"/>
          <w:color w:val="auto"/>
          <w:lang w:eastAsia="zh-CN"/>
        </w:rPr>
        <w:t>生活垃圾收集后在垃圾箱暂存，定期拉运至</w:t>
      </w:r>
      <w:r>
        <w:rPr>
          <w:rFonts w:hint="default" w:ascii="Times New Roman" w:hAnsi="Times New Roman" w:eastAsia="华文中宋" w:cs="Times New Roman"/>
          <w:color w:val="auto"/>
          <w:lang w:val="en-US" w:eastAsia="zh-CN"/>
        </w:rPr>
        <w:t>民丰县</w:t>
      </w:r>
      <w:r>
        <w:rPr>
          <w:rFonts w:hint="default" w:ascii="Times New Roman" w:hAnsi="Times New Roman" w:eastAsia="华文中宋" w:cs="Times New Roman"/>
          <w:color w:val="auto"/>
          <w:lang w:eastAsia="zh-CN"/>
        </w:rPr>
        <w:t>生活垃圾填埋场填埋。</w:t>
      </w:r>
    </w:p>
    <w:p w14:paraId="091C5ED7">
      <w:pPr>
        <w:pStyle w:val="24"/>
        <w:snapToGrid w:val="0"/>
        <w:jc w:val="left"/>
        <w:rPr>
          <w:rFonts w:hint="default" w:ascii="Times New Roman" w:hAnsi="Times New Roman" w:eastAsia="华文中宋" w:cs="Times New Roman"/>
          <w:color w:val="auto"/>
          <w:lang w:eastAsia="zh-CN"/>
        </w:rPr>
      </w:pPr>
      <w:r>
        <w:rPr>
          <w:rFonts w:hint="default" w:ascii="Times New Roman" w:hAnsi="Times New Roman" w:eastAsia="华文中宋" w:cs="Times New Roman"/>
          <w:color w:val="auto"/>
          <w:lang w:eastAsia="zh-CN"/>
        </w:rPr>
        <w:t>（3）废机油</w:t>
      </w:r>
    </w:p>
    <w:p w14:paraId="19BC7BAA">
      <w:pPr>
        <w:pStyle w:val="24"/>
        <w:snapToGrid w:val="0"/>
        <w:jc w:val="left"/>
        <w:rPr>
          <w:rFonts w:hint="default" w:ascii="Times New Roman" w:hAnsi="Times New Roman" w:eastAsia="华文中宋" w:cs="Times New Roman"/>
          <w:color w:val="auto"/>
          <w:lang w:eastAsia="zh-CN"/>
        </w:rPr>
      </w:pPr>
      <w:r>
        <w:rPr>
          <w:rFonts w:hint="default" w:ascii="Times New Roman" w:hAnsi="Times New Roman" w:eastAsia="华文中宋" w:cs="Times New Roman"/>
          <w:color w:val="auto"/>
          <w:lang w:eastAsia="zh-CN"/>
        </w:rPr>
        <w:t>废机油装于空油桶，暂存于废机油仓库，外委有资质单位处置。在采取以上措施后，项目固废将得到无害化处置，本工程的固废处置措施可行。</w:t>
      </w:r>
    </w:p>
    <w:p w14:paraId="5536D34E">
      <w:pPr>
        <w:pStyle w:val="4"/>
        <w:spacing w:before="120" w:after="120" w:line="500" w:lineRule="exact"/>
        <w:rPr>
          <w:rFonts w:hint="default" w:ascii="Times New Roman" w:hAnsi="Times New Roman" w:eastAsia="华文中宋" w:cs="Times New Roman"/>
          <w:kern w:val="0"/>
          <w:sz w:val="24"/>
          <w:szCs w:val="24"/>
          <w:lang w:val="en-US" w:eastAsia="zh-CN"/>
        </w:rPr>
      </w:pPr>
      <w:bookmarkStart w:id="381" w:name="_Toc9217"/>
      <w:r>
        <w:rPr>
          <w:rFonts w:hint="default" w:ascii="Times New Roman" w:hAnsi="Times New Roman" w:eastAsia="华文中宋" w:cs="Times New Roman"/>
          <w:kern w:val="0"/>
          <w:sz w:val="24"/>
          <w:szCs w:val="24"/>
          <w:lang w:val="en-US" w:eastAsia="zh-CN"/>
        </w:rPr>
        <w:t>9.4.5生态恢复及治理措施</w:t>
      </w:r>
      <w:bookmarkEnd w:id="381"/>
    </w:p>
    <w:p w14:paraId="1A715E03">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（1）加强水土流失防治</w:t>
      </w:r>
    </w:p>
    <w:p w14:paraId="2F86EFEF">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该项目属资源开发类项目，运营期会增加水土流失，本环评建议建设单位应尽快委托有资质的单位编制该项目的水土保持方案，建设单位严格按照水保方案执行，使运营期的水土流失量减至最低。</w:t>
      </w:r>
    </w:p>
    <w:p w14:paraId="2BF53E53">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2）加强宣传教育，严禁工作人员碾踩植被和土壤，尽量避免因人为活动对植被和土壤造成的不利影响；加强对生产人员进行环境保护知识教育，增强生产人员的环境保护意识。严禁生产人员捕杀矿区周围野生动物。</w:t>
      </w:r>
    </w:p>
    <w:p w14:paraId="26525D7E">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（3）运输工具应在规划的道路上行驶，严禁随意行驶，碾压植被，严禁破坏与项目本身无关的植被，将植被损失降至最低。</w:t>
      </w:r>
    </w:p>
    <w:p w14:paraId="3CFA8061">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（4）该项目产生的生态影响的防护和恢复应按照</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避免→消减→补偿</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的顺序最大限度地减少人为开发活动对自然资源和生态环境的破坏，以实现</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开发中保护、保护中开发</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的目标。</w:t>
      </w:r>
    </w:p>
    <w:p w14:paraId="4C089CF9">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（5）针对矿区较脆弱的生态环境，在矿区建设及开采阶段，建设单位应本着</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不破坏就是最大的保护</w:t>
      </w:r>
      <w:r>
        <w:rPr>
          <w:rFonts w:hint="eastAsia" w:ascii="Times New Roman" w:hAnsi="Times New Roman" w:eastAsia="华文中宋" w:cs="Times New Roman"/>
          <w:color w:val="auto"/>
          <w:lang w:val="en-US" w:eastAsia="zh-CN"/>
        </w:rPr>
        <w:t>”</w:t>
      </w:r>
      <w:r>
        <w:rPr>
          <w:rFonts w:hint="default" w:ascii="Times New Roman" w:hAnsi="Times New Roman" w:eastAsia="华文中宋" w:cs="Times New Roman"/>
          <w:color w:val="auto"/>
          <w:lang w:val="en-US" w:eastAsia="zh-CN"/>
        </w:rPr>
        <w:t>的原则对矿山进行开采。</w:t>
      </w:r>
    </w:p>
    <w:p w14:paraId="2F5B1EB2">
      <w:pPr>
        <w:pStyle w:val="3"/>
        <w:spacing w:before="120" w:after="120" w:line="500" w:lineRule="exact"/>
        <w:ind w:left="375" w:hanging="375" w:firstLineChars="0"/>
        <w:contextualSpacing/>
        <w:rPr>
          <w:rFonts w:hint="default" w:ascii="Times New Roman" w:hAnsi="Times New Roman" w:eastAsia="华文中宋" w:cs="Times New Roman"/>
          <w:snapToGrid w:val="0"/>
          <w:kern w:val="0"/>
          <w:sz w:val="28"/>
          <w:szCs w:val="28"/>
          <w:lang w:val="en-US" w:eastAsia="zh-CN"/>
        </w:rPr>
      </w:pPr>
      <w:bookmarkStart w:id="382" w:name="_Toc7552"/>
      <w:bookmarkStart w:id="383" w:name="_Toc8390"/>
      <w:r>
        <w:rPr>
          <w:rFonts w:hint="default" w:ascii="Times New Roman" w:hAnsi="Times New Roman" w:eastAsia="华文中宋" w:cs="Times New Roman"/>
          <w:snapToGrid w:val="0"/>
          <w:kern w:val="0"/>
          <w:sz w:val="28"/>
          <w:szCs w:val="28"/>
          <w:lang w:val="en-US" w:eastAsia="zh-CN"/>
        </w:rPr>
        <w:t>9.5环境风险防范措施</w:t>
      </w:r>
      <w:bookmarkEnd w:id="382"/>
      <w:bookmarkEnd w:id="383"/>
    </w:p>
    <w:p w14:paraId="1FDFA65C">
      <w:pPr>
        <w:keepNext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建设单位应编制环境风险应急预案，出现风险事故，启动应急预案。</w:t>
      </w:r>
    </w:p>
    <w:p w14:paraId="294726C9">
      <w:pPr>
        <w:pStyle w:val="3"/>
        <w:spacing w:before="120" w:after="120" w:line="500" w:lineRule="exact"/>
        <w:ind w:left="375" w:hanging="375" w:firstLineChars="0"/>
        <w:contextualSpacing/>
        <w:rPr>
          <w:rFonts w:hint="default" w:ascii="Times New Roman" w:hAnsi="Times New Roman" w:eastAsia="华文中宋" w:cs="Times New Roman"/>
          <w:snapToGrid w:val="0"/>
          <w:kern w:val="0"/>
          <w:sz w:val="28"/>
          <w:szCs w:val="28"/>
          <w:lang w:val="en-US" w:eastAsia="zh-CN"/>
        </w:rPr>
      </w:pPr>
      <w:bookmarkStart w:id="384" w:name="_Toc28781"/>
      <w:bookmarkStart w:id="385" w:name="_Toc109"/>
      <w:r>
        <w:rPr>
          <w:rFonts w:hint="default" w:ascii="Times New Roman" w:hAnsi="Times New Roman" w:eastAsia="华文中宋" w:cs="Times New Roman"/>
          <w:snapToGrid w:val="0"/>
          <w:kern w:val="0"/>
          <w:sz w:val="28"/>
          <w:szCs w:val="28"/>
          <w:lang w:val="en-US" w:eastAsia="zh-CN"/>
        </w:rPr>
        <w:t>9.6公众意见采纳情况</w:t>
      </w:r>
      <w:bookmarkEnd w:id="384"/>
      <w:bookmarkEnd w:id="385"/>
    </w:p>
    <w:p w14:paraId="3A69CB20">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rPr>
        <w:t>本</w:t>
      </w:r>
      <w:r>
        <w:rPr>
          <w:rFonts w:hint="default" w:ascii="Times New Roman" w:hAnsi="Times New Roman" w:eastAsia="华文中宋" w:cs="Times New Roman"/>
          <w:color w:val="auto"/>
          <w:lang w:eastAsia="zh-CN"/>
        </w:rPr>
        <w:t>项目</w:t>
      </w:r>
      <w:r>
        <w:rPr>
          <w:rFonts w:hint="default" w:ascii="Times New Roman" w:hAnsi="Times New Roman" w:eastAsia="华文中宋" w:cs="Times New Roman"/>
          <w:color w:val="auto"/>
        </w:rPr>
        <w:t>公众参与由建设单位民丰县万水源矿业有限责任公司负责实施，首次环境影响评价公众参与相关信息通过</w:t>
      </w:r>
      <w:r>
        <w:rPr>
          <w:rFonts w:hint="default" w:ascii="Times New Roman" w:hAnsi="Times New Roman" w:eastAsia="华文中宋" w:cs="Times New Roman"/>
          <w:color w:val="auto"/>
          <w:lang w:val="en-US" w:eastAsia="zh-CN"/>
        </w:rPr>
        <w:t>全国建设项目环境信息公示平台</w:t>
      </w:r>
      <w:r>
        <w:rPr>
          <w:rFonts w:hint="default" w:ascii="Times New Roman" w:hAnsi="Times New Roman" w:eastAsia="华文中宋" w:cs="Times New Roman"/>
          <w:color w:val="auto"/>
          <w:lang w:eastAsia="zh-CN"/>
        </w:rPr>
        <w:t>网站</w:t>
      </w:r>
      <w:r>
        <w:rPr>
          <w:rFonts w:hint="default" w:ascii="Times New Roman" w:hAnsi="Times New Roman" w:eastAsia="华文中宋" w:cs="Times New Roman"/>
          <w:color w:val="auto"/>
        </w:rPr>
        <w:t>公开，时间为202</w:t>
      </w:r>
      <w:r>
        <w:rPr>
          <w:rFonts w:hint="eastAsia" w:ascii="Times New Roman" w:hAnsi="Times New Roman" w:cs="Times New Roman"/>
          <w:color w:val="auto"/>
          <w:lang w:val="en-US" w:eastAsia="zh-CN"/>
        </w:rPr>
        <w:t>4</w:t>
      </w:r>
      <w:r>
        <w:rPr>
          <w:rFonts w:hint="default" w:ascii="Times New Roman" w:hAnsi="Times New Roman" w:eastAsia="华文中宋" w:cs="Times New Roman"/>
          <w:color w:val="auto"/>
        </w:rPr>
        <w:t>年</w:t>
      </w:r>
      <w:r>
        <w:rPr>
          <w:rFonts w:hint="default" w:ascii="Times New Roman" w:hAnsi="Times New Roman" w:eastAsia="华文中宋" w:cs="Times New Roman"/>
          <w:color w:val="auto"/>
          <w:lang w:val="en-US" w:eastAsia="zh-CN"/>
        </w:rPr>
        <w:t>7</w:t>
      </w:r>
      <w:r>
        <w:rPr>
          <w:rFonts w:hint="default" w:ascii="Times New Roman" w:hAnsi="Times New Roman" w:eastAsia="华文中宋" w:cs="Times New Roman"/>
          <w:color w:val="auto"/>
        </w:rPr>
        <w:t>月</w:t>
      </w:r>
      <w:r>
        <w:rPr>
          <w:rFonts w:hint="default" w:ascii="Times New Roman" w:hAnsi="Times New Roman" w:eastAsia="华文中宋" w:cs="Times New Roman"/>
          <w:color w:val="auto"/>
          <w:lang w:val="en-US" w:eastAsia="zh-CN"/>
        </w:rPr>
        <w:t>17</w:t>
      </w:r>
      <w:r>
        <w:rPr>
          <w:rFonts w:hint="default" w:ascii="Times New Roman" w:hAnsi="Times New Roman" w:eastAsia="华文中宋" w:cs="Times New Roman"/>
          <w:color w:val="auto"/>
        </w:rPr>
        <w:t>日。征求意见稿公示日期为202</w:t>
      </w:r>
      <w:r>
        <w:rPr>
          <w:rFonts w:hint="eastAsia" w:ascii="Times New Roman" w:hAnsi="Times New Roman" w:cs="Times New Roman"/>
          <w:color w:val="auto"/>
          <w:lang w:val="en-US" w:eastAsia="zh-CN"/>
        </w:rPr>
        <w:t>4</w:t>
      </w:r>
      <w:r>
        <w:rPr>
          <w:rFonts w:hint="default" w:ascii="Times New Roman" w:hAnsi="Times New Roman" w:eastAsia="华文中宋" w:cs="Times New Roman"/>
          <w:color w:val="auto"/>
        </w:rPr>
        <w:t>年</w:t>
      </w:r>
      <w:r>
        <w:rPr>
          <w:rFonts w:hint="default" w:ascii="Times New Roman" w:hAnsi="Times New Roman" w:eastAsia="华文中宋" w:cs="Times New Roman"/>
          <w:color w:val="auto"/>
          <w:lang w:val="en-US" w:eastAsia="zh-CN"/>
        </w:rPr>
        <w:t>12</w:t>
      </w:r>
      <w:r>
        <w:rPr>
          <w:rFonts w:hint="default" w:ascii="Times New Roman" w:hAnsi="Times New Roman" w:eastAsia="华文中宋" w:cs="Times New Roman"/>
          <w:color w:val="auto"/>
        </w:rPr>
        <w:t>月</w:t>
      </w:r>
      <w:r>
        <w:rPr>
          <w:rFonts w:hint="default" w:ascii="Times New Roman" w:hAnsi="Times New Roman" w:eastAsia="华文中宋" w:cs="Times New Roman"/>
          <w:color w:val="auto"/>
          <w:lang w:val="en-US" w:eastAsia="zh-CN"/>
        </w:rPr>
        <w:t>8</w:t>
      </w:r>
      <w:r>
        <w:rPr>
          <w:rFonts w:hint="default" w:ascii="Times New Roman" w:hAnsi="Times New Roman" w:eastAsia="华文中宋" w:cs="Times New Roman"/>
          <w:color w:val="auto"/>
        </w:rPr>
        <w:t>日（</w:t>
      </w:r>
      <w:r>
        <w:rPr>
          <w:rFonts w:hint="default" w:ascii="Times New Roman" w:hAnsi="Times New Roman" w:eastAsia="华文中宋" w:cs="Times New Roman"/>
          <w:color w:val="auto"/>
          <w:lang w:val="en-US" w:eastAsia="zh-CN"/>
        </w:rPr>
        <w:t>全国建设项目环境信息公示平台</w:t>
      </w:r>
      <w:r>
        <w:rPr>
          <w:rFonts w:hint="default" w:ascii="Times New Roman" w:hAnsi="Times New Roman" w:eastAsia="华文中宋" w:cs="Times New Roman"/>
          <w:color w:val="auto"/>
          <w:lang w:eastAsia="zh-CN"/>
        </w:rPr>
        <w:t>网站）</w:t>
      </w:r>
      <w:r>
        <w:rPr>
          <w:rFonts w:hint="default" w:ascii="Times New Roman" w:hAnsi="Times New Roman" w:eastAsia="华文中宋" w:cs="Times New Roman"/>
          <w:color w:val="auto"/>
        </w:rPr>
        <w:t>；报纸第一次公告日期为202</w:t>
      </w:r>
      <w:r>
        <w:rPr>
          <w:rFonts w:hint="default" w:ascii="Times New Roman" w:hAnsi="Times New Roman" w:eastAsia="华文中宋" w:cs="Times New Roman"/>
          <w:color w:val="auto"/>
          <w:lang w:val="en-US" w:eastAsia="zh-CN"/>
        </w:rPr>
        <w:t>4</w:t>
      </w:r>
      <w:r>
        <w:rPr>
          <w:rFonts w:hint="default" w:ascii="Times New Roman" w:hAnsi="Times New Roman" w:eastAsia="华文中宋" w:cs="Times New Roman"/>
          <w:color w:val="auto"/>
        </w:rPr>
        <w:t>年</w:t>
      </w:r>
      <w:r>
        <w:rPr>
          <w:rFonts w:hint="default" w:ascii="Times New Roman" w:hAnsi="Times New Roman" w:eastAsia="华文中宋" w:cs="Times New Roman"/>
          <w:color w:val="auto"/>
          <w:lang w:val="en-US" w:eastAsia="zh-CN"/>
        </w:rPr>
        <w:t>12</w:t>
      </w:r>
      <w:r>
        <w:rPr>
          <w:rFonts w:hint="default" w:ascii="Times New Roman" w:hAnsi="Times New Roman" w:eastAsia="华文中宋" w:cs="Times New Roman"/>
          <w:color w:val="auto"/>
        </w:rPr>
        <w:t>月</w:t>
      </w:r>
      <w:r>
        <w:rPr>
          <w:rFonts w:hint="default" w:ascii="Times New Roman" w:hAnsi="Times New Roman" w:eastAsia="华文中宋" w:cs="Times New Roman"/>
          <w:color w:val="auto"/>
          <w:lang w:val="en-US" w:eastAsia="zh-CN"/>
        </w:rPr>
        <w:t>26</w:t>
      </w:r>
      <w:r>
        <w:rPr>
          <w:rFonts w:hint="default" w:ascii="Times New Roman" w:hAnsi="Times New Roman" w:eastAsia="华文中宋" w:cs="Times New Roman"/>
          <w:color w:val="auto"/>
        </w:rPr>
        <w:t>日（</w:t>
      </w:r>
      <w:r>
        <w:rPr>
          <w:rFonts w:hint="default" w:ascii="Times New Roman" w:hAnsi="Times New Roman" w:eastAsia="华文中宋" w:cs="Times New Roman"/>
          <w:color w:val="auto"/>
          <w:lang w:val="en-US" w:eastAsia="zh-CN"/>
        </w:rPr>
        <w:t>和田日报</w:t>
      </w:r>
      <w:r>
        <w:rPr>
          <w:rFonts w:hint="default" w:ascii="Times New Roman" w:hAnsi="Times New Roman" w:eastAsia="华文中宋" w:cs="Times New Roman"/>
          <w:color w:val="auto"/>
        </w:rPr>
        <w:t>），报纸第二次公告日期为202</w:t>
      </w:r>
      <w:r>
        <w:rPr>
          <w:rFonts w:hint="default" w:ascii="Times New Roman" w:hAnsi="Times New Roman" w:eastAsia="华文中宋" w:cs="Times New Roman"/>
          <w:color w:val="auto"/>
          <w:lang w:val="en-US" w:eastAsia="zh-CN"/>
        </w:rPr>
        <w:t>4</w:t>
      </w:r>
      <w:r>
        <w:rPr>
          <w:rFonts w:hint="default" w:ascii="Times New Roman" w:hAnsi="Times New Roman" w:eastAsia="华文中宋" w:cs="Times New Roman"/>
          <w:color w:val="auto"/>
        </w:rPr>
        <w:t>年</w:t>
      </w:r>
      <w:r>
        <w:rPr>
          <w:rFonts w:hint="default" w:ascii="Times New Roman" w:hAnsi="Times New Roman" w:eastAsia="华文中宋" w:cs="Times New Roman"/>
          <w:color w:val="auto"/>
          <w:lang w:val="en-US" w:eastAsia="zh-CN"/>
        </w:rPr>
        <w:t>12</w:t>
      </w:r>
      <w:r>
        <w:rPr>
          <w:rFonts w:hint="default" w:ascii="Times New Roman" w:hAnsi="Times New Roman" w:eastAsia="华文中宋" w:cs="Times New Roman"/>
          <w:color w:val="auto"/>
        </w:rPr>
        <w:t>月</w:t>
      </w:r>
      <w:r>
        <w:rPr>
          <w:rFonts w:hint="default" w:ascii="Times New Roman" w:hAnsi="Times New Roman" w:eastAsia="华文中宋" w:cs="Times New Roman"/>
          <w:color w:val="auto"/>
          <w:lang w:val="en-US" w:eastAsia="zh-CN"/>
        </w:rPr>
        <w:t>27</w:t>
      </w:r>
      <w:r>
        <w:rPr>
          <w:rFonts w:hint="default" w:ascii="Times New Roman" w:hAnsi="Times New Roman" w:eastAsia="华文中宋" w:cs="Times New Roman"/>
          <w:color w:val="auto"/>
        </w:rPr>
        <w:t>日（</w:t>
      </w:r>
      <w:r>
        <w:rPr>
          <w:rFonts w:hint="default" w:ascii="Times New Roman" w:hAnsi="Times New Roman" w:eastAsia="华文中宋" w:cs="Times New Roman"/>
          <w:color w:val="auto"/>
          <w:lang w:val="en-US" w:eastAsia="zh-CN"/>
        </w:rPr>
        <w:t>和田日报</w:t>
      </w:r>
      <w:r>
        <w:rPr>
          <w:rFonts w:hint="default" w:ascii="Times New Roman" w:hAnsi="Times New Roman" w:eastAsia="华文中宋" w:cs="Times New Roman"/>
          <w:color w:val="auto"/>
        </w:rPr>
        <w:t>）</w:t>
      </w:r>
      <w:r>
        <w:rPr>
          <w:rFonts w:hint="eastAsia" w:ascii="Times New Roman" w:hAnsi="Times New Roman" w:eastAsia="华文中宋" w:cs="Times New Roman"/>
          <w:color w:val="auto"/>
          <w:lang w:eastAsia="zh-CN"/>
        </w:rPr>
        <w:t>；</w:t>
      </w:r>
      <w:r>
        <w:rPr>
          <w:rFonts w:hint="default" w:ascii="Times New Roman" w:hAnsi="Times New Roman" w:eastAsia="华文中宋" w:cs="Times New Roman"/>
          <w:color w:val="auto"/>
          <w:lang w:val="en-US" w:eastAsia="zh-CN"/>
        </w:rPr>
        <w:t>公众参与审批前公示相关信息</w:t>
      </w:r>
      <w:r>
        <w:rPr>
          <w:rFonts w:hint="default" w:ascii="Times New Roman" w:hAnsi="Times New Roman" w:eastAsia="华文中宋" w:cs="Times New Roman"/>
          <w:color w:val="auto"/>
        </w:rPr>
        <w:t>通过</w:t>
      </w:r>
      <w:r>
        <w:rPr>
          <w:rFonts w:hint="default" w:ascii="Times New Roman" w:hAnsi="Times New Roman" w:eastAsia="华文中宋" w:cs="Times New Roman"/>
          <w:color w:val="auto"/>
          <w:lang w:val="en-US" w:eastAsia="zh-CN"/>
        </w:rPr>
        <w:t>全国建设项目环境信息公示平台</w:t>
      </w:r>
      <w:r>
        <w:rPr>
          <w:rFonts w:hint="default" w:ascii="Times New Roman" w:hAnsi="Times New Roman" w:eastAsia="华文中宋" w:cs="Times New Roman"/>
          <w:color w:val="auto"/>
          <w:lang w:eastAsia="zh-CN"/>
        </w:rPr>
        <w:t>网站</w:t>
      </w:r>
      <w:r>
        <w:rPr>
          <w:rFonts w:hint="default" w:ascii="Times New Roman" w:hAnsi="Times New Roman" w:eastAsia="华文中宋" w:cs="Times New Roman"/>
          <w:color w:val="auto"/>
        </w:rPr>
        <w:t>公开</w:t>
      </w:r>
      <w:r>
        <w:rPr>
          <w:rFonts w:hint="default" w:ascii="Times New Roman" w:hAnsi="Times New Roman" w:eastAsia="华文中宋" w:cs="Times New Roman"/>
          <w:color w:val="auto"/>
          <w:lang w:eastAsia="zh-CN"/>
        </w:rPr>
        <w:t>，</w:t>
      </w:r>
      <w:r>
        <w:rPr>
          <w:rFonts w:hint="default" w:ascii="Times New Roman" w:hAnsi="Times New Roman" w:eastAsia="华文中宋" w:cs="Times New Roman"/>
          <w:color w:val="auto"/>
          <w:lang w:val="en-US" w:eastAsia="zh-CN"/>
        </w:rPr>
        <w:t>时间为</w:t>
      </w:r>
      <w:r>
        <w:rPr>
          <w:rFonts w:hint="default" w:ascii="Times New Roman" w:hAnsi="Times New Roman" w:eastAsia="华文中宋" w:cs="Times New Roman"/>
          <w:color w:val="auto"/>
          <w:highlight w:val="none"/>
          <w:lang w:val="en-US" w:eastAsia="zh-CN"/>
        </w:rPr>
        <w:t>202</w:t>
      </w:r>
      <w:r>
        <w:rPr>
          <w:rFonts w:hint="eastAsia" w:ascii="Times New Roman" w:hAnsi="Times New Roman" w:cs="Times New Roman"/>
          <w:color w:val="auto"/>
          <w:highlight w:val="none"/>
          <w:lang w:val="en-US" w:eastAsia="zh-CN"/>
        </w:rPr>
        <w:t>5</w:t>
      </w:r>
      <w:r>
        <w:rPr>
          <w:rFonts w:hint="default" w:ascii="Times New Roman" w:hAnsi="Times New Roman" w:eastAsia="华文中宋" w:cs="Times New Roman"/>
          <w:color w:val="auto"/>
          <w:highlight w:val="none"/>
          <w:lang w:val="en-US" w:eastAsia="zh-CN"/>
        </w:rPr>
        <w:t>年</w:t>
      </w:r>
      <w:r>
        <w:rPr>
          <w:rFonts w:hint="eastAsia" w:ascii="Times New Roman" w:hAnsi="Times New Roman" w:cs="Times New Roman"/>
          <w:color w:val="auto"/>
          <w:highlight w:val="none"/>
          <w:lang w:val="en-US" w:eastAsia="zh-CN"/>
        </w:rPr>
        <w:t>3</w:t>
      </w:r>
      <w:r>
        <w:rPr>
          <w:rFonts w:hint="default" w:ascii="Times New Roman" w:hAnsi="Times New Roman" w:eastAsia="华文中宋" w:cs="Times New Roman"/>
          <w:color w:val="auto"/>
          <w:highlight w:val="none"/>
          <w:lang w:val="en-US" w:eastAsia="zh-CN"/>
        </w:rPr>
        <w:t>月</w:t>
      </w:r>
      <w:r>
        <w:rPr>
          <w:rFonts w:hint="eastAsia" w:ascii="Times New Roman" w:hAnsi="Times New Roman" w:cs="Times New Roman"/>
          <w:color w:val="auto"/>
          <w:highlight w:val="none"/>
          <w:lang w:val="en-US" w:eastAsia="zh-CN"/>
        </w:rPr>
        <w:t>31</w:t>
      </w:r>
      <w:r>
        <w:rPr>
          <w:rFonts w:hint="default" w:ascii="Times New Roman" w:hAnsi="Times New Roman" w:eastAsia="华文中宋" w:cs="Times New Roman"/>
          <w:color w:val="auto"/>
          <w:highlight w:val="none"/>
          <w:lang w:val="en-US" w:eastAsia="zh-CN"/>
        </w:rPr>
        <w:t>日，</w:t>
      </w:r>
      <w:r>
        <w:rPr>
          <w:rFonts w:hint="default" w:ascii="Times New Roman" w:hAnsi="Times New Roman" w:eastAsia="华文中宋" w:cs="Times New Roman"/>
          <w:color w:val="auto"/>
          <w:highlight w:val="none"/>
          <w:lang w:eastAsia="zh-CN"/>
        </w:rPr>
        <w:t>公示期</w:t>
      </w:r>
      <w:r>
        <w:rPr>
          <w:rFonts w:hint="default" w:ascii="Times New Roman" w:hAnsi="Times New Roman" w:eastAsia="华文中宋" w:cs="Times New Roman"/>
          <w:color w:val="auto"/>
          <w:lang w:eastAsia="zh-CN"/>
        </w:rPr>
        <w:t>间未收到意见反馈。</w:t>
      </w:r>
    </w:p>
    <w:p w14:paraId="0078A263">
      <w:pPr>
        <w:pStyle w:val="3"/>
        <w:spacing w:before="120" w:after="120" w:line="500" w:lineRule="exact"/>
        <w:ind w:left="375" w:hanging="375" w:firstLineChars="0"/>
        <w:contextualSpacing/>
        <w:rPr>
          <w:rFonts w:hint="default" w:ascii="Times New Roman" w:hAnsi="Times New Roman" w:eastAsia="华文中宋" w:cs="Times New Roman"/>
          <w:snapToGrid w:val="0"/>
          <w:kern w:val="0"/>
          <w:sz w:val="28"/>
          <w:szCs w:val="28"/>
          <w:highlight w:val="none"/>
          <w:lang w:val="en-US" w:eastAsia="zh-CN"/>
        </w:rPr>
      </w:pPr>
      <w:bookmarkStart w:id="386" w:name="_Toc18905"/>
      <w:bookmarkStart w:id="387" w:name="_Toc29299"/>
      <w:r>
        <w:rPr>
          <w:rFonts w:hint="default" w:ascii="Times New Roman" w:hAnsi="Times New Roman" w:eastAsia="华文中宋" w:cs="Times New Roman"/>
          <w:snapToGrid w:val="0"/>
          <w:kern w:val="0"/>
          <w:sz w:val="28"/>
          <w:szCs w:val="28"/>
          <w:lang w:val="en-US" w:eastAsia="zh-CN"/>
        </w:rPr>
        <w:t>9.7环境影响经济损益分</w:t>
      </w:r>
      <w:r>
        <w:rPr>
          <w:rFonts w:hint="default" w:ascii="Times New Roman" w:hAnsi="Times New Roman" w:eastAsia="华文中宋" w:cs="Times New Roman"/>
          <w:snapToGrid w:val="0"/>
          <w:kern w:val="0"/>
          <w:sz w:val="28"/>
          <w:szCs w:val="28"/>
          <w:highlight w:val="none"/>
          <w:lang w:val="en-US" w:eastAsia="zh-CN"/>
        </w:rPr>
        <w:t>析</w:t>
      </w:r>
      <w:bookmarkEnd w:id="386"/>
      <w:bookmarkEnd w:id="387"/>
    </w:p>
    <w:p w14:paraId="3E5F2095">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highlight w:val="none"/>
          <w:lang w:val="en-US" w:eastAsia="zh-CN"/>
        </w:rPr>
        <w:t>项目总投资为</w:t>
      </w:r>
      <w:r>
        <w:rPr>
          <w:rFonts w:hint="eastAsia" w:ascii="Times New Roman" w:hAnsi="Times New Roman" w:cs="Times New Roman"/>
          <w:color w:val="auto"/>
          <w:highlight w:val="none"/>
          <w:lang w:val="en-US" w:eastAsia="zh-CN"/>
        </w:rPr>
        <w:t>6131</w:t>
      </w:r>
      <w:r>
        <w:rPr>
          <w:rFonts w:hint="default" w:ascii="Times New Roman" w:hAnsi="Times New Roman" w:eastAsia="华文中宋" w:cs="Times New Roman"/>
          <w:color w:val="auto"/>
          <w:highlight w:val="none"/>
          <w:lang w:val="en-US" w:eastAsia="zh-CN"/>
        </w:rPr>
        <w:t>万元，其中环保投资额为</w:t>
      </w:r>
      <w:r>
        <w:rPr>
          <w:rFonts w:hint="eastAsia" w:ascii="Times New Roman" w:hAnsi="Times New Roman" w:cs="Times New Roman"/>
          <w:color w:val="auto"/>
          <w:highlight w:val="none"/>
          <w:lang w:val="en-US" w:eastAsia="zh-CN"/>
        </w:rPr>
        <w:t>821</w:t>
      </w:r>
      <w:r>
        <w:rPr>
          <w:rFonts w:hint="default" w:ascii="Times New Roman" w:hAnsi="Times New Roman" w:eastAsia="华文中宋" w:cs="Times New Roman"/>
          <w:color w:val="auto"/>
          <w:highlight w:val="none"/>
          <w:lang w:val="en-US" w:eastAsia="zh-CN"/>
        </w:rPr>
        <w:t>万元。综合分析显示，项目环保投资合理，环境治理效益明显，环保措施经济效益为正效益，项</w:t>
      </w:r>
      <w:r>
        <w:rPr>
          <w:rFonts w:hint="default" w:ascii="Times New Roman" w:hAnsi="Times New Roman" w:eastAsia="华文中宋" w:cs="Times New Roman"/>
          <w:color w:val="auto"/>
          <w:lang w:val="en-US" w:eastAsia="zh-CN"/>
        </w:rPr>
        <w:t>目环境经济效益大于环境损失，从环境经济学角度来看，项目建设是可行的。</w:t>
      </w:r>
    </w:p>
    <w:p w14:paraId="49C42068">
      <w:pPr>
        <w:pStyle w:val="3"/>
        <w:spacing w:before="120" w:after="120" w:line="500" w:lineRule="exact"/>
        <w:ind w:left="375" w:hanging="375" w:firstLineChars="0"/>
        <w:contextualSpacing/>
        <w:rPr>
          <w:rFonts w:hint="default" w:ascii="Times New Roman" w:hAnsi="Times New Roman" w:eastAsia="华文中宋" w:cs="Times New Roman"/>
          <w:snapToGrid w:val="0"/>
          <w:kern w:val="0"/>
          <w:sz w:val="28"/>
          <w:szCs w:val="28"/>
          <w:lang w:val="en-US" w:eastAsia="zh-CN"/>
        </w:rPr>
      </w:pPr>
      <w:bookmarkStart w:id="388" w:name="_Toc8160"/>
      <w:bookmarkStart w:id="389" w:name="_Toc21929"/>
      <w:r>
        <w:rPr>
          <w:rFonts w:hint="default" w:ascii="Times New Roman" w:hAnsi="Times New Roman" w:eastAsia="华文中宋" w:cs="Times New Roman"/>
          <w:snapToGrid w:val="0"/>
          <w:kern w:val="0"/>
          <w:sz w:val="28"/>
          <w:szCs w:val="28"/>
          <w:lang w:val="en-US" w:eastAsia="zh-CN"/>
        </w:rPr>
        <w:t>9.8环境管理与监测计划</w:t>
      </w:r>
      <w:bookmarkEnd w:id="388"/>
      <w:bookmarkEnd w:id="389"/>
    </w:p>
    <w:p w14:paraId="70E94A8F">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项目成立环保管理部门，建立健全的环境管理制度和管理体系，明确责任主体、管理重点，确保各项环境保护设施和措施的建设、运行及维护费用的保障。</w:t>
      </w:r>
      <w:r>
        <w:rPr>
          <w:rFonts w:hint="eastAsia" w:ascii="Times New Roman" w:hAnsi="Times New Roman" w:cs="Times New Roman"/>
          <w:color w:val="auto"/>
          <w:lang w:val="en-US" w:eastAsia="zh-CN"/>
        </w:rPr>
        <w:t>民丰县万水源矿业有限责任公司</w:t>
      </w:r>
      <w:r>
        <w:rPr>
          <w:rFonts w:hint="default" w:ascii="Times New Roman" w:hAnsi="Times New Roman" w:eastAsia="华文中宋" w:cs="Times New Roman"/>
          <w:color w:val="auto"/>
          <w:lang w:val="en-US" w:eastAsia="zh-CN"/>
        </w:rPr>
        <w:t>作为本项目环境管理的责任主体，日常生产中，要做好相关环境管理的台账记录，定期按照环境监测计划对本项目和周边环境质量进行监测。</w:t>
      </w:r>
    </w:p>
    <w:p w14:paraId="36259F93">
      <w:pPr>
        <w:pStyle w:val="3"/>
        <w:spacing w:before="120" w:after="120" w:line="500" w:lineRule="exact"/>
        <w:ind w:left="375" w:hanging="375" w:firstLineChars="0"/>
        <w:contextualSpacing/>
        <w:rPr>
          <w:rFonts w:hint="default" w:ascii="Times New Roman" w:hAnsi="Times New Roman" w:eastAsia="华文中宋" w:cs="Times New Roman"/>
          <w:snapToGrid w:val="0"/>
          <w:kern w:val="0"/>
          <w:sz w:val="28"/>
          <w:szCs w:val="28"/>
          <w:lang w:val="en-US" w:eastAsia="zh-CN"/>
        </w:rPr>
      </w:pPr>
      <w:bookmarkStart w:id="390" w:name="_Toc10699"/>
      <w:bookmarkStart w:id="391" w:name="_Toc32237"/>
      <w:r>
        <w:rPr>
          <w:rFonts w:hint="default" w:ascii="Times New Roman" w:hAnsi="Times New Roman" w:eastAsia="华文中宋" w:cs="Times New Roman"/>
          <w:snapToGrid w:val="0"/>
          <w:kern w:val="0"/>
          <w:sz w:val="28"/>
          <w:szCs w:val="28"/>
          <w:lang w:val="en-US" w:eastAsia="zh-CN"/>
        </w:rPr>
        <w:t>9.9环境影响可行性结论</w:t>
      </w:r>
      <w:bookmarkEnd w:id="390"/>
      <w:bookmarkEnd w:id="391"/>
    </w:p>
    <w:p w14:paraId="5F63BD44">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lang w:val="en-US" w:eastAsia="zh-CN"/>
        </w:rPr>
        <w:t>综上所述，</w:t>
      </w:r>
      <w:r>
        <w:rPr>
          <w:rFonts w:hint="eastAsia" w:ascii="Times New Roman" w:hAnsi="Times New Roman" w:eastAsia="华文中宋" w:cs="Times New Roman"/>
          <w:color w:val="auto"/>
          <w:lang w:val="en-US" w:eastAsia="zh-CN"/>
        </w:rPr>
        <w:t>民丰县盼水河铅锑矿工程</w:t>
      </w:r>
      <w:r>
        <w:rPr>
          <w:rFonts w:hint="default" w:ascii="Times New Roman" w:hAnsi="Times New Roman" w:eastAsia="华文中宋" w:cs="Times New Roman"/>
          <w:color w:val="auto"/>
          <w:lang w:val="en-US" w:eastAsia="zh-CN"/>
        </w:rPr>
        <w:t>项目符合国家产业政策，选址合理，符合相关规划。项目建设及营运过程中采取的各项污染防治措施可行，能够实现达标排放和总量控制要求，对环境影响较小，当地公众支持本工程的建设，无反对意见。在认真落实报告书提出的各项污染防治措施、风险防范措施和建议的基础上，从环保角度分析，本项目的建设可行。</w:t>
      </w:r>
    </w:p>
    <w:p w14:paraId="5D704E54">
      <w:pPr>
        <w:pStyle w:val="3"/>
        <w:spacing w:before="120" w:after="120" w:line="500" w:lineRule="exact"/>
        <w:ind w:left="375" w:hanging="375" w:firstLineChars="0"/>
        <w:contextualSpacing/>
        <w:rPr>
          <w:rFonts w:hint="default" w:ascii="Times New Roman" w:hAnsi="Times New Roman" w:eastAsia="华文中宋" w:cs="Times New Roman"/>
          <w:snapToGrid w:val="0"/>
          <w:kern w:val="0"/>
          <w:sz w:val="28"/>
          <w:szCs w:val="28"/>
          <w:lang w:val="en-US" w:eastAsia="zh-CN"/>
        </w:rPr>
      </w:pPr>
      <w:bookmarkStart w:id="392" w:name="_Toc9784"/>
      <w:bookmarkStart w:id="393" w:name="_Toc16230"/>
      <w:r>
        <w:rPr>
          <w:rFonts w:hint="default" w:ascii="Times New Roman" w:hAnsi="Times New Roman" w:eastAsia="华文中宋" w:cs="Times New Roman"/>
          <w:snapToGrid w:val="0"/>
          <w:kern w:val="0"/>
          <w:sz w:val="28"/>
          <w:szCs w:val="28"/>
          <w:lang w:val="en-US" w:eastAsia="zh-CN"/>
        </w:rPr>
        <w:t>9.10要求与建议</w:t>
      </w:r>
      <w:bookmarkEnd w:id="392"/>
      <w:bookmarkEnd w:id="393"/>
    </w:p>
    <w:p w14:paraId="76457E87">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rPr>
        <w:t>（1）定期进行环境保护教育，</w:t>
      </w:r>
      <w:r>
        <w:rPr>
          <w:rFonts w:hint="default" w:ascii="Times New Roman" w:hAnsi="Times New Roman" w:eastAsia="华文中宋" w:cs="Times New Roman"/>
          <w:color w:val="auto"/>
          <w:lang w:eastAsia="zh-CN"/>
        </w:rPr>
        <w:t>增强</w:t>
      </w:r>
      <w:r>
        <w:rPr>
          <w:rFonts w:hint="default" w:ascii="Times New Roman" w:hAnsi="Times New Roman" w:eastAsia="华文中宋" w:cs="Times New Roman"/>
          <w:color w:val="auto"/>
        </w:rPr>
        <w:t>全矿职工的环保意识，制定严格的、可行的环境保护指标作为考核依据。</w:t>
      </w:r>
    </w:p>
    <w:p w14:paraId="6A4A2E8F">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rPr>
        <w:t>（2）建立健全矿区环境管理机构，环境保护资金要实际落实到位，环保设施建设完善，以保证真正落实到位。</w:t>
      </w:r>
    </w:p>
    <w:p w14:paraId="74E4A762">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rPr>
        <w:t>（3）</w:t>
      </w:r>
      <w:r>
        <w:rPr>
          <w:rFonts w:hint="default" w:ascii="Times New Roman" w:hAnsi="Times New Roman" w:eastAsia="华文中宋" w:cs="Times New Roman"/>
          <w:color w:val="auto"/>
          <w:lang w:eastAsia="zh-CN"/>
        </w:rPr>
        <w:t>按照</w:t>
      </w:r>
      <w:r>
        <w:rPr>
          <w:rFonts w:hint="default" w:ascii="Times New Roman" w:hAnsi="Times New Roman" w:eastAsia="华文中宋" w:cs="Times New Roman"/>
          <w:color w:val="auto"/>
        </w:rPr>
        <w:t>环评报告要求实施污染防治措施，保证实现达标排放。</w:t>
      </w:r>
    </w:p>
    <w:p w14:paraId="6E5BD82B">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rPr>
        <w:t>（4）闭矿时留有足够的资金，用于项目退役后的设施、建筑拆除及进行生态恢复。</w:t>
      </w:r>
    </w:p>
    <w:p w14:paraId="404C4AC3">
      <w:pPr>
        <w:pStyle w:val="24"/>
        <w:snapToGrid w:val="0"/>
        <w:jc w:val="left"/>
        <w:rPr>
          <w:rFonts w:hint="default" w:ascii="Times New Roman" w:hAnsi="Times New Roman" w:eastAsia="华文中宋" w:cs="Times New Roman"/>
          <w:color w:val="auto"/>
        </w:rPr>
      </w:pPr>
      <w:r>
        <w:rPr>
          <w:rFonts w:hint="default" w:ascii="Times New Roman" w:hAnsi="Times New Roman" w:eastAsia="华文中宋" w:cs="Times New Roman"/>
          <w:color w:val="auto"/>
        </w:rPr>
        <w:t>（5）委托当地环境监测单位承担污染物定期监测工作，掌握污染物排放情况，长期保证矿区污染物达标排放。</w:t>
      </w:r>
    </w:p>
    <w:p w14:paraId="28C78E1B">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（6）制定劳动健康保护制度，加强职业病防治，保护矿工健康。</w:t>
      </w:r>
    </w:p>
    <w:p w14:paraId="41B3236C">
      <w:pPr>
        <w:pStyle w:val="24"/>
        <w:snapToGrid w:val="0"/>
        <w:jc w:val="left"/>
        <w:rPr>
          <w:rFonts w:hint="default" w:ascii="Times New Roman" w:hAnsi="Times New Roman" w:eastAsia="华文中宋" w:cs="Times New Roman"/>
          <w:color w:val="auto"/>
          <w:lang w:val="en-US" w:eastAsia="zh-CN"/>
        </w:rPr>
      </w:pPr>
      <w:r>
        <w:rPr>
          <w:rFonts w:hint="default" w:ascii="Times New Roman" w:hAnsi="Times New Roman" w:eastAsia="华文中宋" w:cs="Times New Roman"/>
          <w:color w:val="auto"/>
          <w:lang w:val="en-US" w:eastAsia="zh-CN"/>
        </w:rPr>
        <w:t>（7）项目建成后，须经环境保护行政主管部门验收合格后，方可生产。</w:t>
      </w:r>
    </w:p>
    <w:p w14:paraId="79362A81"/>
    <w:p w14:paraId="55144AFA">
      <w:pPr>
        <w:keepNext w:val="0"/>
        <w:keepLines w:val="0"/>
        <w:pageBreakBefore w:val="0"/>
        <w:widowControl w:val="0"/>
        <w:kinsoku/>
        <w:wordWrap/>
        <w:overflowPunct/>
        <w:topLinePunct w:val="0"/>
        <w:bidi w:val="0"/>
        <w:spacing w:line="360" w:lineRule="auto"/>
        <w:ind w:firstLine="361" w:firstLineChars="150"/>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p>
    <w:p w14:paraId="0D463C5C"/>
    <w:p w14:paraId="3D5F3631"/>
    <w:p w14:paraId="56EFBFFB"/>
    <w:p w14:paraId="7ED2DA24"/>
    <w:sectPr>
      <w:headerReference r:id="rId10" w:type="default"/>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auto"/>
    <w:pitch w:val="default"/>
    <w:sig w:usb0="00000000" w:usb1="00000000" w:usb2="00000000" w:usb3="00000000" w:csb0="00000000" w:csb1="00000000"/>
  </w:font>
  <w:font w:name="Cambria Math">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Microsoft Yi Baiti">
    <w:panose1 w:val="03000500000000000000"/>
    <w:charset w:val="00"/>
    <w:family w:val="auto"/>
    <w:pitch w:val="default"/>
    <w:sig w:usb0="80000003" w:usb1="00010402" w:usb2="00080002" w:usb3="00000000" w:csb0="00000001" w:csb1="00000000"/>
  </w:font>
  <w:font w:name="Wingdings 2">
    <w:altName w:val="Wingdings"/>
    <w:panose1 w:val="05020102010507070707"/>
    <w:charset w:val="00"/>
    <w:family w:val="auto"/>
    <w:pitch w:val="default"/>
    <w:sig w:usb0="00000000" w:usb1="00000000" w:usb2="00000000" w:usb3="00000000" w:csb0="80000000" w:csb1="00000000"/>
  </w:font>
  <w:font w:name="瀹嬩綋">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5F8E6">
    <w:pPr>
      <w:tabs>
        <w:tab w:val="center" w:pos="4148"/>
        <w:tab w:val="center" w:pos="4350"/>
      </w:tabs>
      <w:ind w:firstLine="480"/>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3F610D">
                          <w:pPr>
                            <w:pStyle w:val="12"/>
                          </w:pPr>
                          <w:r>
                            <w:fldChar w:fldCharType="begin"/>
                          </w:r>
                          <w:r>
                            <w:instrText xml:space="preserve"> PAGE  \* MERGEFORMAT </w:instrText>
                          </w:r>
                          <w:r>
                            <w:fldChar w:fldCharType="separate"/>
                          </w:r>
                          <w:r>
                            <w:t>CLXXXIX</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3C3F610D">
                    <w:pPr>
                      <w:pStyle w:val="12"/>
                    </w:pPr>
                    <w:r>
                      <w:fldChar w:fldCharType="begin"/>
                    </w:r>
                    <w:r>
                      <w:instrText xml:space="preserve"> PAGE  \* MERGEFORMAT </w:instrText>
                    </w:r>
                    <w:r>
                      <w:fldChar w:fldCharType="separate"/>
                    </w:r>
                    <w:r>
                      <w:t>CLXXXIX</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19C2E">
    <w:pPr>
      <w:tabs>
        <w:tab w:val="center" w:pos="4148"/>
        <w:tab w:val="center" w:pos="4350"/>
      </w:tabs>
      <w:ind w:firstLine="480"/>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13D6B0">
                          <w:pPr>
                            <w:pStyle w:val="12"/>
                          </w:pPr>
                          <w:r>
                            <w:fldChar w:fldCharType="begin"/>
                          </w:r>
                          <w:r>
                            <w:instrText xml:space="preserve"> PAGE  \* MERGEFORMAT </w:instrText>
                          </w:r>
                          <w:r>
                            <w:fldChar w:fldCharType="separate"/>
                          </w:r>
                          <w:r>
                            <w:t>III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1913D6B0">
                    <w:pPr>
                      <w:pStyle w:val="12"/>
                    </w:pPr>
                    <w:r>
                      <w:fldChar w:fldCharType="begin"/>
                    </w:r>
                    <w:r>
                      <w:instrText xml:space="preserve"> PAGE  \* MERGEFORMAT </w:instrText>
                    </w:r>
                    <w:r>
                      <w:fldChar w:fldCharType="separate"/>
                    </w:r>
                    <w:r>
                      <w:t>III</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BE1D8">
    <w:pPr>
      <w:tabs>
        <w:tab w:val="center" w:pos="4148"/>
        <w:tab w:val="center" w:pos="4350"/>
      </w:tabs>
      <w:ind w:firstLine="480"/>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3276CA">
                          <w:pPr>
                            <w:pStyle w:val="12"/>
                          </w:pPr>
                          <w:r>
                            <w:fldChar w:fldCharType="begin"/>
                          </w:r>
                          <w:r>
                            <w:instrText xml:space="preserve"> PAGE  \* MERGEFORMAT </w:instrText>
                          </w:r>
                          <w:r>
                            <w:fldChar w:fldCharType="separate"/>
                          </w:r>
                          <w:r>
                            <w:t>III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6C3276CA">
                    <w:pPr>
                      <w:pStyle w:val="12"/>
                    </w:pPr>
                    <w:r>
                      <w:fldChar w:fldCharType="begin"/>
                    </w:r>
                    <w:r>
                      <w:instrText xml:space="preserve"> PAGE  \* MERGEFORMAT </w:instrText>
                    </w:r>
                    <w:r>
                      <w:fldChar w:fldCharType="separate"/>
                    </w:r>
                    <w:r>
                      <w:t>III</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791BD">
    <w:pPr>
      <w:tabs>
        <w:tab w:val="center" w:pos="4148"/>
        <w:tab w:val="center" w:pos="4350"/>
      </w:tabs>
      <w:ind w:firstLine="480"/>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E5EC25">
                          <w:pPr>
                            <w:pStyle w:val="12"/>
                          </w:pPr>
                          <w:r>
                            <w:fldChar w:fldCharType="begin"/>
                          </w:r>
                          <w:r>
                            <w:instrText xml:space="preserve"> PAGE  \* MERGEFORMAT </w:instrText>
                          </w:r>
                          <w:r>
                            <w:fldChar w:fldCharType="separate"/>
                          </w:r>
                          <w:r>
                            <w:t>LXXVIII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51E5EC25">
                    <w:pPr>
                      <w:pStyle w:val="12"/>
                    </w:pPr>
                    <w:r>
                      <w:fldChar w:fldCharType="begin"/>
                    </w:r>
                    <w:r>
                      <w:instrText xml:space="preserve"> PAGE  \* MERGEFORMAT </w:instrText>
                    </w:r>
                    <w:r>
                      <w:fldChar w:fldCharType="separate"/>
                    </w:r>
                    <w:r>
                      <w:t>LXXVIII</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3B8BD">
    <w:pPr>
      <w:tabs>
        <w:tab w:val="center" w:pos="4148"/>
        <w:tab w:val="center" w:pos="4350"/>
      </w:tabs>
      <w:ind w:firstLine="480"/>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9958E0">
                          <w:pPr>
                            <w:pStyle w:val="12"/>
                          </w:pPr>
                          <w:r>
                            <w:fldChar w:fldCharType="begin"/>
                          </w:r>
                          <w:r>
                            <w:instrText xml:space="preserve"> PAGE  \* MERGEFORMAT </w:instrText>
                          </w:r>
                          <w:r>
                            <w:fldChar w:fldCharType="separate"/>
                          </w:r>
                          <w:r>
                            <w:t>CLXXXIX</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429958E0">
                    <w:pPr>
                      <w:pStyle w:val="12"/>
                    </w:pPr>
                    <w:r>
                      <w:fldChar w:fldCharType="begin"/>
                    </w:r>
                    <w:r>
                      <w:instrText xml:space="preserve"> PAGE  \* MERGEFORMAT </w:instrText>
                    </w:r>
                    <w:r>
                      <w:fldChar w:fldCharType="separate"/>
                    </w:r>
                    <w:r>
                      <w:t>CLXXXIX</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CED9F">
    <w:pPr>
      <w:pStyle w:val="13"/>
      <w:pBdr>
        <w:bottom w:val="none" w:color="auto" w:sz="0" w:space="0"/>
      </w:pBdr>
      <w:ind w:firstLine="360"/>
      <w:jc w:val="center"/>
      <w:rPr>
        <w:rFonts w:hint="default" w:eastAsiaTheme="minorEastAsia"/>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3DFC2">
    <w:pPr>
      <w:pStyle w:val="13"/>
      <w:pBdr>
        <w:bottom w:val="none" w:color="auto" w:sz="0" w:space="0"/>
      </w:pBdr>
      <w:ind w:firstLine="360"/>
      <w:jc w:val="center"/>
      <w:rPr>
        <w:rFonts w:hint="eastAsia" w:eastAsiaTheme="minorEastAsia"/>
        <w:lang w:val="en-US" w:eastAsia="zh-CN"/>
      </w:rPr>
    </w:pPr>
  </w:p>
  <w:p w14:paraId="2412993E">
    <w:pPr>
      <w:pStyle w:val="13"/>
      <w:pBdr>
        <w:bottom w:val="double" w:color="auto" w:sz="8" w:space="0"/>
      </w:pBdr>
      <w:ind w:firstLine="360"/>
      <w:jc w:val="center"/>
      <w:rPr>
        <w:rFonts w:hint="eastAsia" w:eastAsiaTheme="minorEastAsia"/>
        <w:lang w:val="en-US" w:eastAsia="zh-CN"/>
      </w:rPr>
    </w:pPr>
    <w:r>
      <w:rPr>
        <w:rFonts w:hint="eastAsia" w:eastAsiaTheme="minorEastAsia"/>
        <w:lang w:val="en-US" w:eastAsia="zh-CN"/>
      </w:rPr>
      <w:t>民丰县盼水河铅锑矿工程</w:t>
    </w:r>
    <w:r>
      <w:rPr>
        <w:rFonts w:hint="default" w:eastAsiaTheme="minorEastAsia"/>
        <w:lang w:val="en-US" w:eastAsia="zh-CN"/>
      </w:rPr>
      <w:t>项目</w:t>
    </w:r>
    <w:r>
      <w:rPr>
        <w:rFonts w:hint="eastAsia" w:eastAsiaTheme="minorEastAsia"/>
        <w:lang w:val="en-US" w:eastAsia="zh-CN"/>
      </w:rPr>
      <w:t>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5A2CF">
    <w:pPr>
      <w:pStyle w:val="13"/>
      <w:pBdr>
        <w:bottom w:val="thinThickMediumGap" w:color="auto" w:sz="18" w:space="0"/>
      </w:pBdr>
      <w:jc w:val="center"/>
      <w:rPr>
        <w:rFonts w:hint="eastAsia" w:eastAsiaTheme="minorEastAsia"/>
        <w:lang w:val="en-US" w:eastAsia="zh-CN"/>
      </w:rPr>
    </w:pPr>
    <w:r>
      <w:rPr>
        <w:rFonts w:hint="eastAsia" w:eastAsiaTheme="minorEastAsia"/>
        <w:lang w:val="en-US" w:eastAsia="zh-CN"/>
      </w:rPr>
      <w:t>民丰县盼水河铅锑矿工程</w:t>
    </w:r>
    <w:r>
      <w:rPr>
        <w:rFonts w:hint="default" w:eastAsiaTheme="minorEastAsia"/>
        <w:lang w:val="en-US" w:eastAsia="zh-CN"/>
      </w:rPr>
      <w:t>项目</w:t>
    </w:r>
    <w:r>
      <w:rPr>
        <w:rFonts w:hint="eastAsia" w:eastAsiaTheme="minorEastAsia"/>
        <w:lang w:val="en-US" w:eastAsia="zh-CN"/>
      </w:rPr>
      <w:t>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F0ADD">
    <w:pPr>
      <w:pStyle w:val="13"/>
      <w:pBdr>
        <w:bottom w:val="none" w:color="auto" w:sz="0" w:space="0"/>
      </w:pBdr>
      <w:ind w:firstLine="360"/>
      <w:jc w:val="center"/>
      <w:rPr>
        <w:rFonts w:hint="default" w:eastAsiaTheme="minorEastAsia"/>
        <w:lang w:val="en-US" w:eastAsia="zh-CN"/>
      </w:rPr>
    </w:pPr>
    <w:r>
      <w:rPr>
        <w:rFonts w:hint="eastAsia" w:eastAsiaTheme="minorEastAsia"/>
        <w:lang w:val="en-US" w:eastAsia="zh-CN"/>
      </w:rPr>
      <w:t>民丰县盼水河铅锑矿工程</w:t>
    </w:r>
    <w:r>
      <w:rPr>
        <w:rFonts w:hint="default" w:eastAsiaTheme="minorEastAsia"/>
        <w:lang w:val="en-US" w:eastAsia="zh-CN"/>
      </w:rPr>
      <w:t>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E1D1CF"/>
    <w:multiLevelType w:val="singleLevel"/>
    <w:tmpl w:val="82E1D1CF"/>
    <w:lvl w:ilvl="0" w:tentative="0">
      <w:start w:val="5"/>
      <w:numFmt w:val="decimal"/>
      <w:suff w:val="nothing"/>
      <w:lvlText w:val="（%1）"/>
      <w:lvlJc w:val="left"/>
    </w:lvl>
  </w:abstractNum>
  <w:abstractNum w:abstractNumId="1">
    <w:nsid w:val="4D75AD57"/>
    <w:multiLevelType w:val="singleLevel"/>
    <w:tmpl w:val="4D75AD57"/>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1D4C40"/>
    <w:rsid w:val="0F085136"/>
    <w:rsid w:val="111D4C40"/>
    <w:rsid w:val="47DA2DE8"/>
    <w:rsid w:val="577501D7"/>
    <w:rsid w:val="6ADC30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50" w:beforeLines="50" w:after="200" w:afterLines="200" w:line="240" w:lineRule="auto"/>
      <w:ind w:firstLine="0" w:firstLineChars="0"/>
      <w:outlineLvl w:val="0"/>
    </w:pPr>
    <w:rPr>
      <w:rFonts w:eastAsia="黑体"/>
      <w:b/>
      <w:bCs/>
      <w:kern w:val="44"/>
      <w:sz w:val="36"/>
      <w:szCs w:val="36"/>
    </w:rPr>
  </w:style>
  <w:style w:type="paragraph" w:styleId="3">
    <w:name w:val="heading 2"/>
    <w:basedOn w:val="1"/>
    <w:next w:val="1"/>
    <w:qFormat/>
    <w:uiPriority w:val="0"/>
    <w:pPr>
      <w:keepNext/>
      <w:keepLines/>
      <w:spacing w:before="100" w:after="100" w:line="520" w:lineRule="exact"/>
      <w:ind w:firstLine="0" w:firstLineChars="0"/>
      <w:outlineLvl w:val="1"/>
    </w:pPr>
    <w:rPr>
      <w:b/>
      <w:bCs/>
      <w:sz w:val="28"/>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5">
    <w:name w:val="Normal Indent"/>
    <w:basedOn w:val="1"/>
    <w:next w:val="6"/>
    <w:qFormat/>
    <w:uiPriority w:val="0"/>
    <w:pPr>
      <w:widowControl w:val="0"/>
      <w:spacing w:line="360" w:lineRule="auto"/>
      <w:ind w:firstLine="480" w:firstLineChars="200"/>
      <w:jc w:val="both"/>
    </w:pPr>
    <w:rPr>
      <w:rFonts w:ascii="Calibri" w:hAnsi="Calibri" w:eastAsia="宋体" w:cs="宋体"/>
      <w:color w:val="000000"/>
      <w:kern w:val="0"/>
      <w:sz w:val="24"/>
      <w:szCs w:val="18"/>
      <w:lang w:val="en-US" w:eastAsia="zh-CN" w:bidi="ar-SA"/>
    </w:rPr>
  </w:style>
  <w:style w:type="paragraph" w:customStyle="1" w:styleId="6">
    <w:name w:val="Char Char Char Char Char Char Char Char Char1 Char"/>
    <w:basedOn w:val="1"/>
    <w:next w:val="7"/>
    <w:qFormat/>
    <w:uiPriority w:val="0"/>
    <w:pPr>
      <w:spacing w:line="360" w:lineRule="auto"/>
      <w:ind w:firstLine="200" w:firstLineChars="200"/>
    </w:pPr>
    <w:rPr>
      <w:rFonts w:hAnsi="宋体" w:cs="宋体"/>
      <w:spacing w:val="0"/>
      <w:sz w:val="24"/>
      <w:szCs w:val="24"/>
    </w:rPr>
  </w:style>
  <w:style w:type="paragraph" w:customStyle="1" w:styleId="7">
    <w:name w:val="Body Text First Indent"/>
    <w:basedOn w:val="8"/>
    <w:next w:val="1"/>
    <w:qFormat/>
    <w:uiPriority w:val="0"/>
    <w:pPr>
      <w:widowControl w:val="0"/>
      <w:spacing w:after="120"/>
      <w:ind w:firstLine="420"/>
      <w:jc w:val="both"/>
    </w:pPr>
    <w:rPr>
      <w:rFonts w:ascii="Times New Roman" w:hAnsi="Times New Roman" w:eastAsia="宋体" w:cs="Times New Roman"/>
      <w:sz w:val="21"/>
      <w:szCs w:val="22"/>
      <w:lang w:val="en-US" w:eastAsia="zh-CN" w:bidi="ar-SA"/>
    </w:rPr>
  </w:style>
  <w:style w:type="paragraph" w:styleId="8">
    <w:name w:val="Body Text"/>
    <w:basedOn w:val="1"/>
    <w:next w:val="9"/>
    <w:qFormat/>
    <w:uiPriority w:val="0"/>
    <w:pPr>
      <w:spacing w:afterLines="0" w:afterAutospacing="0" w:line="240" w:lineRule="auto"/>
      <w:ind w:firstLine="0" w:firstLineChars="0"/>
      <w:jc w:val="center"/>
    </w:pPr>
    <w:rPr>
      <w:sz w:val="21"/>
      <w:szCs w:val="21"/>
    </w:rPr>
  </w:style>
  <w:style w:type="paragraph" w:customStyle="1" w:styleId="9">
    <w:name w:val="Body Text 21"/>
    <w:basedOn w:val="1"/>
    <w:autoRedefine/>
    <w:qFormat/>
    <w:uiPriority w:val="0"/>
    <w:pPr>
      <w:spacing w:after="120" w:line="480" w:lineRule="auto"/>
    </w:pPr>
  </w:style>
  <w:style w:type="paragraph" w:styleId="10">
    <w:name w:val="Body Text Indent"/>
    <w:basedOn w:val="1"/>
    <w:next w:val="1"/>
    <w:qFormat/>
    <w:uiPriority w:val="0"/>
    <w:pPr>
      <w:widowControl w:val="0"/>
      <w:spacing w:after="120"/>
      <w:ind w:left="420" w:leftChars="200"/>
      <w:jc w:val="both"/>
    </w:pPr>
    <w:rPr>
      <w:rFonts w:ascii="Times New Roman" w:hAnsi="Times New Roman" w:eastAsia="宋体" w:cs="Times New Roman"/>
      <w:kern w:val="0"/>
      <w:sz w:val="24"/>
      <w:szCs w:val="20"/>
      <w:lang w:val="en-US" w:eastAsia="zh-CN" w:bidi="ar-SA"/>
    </w:rPr>
  </w:style>
  <w:style w:type="paragraph" w:styleId="11">
    <w:name w:val="toc 3"/>
    <w:basedOn w:val="1"/>
    <w:next w:val="1"/>
    <w:qFormat/>
    <w:uiPriority w:val="0"/>
    <w:pPr>
      <w:ind w:left="840" w:leftChars="400"/>
    </w:p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List Continue 4"/>
    <w:basedOn w:val="1"/>
    <w:next w:val="1"/>
    <w:qFormat/>
    <w:uiPriority w:val="0"/>
    <w:pPr>
      <w:widowControl w:val="0"/>
      <w:autoSpaceDE/>
      <w:autoSpaceDN/>
      <w:spacing w:before="0" w:after="120" w:line="360" w:lineRule="auto"/>
      <w:ind w:left="1680" w:firstLine="480"/>
      <w:jc w:val="both"/>
    </w:pPr>
    <w:rPr>
      <w:rFonts w:ascii="宋体" w:eastAsia="宋体"/>
      <w:sz w:val="24"/>
    </w:rPr>
  </w:style>
  <w:style w:type="paragraph" w:styleId="16">
    <w:name w:val="toc 2"/>
    <w:basedOn w:val="1"/>
    <w:next w:val="1"/>
    <w:qFormat/>
    <w:uiPriority w:val="0"/>
    <w:pPr>
      <w:ind w:left="420" w:leftChars="200"/>
    </w:pPr>
  </w:style>
  <w:style w:type="paragraph" w:styleId="17">
    <w:name w:val="Normal (Web)"/>
    <w:basedOn w:val="1"/>
    <w:qFormat/>
    <w:uiPriority w:val="0"/>
    <w:pPr>
      <w:widowControl/>
      <w:spacing w:before="100" w:beforeAutospacing="1" w:after="100" w:afterAutospacing="1" w:line="240" w:lineRule="auto"/>
      <w:ind w:firstLine="0" w:firstLineChars="0"/>
    </w:pPr>
    <w:rPr>
      <w:rFonts w:ascii="宋体" w:hAnsi="宋体"/>
      <w:kern w:val="0"/>
    </w:rPr>
  </w:style>
  <w:style w:type="paragraph" w:styleId="18">
    <w:name w:val="Body Text First Indent 2"/>
    <w:basedOn w:val="10"/>
    <w:next w:val="15"/>
    <w:qFormat/>
    <w:uiPriority w:val="0"/>
    <w:pPr>
      <w:widowControl w:val="0"/>
      <w:spacing w:before="36" w:after="120" w:afterLines="0" w:line="240" w:lineRule="auto"/>
      <w:ind w:left="420" w:leftChars="200" w:firstLine="420" w:firstLineChars="200"/>
    </w:pPr>
    <w:rPr>
      <w:rFonts w:ascii="Times New Roman" w:hAnsi="Times New Roman" w:eastAsia="宋体" w:cs="Times New Roman"/>
      <w:kern w:val="2"/>
      <w:sz w:val="21"/>
      <w:szCs w:val="24"/>
      <w:lang w:val="en-US" w:eastAsia="zh-CN" w:bidi="ar-SA"/>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
    <w:name w:val="Default"/>
    <w:basedOn w:val="23"/>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3">
    <w:name w:val="纯文本1"/>
    <w:basedOn w:val="1"/>
    <w:autoRedefine/>
    <w:qFormat/>
    <w:uiPriority w:val="0"/>
    <w:pPr>
      <w:adjustRightInd w:val="0"/>
      <w:ind w:firstLine="0"/>
      <w:jc w:val="center"/>
      <w:textAlignment w:val="baseline"/>
    </w:pPr>
    <w:rPr>
      <w:rFonts w:ascii="宋体" w:hAnsi="Courier New"/>
      <w:kern w:val="0"/>
      <w:sz w:val="20"/>
    </w:rPr>
  </w:style>
  <w:style w:type="paragraph" w:customStyle="1" w:styleId="24">
    <w:name w:val="样式 样式 正文（ＬＺＱ） + 首行缩进:  2 字符 行距: 固定值 26 磅 + 首行缩进:  2 字符"/>
    <w:basedOn w:val="1"/>
    <w:qFormat/>
    <w:uiPriority w:val="99"/>
    <w:pPr>
      <w:adjustRightInd w:val="0"/>
      <w:spacing w:line="500" w:lineRule="exact"/>
      <w:ind w:firstLine="480" w:firstLineChars="200"/>
      <w:textAlignment w:val="baseline"/>
    </w:pPr>
    <w:rPr>
      <w:rFonts w:eastAsia="华文中宋"/>
      <w:snapToGrid w:val="0"/>
      <w:color w:val="000080"/>
      <w:kern w:val="0"/>
      <w:sz w:val="24"/>
      <w:szCs w:val="20"/>
    </w:rPr>
  </w:style>
  <w:style w:type="character" w:customStyle="1" w:styleId="25">
    <w:name w:val="font51"/>
    <w:basedOn w:val="21"/>
    <w:qFormat/>
    <w:uiPriority w:val="0"/>
    <w:rPr>
      <w:rFonts w:hint="default" w:ascii="Times New Roman" w:hAnsi="Times New Roman" w:cs="Times New Roman"/>
      <w:color w:val="000000"/>
      <w:sz w:val="22"/>
      <w:szCs w:val="22"/>
      <w:u w:val="none"/>
    </w:rPr>
  </w:style>
  <w:style w:type="paragraph" w:customStyle="1" w:styleId="26">
    <w:name w:val="Body Text First Indent1"/>
    <w:basedOn w:val="8"/>
    <w:next w:val="1"/>
    <w:qFormat/>
    <w:uiPriority w:val="0"/>
    <w:pPr>
      <w:widowControl w:val="0"/>
      <w:spacing w:after="120"/>
      <w:ind w:firstLine="420"/>
      <w:jc w:val="both"/>
    </w:pPr>
    <w:rPr>
      <w:rFonts w:ascii="Times New Roman" w:hAnsi="Times New Roman" w:eastAsia="宋体" w:cs="Times New Roman"/>
      <w:sz w:val="21"/>
      <w:szCs w:val="22"/>
      <w:lang w:val="en-US" w:eastAsia="zh-CN" w:bidi="ar-SA"/>
    </w:rPr>
  </w:style>
  <w:style w:type="paragraph" w:customStyle="1" w:styleId="27">
    <w:name w:val="正文A"/>
    <w:basedOn w:val="28"/>
    <w:autoRedefine/>
    <w:qFormat/>
    <w:uiPriority w:val="0"/>
    <w:pPr>
      <w:keepNext w:val="0"/>
      <w:keepLines w:val="0"/>
      <w:widowControl w:val="0"/>
      <w:suppressLineNumbers w:val="0"/>
      <w:spacing w:before="0" w:beforeAutospacing="0" w:after="0" w:afterAutospacing="0" w:line="500" w:lineRule="exact"/>
      <w:ind w:left="0" w:right="0" w:firstLine="480" w:firstLineChars="200"/>
      <w:jc w:val="both"/>
    </w:pPr>
    <w:rPr>
      <w:rFonts w:hint="eastAsia" w:ascii="华文仿宋" w:hAnsi="华文仿宋" w:eastAsia="华文仿宋" w:cs="Times New Roman"/>
      <w:kern w:val="2"/>
      <w:sz w:val="24"/>
      <w:szCs w:val="24"/>
      <w:lang w:val="en-US" w:eastAsia="zh-CN" w:bidi="ar"/>
    </w:rPr>
  </w:style>
  <w:style w:type="paragraph" w:customStyle="1" w:styleId="28">
    <w:name w:val="正文!!!!!!!!!!!"/>
    <w:basedOn w:val="29"/>
    <w:autoRedefine/>
    <w:qFormat/>
    <w:uiPriority w:val="0"/>
    <w:pPr>
      <w:ind w:firstLine="480"/>
      <w:jc w:val="both"/>
    </w:pPr>
    <w:rPr>
      <w:kern w:val="2"/>
    </w:rPr>
  </w:style>
  <w:style w:type="paragraph" w:customStyle="1" w:styleId="29">
    <w:name w:val="正文 楷体"/>
    <w:basedOn w:val="1"/>
    <w:autoRedefine/>
    <w:qFormat/>
    <w:uiPriority w:val="0"/>
    <w:pPr>
      <w:widowControl w:val="0"/>
      <w:spacing w:line="500" w:lineRule="exact"/>
      <w:ind w:firstLine="200" w:firstLineChars="200"/>
      <w:jc w:val="both"/>
    </w:pPr>
    <w:rPr>
      <w:rFonts w:ascii="楷体_GB2312" w:hAnsi="楷体_GB2312" w:eastAsia="楷体_GB2312" w:cs="Times New Roman"/>
    </w:rPr>
  </w:style>
  <w:style w:type="paragraph" w:customStyle="1" w:styleId="30">
    <w:name w:val="备注"/>
    <w:basedOn w:val="1"/>
    <w:autoRedefine/>
    <w:qFormat/>
    <w:uiPriority w:val="0"/>
    <w:pPr>
      <w:spacing w:line="240" w:lineRule="auto"/>
      <w:ind w:firstLine="0" w:firstLineChars="0"/>
    </w:pPr>
    <w:rPr>
      <w:rFonts w:cs="Times New Roman"/>
      <w:snapToGrid/>
      <w:sz w:val="21"/>
      <w:szCs w:val="21"/>
    </w:rPr>
  </w:style>
  <w:style w:type="paragraph" w:customStyle="1" w:styleId="31">
    <w:name w:val="_正文格式"/>
    <w:basedOn w:val="1"/>
    <w:qFormat/>
    <w:uiPriority w:val="0"/>
    <w:pPr>
      <w:spacing w:line="500" w:lineRule="exact"/>
      <w:ind w:firstLine="567"/>
      <w:jc w:val="left"/>
    </w:pPr>
    <w:rPr>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jpe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emf"/><Relationship Id="rId15" Type="http://schemas.openxmlformats.org/officeDocument/2006/relationships/image" Target="media/image3.wmf"/><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256</Pages>
  <Words>1931</Words>
  <Characters>2845</Characters>
  <Lines>0</Lines>
  <Paragraphs>0</Paragraphs>
  <TotalTime>3</TotalTime>
  <ScaleCrop>false</ScaleCrop>
  <LinksUpToDate>false</LinksUpToDate>
  <CharactersWithSpaces>3410</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2025-08-12T11:47:00Z</dcterms:created>
  <dc:creator>ballballYoU</dc:creator>
  <cp:lastModifiedBy>Administrator</cp:lastModifiedBy>
  <dcterms:modified xsi:type="dcterms:W3CDTF">2025-08-13T02:23:38Z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8BECA20F895C4C43A69536E19FE278DF_11</vt:lpwstr>
  </property>
  <property fmtid="{D5CDD505-2E9C-101B-9397-08002B2CF9AE}" pid="4" name="KSOTemplateDocerSaveRecord">
    <vt:lpwstr>eyJoZGlkIjoiNmRiYzg0YjA3NGI3MjVkMWJiNDZmMzMxM2JmYjM0MGQifQ==</vt:lpwstr>
  </property>
</Properties>
</file>