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0EE836">
      <w:pPr>
        <w:rPr>
          <w:rFonts w:hint="default" w:ascii="Times New Roman" w:hAnsi="Times New Roman" w:eastAsia="宋体" w:cs="Times New Roman"/>
          <w:color w:val="auto"/>
          <w:sz w:val="36"/>
          <w:szCs w:val="36"/>
          <w:lang w:eastAsia="zh-CN"/>
        </w:rPr>
      </w:pPr>
      <w:bookmarkStart w:id="0" w:name="_Hlk57883707"/>
    </w:p>
    <w:p w14:paraId="781F811E">
      <w:pPr>
        <w:rPr>
          <w:rFonts w:hint="default" w:ascii="Times New Roman" w:hAnsi="Times New Roman" w:eastAsia="宋体" w:cs="Times New Roman"/>
          <w:color w:val="auto"/>
          <w:sz w:val="36"/>
          <w:szCs w:val="36"/>
        </w:rPr>
      </w:pPr>
    </w:p>
    <w:p w14:paraId="54D95A3E">
      <w:pPr>
        <w:rPr>
          <w:rFonts w:hint="default" w:ascii="Times New Roman" w:hAnsi="Times New Roman" w:eastAsia="宋体" w:cs="Times New Roman"/>
          <w:color w:val="auto"/>
          <w:sz w:val="36"/>
          <w:szCs w:val="36"/>
          <w:lang w:val="en-US" w:eastAsia="zh-CN"/>
        </w:rPr>
      </w:pPr>
    </w:p>
    <w:p w14:paraId="1DDC6210">
      <w:pPr>
        <w:rPr>
          <w:rFonts w:hint="default" w:ascii="Times New Roman" w:hAnsi="Times New Roman" w:eastAsia="宋体" w:cs="Times New Roman"/>
          <w:color w:val="auto"/>
          <w:sz w:val="36"/>
          <w:szCs w:val="36"/>
          <w:lang w:val="en-US" w:eastAsia="zh-CN"/>
        </w:rPr>
      </w:pPr>
    </w:p>
    <w:bookmarkEnd w:id="0"/>
    <w:p w14:paraId="65F6F394">
      <w:pPr>
        <w:rPr>
          <w:rFonts w:hint="default" w:ascii="Times New Roman" w:hAnsi="Times New Roman" w:eastAsia="宋体" w:cs="Times New Roman"/>
          <w:color w:val="auto"/>
          <w:sz w:val="36"/>
          <w:szCs w:val="36"/>
        </w:rPr>
      </w:pPr>
    </w:p>
    <w:p w14:paraId="5D96320B">
      <w:pPr>
        <w:adjustRightInd w:val="0"/>
        <w:snapToGrid w:val="0"/>
        <w:jc w:val="center"/>
        <w:outlineLvl w:val="0"/>
        <w:rPr>
          <w:rFonts w:hint="default" w:ascii="Times New Roman" w:hAnsi="Times New Roman" w:eastAsia="宋体" w:cs="Times New Roman"/>
          <w:bCs/>
          <w:color w:val="auto"/>
          <w:sz w:val="72"/>
          <w:szCs w:val="72"/>
        </w:rPr>
      </w:pPr>
      <w:r>
        <w:rPr>
          <w:rFonts w:hint="default" w:ascii="Times New Roman" w:hAnsi="Times New Roman" w:eastAsia="宋体" w:cs="Times New Roman"/>
          <w:bCs/>
          <w:color w:val="auto"/>
          <w:sz w:val="72"/>
          <w:szCs w:val="72"/>
        </w:rPr>
        <w:t>建设项目环境影响报告表</w:t>
      </w:r>
    </w:p>
    <w:p w14:paraId="73515D5F">
      <w:pPr>
        <w:adjustRightInd w:val="0"/>
        <w:snapToGrid w:val="0"/>
        <w:spacing w:before="192" w:beforeLines="80"/>
        <w:jc w:val="center"/>
        <w:rPr>
          <w:rFonts w:hint="default" w:ascii="Times New Roman" w:hAnsi="Times New Roman" w:eastAsia="宋体" w:cs="Times New Roman"/>
          <w:color w:val="auto"/>
          <w:sz w:val="44"/>
          <w:szCs w:val="44"/>
        </w:rPr>
      </w:pPr>
      <w:bookmarkStart w:id="1" w:name="_Hlk57883728"/>
      <w:r>
        <w:rPr>
          <w:rFonts w:hint="default" w:ascii="Times New Roman" w:hAnsi="Times New Roman" w:eastAsia="宋体" w:cs="Times New Roman"/>
          <w:color w:val="auto"/>
          <w:sz w:val="44"/>
          <w:szCs w:val="44"/>
          <w:lang w:eastAsia="zh-CN"/>
        </w:rPr>
        <w:t>（</w:t>
      </w:r>
      <w:r>
        <w:rPr>
          <w:rFonts w:hint="default" w:ascii="Times New Roman" w:hAnsi="Times New Roman" w:eastAsia="宋体" w:cs="Times New Roman"/>
          <w:color w:val="auto"/>
          <w:sz w:val="44"/>
          <w:szCs w:val="44"/>
        </w:rPr>
        <w:t>生态影响类</w:t>
      </w:r>
      <w:r>
        <w:rPr>
          <w:rFonts w:hint="default" w:ascii="Times New Roman" w:hAnsi="Times New Roman" w:eastAsia="宋体" w:cs="Times New Roman"/>
          <w:color w:val="auto"/>
          <w:sz w:val="44"/>
          <w:szCs w:val="44"/>
          <w:lang w:eastAsia="zh-CN"/>
        </w:rPr>
        <w:t>）</w:t>
      </w:r>
    </w:p>
    <w:p w14:paraId="02CE5896">
      <w:pPr>
        <w:ind w:firstLine="1040"/>
        <w:rPr>
          <w:rFonts w:hint="default" w:ascii="Times New Roman" w:hAnsi="Times New Roman" w:eastAsia="宋体" w:cs="Times New Roman"/>
          <w:color w:val="auto"/>
          <w:sz w:val="44"/>
          <w:szCs w:val="44"/>
        </w:rPr>
      </w:pPr>
    </w:p>
    <w:p w14:paraId="152175D0">
      <w:pPr>
        <w:ind w:firstLine="1040"/>
        <w:rPr>
          <w:rFonts w:hint="default" w:ascii="Times New Roman" w:hAnsi="Times New Roman" w:eastAsia="宋体" w:cs="Times New Roman"/>
          <w:color w:val="auto"/>
          <w:sz w:val="44"/>
          <w:szCs w:val="44"/>
        </w:rPr>
      </w:pPr>
    </w:p>
    <w:p w14:paraId="155C07A9">
      <w:pPr>
        <w:ind w:firstLine="1040"/>
        <w:rPr>
          <w:rFonts w:hint="default" w:ascii="Times New Roman" w:hAnsi="Times New Roman" w:eastAsia="宋体" w:cs="Times New Roman"/>
          <w:color w:val="auto"/>
          <w:sz w:val="44"/>
          <w:szCs w:val="44"/>
        </w:rPr>
      </w:pPr>
    </w:p>
    <w:p w14:paraId="14291DB2">
      <w:pPr>
        <w:ind w:firstLine="1040"/>
        <w:rPr>
          <w:rFonts w:hint="default" w:ascii="Times New Roman" w:hAnsi="Times New Roman" w:eastAsia="宋体" w:cs="Times New Roman"/>
          <w:color w:val="auto"/>
          <w:sz w:val="44"/>
          <w:szCs w:val="44"/>
        </w:rPr>
      </w:pPr>
    </w:p>
    <w:p w14:paraId="5138CA60">
      <w:pPr>
        <w:ind w:firstLine="1040"/>
        <w:rPr>
          <w:rFonts w:hint="default" w:ascii="Times New Roman" w:hAnsi="Times New Roman" w:eastAsia="宋体" w:cs="Times New Roman"/>
          <w:color w:val="auto"/>
          <w:sz w:val="44"/>
          <w:szCs w:val="44"/>
        </w:rPr>
      </w:pPr>
    </w:p>
    <w:bookmarkEnd w:id="1"/>
    <w:p w14:paraId="79E6233C">
      <w:pPr>
        <w:adjustRightInd w:val="0"/>
        <w:snapToGrid w:val="0"/>
        <w:spacing w:line="288" w:lineRule="auto"/>
        <w:ind w:left="1800" w:hanging="1800" w:hangingChars="500"/>
        <w:rPr>
          <w:rFonts w:hint="default" w:ascii="Times New Roman" w:hAnsi="Times New Roman" w:eastAsia="宋体" w:cs="Times New Roman"/>
          <w:b w:val="0"/>
          <w:bCs w:val="0"/>
          <w:color w:val="auto"/>
          <w:sz w:val="36"/>
          <w:szCs w:val="36"/>
          <w:u w:val="single"/>
          <w:lang w:eastAsia="zh-CN"/>
        </w:rPr>
      </w:pPr>
      <w:r>
        <w:rPr>
          <w:rFonts w:hint="default" w:ascii="Times New Roman" w:hAnsi="Times New Roman" w:eastAsia="宋体" w:cs="Times New Roman"/>
          <w:b w:val="0"/>
          <w:bCs w:val="0"/>
          <w:color w:val="auto"/>
          <w:sz w:val="36"/>
          <w:szCs w:val="36"/>
        </w:rPr>
        <w:t>项目名称：</w:t>
      </w:r>
      <w:r>
        <w:rPr>
          <w:rFonts w:hint="eastAsia" w:ascii="Times New Roman" w:hAnsi="Times New Roman" w:cs="Times New Roman"/>
          <w:b w:val="0"/>
          <w:bCs w:val="0"/>
          <w:color w:val="auto"/>
          <w:sz w:val="36"/>
          <w:szCs w:val="36"/>
          <w:u w:val="single"/>
          <w:lang w:val="en-US" w:eastAsia="zh-CN"/>
        </w:rPr>
        <w:t xml:space="preserve">莎车县霍什拉甫乡4村农田种植业基地灌溉渠系建设项目 </w:t>
      </w:r>
    </w:p>
    <w:p w14:paraId="76D13F99">
      <w:pPr>
        <w:adjustRightInd w:val="0"/>
        <w:snapToGrid w:val="0"/>
        <w:spacing w:line="288" w:lineRule="auto"/>
        <w:ind w:left="2880" w:hanging="2880" w:hangingChars="800"/>
        <w:rPr>
          <w:rFonts w:hint="eastAsia" w:ascii="Times New Roman" w:hAnsi="Times New Roman" w:cs="Times New Roman"/>
          <w:b w:val="0"/>
          <w:bCs w:val="0"/>
          <w:color w:val="auto"/>
          <w:sz w:val="36"/>
          <w:szCs w:val="36"/>
          <w:u w:val="single"/>
          <w:lang w:eastAsia="zh-CN"/>
        </w:rPr>
      </w:pPr>
      <w:r>
        <w:rPr>
          <w:rFonts w:hint="default" w:ascii="Times New Roman" w:hAnsi="Times New Roman" w:eastAsia="宋体" w:cs="Times New Roman"/>
          <w:b w:val="0"/>
          <w:bCs w:val="0"/>
          <w:color w:val="auto"/>
          <w:sz w:val="36"/>
          <w:szCs w:val="36"/>
        </w:rPr>
        <w:t>建设单位（盖章）：</w:t>
      </w:r>
      <w:r>
        <w:rPr>
          <w:rFonts w:hint="eastAsia" w:ascii="Times New Roman" w:hAnsi="Times New Roman" w:cs="Times New Roman"/>
          <w:b w:val="0"/>
          <w:bCs w:val="0"/>
          <w:color w:val="auto"/>
          <w:sz w:val="36"/>
          <w:szCs w:val="36"/>
          <w:u w:val="single"/>
          <w:lang w:eastAsia="zh-CN"/>
        </w:rPr>
        <w:t>莎车县霍什拉甫乡人民政府</w:t>
      </w:r>
    </w:p>
    <w:p w14:paraId="71FB033C">
      <w:pPr>
        <w:adjustRightInd w:val="0"/>
        <w:snapToGrid w:val="0"/>
        <w:spacing w:line="288" w:lineRule="auto"/>
        <w:rPr>
          <w:rFonts w:hint="default" w:ascii="Times New Roman" w:hAnsi="Times New Roman" w:eastAsia="宋体" w:cs="Times New Roman"/>
          <w:b w:val="0"/>
          <w:bCs w:val="0"/>
          <w:color w:val="auto"/>
          <w:sz w:val="36"/>
          <w:szCs w:val="36"/>
          <w:u w:val="single"/>
          <w:lang w:eastAsia="zh-CN"/>
        </w:rPr>
      </w:pPr>
      <w:r>
        <w:rPr>
          <w:rFonts w:hint="default" w:ascii="Times New Roman" w:hAnsi="Times New Roman" w:eastAsia="宋体" w:cs="Times New Roman"/>
          <w:b w:val="0"/>
          <w:bCs w:val="0"/>
          <w:color w:val="auto"/>
          <w:sz w:val="36"/>
          <w:szCs w:val="36"/>
        </w:rPr>
        <w:t>编制日期：</w:t>
      </w:r>
      <w:r>
        <w:rPr>
          <w:rFonts w:hint="default" w:ascii="Times New Roman" w:hAnsi="Times New Roman" w:eastAsia="宋体" w:cs="Times New Roman"/>
          <w:b w:val="0"/>
          <w:bCs w:val="0"/>
          <w:color w:val="auto"/>
          <w:sz w:val="36"/>
          <w:szCs w:val="36"/>
          <w:u w:val="single"/>
        </w:rPr>
        <w:t>202</w:t>
      </w:r>
      <w:r>
        <w:rPr>
          <w:rFonts w:hint="eastAsia" w:ascii="Times New Roman" w:hAnsi="Times New Roman" w:cs="Times New Roman"/>
          <w:b w:val="0"/>
          <w:bCs w:val="0"/>
          <w:color w:val="auto"/>
          <w:sz w:val="36"/>
          <w:szCs w:val="36"/>
          <w:u w:val="single"/>
          <w:lang w:val="en-US" w:eastAsia="zh-CN"/>
        </w:rPr>
        <w:t>5</w:t>
      </w:r>
      <w:r>
        <w:rPr>
          <w:rFonts w:hint="default" w:ascii="Times New Roman" w:hAnsi="Times New Roman" w:eastAsia="宋体" w:cs="Times New Roman"/>
          <w:b w:val="0"/>
          <w:bCs w:val="0"/>
          <w:color w:val="auto"/>
          <w:sz w:val="36"/>
          <w:szCs w:val="36"/>
          <w:u w:val="single"/>
        </w:rPr>
        <w:t>年</w:t>
      </w:r>
      <w:r>
        <w:rPr>
          <w:rFonts w:hint="eastAsia" w:ascii="Times New Roman" w:hAnsi="Times New Roman" w:cs="Times New Roman"/>
          <w:b w:val="0"/>
          <w:bCs w:val="0"/>
          <w:color w:val="auto"/>
          <w:sz w:val="36"/>
          <w:szCs w:val="36"/>
          <w:u w:val="single"/>
          <w:lang w:val="en-US" w:eastAsia="zh-CN"/>
        </w:rPr>
        <w:t>6</w:t>
      </w:r>
      <w:bookmarkStart w:id="15" w:name="_GoBack"/>
      <w:bookmarkEnd w:id="15"/>
      <w:r>
        <w:rPr>
          <w:rFonts w:hint="default" w:ascii="Times New Roman" w:hAnsi="Times New Roman" w:eastAsia="宋体" w:cs="Times New Roman"/>
          <w:b w:val="0"/>
          <w:bCs w:val="0"/>
          <w:color w:val="auto"/>
          <w:sz w:val="36"/>
          <w:szCs w:val="36"/>
          <w:u w:val="single"/>
        </w:rPr>
        <w:t>月</w:t>
      </w:r>
    </w:p>
    <w:p w14:paraId="49990152">
      <w:pPr>
        <w:adjustRightInd w:val="0"/>
        <w:snapToGrid w:val="0"/>
        <w:spacing w:line="288" w:lineRule="auto"/>
        <w:ind w:firstLine="1040"/>
        <w:rPr>
          <w:rFonts w:hint="default" w:ascii="Times New Roman" w:hAnsi="Times New Roman" w:eastAsia="宋体" w:cs="Times New Roman"/>
          <w:color w:val="auto"/>
          <w:sz w:val="36"/>
          <w:szCs w:val="36"/>
        </w:rPr>
      </w:pPr>
    </w:p>
    <w:p w14:paraId="74E193AF">
      <w:pPr>
        <w:adjustRightInd w:val="0"/>
        <w:snapToGrid w:val="0"/>
        <w:spacing w:line="288" w:lineRule="auto"/>
        <w:ind w:firstLine="1040"/>
        <w:rPr>
          <w:rFonts w:hint="default" w:ascii="Times New Roman" w:hAnsi="Times New Roman" w:eastAsia="宋体" w:cs="Times New Roman"/>
          <w:color w:val="auto"/>
          <w:sz w:val="36"/>
          <w:szCs w:val="36"/>
        </w:rPr>
      </w:pPr>
    </w:p>
    <w:p w14:paraId="77425D23">
      <w:pPr>
        <w:adjustRightInd w:val="0"/>
        <w:snapToGrid w:val="0"/>
        <w:spacing w:line="288" w:lineRule="auto"/>
        <w:ind w:firstLine="1040"/>
        <w:rPr>
          <w:rFonts w:hint="default" w:ascii="Times New Roman" w:hAnsi="Times New Roman" w:eastAsia="宋体" w:cs="Times New Roman"/>
          <w:color w:val="auto"/>
          <w:sz w:val="36"/>
          <w:szCs w:val="36"/>
        </w:rPr>
      </w:pPr>
    </w:p>
    <w:p w14:paraId="133334CF">
      <w:pPr>
        <w:adjustRightInd w:val="0"/>
        <w:snapToGrid w:val="0"/>
        <w:spacing w:line="288" w:lineRule="auto"/>
        <w:ind w:firstLine="1040"/>
        <w:rPr>
          <w:rFonts w:hint="default" w:ascii="Times New Roman" w:hAnsi="Times New Roman" w:eastAsia="宋体" w:cs="Times New Roman"/>
          <w:color w:val="auto"/>
          <w:sz w:val="36"/>
          <w:szCs w:val="36"/>
        </w:rPr>
      </w:pPr>
    </w:p>
    <w:p w14:paraId="0335CE29">
      <w:pPr>
        <w:adjustRightInd w:val="0"/>
        <w:snapToGrid w:val="0"/>
        <w:spacing w:line="288" w:lineRule="auto"/>
        <w:jc w:val="center"/>
        <w:rPr>
          <w:rFonts w:hint="default" w:ascii="Times New Roman" w:hAnsi="Times New Roman" w:eastAsia="宋体" w:cs="Times New Roman"/>
          <w:color w:val="auto"/>
          <w:sz w:val="36"/>
          <w:szCs w:val="36"/>
        </w:rPr>
      </w:pPr>
      <w:r>
        <w:rPr>
          <w:rFonts w:hint="default" w:ascii="Times New Roman" w:hAnsi="Times New Roman" w:eastAsia="宋体" w:cs="Times New Roman"/>
          <w:color w:val="auto"/>
          <w:sz w:val="36"/>
          <w:szCs w:val="36"/>
        </w:rPr>
        <w:t>中华人民共和国生态环境部制</w:t>
      </w:r>
    </w:p>
    <w:p w14:paraId="46C2FBF4">
      <w:pPr>
        <w:adjustRightInd w:val="0"/>
        <w:snapToGrid w:val="0"/>
        <w:spacing w:line="288" w:lineRule="auto"/>
        <w:ind w:firstLine="1040"/>
        <w:rPr>
          <w:rFonts w:hint="default" w:ascii="Times New Roman" w:hAnsi="Times New Roman" w:eastAsia="宋体" w:cs="Times New Roman"/>
          <w:color w:val="auto"/>
          <w:sz w:val="36"/>
          <w:szCs w:val="36"/>
          <w:lang w:eastAsia="zh-CN"/>
        </w:rPr>
      </w:pPr>
    </w:p>
    <w:p w14:paraId="5647FED3">
      <w:pPr>
        <w:rPr>
          <w:rFonts w:hint="default" w:ascii="Times New Roman" w:hAnsi="Times New Roman" w:eastAsia="宋体" w:cs="Times New Roman"/>
          <w:color w:val="auto"/>
          <w:sz w:val="36"/>
          <w:szCs w:val="36"/>
        </w:rPr>
      </w:pPr>
      <w:r>
        <w:rPr>
          <w:rFonts w:hint="default" w:ascii="Times New Roman" w:hAnsi="Times New Roman" w:eastAsia="宋体" w:cs="Times New Roman"/>
          <w:color w:val="auto"/>
          <w:sz w:val="36"/>
          <w:szCs w:val="36"/>
        </w:rPr>
        <w:br w:type="page"/>
      </w:r>
    </w:p>
    <w:p w14:paraId="336C260C">
      <w:pPr>
        <w:rPr>
          <w:rFonts w:hint="default" w:ascii="Times New Roman" w:hAnsi="Times New Roman" w:eastAsia="宋体" w:cs="Times New Roman"/>
          <w:color w:val="auto"/>
        </w:rPr>
      </w:pPr>
      <w:r>
        <w:rPr>
          <w:rFonts w:hint="default" w:ascii="Times New Roman" w:hAnsi="Times New Roman" w:eastAsia="宋体" w:cs="Times New Roman"/>
          <w:color w:val="auto"/>
        </w:rPr>
        <w:br w:type="page"/>
      </w:r>
    </w:p>
    <w:p w14:paraId="7AFD8A3F">
      <w:pPr>
        <w:rPr>
          <w:rFonts w:hint="default" w:ascii="Times New Roman" w:hAnsi="Times New Roman" w:eastAsia="宋体" w:cs="Times New Roman"/>
          <w:color w:val="auto"/>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p>
    <w:p w14:paraId="51F5229E">
      <w:pPr>
        <w:pStyle w:val="28"/>
        <w:ind w:firstLine="3300" w:firstLineChars="1100"/>
        <w:jc w:val="both"/>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sz w:val="30"/>
          <w:szCs w:val="30"/>
        </w:rPr>
        <w:t>一、建设项目基本情况</w:t>
      </w:r>
    </w:p>
    <w:tbl>
      <w:tblPr>
        <w:tblStyle w:val="33"/>
        <w:tblW w:w="90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462"/>
        <w:gridCol w:w="2807"/>
        <w:gridCol w:w="1927"/>
        <w:gridCol w:w="2843"/>
      </w:tblGrid>
      <w:tr w14:paraId="034630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462" w:type="dxa"/>
            <w:tcMar>
              <w:top w:w="16" w:type="dxa"/>
              <w:left w:w="16" w:type="dxa"/>
              <w:right w:w="16" w:type="dxa"/>
            </w:tcMar>
            <w:vAlign w:val="center"/>
          </w:tcPr>
          <w:p w14:paraId="70D6E129">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建设项目名称</w:t>
            </w:r>
          </w:p>
        </w:tc>
        <w:tc>
          <w:tcPr>
            <w:tcW w:w="7577" w:type="dxa"/>
            <w:gridSpan w:val="3"/>
            <w:vAlign w:val="center"/>
          </w:tcPr>
          <w:p w14:paraId="00C35CB6">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 xml:space="preserve">莎车县霍什拉甫乡4村农田种植业基地灌溉渠系建设项目 </w:t>
            </w:r>
          </w:p>
        </w:tc>
      </w:tr>
      <w:tr w14:paraId="5BF66D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462" w:type="dxa"/>
            <w:tcMar>
              <w:top w:w="16" w:type="dxa"/>
              <w:left w:w="16" w:type="dxa"/>
              <w:right w:w="16" w:type="dxa"/>
            </w:tcMar>
            <w:vAlign w:val="center"/>
          </w:tcPr>
          <w:p w14:paraId="5C90C83A">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项目代码</w:t>
            </w:r>
          </w:p>
        </w:tc>
        <w:tc>
          <w:tcPr>
            <w:tcW w:w="7577" w:type="dxa"/>
            <w:gridSpan w:val="3"/>
            <w:vAlign w:val="center"/>
          </w:tcPr>
          <w:p w14:paraId="33D95CB0">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2502-653125-04-01-729432</w:t>
            </w:r>
          </w:p>
        </w:tc>
      </w:tr>
      <w:tr w14:paraId="762A09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462" w:type="dxa"/>
            <w:tcMar>
              <w:top w:w="16" w:type="dxa"/>
              <w:left w:w="16" w:type="dxa"/>
              <w:right w:w="16" w:type="dxa"/>
            </w:tcMar>
            <w:vAlign w:val="center"/>
          </w:tcPr>
          <w:p w14:paraId="48528E27">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建设单位联系人</w:t>
            </w:r>
          </w:p>
        </w:tc>
        <w:tc>
          <w:tcPr>
            <w:tcW w:w="2807" w:type="dxa"/>
            <w:vAlign w:val="center"/>
          </w:tcPr>
          <w:p w14:paraId="604DA688">
            <w:pPr>
              <w:adjustRightInd w:val="0"/>
              <w:snapToGrid w:val="0"/>
              <w:jc w:val="center"/>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何超</w:t>
            </w:r>
            <w:r>
              <w:rPr>
                <w:rFonts w:hint="eastAsia" w:ascii="Times New Roman" w:hAnsi="Times New Roman" w:eastAsia="宋体" w:cs="Times New Roman"/>
                <w:color w:val="auto"/>
                <w:sz w:val="24"/>
                <w:lang w:val="en-US" w:eastAsia="zh-CN"/>
              </w:rPr>
              <w:t xml:space="preserve"> </w:t>
            </w:r>
          </w:p>
        </w:tc>
        <w:tc>
          <w:tcPr>
            <w:tcW w:w="1927" w:type="dxa"/>
            <w:vAlign w:val="center"/>
          </w:tcPr>
          <w:p w14:paraId="115A2DCF">
            <w:pPr>
              <w:adjustRightInd w:val="0"/>
              <w:snapToGrid w:val="0"/>
              <w:jc w:val="center"/>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val="en-US" w:eastAsia="zh-CN"/>
              </w:rPr>
              <w:t>联系方式</w:t>
            </w:r>
          </w:p>
        </w:tc>
        <w:tc>
          <w:tcPr>
            <w:tcW w:w="2843" w:type="dxa"/>
            <w:vAlign w:val="center"/>
          </w:tcPr>
          <w:p w14:paraId="7757743A">
            <w:pPr>
              <w:adjustRightInd w:val="0"/>
              <w:snapToGrid w:val="0"/>
              <w:jc w:val="center"/>
              <w:rPr>
                <w:rFonts w:hint="default"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val="en-US" w:eastAsia="zh-CN"/>
              </w:rPr>
              <w:t>17590003996</w:t>
            </w:r>
          </w:p>
        </w:tc>
      </w:tr>
      <w:tr w14:paraId="2DC4BB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462" w:type="dxa"/>
            <w:tcMar>
              <w:top w:w="16" w:type="dxa"/>
              <w:left w:w="16" w:type="dxa"/>
              <w:right w:w="16" w:type="dxa"/>
            </w:tcMar>
            <w:vAlign w:val="center"/>
          </w:tcPr>
          <w:p w14:paraId="622E8CF0">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建设地点</w:t>
            </w:r>
          </w:p>
        </w:tc>
        <w:tc>
          <w:tcPr>
            <w:tcW w:w="7577" w:type="dxa"/>
            <w:gridSpan w:val="3"/>
            <w:vAlign w:val="center"/>
          </w:tcPr>
          <w:p w14:paraId="3202053F">
            <w:pPr>
              <w:adjustRightInd w:val="0"/>
              <w:snapToGrid w:val="0"/>
              <w:jc w:val="center"/>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新疆</w:t>
            </w:r>
            <w:r>
              <w:rPr>
                <w:rFonts w:hint="eastAsia" w:ascii="Times New Roman" w:hAnsi="Times New Roman" w:eastAsia="宋体" w:cs="Times New Roman"/>
                <w:color w:val="auto"/>
                <w:sz w:val="24"/>
                <w:lang w:val="en-US" w:eastAsia="zh-CN"/>
              </w:rPr>
              <w:t>维吾尔</w:t>
            </w:r>
            <w:r>
              <w:rPr>
                <w:rFonts w:hint="default" w:ascii="Times New Roman" w:hAnsi="Times New Roman" w:eastAsia="宋体" w:cs="Times New Roman"/>
                <w:color w:val="auto"/>
                <w:sz w:val="24"/>
              </w:rPr>
              <w:t>自治区喀什地区</w:t>
            </w:r>
            <w:r>
              <w:rPr>
                <w:rFonts w:hint="eastAsia" w:ascii="Times New Roman" w:hAnsi="Times New Roman" w:cs="Times New Roman"/>
                <w:color w:val="auto"/>
                <w:sz w:val="24"/>
                <w:lang w:eastAsia="zh-CN"/>
              </w:rPr>
              <w:t>莎车县霍什拉甫乡阿热塔什(4)村</w:t>
            </w:r>
          </w:p>
        </w:tc>
      </w:tr>
      <w:tr w14:paraId="517CB3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462" w:type="dxa"/>
            <w:tcMar>
              <w:top w:w="16" w:type="dxa"/>
              <w:left w:w="16" w:type="dxa"/>
              <w:right w:w="16" w:type="dxa"/>
            </w:tcMar>
            <w:vAlign w:val="center"/>
          </w:tcPr>
          <w:p w14:paraId="6D352867">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地理坐标</w:t>
            </w:r>
          </w:p>
        </w:tc>
        <w:tc>
          <w:tcPr>
            <w:tcW w:w="7577" w:type="dxa"/>
            <w:gridSpan w:val="3"/>
            <w:vAlign w:val="center"/>
          </w:tcPr>
          <w:p w14:paraId="1DB0D3CE">
            <w:pPr>
              <w:rPr>
                <w:rFonts w:hint="default" w:ascii="Times New Roman" w:hAnsi="Times New Roman" w:eastAsia="宋体" w:cs="Times New Roman"/>
                <w:color w:val="auto"/>
                <w:lang w:val="en-US" w:eastAsia="zh-CN"/>
              </w:rPr>
            </w:pPr>
          </w:p>
          <w:tbl>
            <w:tblPr>
              <w:tblStyle w:val="97"/>
              <w:tblW w:w="4914"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6"/>
              <w:gridCol w:w="1567"/>
              <w:gridCol w:w="1358"/>
              <w:gridCol w:w="1312"/>
              <w:gridCol w:w="1403"/>
              <w:gridCol w:w="1290"/>
            </w:tblGrid>
            <w:tr w14:paraId="59A0C2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jc w:val="center"/>
              </w:trPr>
              <w:tc>
                <w:tcPr>
                  <w:tcW w:w="534" w:type="dxa"/>
                  <w:noWrap w:val="0"/>
                  <w:vAlign w:val="center"/>
                </w:tcPr>
                <w:p w14:paraId="1498D2B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序号</w:t>
                  </w:r>
                </w:p>
              </w:tc>
              <w:tc>
                <w:tcPr>
                  <w:tcW w:w="1689" w:type="dxa"/>
                  <w:noWrap w:val="0"/>
                  <w:vAlign w:val="center"/>
                </w:tcPr>
                <w:p w14:paraId="2D4291A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渠道名称</w:t>
                  </w:r>
                </w:p>
              </w:tc>
              <w:tc>
                <w:tcPr>
                  <w:tcW w:w="1463" w:type="dxa"/>
                  <w:tcBorders>
                    <w:right w:val="single" w:color="auto" w:sz="4" w:space="0"/>
                  </w:tcBorders>
                  <w:noWrap w:val="0"/>
                  <w:vAlign w:val="center"/>
                </w:tcPr>
                <w:p w14:paraId="409109B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起点经度</w:t>
                  </w:r>
                </w:p>
              </w:tc>
              <w:tc>
                <w:tcPr>
                  <w:tcW w:w="1414" w:type="dxa"/>
                  <w:tcBorders>
                    <w:left w:val="single" w:color="auto" w:sz="4" w:space="0"/>
                  </w:tcBorders>
                  <w:noWrap w:val="0"/>
                  <w:vAlign w:val="center"/>
                </w:tcPr>
                <w:p w14:paraId="5C26ED2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起点纬度</w:t>
                  </w:r>
                </w:p>
              </w:tc>
              <w:tc>
                <w:tcPr>
                  <w:tcW w:w="1512" w:type="dxa"/>
                  <w:tcBorders>
                    <w:right w:val="single" w:color="auto" w:sz="4" w:space="0"/>
                  </w:tcBorders>
                  <w:noWrap w:val="0"/>
                  <w:vAlign w:val="center"/>
                </w:tcPr>
                <w:p w14:paraId="1B7A01A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终点经度</w:t>
                  </w:r>
                </w:p>
              </w:tc>
              <w:tc>
                <w:tcPr>
                  <w:tcW w:w="1390" w:type="dxa"/>
                  <w:tcBorders>
                    <w:left w:val="single" w:color="auto" w:sz="4" w:space="0"/>
                  </w:tcBorders>
                  <w:noWrap w:val="0"/>
                  <w:vAlign w:val="center"/>
                </w:tcPr>
                <w:p w14:paraId="3461857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终点纬度</w:t>
                  </w:r>
                </w:p>
              </w:tc>
            </w:tr>
            <w:tr w14:paraId="4766C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jc w:val="center"/>
              </w:trPr>
              <w:tc>
                <w:tcPr>
                  <w:tcW w:w="534" w:type="dxa"/>
                  <w:noWrap w:val="0"/>
                  <w:vAlign w:val="center"/>
                </w:tcPr>
                <w:p w14:paraId="462A769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1</w:t>
                  </w:r>
                </w:p>
              </w:tc>
              <w:tc>
                <w:tcPr>
                  <w:tcW w:w="1689" w:type="dxa"/>
                  <w:noWrap w:val="0"/>
                  <w:vAlign w:val="center"/>
                </w:tcPr>
                <w:p w14:paraId="6534E33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4村1斗渠</w:t>
                  </w:r>
                </w:p>
              </w:tc>
              <w:tc>
                <w:tcPr>
                  <w:tcW w:w="1463" w:type="dxa"/>
                  <w:tcBorders>
                    <w:right w:val="single" w:color="auto" w:sz="4" w:space="0"/>
                  </w:tcBorders>
                  <w:noWrap w:val="0"/>
                  <w:vAlign w:val="bottom"/>
                </w:tcPr>
                <w:p w14:paraId="36D6943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76°28'29.353"</w:t>
                  </w:r>
                </w:p>
              </w:tc>
              <w:tc>
                <w:tcPr>
                  <w:tcW w:w="1414" w:type="dxa"/>
                  <w:tcBorders>
                    <w:left w:val="single" w:color="auto" w:sz="4" w:space="0"/>
                  </w:tcBorders>
                  <w:noWrap w:val="0"/>
                  <w:vAlign w:val="bottom"/>
                </w:tcPr>
                <w:p w14:paraId="11031D1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37°58'47.068"</w:t>
                  </w:r>
                </w:p>
              </w:tc>
              <w:tc>
                <w:tcPr>
                  <w:tcW w:w="1512" w:type="dxa"/>
                  <w:tcBorders>
                    <w:right w:val="single" w:color="auto" w:sz="4" w:space="0"/>
                  </w:tcBorders>
                  <w:noWrap w:val="0"/>
                  <w:vAlign w:val="bottom"/>
                </w:tcPr>
                <w:p w14:paraId="1ED695A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76°31'39.169"</w:t>
                  </w:r>
                </w:p>
              </w:tc>
              <w:tc>
                <w:tcPr>
                  <w:tcW w:w="1390" w:type="dxa"/>
                  <w:tcBorders>
                    <w:left w:val="single" w:color="auto" w:sz="4" w:space="0"/>
                  </w:tcBorders>
                  <w:noWrap w:val="0"/>
                  <w:vAlign w:val="bottom"/>
                </w:tcPr>
                <w:p w14:paraId="7FB8115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37°59'16.017"</w:t>
                  </w:r>
                </w:p>
              </w:tc>
            </w:tr>
            <w:tr w14:paraId="087B7D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jc w:val="center"/>
              </w:trPr>
              <w:tc>
                <w:tcPr>
                  <w:tcW w:w="534" w:type="dxa"/>
                  <w:noWrap w:val="0"/>
                  <w:vAlign w:val="center"/>
                </w:tcPr>
                <w:p w14:paraId="7A79258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2</w:t>
                  </w:r>
                </w:p>
              </w:tc>
              <w:tc>
                <w:tcPr>
                  <w:tcW w:w="1689" w:type="dxa"/>
                  <w:noWrap w:val="0"/>
                  <w:vAlign w:val="center"/>
                </w:tcPr>
                <w:p w14:paraId="07AB281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4村2斗渠</w:t>
                  </w:r>
                </w:p>
              </w:tc>
              <w:tc>
                <w:tcPr>
                  <w:tcW w:w="1463" w:type="dxa"/>
                  <w:tcBorders>
                    <w:right w:val="single" w:color="auto" w:sz="4" w:space="0"/>
                  </w:tcBorders>
                  <w:noWrap w:val="0"/>
                  <w:vAlign w:val="bottom"/>
                </w:tcPr>
                <w:p w14:paraId="78EB8D2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76°31'39.169"</w:t>
                  </w:r>
                </w:p>
              </w:tc>
              <w:tc>
                <w:tcPr>
                  <w:tcW w:w="1414" w:type="dxa"/>
                  <w:tcBorders>
                    <w:left w:val="single" w:color="auto" w:sz="4" w:space="0"/>
                  </w:tcBorders>
                  <w:noWrap w:val="0"/>
                  <w:vAlign w:val="bottom"/>
                </w:tcPr>
                <w:p w14:paraId="2D3689D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37°59'16.017"</w:t>
                  </w:r>
                </w:p>
              </w:tc>
              <w:tc>
                <w:tcPr>
                  <w:tcW w:w="1512" w:type="dxa"/>
                  <w:tcBorders>
                    <w:right w:val="single" w:color="auto" w:sz="4" w:space="0"/>
                  </w:tcBorders>
                  <w:noWrap w:val="0"/>
                  <w:vAlign w:val="bottom"/>
                </w:tcPr>
                <w:p w14:paraId="725E776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76°32'55.799"</w:t>
                  </w:r>
                </w:p>
              </w:tc>
              <w:tc>
                <w:tcPr>
                  <w:tcW w:w="1390" w:type="dxa"/>
                  <w:tcBorders>
                    <w:left w:val="single" w:color="auto" w:sz="4" w:space="0"/>
                  </w:tcBorders>
                  <w:noWrap w:val="0"/>
                  <w:vAlign w:val="bottom"/>
                </w:tcPr>
                <w:p w14:paraId="75D039E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37°58'45.485"</w:t>
                  </w:r>
                </w:p>
              </w:tc>
            </w:tr>
            <w:tr w14:paraId="4C3D2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jc w:val="center"/>
              </w:trPr>
              <w:tc>
                <w:tcPr>
                  <w:tcW w:w="534" w:type="dxa"/>
                  <w:noWrap w:val="0"/>
                  <w:vAlign w:val="center"/>
                </w:tcPr>
                <w:p w14:paraId="11B6698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3</w:t>
                  </w:r>
                </w:p>
              </w:tc>
              <w:tc>
                <w:tcPr>
                  <w:tcW w:w="1689" w:type="dxa"/>
                  <w:noWrap w:val="0"/>
                  <w:vAlign w:val="center"/>
                </w:tcPr>
                <w:p w14:paraId="51DBD86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4村3斗渠</w:t>
                  </w:r>
                </w:p>
              </w:tc>
              <w:tc>
                <w:tcPr>
                  <w:tcW w:w="1463" w:type="dxa"/>
                  <w:tcBorders>
                    <w:right w:val="single" w:color="auto" w:sz="4" w:space="0"/>
                  </w:tcBorders>
                  <w:shd w:val="clear" w:color="auto" w:fill="auto"/>
                  <w:noWrap w:val="0"/>
                  <w:vAlign w:val="bottom"/>
                </w:tcPr>
                <w:p w14:paraId="2F83EE0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76°30'41.118"</w:t>
                  </w:r>
                </w:p>
              </w:tc>
              <w:tc>
                <w:tcPr>
                  <w:tcW w:w="1414" w:type="dxa"/>
                  <w:tcBorders>
                    <w:left w:val="single" w:color="auto" w:sz="4" w:space="0"/>
                  </w:tcBorders>
                  <w:shd w:val="clear" w:color="auto" w:fill="auto"/>
                  <w:noWrap w:val="0"/>
                  <w:vAlign w:val="bottom"/>
                </w:tcPr>
                <w:p w14:paraId="7B4598A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37°59'05.685"</w:t>
                  </w:r>
                </w:p>
              </w:tc>
              <w:tc>
                <w:tcPr>
                  <w:tcW w:w="1512" w:type="dxa"/>
                  <w:tcBorders>
                    <w:right w:val="single" w:color="auto" w:sz="4" w:space="0"/>
                  </w:tcBorders>
                  <w:shd w:val="clear" w:color="auto" w:fill="auto"/>
                  <w:noWrap w:val="0"/>
                  <w:vAlign w:val="bottom"/>
                </w:tcPr>
                <w:p w14:paraId="10E49B6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76°31'35.539"</w:t>
                  </w:r>
                </w:p>
              </w:tc>
              <w:tc>
                <w:tcPr>
                  <w:tcW w:w="1390" w:type="dxa"/>
                  <w:tcBorders>
                    <w:left w:val="single" w:color="auto" w:sz="4" w:space="0"/>
                  </w:tcBorders>
                  <w:shd w:val="clear" w:color="auto" w:fill="auto"/>
                  <w:noWrap w:val="0"/>
                  <w:vAlign w:val="bottom"/>
                </w:tcPr>
                <w:p w14:paraId="464963C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37°59'15.070"</w:t>
                  </w:r>
                </w:p>
              </w:tc>
            </w:tr>
            <w:tr w14:paraId="61D65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jc w:val="center"/>
              </w:trPr>
              <w:tc>
                <w:tcPr>
                  <w:tcW w:w="534" w:type="dxa"/>
                  <w:noWrap w:val="0"/>
                  <w:vAlign w:val="center"/>
                </w:tcPr>
                <w:p w14:paraId="016557E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4</w:t>
                  </w:r>
                </w:p>
              </w:tc>
              <w:tc>
                <w:tcPr>
                  <w:tcW w:w="1689" w:type="dxa"/>
                  <w:noWrap w:val="0"/>
                  <w:vAlign w:val="center"/>
                </w:tcPr>
                <w:p w14:paraId="13F7F9E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4村4斗渠</w:t>
                  </w:r>
                </w:p>
              </w:tc>
              <w:tc>
                <w:tcPr>
                  <w:tcW w:w="1463" w:type="dxa"/>
                  <w:tcBorders>
                    <w:right w:val="single" w:color="auto" w:sz="4" w:space="0"/>
                  </w:tcBorders>
                  <w:shd w:val="clear" w:color="auto" w:fill="auto"/>
                  <w:noWrap w:val="0"/>
                  <w:vAlign w:val="bottom"/>
                </w:tcPr>
                <w:p w14:paraId="20194DB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76°32'16.325"</w:t>
                  </w:r>
                </w:p>
              </w:tc>
              <w:tc>
                <w:tcPr>
                  <w:tcW w:w="1414" w:type="dxa"/>
                  <w:tcBorders>
                    <w:left w:val="single" w:color="auto" w:sz="4" w:space="0"/>
                  </w:tcBorders>
                  <w:shd w:val="clear" w:color="auto" w:fill="auto"/>
                  <w:noWrap w:val="0"/>
                  <w:vAlign w:val="bottom"/>
                </w:tcPr>
                <w:p w14:paraId="2C4B19B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37°59'06.844"</w:t>
                  </w:r>
                </w:p>
              </w:tc>
              <w:tc>
                <w:tcPr>
                  <w:tcW w:w="1512" w:type="dxa"/>
                  <w:tcBorders>
                    <w:right w:val="single" w:color="auto" w:sz="4" w:space="0"/>
                  </w:tcBorders>
                  <w:shd w:val="clear" w:color="auto" w:fill="auto"/>
                  <w:noWrap w:val="0"/>
                  <w:vAlign w:val="bottom"/>
                </w:tcPr>
                <w:p w14:paraId="3C045C4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76°32'18.237"</w:t>
                  </w:r>
                </w:p>
              </w:tc>
              <w:tc>
                <w:tcPr>
                  <w:tcW w:w="1390" w:type="dxa"/>
                  <w:tcBorders>
                    <w:left w:val="single" w:color="auto" w:sz="4" w:space="0"/>
                  </w:tcBorders>
                  <w:shd w:val="clear" w:color="auto" w:fill="auto"/>
                  <w:noWrap w:val="0"/>
                  <w:vAlign w:val="bottom"/>
                </w:tcPr>
                <w:p w14:paraId="68F0C82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37°59'12.367"</w:t>
                  </w:r>
                </w:p>
              </w:tc>
            </w:tr>
            <w:tr w14:paraId="51F0E9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jc w:val="center"/>
              </w:trPr>
              <w:tc>
                <w:tcPr>
                  <w:tcW w:w="534" w:type="dxa"/>
                  <w:noWrap w:val="0"/>
                  <w:vAlign w:val="center"/>
                </w:tcPr>
                <w:p w14:paraId="1E00CEF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5</w:t>
                  </w:r>
                </w:p>
              </w:tc>
              <w:tc>
                <w:tcPr>
                  <w:tcW w:w="1689" w:type="dxa"/>
                  <w:noWrap w:val="0"/>
                  <w:vAlign w:val="center"/>
                </w:tcPr>
                <w:p w14:paraId="38A7F47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4村5斗渠</w:t>
                  </w:r>
                </w:p>
              </w:tc>
              <w:tc>
                <w:tcPr>
                  <w:tcW w:w="1463" w:type="dxa"/>
                  <w:tcBorders>
                    <w:right w:val="single" w:color="auto" w:sz="4" w:space="0"/>
                  </w:tcBorders>
                  <w:shd w:val="clear" w:color="auto" w:fill="auto"/>
                  <w:noWrap w:val="0"/>
                  <w:vAlign w:val="bottom"/>
                </w:tcPr>
                <w:p w14:paraId="5A38EE4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76°32'17.136"</w:t>
                  </w:r>
                </w:p>
              </w:tc>
              <w:tc>
                <w:tcPr>
                  <w:tcW w:w="1414" w:type="dxa"/>
                  <w:tcBorders>
                    <w:left w:val="single" w:color="auto" w:sz="4" w:space="0"/>
                  </w:tcBorders>
                  <w:shd w:val="clear" w:color="auto" w:fill="auto"/>
                  <w:noWrap w:val="0"/>
                  <w:vAlign w:val="bottom"/>
                </w:tcPr>
                <w:p w14:paraId="06B4851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37°59'06.612"</w:t>
                  </w:r>
                </w:p>
              </w:tc>
              <w:tc>
                <w:tcPr>
                  <w:tcW w:w="1512" w:type="dxa"/>
                  <w:tcBorders>
                    <w:right w:val="single" w:color="auto" w:sz="4" w:space="0"/>
                  </w:tcBorders>
                  <w:shd w:val="clear" w:color="auto" w:fill="auto"/>
                  <w:noWrap w:val="0"/>
                  <w:vAlign w:val="bottom"/>
                </w:tcPr>
                <w:p w14:paraId="5E1FDE1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76°32'19.106"</w:t>
                  </w:r>
                </w:p>
              </w:tc>
              <w:tc>
                <w:tcPr>
                  <w:tcW w:w="1390" w:type="dxa"/>
                  <w:tcBorders>
                    <w:left w:val="single" w:color="auto" w:sz="4" w:space="0"/>
                  </w:tcBorders>
                  <w:shd w:val="clear" w:color="auto" w:fill="auto"/>
                  <w:noWrap w:val="0"/>
                  <w:vAlign w:val="bottom"/>
                </w:tcPr>
                <w:p w14:paraId="3A530EA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37°59'12.212"</w:t>
                  </w:r>
                </w:p>
              </w:tc>
            </w:tr>
            <w:tr w14:paraId="30A3F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jc w:val="center"/>
              </w:trPr>
              <w:tc>
                <w:tcPr>
                  <w:tcW w:w="534" w:type="dxa"/>
                  <w:noWrap w:val="0"/>
                  <w:vAlign w:val="center"/>
                </w:tcPr>
                <w:p w14:paraId="3ECD5B6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6</w:t>
                  </w:r>
                </w:p>
              </w:tc>
              <w:tc>
                <w:tcPr>
                  <w:tcW w:w="1689" w:type="dxa"/>
                  <w:noWrap w:val="0"/>
                  <w:vAlign w:val="center"/>
                </w:tcPr>
                <w:p w14:paraId="7E4E1F4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4村6斗渠</w:t>
                  </w:r>
                </w:p>
              </w:tc>
              <w:tc>
                <w:tcPr>
                  <w:tcW w:w="1463" w:type="dxa"/>
                  <w:tcBorders>
                    <w:right w:val="single" w:color="auto" w:sz="4" w:space="0"/>
                  </w:tcBorders>
                  <w:shd w:val="clear" w:color="auto" w:fill="auto"/>
                  <w:noWrap w:val="0"/>
                  <w:vAlign w:val="bottom"/>
                </w:tcPr>
                <w:p w14:paraId="510E128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76°32'34.768"</w:t>
                  </w:r>
                </w:p>
              </w:tc>
              <w:tc>
                <w:tcPr>
                  <w:tcW w:w="1414" w:type="dxa"/>
                  <w:tcBorders>
                    <w:left w:val="single" w:color="auto" w:sz="4" w:space="0"/>
                  </w:tcBorders>
                  <w:shd w:val="clear" w:color="auto" w:fill="auto"/>
                  <w:noWrap w:val="0"/>
                  <w:vAlign w:val="bottom"/>
                </w:tcPr>
                <w:p w14:paraId="0545C70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37°58'55.488"</w:t>
                  </w:r>
                </w:p>
              </w:tc>
              <w:tc>
                <w:tcPr>
                  <w:tcW w:w="1512" w:type="dxa"/>
                  <w:tcBorders>
                    <w:right w:val="single" w:color="auto" w:sz="4" w:space="0"/>
                  </w:tcBorders>
                  <w:shd w:val="clear" w:color="auto" w:fill="auto"/>
                  <w:noWrap w:val="0"/>
                  <w:vAlign w:val="bottom"/>
                </w:tcPr>
                <w:p w14:paraId="2321FC1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76°32'42.377"</w:t>
                  </w:r>
                </w:p>
              </w:tc>
              <w:tc>
                <w:tcPr>
                  <w:tcW w:w="1390" w:type="dxa"/>
                  <w:tcBorders>
                    <w:left w:val="single" w:color="auto" w:sz="4" w:space="0"/>
                  </w:tcBorders>
                  <w:shd w:val="clear" w:color="auto" w:fill="auto"/>
                  <w:noWrap w:val="0"/>
                  <w:vAlign w:val="bottom"/>
                </w:tcPr>
                <w:p w14:paraId="1986CAA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37°59'03.078"</w:t>
                  </w:r>
                </w:p>
              </w:tc>
            </w:tr>
            <w:tr w14:paraId="616FA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jc w:val="center"/>
              </w:trPr>
              <w:tc>
                <w:tcPr>
                  <w:tcW w:w="534" w:type="dxa"/>
                  <w:noWrap w:val="0"/>
                  <w:vAlign w:val="center"/>
                </w:tcPr>
                <w:p w14:paraId="249A8C7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7</w:t>
                  </w:r>
                </w:p>
              </w:tc>
              <w:tc>
                <w:tcPr>
                  <w:tcW w:w="1689" w:type="dxa"/>
                  <w:noWrap w:val="0"/>
                  <w:vAlign w:val="center"/>
                </w:tcPr>
                <w:p w14:paraId="09BF0E2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4村7斗渠</w:t>
                  </w:r>
                </w:p>
              </w:tc>
              <w:tc>
                <w:tcPr>
                  <w:tcW w:w="1463" w:type="dxa"/>
                  <w:tcBorders>
                    <w:right w:val="single" w:color="auto" w:sz="4" w:space="0"/>
                  </w:tcBorders>
                  <w:shd w:val="clear" w:color="auto" w:fill="auto"/>
                  <w:noWrap w:val="0"/>
                  <w:vAlign w:val="bottom"/>
                </w:tcPr>
                <w:p w14:paraId="0B82E86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76°32'35.541"</w:t>
                  </w:r>
                </w:p>
              </w:tc>
              <w:tc>
                <w:tcPr>
                  <w:tcW w:w="1414" w:type="dxa"/>
                  <w:tcBorders>
                    <w:left w:val="single" w:color="auto" w:sz="4" w:space="0"/>
                  </w:tcBorders>
                  <w:shd w:val="clear" w:color="auto" w:fill="auto"/>
                  <w:noWrap w:val="0"/>
                  <w:vAlign w:val="bottom"/>
                </w:tcPr>
                <w:p w14:paraId="1A3BAC8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37°58'55.102"</w:t>
                  </w:r>
                </w:p>
              </w:tc>
              <w:tc>
                <w:tcPr>
                  <w:tcW w:w="1512" w:type="dxa"/>
                  <w:tcBorders>
                    <w:right w:val="single" w:color="auto" w:sz="4" w:space="0"/>
                  </w:tcBorders>
                  <w:shd w:val="clear" w:color="auto" w:fill="auto"/>
                  <w:noWrap w:val="0"/>
                  <w:vAlign w:val="bottom"/>
                </w:tcPr>
                <w:p w14:paraId="36624A1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76°32'43.034"</w:t>
                  </w:r>
                </w:p>
              </w:tc>
              <w:tc>
                <w:tcPr>
                  <w:tcW w:w="1390" w:type="dxa"/>
                  <w:tcBorders>
                    <w:left w:val="single" w:color="auto" w:sz="4" w:space="0"/>
                  </w:tcBorders>
                  <w:shd w:val="clear" w:color="auto" w:fill="auto"/>
                  <w:noWrap w:val="0"/>
                  <w:vAlign w:val="bottom"/>
                </w:tcPr>
                <w:p w14:paraId="364EDBC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37°59'02.711"</w:t>
                  </w:r>
                </w:p>
              </w:tc>
            </w:tr>
          </w:tbl>
          <w:p w14:paraId="54B90361">
            <w:pPr>
              <w:pStyle w:val="32"/>
              <w:ind w:left="0" w:leftChars="0" w:firstLine="0" w:firstLineChars="0"/>
              <w:rPr>
                <w:rFonts w:hint="default" w:ascii="Times New Roman" w:hAnsi="Times New Roman" w:eastAsia="宋体" w:cs="Times New Roman"/>
                <w:color w:val="auto"/>
                <w:lang w:val="en-US" w:eastAsia="zh-CN"/>
              </w:rPr>
            </w:pPr>
          </w:p>
          <w:p w14:paraId="09AF4A9F">
            <w:pPr>
              <w:pStyle w:val="32"/>
              <w:ind w:left="0" w:leftChars="0" w:firstLine="0" w:firstLineChars="0"/>
              <w:rPr>
                <w:rFonts w:hint="default" w:ascii="Times New Roman" w:hAnsi="Times New Roman" w:eastAsia="宋体" w:cs="Times New Roman"/>
                <w:color w:val="auto"/>
                <w:lang w:val="en-US" w:eastAsia="zh-CN"/>
              </w:rPr>
            </w:pPr>
          </w:p>
        </w:tc>
      </w:tr>
      <w:tr w14:paraId="06E264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462" w:type="dxa"/>
            <w:tcMar>
              <w:top w:w="16" w:type="dxa"/>
              <w:left w:w="16" w:type="dxa"/>
              <w:right w:w="16" w:type="dxa"/>
            </w:tcMar>
            <w:vAlign w:val="center"/>
          </w:tcPr>
          <w:p w14:paraId="62BA0BC0">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建设项目</w:t>
            </w:r>
          </w:p>
          <w:p w14:paraId="72D9F3E9">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行业类别</w:t>
            </w:r>
          </w:p>
        </w:tc>
        <w:tc>
          <w:tcPr>
            <w:tcW w:w="2807" w:type="dxa"/>
            <w:vAlign w:val="center"/>
          </w:tcPr>
          <w:p w14:paraId="0084727E">
            <w:pP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五十一、水利125</w:t>
            </w:r>
            <w:r>
              <w:rPr>
                <w:rFonts w:hint="default" w:ascii="Times New Roman" w:hAnsi="Times New Roman" w:eastAsia="宋体" w:cs="Times New Roman"/>
                <w:color w:val="auto"/>
                <w:kern w:val="0"/>
                <w:sz w:val="24"/>
              </w:rPr>
              <w:t>灌区工程（不含水源工程的）</w:t>
            </w:r>
          </w:p>
        </w:tc>
        <w:tc>
          <w:tcPr>
            <w:tcW w:w="1927" w:type="dxa"/>
            <w:vAlign w:val="center"/>
          </w:tcPr>
          <w:p w14:paraId="7E34A4E0">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用地（用海）面积（m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）/长度（km）</w:t>
            </w:r>
          </w:p>
        </w:tc>
        <w:tc>
          <w:tcPr>
            <w:tcW w:w="2843" w:type="dxa"/>
            <w:vAlign w:val="center"/>
          </w:tcPr>
          <w:p w14:paraId="377579B7">
            <w:pPr>
              <w:adjustRightInd w:val="0"/>
              <w:snapToGrid w:val="0"/>
              <w:jc w:val="center"/>
              <w:rPr>
                <w:rFonts w:hint="default" w:ascii="Times New Roman" w:hAnsi="Times New Roman" w:eastAsia="宋体" w:cs="Times New Roman"/>
                <w:color w:val="auto"/>
                <w:sz w:val="24"/>
                <w:lang w:val="en-US"/>
              </w:rPr>
            </w:pPr>
            <w:r>
              <w:rPr>
                <w:rFonts w:hint="eastAsia" w:ascii="Times New Roman" w:hAnsi="Times New Roman" w:eastAsia="宋体" w:cs="Times New Roman"/>
                <w:color w:val="0000FF"/>
                <w:kern w:val="0"/>
                <w:sz w:val="24"/>
                <w:szCs w:val="24"/>
                <w:lang w:val="en-US" w:eastAsia="zh-CN" w:bidi="ar-SA"/>
              </w:rPr>
              <w:t>永久</w:t>
            </w:r>
            <w:r>
              <w:rPr>
                <w:rFonts w:hint="eastAsia" w:ascii="Times New Roman" w:hAnsi="Times New Roman" w:cs="Times New Roman"/>
                <w:color w:val="0000FF"/>
                <w:kern w:val="0"/>
                <w:sz w:val="24"/>
                <w:szCs w:val="24"/>
                <w:lang w:val="en-US" w:eastAsia="zh-CN" w:bidi="ar-SA"/>
              </w:rPr>
              <w:t>用</w:t>
            </w:r>
            <w:r>
              <w:rPr>
                <w:rFonts w:hint="eastAsia" w:ascii="Times New Roman" w:hAnsi="Times New Roman" w:eastAsia="宋体" w:cs="Times New Roman"/>
                <w:color w:val="0000FF"/>
                <w:kern w:val="0"/>
                <w:sz w:val="24"/>
                <w:szCs w:val="24"/>
                <w:lang w:val="en-US" w:eastAsia="zh-CN" w:bidi="ar-SA"/>
              </w:rPr>
              <w:t>地</w:t>
            </w:r>
            <w:r>
              <w:rPr>
                <w:rFonts w:hint="eastAsia" w:ascii="Times New Roman" w:hAnsi="Times New Roman" w:cs="Times New Roman"/>
                <w:color w:val="0000FF"/>
                <w:kern w:val="0"/>
                <w:sz w:val="24"/>
                <w:szCs w:val="24"/>
                <w:lang w:val="en-US" w:eastAsia="zh-CN" w:bidi="ar-SA"/>
              </w:rPr>
              <w:t>面积</w:t>
            </w:r>
            <w:r>
              <w:rPr>
                <w:rFonts w:hint="eastAsia" w:ascii="Times New Roman" w:hAnsi="Times New Roman" w:eastAsia="宋体" w:cs="Times New Roman"/>
                <w:color w:val="0000FF"/>
                <w:kern w:val="0"/>
                <w:sz w:val="24"/>
                <w:szCs w:val="24"/>
                <w:lang w:val="en-US" w:eastAsia="zh-CN" w:bidi="ar-SA"/>
              </w:rPr>
              <w:t>215</w:t>
            </w:r>
            <w:r>
              <w:rPr>
                <w:rFonts w:hint="eastAsia" w:ascii="Times New Roman" w:hAnsi="Times New Roman" w:cs="Times New Roman"/>
                <w:color w:val="0000FF"/>
                <w:kern w:val="0"/>
                <w:sz w:val="24"/>
                <w:szCs w:val="24"/>
                <w:lang w:val="en-US" w:eastAsia="zh-CN" w:bidi="ar-SA"/>
              </w:rPr>
              <w:t>00</w:t>
            </w:r>
            <w:r>
              <w:rPr>
                <w:rFonts w:hint="default" w:ascii="Times New Roman" w:hAnsi="Times New Roman" w:eastAsia="宋体" w:cs="Times New Roman"/>
                <w:color w:val="0000FF"/>
                <w:sz w:val="24"/>
                <w:szCs w:val="24"/>
              </w:rPr>
              <w:t>m</w:t>
            </w:r>
            <w:r>
              <w:rPr>
                <w:rFonts w:hint="default" w:ascii="Times New Roman" w:hAnsi="Times New Roman" w:eastAsia="宋体" w:cs="Times New Roman"/>
                <w:color w:val="0000FF"/>
                <w:sz w:val="24"/>
                <w:szCs w:val="24"/>
                <w:vertAlign w:val="superscript"/>
              </w:rPr>
              <w:t>2</w:t>
            </w:r>
            <w:r>
              <w:rPr>
                <w:rFonts w:hint="eastAsia" w:ascii="Times New Roman" w:hAnsi="Times New Roman" w:cs="Times New Roman"/>
                <w:i w:val="0"/>
                <w:iCs w:val="0"/>
                <w:color w:val="0000FF"/>
                <w:kern w:val="0"/>
                <w:sz w:val="24"/>
                <w:szCs w:val="24"/>
                <w:u w:val="none"/>
                <w:lang w:val="en-US" w:eastAsia="zh-CN" w:bidi="ar"/>
              </w:rPr>
              <w:t>，</w:t>
            </w:r>
            <w:r>
              <w:rPr>
                <w:rFonts w:ascii="宋体" w:hAnsi="宋体" w:eastAsia="宋体" w:cs="宋体"/>
                <w:color w:val="0000FF"/>
                <w:spacing w:val="-5"/>
                <w:sz w:val="24"/>
                <w:szCs w:val="24"/>
              </w:rPr>
              <w:t>临时</w:t>
            </w:r>
            <w:r>
              <w:rPr>
                <w:rFonts w:hint="eastAsia" w:ascii="宋体" w:hAnsi="宋体" w:cs="宋体"/>
                <w:color w:val="0000FF"/>
                <w:spacing w:val="-5"/>
                <w:sz w:val="24"/>
                <w:szCs w:val="24"/>
                <w:lang w:val="en-US" w:eastAsia="zh-CN"/>
              </w:rPr>
              <w:t>用地面积</w:t>
            </w:r>
            <w:r>
              <w:rPr>
                <w:rFonts w:hint="eastAsia" w:ascii="Times New Roman" w:hAnsi="Times New Roman" w:cs="Times New Roman"/>
                <w:color w:val="0000FF"/>
                <w:spacing w:val="-5"/>
                <w:sz w:val="24"/>
                <w:szCs w:val="24"/>
                <w:lang w:val="en-US" w:eastAsia="zh-CN"/>
              </w:rPr>
              <w:t>3100</w:t>
            </w:r>
            <w:r>
              <w:rPr>
                <w:rFonts w:hint="default" w:ascii="Times New Roman" w:hAnsi="Times New Roman" w:eastAsia="宋体" w:cs="Times New Roman"/>
                <w:color w:val="0000FF"/>
                <w:sz w:val="24"/>
                <w:szCs w:val="24"/>
              </w:rPr>
              <w:t>m</w:t>
            </w:r>
            <w:r>
              <w:rPr>
                <w:rFonts w:hint="default" w:ascii="Times New Roman" w:hAnsi="Times New Roman" w:eastAsia="宋体" w:cs="Times New Roman"/>
                <w:color w:val="0000FF"/>
                <w:sz w:val="24"/>
                <w:szCs w:val="24"/>
                <w:vertAlign w:val="superscript"/>
              </w:rPr>
              <w:t>2</w:t>
            </w:r>
            <w:r>
              <w:rPr>
                <w:rFonts w:hint="eastAsia" w:ascii="Times New Roman" w:hAnsi="Times New Roman" w:cs="Times New Roman"/>
                <w:i w:val="0"/>
                <w:iCs w:val="0"/>
                <w:color w:val="0000FF"/>
                <w:kern w:val="0"/>
                <w:sz w:val="24"/>
                <w:szCs w:val="24"/>
                <w:u w:val="none"/>
                <w:lang w:val="en-US" w:eastAsia="zh-CN" w:bidi="ar"/>
              </w:rPr>
              <w:t>/长度</w:t>
            </w:r>
            <w:r>
              <w:rPr>
                <w:rFonts w:hint="eastAsia" w:ascii="Times New Roman" w:hAnsi="Times New Roman" w:cs="Times New Roman"/>
                <w:color w:val="0000FF"/>
                <w:sz w:val="24"/>
                <w:szCs w:val="24"/>
                <w:lang w:val="en-US" w:eastAsia="zh-CN"/>
              </w:rPr>
              <w:t>9.88</w:t>
            </w:r>
            <w:r>
              <w:rPr>
                <w:rFonts w:hint="default" w:ascii="Times New Roman" w:hAnsi="Times New Roman" w:eastAsia="宋体" w:cs="Times New Roman"/>
                <w:color w:val="0000FF"/>
                <w:sz w:val="24"/>
                <w:szCs w:val="24"/>
              </w:rPr>
              <w:t>km</w:t>
            </w:r>
          </w:p>
        </w:tc>
      </w:tr>
      <w:tr w14:paraId="722238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462" w:type="dxa"/>
            <w:tcMar>
              <w:top w:w="16" w:type="dxa"/>
              <w:left w:w="16" w:type="dxa"/>
              <w:right w:w="16" w:type="dxa"/>
            </w:tcMar>
            <w:vAlign w:val="center"/>
          </w:tcPr>
          <w:p w14:paraId="4467FE56">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建设性质</w:t>
            </w:r>
          </w:p>
        </w:tc>
        <w:tc>
          <w:tcPr>
            <w:tcW w:w="2807" w:type="dxa"/>
            <w:vAlign w:val="center"/>
          </w:tcPr>
          <w:p w14:paraId="7D7B97FC">
            <w:pPr>
              <w:adjustRightInd w:val="0"/>
              <w:snapToGrid w:val="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□新建（迁建）</w:t>
            </w:r>
          </w:p>
          <w:p w14:paraId="071DE8FE">
            <w:pPr>
              <w:adjustRightInd w:val="0"/>
              <w:snapToGrid w:val="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☑改建</w:t>
            </w:r>
          </w:p>
          <w:p w14:paraId="68F7EE5C">
            <w:pPr>
              <w:adjustRightInd w:val="0"/>
              <w:snapToGrid w:val="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扩建</w:t>
            </w:r>
          </w:p>
          <w:p w14:paraId="267FA39D">
            <w:pPr>
              <w:adjustRightInd w:val="0"/>
              <w:snapToGrid w:val="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□技术改造</w:t>
            </w:r>
          </w:p>
        </w:tc>
        <w:tc>
          <w:tcPr>
            <w:tcW w:w="1927" w:type="dxa"/>
            <w:vAlign w:val="center"/>
          </w:tcPr>
          <w:p w14:paraId="65A908C9">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bidi="ar"/>
              </w:rPr>
              <w:t>建设项目</w:t>
            </w:r>
          </w:p>
          <w:p w14:paraId="254FB0A0">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bidi="ar"/>
              </w:rPr>
              <w:t>申报情形</w:t>
            </w:r>
          </w:p>
        </w:tc>
        <w:tc>
          <w:tcPr>
            <w:tcW w:w="2843" w:type="dxa"/>
            <w:vAlign w:val="center"/>
          </w:tcPr>
          <w:p w14:paraId="50D21E5F">
            <w:pPr>
              <w:adjustRightInd w:val="0"/>
              <w:snapToGrid w:val="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bidi="ar"/>
              </w:rPr>
              <w:t>☑首次申报项目</w:t>
            </w:r>
          </w:p>
          <w:p w14:paraId="30995548">
            <w:pPr>
              <w:adjustRightInd w:val="0"/>
              <w:snapToGrid w:val="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bidi="ar"/>
              </w:rPr>
              <w:t>□不予批准后再次申报项目</w:t>
            </w:r>
          </w:p>
          <w:p w14:paraId="63B11BAE">
            <w:pPr>
              <w:adjustRightInd w:val="0"/>
              <w:snapToGrid w:val="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bidi="ar"/>
              </w:rPr>
              <w:t>□超五年重新审核项目</w:t>
            </w:r>
          </w:p>
          <w:p w14:paraId="2FD7F6BC">
            <w:pPr>
              <w:adjustRightInd w:val="0"/>
              <w:snapToGrid w:val="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bidi="ar"/>
              </w:rPr>
              <w:t>□重大变动重新报批项目</w:t>
            </w:r>
          </w:p>
        </w:tc>
      </w:tr>
      <w:tr w14:paraId="095D25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462" w:type="dxa"/>
            <w:tcMar>
              <w:top w:w="16" w:type="dxa"/>
              <w:left w:w="16" w:type="dxa"/>
              <w:right w:w="16" w:type="dxa"/>
            </w:tcMar>
            <w:vAlign w:val="center"/>
          </w:tcPr>
          <w:p w14:paraId="0DF1AAE7">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项目审批（核准/备案）部门（选填）</w:t>
            </w:r>
          </w:p>
        </w:tc>
        <w:tc>
          <w:tcPr>
            <w:tcW w:w="2807" w:type="dxa"/>
            <w:vAlign w:val="center"/>
          </w:tcPr>
          <w:p w14:paraId="3E6B02CA">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莎车县发展和改革委员会</w:t>
            </w:r>
          </w:p>
        </w:tc>
        <w:tc>
          <w:tcPr>
            <w:tcW w:w="1927" w:type="dxa"/>
            <w:vAlign w:val="center"/>
          </w:tcPr>
          <w:p w14:paraId="036933AB">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项目审批（核准/</w:t>
            </w:r>
          </w:p>
          <w:p w14:paraId="48758B88">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备案）文号（选填）</w:t>
            </w:r>
          </w:p>
        </w:tc>
        <w:tc>
          <w:tcPr>
            <w:tcW w:w="2843" w:type="dxa"/>
            <w:vAlign w:val="center"/>
          </w:tcPr>
          <w:p w14:paraId="7A9663B9">
            <w:pPr>
              <w:pStyle w:val="28"/>
              <w:keepNext w:val="0"/>
              <w:keepLines w:val="0"/>
              <w:widowControl/>
              <w:suppressLineNumbers w:val="0"/>
              <w:spacing w:before="0" w:beforeAutospacing="0" w:after="0" w:afterAutospacing="0"/>
              <w:ind w:left="0" w:right="0" w:firstLine="0"/>
              <w:rPr>
                <w:rFonts w:hint="eastAsia" w:ascii="Times New Roman" w:hAnsi="Times New Roman" w:eastAsia="宋体" w:cs="Times New Roman"/>
                <w:color w:val="auto"/>
                <w:sz w:val="24"/>
                <w:lang w:eastAsia="zh-CN"/>
              </w:rPr>
            </w:pPr>
            <w:r>
              <w:rPr>
                <w:rFonts w:hint="eastAsia" w:ascii="Times New Roman" w:hAnsi="Times New Roman" w:cs="Times New Roman"/>
                <w:color w:val="auto"/>
                <w:lang w:eastAsia="zh-CN"/>
              </w:rPr>
              <w:t>莎发改〔202</w:t>
            </w:r>
            <w:r>
              <w:rPr>
                <w:rFonts w:hint="eastAsia" w:ascii="Times New Roman" w:hAnsi="Times New Roman" w:cs="Times New Roman"/>
                <w:color w:val="auto"/>
                <w:lang w:val="en-US" w:eastAsia="zh-CN"/>
              </w:rPr>
              <w:t>5</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78</w:t>
            </w:r>
            <w:r>
              <w:rPr>
                <w:rFonts w:hint="eastAsia" w:ascii="Times New Roman" w:hAnsi="Times New Roman" w:cs="Times New Roman"/>
                <w:color w:val="auto"/>
                <w:lang w:eastAsia="zh-CN"/>
              </w:rPr>
              <w:t>号</w:t>
            </w:r>
          </w:p>
        </w:tc>
      </w:tr>
      <w:tr w14:paraId="26EBB2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462" w:type="dxa"/>
            <w:tcMar>
              <w:top w:w="16" w:type="dxa"/>
              <w:left w:w="16" w:type="dxa"/>
              <w:right w:w="16" w:type="dxa"/>
            </w:tcMar>
            <w:vAlign w:val="center"/>
          </w:tcPr>
          <w:p w14:paraId="76A9F43E">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总投资（万元）</w:t>
            </w:r>
          </w:p>
        </w:tc>
        <w:tc>
          <w:tcPr>
            <w:tcW w:w="2807" w:type="dxa"/>
            <w:vAlign w:val="center"/>
          </w:tcPr>
          <w:p w14:paraId="31EFA506">
            <w:pPr>
              <w:adjustRightInd w:val="0"/>
              <w:snapToGrid w:val="0"/>
              <w:jc w:val="center"/>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988</w:t>
            </w:r>
          </w:p>
        </w:tc>
        <w:tc>
          <w:tcPr>
            <w:tcW w:w="1927" w:type="dxa"/>
            <w:tcMar>
              <w:top w:w="16" w:type="dxa"/>
              <w:left w:w="16" w:type="dxa"/>
              <w:right w:w="16" w:type="dxa"/>
            </w:tcMar>
            <w:vAlign w:val="center"/>
          </w:tcPr>
          <w:p w14:paraId="0C1D09B6">
            <w:pPr>
              <w:adjustRightInd w:val="0"/>
              <w:snapToGrid w:val="0"/>
              <w:jc w:val="center"/>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环保投资（万元）</w:t>
            </w:r>
          </w:p>
        </w:tc>
        <w:tc>
          <w:tcPr>
            <w:tcW w:w="2843" w:type="dxa"/>
            <w:vAlign w:val="center"/>
          </w:tcPr>
          <w:p w14:paraId="0AD7443C">
            <w:pPr>
              <w:adjustRightInd w:val="0"/>
              <w:snapToGrid w:val="0"/>
              <w:jc w:val="center"/>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42.8</w:t>
            </w:r>
          </w:p>
        </w:tc>
      </w:tr>
      <w:tr w14:paraId="1F3C6F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462" w:type="dxa"/>
            <w:tcMar>
              <w:top w:w="16" w:type="dxa"/>
              <w:left w:w="16" w:type="dxa"/>
              <w:right w:w="16" w:type="dxa"/>
            </w:tcMar>
            <w:vAlign w:val="center"/>
          </w:tcPr>
          <w:p w14:paraId="712F2A27">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环保投资占比（%）</w:t>
            </w:r>
          </w:p>
        </w:tc>
        <w:tc>
          <w:tcPr>
            <w:tcW w:w="2807" w:type="dxa"/>
            <w:vAlign w:val="center"/>
          </w:tcPr>
          <w:p w14:paraId="23D52E51">
            <w:pPr>
              <w:adjustRightInd w:val="0"/>
              <w:snapToGrid w:val="0"/>
              <w:jc w:val="center"/>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4.33</w:t>
            </w:r>
          </w:p>
        </w:tc>
        <w:tc>
          <w:tcPr>
            <w:tcW w:w="1927" w:type="dxa"/>
            <w:tcMar>
              <w:top w:w="16" w:type="dxa"/>
              <w:left w:w="16" w:type="dxa"/>
              <w:right w:w="16" w:type="dxa"/>
            </w:tcMar>
            <w:vAlign w:val="center"/>
          </w:tcPr>
          <w:p w14:paraId="1E03797D">
            <w:pPr>
              <w:adjustRightInd w:val="0"/>
              <w:snapToGrid w:val="0"/>
              <w:jc w:val="center"/>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施工工期</w:t>
            </w:r>
          </w:p>
        </w:tc>
        <w:tc>
          <w:tcPr>
            <w:tcW w:w="2843" w:type="dxa"/>
            <w:vAlign w:val="center"/>
          </w:tcPr>
          <w:p w14:paraId="7556C952">
            <w:pPr>
              <w:adjustRightInd w:val="0"/>
              <w:snapToGrid w:val="0"/>
              <w:jc w:val="center"/>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240天</w:t>
            </w:r>
          </w:p>
        </w:tc>
      </w:tr>
      <w:tr w14:paraId="63F2D2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00" w:hRule="atLeast"/>
          <w:jc w:val="center"/>
        </w:trPr>
        <w:tc>
          <w:tcPr>
            <w:tcW w:w="1462" w:type="dxa"/>
            <w:tcMar>
              <w:top w:w="16" w:type="dxa"/>
              <w:left w:w="16" w:type="dxa"/>
              <w:right w:w="16" w:type="dxa"/>
            </w:tcMar>
            <w:vAlign w:val="center"/>
          </w:tcPr>
          <w:p w14:paraId="054ECAC4">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是否开工建设</w:t>
            </w:r>
          </w:p>
        </w:tc>
        <w:tc>
          <w:tcPr>
            <w:tcW w:w="7577" w:type="dxa"/>
            <w:gridSpan w:val="3"/>
            <w:vAlign w:val="center"/>
          </w:tcPr>
          <w:p w14:paraId="0B244EC1">
            <w:pPr>
              <w:adjustRightInd w:val="0"/>
              <w:snapToGrid w:val="0"/>
              <w:ind w:firstLine="105"/>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☑否</w:t>
            </w:r>
          </w:p>
          <w:p w14:paraId="28F14956">
            <w:pPr>
              <w:adjustRightInd w:val="0"/>
              <w:snapToGrid w:val="0"/>
              <w:ind w:firstLine="92"/>
              <w:jc w:val="left"/>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□是：</w:t>
            </w:r>
          </w:p>
        </w:tc>
      </w:tr>
      <w:tr w14:paraId="69C84F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62" w:type="dxa"/>
            <w:tcMar>
              <w:top w:w="16" w:type="dxa"/>
              <w:left w:w="16" w:type="dxa"/>
              <w:right w:w="16" w:type="dxa"/>
            </w:tcMar>
            <w:vAlign w:val="center"/>
          </w:tcPr>
          <w:p w14:paraId="0A2AFFEE">
            <w:pPr>
              <w:autoSpaceDE w:val="0"/>
              <w:autoSpaceDN w:val="0"/>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专项评价设置情况</w:t>
            </w:r>
          </w:p>
        </w:tc>
        <w:tc>
          <w:tcPr>
            <w:tcW w:w="7577" w:type="dxa"/>
            <w:gridSpan w:val="3"/>
            <w:tcMar>
              <w:top w:w="16" w:type="dxa"/>
              <w:left w:w="16" w:type="dxa"/>
              <w:right w:w="16" w:type="dxa"/>
            </w:tcMar>
            <w:vAlign w:val="center"/>
          </w:tcPr>
          <w:p w14:paraId="166BA75C">
            <w:pPr>
              <w:pStyle w:val="14"/>
              <w:numPr>
                <w:ilvl w:val="0"/>
                <w:numId w:val="0"/>
              </w:numPr>
              <w:ind w:left="1680" w:leftChars="0"/>
              <w:rPr>
                <w:rFonts w:hint="default" w:ascii="Times New Roman" w:hAnsi="Times New Roman" w:eastAsia="宋体" w:cs="Times New Roman"/>
                <w:color w:val="auto"/>
              </w:rPr>
            </w:pPr>
          </w:p>
          <w:p w14:paraId="33BDE406">
            <w:pPr>
              <w:pStyle w:val="10"/>
              <w:spacing w:before="0" w:after="0" w:line="240" w:lineRule="auto"/>
              <w:ind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1-1专项设置一览表</w:t>
            </w:r>
          </w:p>
          <w:tbl>
            <w:tblPr>
              <w:tblStyle w:val="33"/>
              <w:tblW w:w="723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10"/>
              <w:gridCol w:w="5086"/>
              <w:gridCol w:w="1040"/>
            </w:tblGrid>
            <w:tr w14:paraId="79F1D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jc w:val="center"/>
              </w:trPr>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88DB6">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专项评价的类别</w:t>
                  </w:r>
                </w:p>
              </w:tc>
              <w:tc>
                <w:tcPr>
                  <w:tcW w:w="5086" w:type="dxa"/>
                  <w:tcBorders>
                    <w:top w:val="single" w:color="000000" w:sz="4" w:space="0"/>
                    <w:left w:val="single" w:color="000000" w:sz="4" w:space="0"/>
                    <w:bottom w:val="single" w:color="000000" w:sz="4" w:space="0"/>
                    <w:right w:val="single" w:color="auto" w:sz="4" w:space="0"/>
                  </w:tcBorders>
                  <w:shd w:val="clear" w:color="auto" w:fill="auto"/>
                  <w:vAlign w:val="center"/>
                </w:tcPr>
                <w:p w14:paraId="21CBF9CD">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涉及项目类别</w:t>
                  </w:r>
                </w:p>
              </w:tc>
              <w:tc>
                <w:tcPr>
                  <w:tcW w:w="1040" w:type="dxa"/>
                  <w:tcBorders>
                    <w:top w:val="single" w:color="000000" w:sz="4" w:space="0"/>
                    <w:left w:val="single" w:color="auto" w:sz="4" w:space="0"/>
                    <w:bottom w:val="single" w:color="000000" w:sz="4" w:space="0"/>
                    <w:right w:val="single" w:color="000000" w:sz="4" w:space="0"/>
                  </w:tcBorders>
                  <w:shd w:val="clear" w:color="auto" w:fill="auto"/>
                  <w:vAlign w:val="center"/>
                </w:tcPr>
                <w:p w14:paraId="3A44B799">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是否设置</w:t>
                  </w:r>
                </w:p>
              </w:tc>
            </w:tr>
            <w:tr w14:paraId="6A374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8" w:hRule="atLeast"/>
                <w:jc w:val="center"/>
              </w:trPr>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3A6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地表水</w:t>
                  </w:r>
                </w:p>
              </w:tc>
              <w:tc>
                <w:tcPr>
                  <w:tcW w:w="5086" w:type="dxa"/>
                  <w:tcBorders>
                    <w:top w:val="single" w:color="000000" w:sz="4" w:space="0"/>
                    <w:left w:val="single" w:color="000000" w:sz="4" w:space="0"/>
                    <w:bottom w:val="single" w:color="000000" w:sz="4" w:space="0"/>
                    <w:right w:val="single" w:color="auto" w:sz="4" w:space="0"/>
                  </w:tcBorders>
                  <w:shd w:val="clear" w:color="auto" w:fill="auto"/>
                  <w:vAlign w:val="center"/>
                </w:tcPr>
                <w:p w14:paraId="3E02125A">
                  <w:pPr>
                    <w:keepNext w:val="0"/>
                    <w:keepLines w:val="0"/>
                    <w:widowControl/>
                    <w:suppressLineNumbers w:val="0"/>
                    <w:jc w:val="left"/>
                    <w:textAlignment w:val="top"/>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1"/>
                      <w:szCs w:val="21"/>
                      <w:u w:val="none"/>
                      <w:lang w:val="en-US" w:eastAsia="zh-CN" w:bidi="ar"/>
                    </w:rPr>
                    <w:t>水力发电：引水式发电、涉及调峰发电的项目；人工湖、人工湿地：全部；水库：全部；引水工程：全部（配套的管线工程等除外）；防洪除涝工程：包含水库的项目；河湖整治：涉及清淤且底泥存在重金属污染的项目</w:t>
                  </w:r>
                </w:p>
              </w:tc>
              <w:tc>
                <w:tcPr>
                  <w:tcW w:w="1040" w:type="dxa"/>
                  <w:tcBorders>
                    <w:top w:val="single" w:color="000000" w:sz="4" w:space="0"/>
                    <w:left w:val="single" w:color="auto" w:sz="4" w:space="0"/>
                    <w:bottom w:val="single" w:color="000000" w:sz="4" w:space="0"/>
                    <w:right w:val="single" w:color="000000" w:sz="4" w:space="0"/>
                  </w:tcBorders>
                  <w:shd w:val="clear" w:color="auto" w:fill="auto"/>
                  <w:vAlign w:val="center"/>
                </w:tcPr>
                <w:p w14:paraId="1CD78275">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不设置</w:t>
                  </w:r>
                </w:p>
              </w:tc>
            </w:tr>
            <w:tr w14:paraId="34675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8" w:hRule="atLeast"/>
                <w:jc w:val="center"/>
              </w:trPr>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899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地下水</w:t>
                  </w:r>
                </w:p>
              </w:tc>
              <w:tc>
                <w:tcPr>
                  <w:tcW w:w="5086" w:type="dxa"/>
                  <w:tcBorders>
                    <w:top w:val="single" w:color="000000" w:sz="4" w:space="0"/>
                    <w:left w:val="single" w:color="000000" w:sz="4" w:space="0"/>
                    <w:bottom w:val="single" w:color="000000" w:sz="4" w:space="0"/>
                    <w:right w:val="single" w:color="auto" w:sz="4" w:space="0"/>
                  </w:tcBorders>
                  <w:shd w:val="clear" w:color="auto" w:fill="auto"/>
                  <w:vAlign w:val="center"/>
                </w:tcPr>
                <w:p w14:paraId="134DAFE4">
                  <w:pPr>
                    <w:keepNext w:val="0"/>
                    <w:keepLines w:val="0"/>
                    <w:widowControl/>
                    <w:suppressLineNumbers w:val="0"/>
                    <w:jc w:val="left"/>
                    <w:textAlignment w:val="top"/>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1"/>
                      <w:szCs w:val="21"/>
                      <w:u w:val="none"/>
                      <w:lang w:val="en-US" w:eastAsia="zh-CN" w:bidi="ar"/>
                    </w:rPr>
                    <w:t>陆地石油和天然气开采：全部；地下水（含矿泉水）开采：全部；水利、水电、交通等：含穿越可溶岩地层隧道的项目</w:t>
                  </w:r>
                </w:p>
              </w:tc>
              <w:tc>
                <w:tcPr>
                  <w:tcW w:w="1040" w:type="dxa"/>
                  <w:tcBorders>
                    <w:top w:val="single" w:color="000000" w:sz="4" w:space="0"/>
                    <w:left w:val="single" w:color="auto" w:sz="4" w:space="0"/>
                    <w:bottom w:val="single" w:color="000000" w:sz="4" w:space="0"/>
                    <w:right w:val="single" w:color="000000" w:sz="4" w:space="0"/>
                  </w:tcBorders>
                  <w:shd w:val="clear" w:color="auto" w:fill="auto"/>
                  <w:vAlign w:val="center"/>
                </w:tcPr>
                <w:p w14:paraId="14D97451">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不设置</w:t>
                  </w:r>
                </w:p>
              </w:tc>
            </w:tr>
            <w:tr w14:paraId="303D8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jc w:val="center"/>
              </w:trPr>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75A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生态</w:t>
                  </w:r>
                </w:p>
              </w:tc>
              <w:tc>
                <w:tcPr>
                  <w:tcW w:w="5086" w:type="dxa"/>
                  <w:tcBorders>
                    <w:top w:val="single" w:color="000000" w:sz="4" w:space="0"/>
                    <w:left w:val="single" w:color="000000" w:sz="4" w:space="0"/>
                    <w:bottom w:val="single" w:color="000000" w:sz="4" w:space="0"/>
                    <w:right w:val="single" w:color="auto" w:sz="4" w:space="0"/>
                  </w:tcBorders>
                  <w:shd w:val="clear" w:color="auto" w:fill="auto"/>
                  <w:vAlign w:val="center"/>
                </w:tcPr>
                <w:p w14:paraId="478DA930">
                  <w:pPr>
                    <w:keepNext w:val="0"/>
                    <w:keepLines w:val="0"/>
                    <w:widowControl/>
                    <w:suppressLineNumbers w:val="0"/>
                    <w:jc w:val="left"/>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涉及环境敏感区（不包括饮用水水源保护区，以居住、医疗卫生、文化教育、科研、行政办公为主要功能的区域，以及文物保护单位）的项目</w:t>
                  </w:r>
                </w:p>
              </w:tc>
              <w:tc>
                <w:tcPr>
                  <w:tcW w:w="1040" w:type="dxa"/>
                  <w:tcBorders>
                    <w:top w:val="single" w:color="000000" w:sz="4" w:space="0"/>
                    <w:left w:val="single" w:color="auto" w:sz="4" w:space="0"/>
                    <w:bottom w:val="single" w:color="000000" w:sz="4" w:space="0"/>
                    <w:right w:val="single" w:color="000000" w:sz="4" w:space="0"/>
                  </w:tcBorders>
                  <w:shd w:val="clear" w:color="auto" w:fill="auto"/>
                  <w:vAlign w:val="center"/>
                </w:tcPr>
                <w:p w14:paraId="6A625C1F">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不设置</w:t>
                  </w:r>
                </w:p>
              </w:tc>
            </w:tr>
            <w:tr w14:paraId="3B7E3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C42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大气</w:t>
                  </w:r>
                </w:p>
              </w:tc>
              <w:tc>
                <w:tcPr>
                  <w:tcW w:w="5086" w:type="dxa"/>
                  <w:tcBorders>
                    <w:top w:val="single" w:color="000000" w:sz="4" w:space="0"/>
                    <w:left w:val="single" w:color="000000" w:sz="4" w:space="0"/>
                    <w:bottom w:val="single" w:color="000000" w:sz="4" w:space="0"/>
                    <w:right w:val="single" w:color="auto" w:sz="4" w:space="0"/>
                  </w:tcBorders>
                  <w:shd w:val="clear" w:color="auto" w:fill="auto"/>
                  <w:vAlign w:val="center"/>
                </w:tcPr>
                <w:p w14:paraId="049BDDF4">
                  <w:pPr>
                    <w:keepNext w:val="0"/>
                    <w:keepLines w:val="0"/>
                    <w:widowControl/>
                    <w:suppressLineNumbers w:val="0"/>
                    <w:jc w:val="left"/>
                    <w:textAlignment w:val="top"/>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1"/>
                      <w:szCs w:val="21"/>
                      <w:u w:val="none"/>
                      <w:lang w:val="en-US" w:eastAsia="zh-CN" w:bidi="ar"/>
                    </w:rPr>
                    <w:t>油气、液体化工码头：全部；干散货（含煤炭、矿石）、件杂、多用途、通用码头：涉及粉尘、挥发性有机物排放的项目</w:t>
                  </w:r>
                </w:p>
              </w:tc>
              <w:tc>
                <w:tcPr>
                  <w:tcW w:w="1040" w:type="dxa"/>
                  <w:tcBorders>
                    <w:top w:val="single" w:color="000000" w:sz="4" w:space="0"/>
                    <w:left w:val="single" w:color="auto" w:sz="4" w:space="0"/>
                    <w:bottom w:val="single" w:color="000000" w:sz="4" w:space="0"/>
                    <w:right w:val="single" w:color="000000" w:sz="4" w:space="0"/>
                  </w:tcBorders>
                  <w:shd w:val="clear" w:color="auto" w:fill="auto"/>
                  <w:vAlign w:val="center"/>
                </w:tcPr>
                <w:p w14:paraId="53301B63">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不设置</w:t>
                  </w:r>
                </w:p>
              </w:tc>
            </w:tr>
            <w:tr w14:paraId="338D1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6" w:hRule="atLeast"/>
                <w:jc w:val="center"/>
              </w:trPr>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11F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噪声</w:t>
                  </w:r>
                </w:p>
              </w:tc>
              <w:tc>
                <w:tcPr>
                  <w:tcW w:w="5086" w:type="dxa"/>
                  <w:tcBorders>
                    <w:top w:val="single" w:color="000000" w:sz="4" w:space="0"/>
                    <w:left w:val="single" w:color="000000" w:sz="4" w:space="0"/>
                    <w:bottom w:val="single" w:color="000000" w:sz="4" w:space="0"/>
                    <w:right w:val="single" w:color="auto" w:sz="4" w:space="0"/>
                  </w:tcBorders>
                  <w:shd w:val="clear" w:color="auto" w:fill="auto"/>
                  <w:vAlign w:val="center"/>
                </w:tcPr>
                <w:p w14:paraId="1C844EFD">
                  <w:pPr>
                    <w:keepNext w:val="0"/>
                    <w:keepLines w:val="0"/>
                    <w:widowControl/>
                    <w:suppressLineNumbers w:val="0"/>
                    <w:jc w:val="left"/>
                    <w:textAlignment w:val="top"/>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1"/>
                      <w:szCs w:val="21"/>
                      <w:u w:val="none"/>
                      <w:lang w:val="en-US" w:eastAsia="zh-CN" w:bidi="ar"/>
                    </w:rPr>
                    <w:t>公路、铁路、机场等交通运输业涉及环境敏感区（以居住、医疗卫生、文化教育、科研、行政办公为主要功能的区域）的项目；城市道路（不含维护，不含支路、人行天桥、人行地道）：全部</w:t>
                  </w:r>
                </w:p>
              </w:tc>
              <w:tc>
                <w:tcPr>
                  <w:tcW w:w="1040" w:type="dxa"/>
                  <w:tcBorders>
                    <w:top w:val="single" w:color="000000" w:sz="4" w:space="0"/>
                    <w:left w:val="single" w:color="auto" w:sz="4" w:space="0"/>
                    <w:bottom w:val="single" w:color="000000" w:sz="4" w:space="0"/>
                    <w:right w:val="single" w:color="000000" w:sz="4" w:space="0"/>
                  </w:tcBorders>
                  <w:shd w:val="clear" w:color="auto" w:fill="auto"/>
                  <w:vAlign w:val="center"/>
                </w:tcPr>
                <w:p w14:paraId="2BBDB3AA">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不设置</w:t>
                  </w:r>
                </w:p>
              </w:tc>
            </w:tr>
            <w:tr w14:paraId="759DA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5" w:hRule="atLeast"/>
                <w:jc w:val="center"/>
              </w:trPr>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6DC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环境风险</w:t>
                  </w:r>
                </w:p>
              </w:tc>
              <w:tc>
                <w:tcPr>
                  <w:tcW w:w="5086" w:type="dxa"/>
                  <w:tcBorders>
                    <w:top w:val="single" w:color="000000" w:sz="4" w:space="0"/>
                    <w:left w:val="single" w:color="000000" w:sz="4" w:space="0"/>
                    <w:bottom w:val="single" w:color="000000" w:sz="4" w:space="0"/>
                    <w:right w:val="single" w:color="auto" w:sz="4" w:space="0"/>
                  </w:tcBorders>
                  <w:shd w:val="clear" w:color="auto" w:fill="auto"/>
                  <w:vAlign w:val="center"/>
                </w:tcPr>
                <w:p w14:paraId="34B93C0E">
                  <w:pPr>
                    <w:keepNext w:val="0"/>
                    <w:keepLines w:val="0"/>
                    <w:widowControl/>
                    <w:suppressLineNumbers w:val="0"/>
                    <w:jc w:val="left"/>
                    <w:textAlignment w:val="top"/>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石油和天然气开采：全部；油气、液体化工码头：全部；原油、成品油、天然气管线（不含城镇天然气管线、企业厂区内管线），危险化学品输送管线（不含企业厂区内管线）：全部</w:t>
                  </w:r>
                </w:p>
              </w:tc>
              <w:tc>
                <w:tcPr>
                  <w:tcW w:w="1040" w:type="dxa"/>
                  <w:tcBorders>
                    <w:top w:val="single" w:color="000000" w:sz="4" w:space="0"/>
                    <w:left w:val="single" w:color="auto" w:sz="4" w:space="0"/>
                    <w:bottom w:val="single" w:color="000000" w:sz="4" w:space="0"/>
                    <w:right w:val="single" w:color="000000" w:sz="4" w:space="0"/>
                  </w:tcBorders>
                  <w:shd w:val="clear" w:color="auto" w:fill="auto"/>
                  <w:vAlign w:val="center"/>
                </w:tcPr>
                <w:p w14:paraId="3990119D">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不设置</w:t>
                  </w:r>
                </w:p>
              </w:tc>
            </w:tr>
          </w:tbl>
          <w:p w14:paraId="717AF64F">
            <w:pPr>
              <w:autoSpaceDE w:val="0"/>
              <w:autoSpaceDN w:val="0"/>
              <w:adjustRightInd w:val="0"/>
              <w:snapToGrid w:val="0"/>
              <w:spacing w:line="360" w:lineRule="auto"/>
              <w:ind w:firstLine="420" w:firstLineChars="200"/>
              <w:rPr>
                <w:rFonts w:hint="default" w:ascii="Times New Roman" w:hAnsi="Times New Roman" w:eastAsia="宋体" w:cs="Times New Roman"/>
                <w:color w:val="auto"/>
              </w:rPr>
            </w:pPr>
          </w:p>
        </w:tc>
      </w:tr>
      <w:tr w14:paraId="6173BE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17" w:hRule="atLeast"/>
          <w:jc w:val="center"/>
        </w:trPr>
        <w:tc>
          <w:tcPr>
            <w:tcW w:w="1462" w:type="dxa"/>
            <w:tcMar>
              <w:top w:w="16" w:type="dxa"/>
              <w:left w:w="16" w:type="dxa"/>
              <w:right w:w="16" w:type="dxa"/>
            </w:tcMar>
            <w:vAlign w:val="center"/>
          </w:tcPr>
          <w:p w14:paraId="68BAE2DC">
            <w:pPr>
              <w:autoSpaceDE w:val="0"/>
              <w:autoSpaceDN w:val="0"/>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rPr>
              <w:t>规划情况</w:t>
            </w:r>
          </w:p>
        </w:tc>
        <w:tc>
          <w:tcPr>
            <w:tcW w:w="7577" w:type="dxa"/>
            <w:gridSpan w:val="3"/>
            <w:tcMar>
              <w:top w:w="16" w:type="dxa"/>
              <w:left w:w="16" w:type="dxa"/>
              <w:right w:w="16" w:type="dxa"/>
            </w:tcMar>
            <w:vAlign w:val="center"/>
          </w:tcPr>
          <w:p w14:paraId="781C7D6E">
            <w:pPr>
              <w:autoSpaceDE w:val="0"/>
              <w:autoSpaceDN w:val="0"/>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无</w:t>
            </w:r>
          </w:p>
        </w:tc>
      </w:tr>
      <w:tr w14:paraId="14B420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62" w:hRule="atLeast"/>
          <w:jc w:val="center"/>
        </w:trPr>
        <w:tc>
          <w:tcPr>
            <w:tcW w:w="1462" w:type="dxa"/>
            <w:tcMar>
              <w:top w:w="16" w:type="dxa"/>
              <w:left w:w="16" w:type="dxa"/>
              <w:right w:w="16" w:type="dxa"/>
            </w:tcMar>
            <w:vAlign w:val="center"/>
          </w:tcPr>
          <w:p w14:paraId="2123C8BC">
            <w:pPr>
              <w:autoSpaceDE w:val="0"/>
              <w:autoSpaceDN w:val="0"/>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rPr>
              <w:t>规划环境影响评价情况</w:t>
            </w:r>
          </w:p>
        </w:tc>
        <w:tc>
          <w:tcPr>
            <w:tcW w:w="7577" w:type="dxa"/>
            <w:gridSpan w:val="3"/>
            <w:tcMar>
              <w:top w:w="16" w:type="dxa"/>
              <w:left w:w="16" w:type="dxa"/>
              <w:right w:w="16" w:type="dxa"/>
            </w:tcMar>
            <w:vAlign w:val="center"/>
          </w:tcPr>
          <w:p w14:paraId="5CDBB706">
            <w:pPr>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无</w:t>
            </w:r>
          </w:p>
        </w:tc>
      </w:tr>
      <w:tr w14:paraId="0AB77C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34" w:hRule="atLeast"/>
          <w:jc w:val="center"/>
        </w:trPr>
        <w:tc>
          <w:tcPr>
            <w:tcW w:w="1462" w:type="dxa"/>
            <w:tcMar>
              <w:top w:w="16" w:type="dxa"/>
              <w:left w:w="16" w:type="dxa"/>
              <w:right w:w="16" w:type="dxa"/>
            </w:tcMar>
            <w:vAlign w:val="center"/>
          </w:tcPr>
          <w:p w14:paraId="2D63DE3C">
            <w:pPr>
              <w:autoSpaceDE w:val="0"/>
              <w:autoSpaceDN w:val="0"/>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规划及</w:t>
            </w:r>
            <w:r>
              <w:rPr>
                <w:rFonts w:hint="default" w:ascii="Times New Roman" w:hAnsi="Times New Roman" w:eastAsia="宋体" w:cs="Times New Roman"/>
                <w:color w:val="auto"/>
                <w:sz w:val="24"/>
              </w:rPr>
              <w:t>规划环境影响评价</w:t>
            </w:r>
            <w:r>
              <w:rPr>
                <w:rFonts w:hint="default" w:ascii="Times New Roman" w:hAnsi="Times New Roman" w:eastAsia="宋体" w:cs="Times New Roman"/>
                <w:color w:val="auto"/>
                <w:kern w:val="0"/>
                <w:sz w:val="24"/>
              </w:rPr>
              <w:t>符合性分析</w:t>
            </w:r>
          </w:p>
        </w:tc>
        <w:tc>
          <w:tcPr>
            <w:tcW w:w="7577" w:type="dxa"/>
            <w:gridSpan w:val="3"/>
            <w:tcMar>
              <w:top w:w="16" w:type="dxa"/>
              <w:left w:w="16" w:type="dxa"/>
              <w:right w:w="16" w:type="dxa"/>
            </w:tcMar>
            <w:vAlign w:val="center"/>
          </w:tcPr>
          <w:p w14:paraId="605E2229">
            <w:pPr>
              <w:autoSpaceDE w:val="0"/>
              <w:autoSpaceDN w:val="0"/>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无</w:t>
            </w:r>
          </w:p>
        </w:tc>
      </w:tr>
      <w:tr w14:paraId="30115E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31" w:hRule="atLeast"/>
          <w:jc w:val="center"/>
        </w:trPr>
        <w:tc>
          <w:tcPr>
            <w:tcW w:w="1462" w:type="dxa"/>
            <w:tcMar>
              <w:top w:w="16" w:type="dxa"/>
              <w:left w:w="16" w:type="dxa"/>
              <w:right w:w="16" w:type="dxa"/>
            </w:tcMar>
            <w:vAlign w:val="center"/>
          </w:tcPr>
          <w:p w14:paraId="0C5A7A60">
            <w:pPr>
              <w:autoSpaceDE w:val="0"/>
              <w:autoSpaceDN w:val="0"/>
              <w:adjustRightInd w:val="0"/>
              <w:snapToGrid w:val="0"/>
              <w:jc w:val="center"/>
              <w:rPr>
                <w:rFonts w:hint="default" w:ascii="Times New Roman" w:hAnsi="Times New Roman" w:eastAsia="宋体" w:cs="Times New Roman"/>
                <w:color w:val="auto"/>
                <w:kern w:val="0"/>
                <w:szCs w:val="21"/>
              </w:rPr>
            </w:pPr>
            <w:bookmarkStart w:id="2" w:name="_Hlk56690880"/>
            <w:r>
              <w:rPr>
                <w:rFonts w:hint="default" w:ascii="Times New Roman" w:hAnsi="Times New Roman" w:eastAsia="宋体" w:cs="Times New Roman"/>
                <w:color w:val="auto"/>
                <w:kern w:val="0"/>
                <w:sz w:val="24"/>
              </w:rPr>
              <w:t>其他符合性分析</w:t>
            </w:r>
            <w:bookmarkEnd w:id="2"/>
          </w:p>
        </w:tc>
        <w:tc>
          <w:tcPr>
            <w:tcW w:w="7577" w:type="dxa"/>
            <w:gridSpan w:val="3"/>
            <w:tcMar>
              <w:top w:w="16" w:type="dxa"/>
              <w:left w:w="16" w:type="dxa"/>
              <w:right w:w="16" w:type="dxa"/>
            </w:tcMar>
            <w:vAlign w:val="center"/>
          </w:tcPr>
          <w:p w14:paraId="0ADC8CBA">
            <w:pPr>
              <w:spacing w:line="360" w:lineRule="auto"/>
              <w:ind w:firstLine="482" w:firstLineChars="200"/>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1</w:t>
            </w:r>
            <w:r>
              <w:rPr>
                <w:rFonts w:hint="eastAsia" w:ascii="Times New Roman" w:hAnsi="Times New Roman" w:cs="Times New Roman"/>
                <w:b/>
                <w:bCs/>
                <w:color w:val="auto"/>
                <w:kern w:val="0"/>
                <w:sz w:val="24"/>
                <w:lang w:val="en-US" w:eastAsia="zh-CN"/>
              </w:rPr>
              <w:t>、</w:t>
            </w:r>
            <w:r>
              <w:rPr>
                <w:rFonts w:hint="default" w:ascii="Times New Roman" w:hAnsi="Times New Roman" w:eastAsia="宋体" w:cs="Times New Roman"/>
                <w:b/>
                <w:bCs/>
                <w:color w:val="auto"/>
                <w:kern w:val="0"/>
                <w:sz w:val="24"/>
              </w:rPr>
              <w:t>产业政策相符性</w:t>
            </w:r>
          </w:p>
          <w:p w14:paraId="30F42517">
            <w:pPr>
              <w:pStyle w:val="99"/>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本项目根据《产业结构调整指导目录（2024年本）》，渠道建设属于“鼓励类”中“二水利2．节水供水工程：农村供水工程，</w:t>
            </w:r>
            <w:r>
              <w:rPr>
                <w:rFonts w:hint="default" w:ascii="Times New Roman" w:hAnsi="Times New Roman" w:eastAsia="宋体" w:cs="Times New Roman"/>
                <w:b/>
                <w:bCs/>
                <w:color w:val="auto"/>
                <w:sz w:val="24"/>
                <w:highlight w:val="none"/>
                <w:u w:val="single"/>
                <w:lang w:val="en-US" w:eastAsia="zh-CN"/>
              </w:rPr>
              <w:t>灌区及配套设施建设、改造，高效输配水、节水灌溉技术推广应用</w:t>
            </w:r>
            <w:r>
              <w:rPr>
                <w:rFonts w:hint="default" w:ascii="Times New Roman" w:hAnsi="Times New Roman" w:eastAsia="宋体" w:cs="Times New Roman"/>
                <w:color w:val="auto"/>
                <w:sz w:val="24"/>
                <w:highlight w:val="none"/>
                <w:lang w:val="en-US" w:eastAsia="zh-CN"/>
              </w:rPr>
              <w:t>，灌溉排水泵站更新改造工程，合同节水管理，节水改造工程，节水工艺、技术和装备推广应用，城镇用水单位智慧节水系统开发与应用，非常规水源开发利用”。因此防渗渠道工程符合国家有关法律法规和国家产业政策要求。</w:t>
            </w:r>
          </w:p>
          <w:p w14:paraId="23B9E040">
            <w:pPr>
              <w:pStyle w:val="99"/>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对照《新疆维吾尔自治区28个国家重点生态功能区县（市）产业准入负面清单（试行）》中莎车县准入负面清单，防渗渠道工程不属于负面清单内容。</w:t>
            </w:r>
          </w:p>
          <w:p w14:paraId="1546F612">
            <w:pPr>
              <w:keepNext w:val="0"/>
              <w:keepLines w:val="0"/>
              <w:suppressLineNumbers w:val="0"/>
              <w:topLinePunct/>
              <w:spacing w:before="0" w:beforeAutospacing="0" w:after="0" w:afterAutospacing="0" w:line="360" w:lineRule="auto"/>
              <w:ind w:left="0" w:right="0" w:firstLine="482" w:firstLineChars="200"/>
              <w:rPr>
                <w:rFonts w:hint="default" w:ascii="Times New Roman" w:hAnsi="Times New Roman" w:eastAsia="宋体" w:cs="Times New Roman"/>
                <w:b/>
                <w:color w:val="auto"/>
                <w:sz w:val="24"/>
                <w:highlight w:val="none"/>
              </w:rPr>
            </w:pPr>
            <w:r>
              <w:rPr>
                <w:rFonts w:hint="eastAsia" w:ascii="Times New Roman" w:hAnsi="Times New Roman" w:cs="Times New Roman"/>
                <w:b/>
                <w:color w:val="auto"/>
                <w:sz w:val="24"/>
                <w:highlight w:val="none"/>
                <w:lang w:val="en-US" w:eastAsia="zh-CN"/>
              </w:rPr>
              <w:t>2</w:t>
            </w:r>
            <w:r>
              <w:rPr>
                <w:rFonts w:hint="default" w:ascii="Times New Roman" w:hAnsi="Times New Roman" w:eastAsia="宋体" w:cs="Times New Roman"/>
                <w:b/>
                <w:color w:val="auto"/>
                <w:sz w:val="24"/>
                <w:highlight w:val="none"/>
              </w:rPr>
              <w:t>、</w:t>
            </w:r>
            <w:r>
              <w:rPr>
                <w:rFonts w:hint="default" w:ascii="Times New Roman" w:hAnsi="Times New Roman" w:eastAsia="宋体" w:cs="Times New Roman"/>
                <w:b/>
                <w:color w:val="auto"/>
                <w:sz w:val="24"/>
                <w:highlight w:val="none"/>
                <w:lang w:val="en-US" w:eastAsia="zh-CN"/>
              </w:rPr>
              <w:t>《新疆维吾尔自治区生态环境分区管控动态更新成果》（新环环评发[2024]157号）</w:t>
            </w:r>
            <w:r>
              <w:rPr>
                <w:rFonts w:hint="default" w:ascii="Times New Roman" w:hAnsi="Times New Roman" w:eastAsia="宋体" w:cs="Times New Roman"/>
                <w:b/>
                <w:color w:val="auto"/>
                <w:sz w:val="24"/>
                <w:highlight w:val="none"/>
              </w:rPr>
              <w:t>符合性分析</w:t>
            </w:r>
          </w:p>
          <w:p w14:paraId="712331E7">
            <w:pPr>
              <w:keepNext w:val="0"/>
              <w:keepLines w:val="0"/>
              <w:suppressLineNumbers w:val="0"/>
              <w:topLinePunct/>
              <w:spacing w:before="0" w:beforeAutospacing="0" w:after="0" w:afterAutospacing="0" w:line="360" w:lineRule="auto"/>
              <w:ind w:left="0" w:right="0"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szCs w:val="24"/>
              </w:rPr>
              <w:t>根据《新疆维吾尔自治区生态环境分区管控动态更新成果》生态分区管控，全区共划定1777个环境管控单元，分为优先保护单元、重点管控单元和一般管控单元，实施分类管控。全区重点管控单元713个，主要包括城镇建成区、工业园区和开发强度大、污染物排放强度高的工业聚集区等。重点管控单元要着力优化空间布局，不断提升资源利用效率，有针对性地加强污染物排放管控和环境风险防控，解决生态环境质量不达标、生态环境风险高等问题。</w:t>
            </w:r>
            <w:r>
              <w:rPr>
                <w:rFonts w:hint="default" w:ascii="Times New Roman" w:hAnsi="Times New Roman" w:eastAsia="宋体" w:cs="Times New Roman"/>
                <w:color w:val="auto"/>
                <w:sz w:val="24"/>
                <w:szCs w:val="24"/>
                <w:lang w:val="en-US" w:eastAsia="zh-CN"/>
              </w:rPr>
              <w:t>对照《新疆维吾尔自治区生态环境分区管控动态更新成果》</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生态环境分区管控方案符合性具体分析如下表</w:t>
            </w:r>
            <w:r>
              <w:rPr>
                <w:rFonts w:hint="eastAsia"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lang w:val="en-US" w:eastAsia="zh-CN"/>
              </w:rPr>
              <w:t>。</w:t>
            </w:r>
          </w:p>
          <w:p w14:paraId="39EDE0FB">
            <w:pPr>
              <w:pStyle w:val="10"/>
              <w:spacing w:line="240" w:lineRule="auto"/>
              <w:ind w:right="354" w:firstLine="458" w:firstLineChars="200"/>
              <w:jc w:val="center"/>
              <w:rPr>
                <w:rFonts w:hint="default" w:ascii="Times New Roman" w:hAnsi="Times New Roman" w:eastAsia="宋体" w:cs="Times New Roman"/>
                <w:b/>
                <w:bCs/>
                <w:color w:val="auto"/>
                <w:spacing w:val="-6"/>
                <w:sz w:val="24"/>
                <w:highlight w:val="none"/>
                <w:lang w:val="en-US" w:eastAsia="zh-CN"/>
              </w:rPr>
            </w:pPr>
            <w:r>
              <w:rPr>
                <w:rFonts w:hint="default" w:ascii="Times New Roman" w:hAnsi="Times New Roman" w:eastAsia="宋体" w:cs="Times New Roman"/>
                <w:b/>
                <w:bCs/>
                <w:color w:val="auto"/>
                <w:spacing w:val="-6"/>
                <w:sz w:val="24"/>
                <w:highlight w:val="none"/>
                <w:lang w:val="en-US" w:eastAsia="zh-CN"/>
              </w:rPr>
              <w:t>表</w:t>
            </w:r>
            <w:r>
              <w:rPr>
                <w:rFonts w:hint="eastAsia" w:ascii="Times New Roman" w:hAnsi="Times New Roman" w:cs="Times New Roman"/>
                <w:b/>
                <w:bCs/>
                <w:color w:val="auto"/>
                <w:spacing w:val="-6"/>
                <w:sz w:val="24"/>
                <w:highlight w:val="none"/>
                <w:lang w:val="en-US" w:eastAsia="zh-CN"/>
              </w:rPr>
              <w:t>1-2</w:t>
            </w:r>
            <w:r>
              <w:rPr>
                <w:rFonts w:hint="default" w:ascii="Times New Roman" w:hAnsi="Times New Roman" w:eastAsia="宋体" w:cs="Times New Roman"/>
                <w:b/>
                <w:bCs/>
                <w:color w:val="auto"/>
                <w:spacing w:val="-6"/>
                <w:sz w:val="24"/>
                <w:highlight w:val="none"/>
                <w:lang w:val="en-US" w:eastAsia="zh-CN"/>
              </w:rPr>
              <w:t>与新疆维吾尔自治区环境管控相符性</w:t>
            </w:r>
          </w:p>
          <w:tbl>
            <w:tblPr>
              <w:tblStyle w:val="97"/>
              <w:tblW w:w="478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4"/>
              <w:gridCol w:w="498"/>
              <w:gridCol w:w="5092"/>
              <w:gridCol w:w="899"/>
            </w:tblGrid>
            <w:tr w14:paraId="7DD9CC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22" w:type="dxa"/>
                  <w:gridSpan w:val="2"/>
                  <w:vAlign w:val="center"/>
                </w:tcPr>
                <w:p w14:paraId="6BB06E50">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管控维度</w:t>
                  </w:r>
                </w:p>
              </w:tc>
              <w:tc>
                <w:tcPr>
                  <w:tcW w:w="5092" w:type="dxa"/>
                  <w:tcBorders>
                    <w:right w:val="single" w:color="auto" w:sz="4" w:space="0"/>
                  </w:tcBorders>
                  <w:vAlign w:val="center"/>
                </w:tcPr>
                <w:p w14:paraId="32F432AE">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管控要求</w:t>
                  </w:r>
                </w:p>
              </w:tc>
              <w:tc>
                <w:tcPr>
                  <w:tcW w:w="899" w:type="dxa"/>
                  <w:tcBorders>
                    <w:left w:val="single" w:color="auto" w:sz="4" w:space="0"/>
                  </w:tcBorders>
                  <w:vAlign w:val="center"/>
                </w:tcPr>
                <w:p w14:paraId="076F4760">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highlight w:val="none"/>
                      <w:lang w:val="en-US" w:eastAsia="zh-CN"/>
                    </w:rPr>
                  </w:pPr>
                  <w:r>
                    <w:rPr>
                      <w:rFonts w:hint="default" w:ascii="Times New Roman" w:hAnsi="Times New Roman" w:eastAsia="宋体" w:cs="Times New Roman"/>
                      <w:color w:val="0000FF"/>
                      <w:highlight w:val="none"/>
                      <w:lang w:val="en-US" w:eastAsia="zh-CN"/>
                    </w:rPr>
                    <w:t>本项目情况</w:t>
                  </w:r>
                </w:p>
              </w:tc>
            </w:tr>
            <w:tr w14:paraId="65F18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Merge w:val="restart"/>
                  <w:vAlign w:val="center"/>
                </w:tcPr>
                <w:p w14:paraId="53339264">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A1空</w:t>
                  </w:r>
                </w:p>
                <w:p w14:paraId="171EE654">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间布</w:t>
                  </w:r>
                </w:p>
                <w:p w14:paraId="1502A86C">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局约</w:t>
                  </w:r>
                </w:p>
                <w:p w14:paraId="7BD4E8D2">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束</w:t>
                  </w:r>
                </w:p>
              </w:tc>
              <w:tc>
                <w:tcPr>
                  <w:tcW w:w="498" w:type="dxa"/>
                  <w:vMerge w:val="restart"/>
                  <w:vAlign w:val="center"/>
                </w:tcPr>
                <w:p w14:paraId="0CC8C449">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A1.1禁</w:t>
                  </w:r>
                </w:p>
                <w:p w14:paraId="74D18F7F">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止开发建设的</w:t>
                  </w:r>
                </w:p>
                <w:p w14:paraId="40F50145">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活动</w:t>
                  </w:r>
                </w:p>
              </w:tc>
              <w:tc>
                <w:tcPr>
                  <w:tcW w:w="5092" w:type="dxa"/>
                  <w:tcBorders>
                    <w:right w:val="single" w:color="auto" w:sz="4" w:space="0"/>
                  </w:tcBorders>
                  <w:vAlign w:val="center"/>
                </w:tcPr>
                <w:p w14:paraId="72B4A495">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〔A1.1-1〕禁止新建、扩建《产业结构调整指导目录(2024年本)》中淘汰类项目。禁止引入《市场准入负面清单(2022年版)》禁止准入类事项。</w:t>
                  </w:r>
                </w:p>
              </w:tc>
              <w:tc>
                <w:tcPr>
                  <w:tcW w:w="899" w:type="dxa"/>
                  <w:tcBorders>
                    <w:left w:val="single" w:color="auto" w:sz="4" w:space="0"/>
                  </w:tcBorders>
                  <w:vAlign w:val="center"/>
                </w:tcPr>
                <w:p w14:paraId="1DC76950">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highlight w:val="none"/>
                      <w:lang w:val="en-US" w:eastAsia="zh-CN"/>
                    </w:rPr>
                  </w:pPr>
                  <w:r>
                    <w:rPr>
                      <w:rFonts w:hint="eastAsia" w:hAnsi="Times New Roman" w:cs="Times New Roman"/>
                      <w:color w:val="0000FF"/>
                      <w:highlight w:val="none"/>
                      <w:lang w:val="en-US" w:eastAsia="zh-CN"/>
                    </w:rPr>
                    <w:t>不涉及</w:t>
                  </w:r>
                </w:p>
              </w:tc>
            </w:tr>
            <w:tr w14:paraId="69FD65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Merge w:val="continue"/>
                  <w:vAlign w:val="center"/>
                </w:tcPr>
                <w:p w14:paraId="4B4AFA37">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498" w:type="dxa"/>
                  <w:vMerge w:val="continue"/>
                  <w:vAlign w:val="center"/>
                </w:tcPr>
                <w:p w14:paraId="7F9BE9F9">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5092" w:type="dxa"/>
                  <w:tcBorders>
                    <w:right w:val="single" w:color="auto" w:sz="4" w:space="0"/>
                  </w:tcBorders>
                  <w:vAlign w:val="center"/>
                </w:tcPr>
                <w:p w14:paraId="1455F99D">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〔A1.1-2〕禁止建设不符合国家和自治区环境保护标准的项目。</w:t>
                  </w:r>
                </w:p>
              </w:tc>
              <w:tc>
                <w:tcPr>
                  <w:tcW w:w="899" w:type="dxa"/>
                  <w:tcBorders>
                    <w:left w:val="single" w:color="auto" w:sz="4" w:space="0"/>
                  </w:tcBorders>
                  <w:vAlign w:val="center"/>
                </w:tcPr>
                <w:p w14:paraId="073DDAAB">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highlight w:val="none"/>
                    </w:rPr>
                  </w:pPr>
                  <w:r>
                    <w:rPr>
                      <w:rFonts w:hint="eastAsia" w:hAnsi="Times New Roman" w:cs="Times New Roman"/>
                      <w:color w:val="0000FF"/>
                      <w:highlight w:val="none"/>
                      <w:lang w:val="en-US" w:eastAsia="zh-CN"/>
                    </w:rPr>
                    <w:t>不涉及</w:t>
                  </w:r>
                </w:p>
              </w:tc>
            </w:tr>
            <w:tr w14:paraId="5D38CB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Merge w:val="continue"/>
                  <w:vAlign w:val="center"/>
                </w:tcPr>
                <w:p w14:paraId="4A98C560">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498" w:type="dxa"/>
                  <w:vMerge w:val="continue"/>
                  <w:vAlign w:val="center"/>
                </w:tcPr>
                <w:p w14:paraId="065E2B1C">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5092" w:type="dxa"/>
                  <w:tcBorders>
                    <w:right w:val="single" w:color="auto" w:sz="4" w:space="0"/>
                  </w:tcBorders>
                  <w:vAlign w:val="center"/>
                </w:tcPr>
                <w:p w14:paraId="7DC24E4C">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〔A1.1-3〕禁止在饮用水水源保护区、风景名胜区、自然保护区的核心区和缓冲区、城镇居民区、文化教育科学研究区等人口集中区域以及法律、法规规定的其他禁止养殖区域建设畜禽养殖场、养殖小区。</w:t>
                  </w:r>
                </w:p>
              </w:tc>
              <w:tc>
                <w:tcPr>
                  <w:tcW w:w="899" w:type="dxa"/>
                  <w:tcBorders>
                    <w:left w:val="single" w:color="auto" w:sz="4" w:space="0"/>
                  </w:tcBorders>
                  <w:vAlign w:val="center"/>
                </w:tcPr>
                <w:p w14:paraId="4A7B1EC4">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highlight w:val="none"/>
                    </w:rPr>
                  </w:pPr>
                  <w:r>
                    <w:rPr>
                      <w:rFonts w:hint="eastAsia" w:hAnsi="Times New Roman" w:cs="Times New Roman"/>
                      <w:color w:val="0000FF"/>
                      <w:highlight w:val="none"/>
                      <w:lang w:val="en-US" w:eastAsia="zh-CN"/>
                    </w:rPr>
                    <w:t>不涉及</w:t>
                  </w:r>
                </w:p>
              </w:tc>
            </w:tr>
            <w:tr w14:paraId="6B5FEE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Merge w:val="continue"/>
                  <w:vAlign w:val="center"/>
                </w:tcPr>
                <w:p w14:paraId="78370A54">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498" w:type="dxa"/>
                  <w:vMerge w:val="continue"/>
                  <w:vAlign w:val="center"/>
                </w:tcPr>
                <w:p w14:paraId="26E1937E">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5092" w:type="dxa"/>
                  <w:tcBorders>
                    <w:right w:val="single" w:color="auto" w:sz="4" w:space="0"/>
                  </w:tcBorders>
                  <w:vAlign w:val="center"/>
                </w:tcPr>
                <w:p w14:paraId="48137E89">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〔A1.1-4〕禁止在水源涵养区、地下水源、饮用水源、自然保护区、风景名胜区、森林公园、重要湿地及人群密集区等生态敏感区域内进行煤炭、石油、天然气开发。</w:t>
                  </w:r>
                </w:p>
              </w:tc>
              <w:tc>
                <w:tcPr>
                  <w:tcW w:w="899" w:type="dxa"/>
                  <w:tcBorders>
                    <w:left w:val="single" w:color="auto" w:sz="4" w:space="0"/>
                  </w:tcBorders>
                  <w:vAlign w:val="center"/>
                </w:tcPr>
                <w:p w14:paraId="1C885A26">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highlight w:val="none"/>
                    </w:rPr>
                  </w:pPr>
                  <w:r>
                    <w:rPr>
                      <w:rFonts w:hint="eastAsia" w:hAnsi="Times New Roman" w:cs="Times New Roman"/>
                      <w:color w:val="0000FF"/>
                      <w:highlight w:val="none"/>
                      <w:lang w:val="en-US" w:eastAsia="zh-CN"/>
                    </w:rPr>
                    <w:t>不涉及</w:t>
                  </w:r>
                </w:p>
              </w:tc>
            </w:tr>
            <w:tr w14:paraId="5AFB9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Merge w:val="continue"/>
                  <w:vAlign w:val="center"/>
                </w:tcPr>
                <w:p w14:paraId="368D405A">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498" w:type="dxa"/>
                  <w:vMerge w:val="continue"/>
                  <w:vAlign w:val="center"/>
                </w:tcPr>
                <w:p w14:paraId="38BA8A6D">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5092" w:type="dxa"/>
                  <w:tcBorders>
                    <w:right w:val="single" w:color="auto" w:sz="4" w:space="0"/>
                  </w:tcBorders>
                  <w:vAlign w:val="center"/>
                </w:tcPr>
                <w:p w14:paraId="05190D10">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1.1-5〕禁止下列破坏湿地及其生态功能的行为：(一)开(围)垦、排干自然湿地，永久性截断自然湿地水源：(二)擅自填埋自然湿地，擅自采砂、采矿、取土；(三)排放不符合水污染物排放标准的工业废水、生活污水及其他污染湿地的废水、污水，倾倒、堆放、丢弃、遗撒固体废物(四)过度放牧或者滥采野生植物，过度捕捞或者灭绝式捕捞，过度施肥、投药、投放饵料等污染湿地的种植养殖行为；(五)其他破坏湿地及其生态功能的行为。</w:t>
                  </w:r>
                </w:p>
              </w:tc>
              <w:tc>
                <w:tcPr>
                  <w:tcW w:w="899" w:type="dxa"/>
                  <w:tcBorders>
                    <w:left w:val="single" w:color="auto" w:sz="4" w:space="0"/>
                  </w:tcBorders>
                  <w:vAlign w:val="center"/>
                </w:tcPr>
                <w:p w14:paraId="550C28BA">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highlight w:val="none"/>
                    </w:rPr>
                  </w:pPr>
                  <w:r>
                    <w:rPr>
                      <w:rFonts w:hint="eastAsia" w:hAnsi="Times New Roman" w:cs="Times New Roman"/>
                      <w:color w:val="0000FF"/>
                      <w:highlight w:val="none"/>
                      <w:lang w:val="en-US" w:eastAsia="zh-CN"/>
                    </w:rPr>
                    <w:t>不涉及</w:t>
                  </w:r>
                </w:p>
              </w:tc>
            </w:tr>
            <w:tr w14:paraId="1BD3D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Merge w:val="continue"/>
                  <w:vAlign w:val="center"/>
                </w:tcPr>
                <w:p w14:paraId="5D150FEB">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498" w:type="dxa"/>
                  <w:vMerge w:val="continue"/>
                  <w:vAlign w:val="center"/>
                </w:tcPr>
                <w:p w14:paraId="4A9D21C6">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5092" w:type="dxa"/>
                  <w:tcBorders>
                    <w:right w:val="single" w:color="auto" w:sz="4" w:space="0"/>
                  </w:tcBorders>
                  <w:vAlign w:val="center"/>
                </w:tcPr>
                <w:p w14:paraId="7819D2AD">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〔A1.1-6〕禁止在自治区行政区域内引进能(水)耗不符合相关国家标准中准入值要求且污染物排放和环境风险防控不符合国家(地方)标准及有关产业准入条件的高污染(排放)、高能(水)耗、高环境风险的工业项目。</w:t>
                  </w:r>
                </w:p>
              </w:tc>
              <w:tc>
                <w:tcPr>
                  <w:tcW w:w="899" w:type="dxa"/>
                  <w:tcBorders>
                    <w:left w:val="single" w:color="auto" w:sz="4" w:space="0"/>
                  </w:tcBorders>
                  <w:vAlign w:val="center"/>
                </w:tcPr>
                <w:p w14:paraId="7703CCDF">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highlight w:val="none"/>
                    </w:rPr>
                  </w:pPr>
                  <w:r>
                    <w:rPr>
                      <w:rFonts w:hint="eastAsia" w:hAnsi="Times New Roman" w:cs="Times New Roman"/>
                      <w:color w:val="0000FF"/>
                      <w:highlight w:val="none"/>
                      <w:lang w:val="en-US" w:eastAsia="zh-CN"/>
                    </w:rPr>
                    <w:t>不涉及</w:t>
                  </w:r>
                </w:p>
              </w:tc>
            </w:tr>
            <w:tr w14:paraId="397A8C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Merge w:val="continue"/>
                  <w:vAlign w:val="center"/>
                </w:tcPr>
                <w:p w14:paraId="25857603">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498" w:type="dxa"/>
                  <w:vMerge w:val="continue"/>
                  <w:vAlign w:val="center"/>
                </w:tcPr>
                <w:p w14:paraId="0C4E26A2">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5092" w:type="dxa"/>
                  <w:tcBorders>
                    <w:right w:val="single" w:color="auto" w:sz="4" w:space="0"/>
                  </w:tcBorders>
                  <w:vAlign w:val="center"/>
                </w:tcPr>
                <w:p w14:paraId="3BF50109">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1.1-7〕①坚决遏制高耗能高排放低水平项目盲目发展。严把高耗能高排放低水平项目准入关口，严格落实污染物排放区域削减要求，对不符合规定的项目坚决停批停建。依法依规淘汰落后产能和化解过剩产能。②重点行业企业纳入重污染天气绩效分级，制定“一厂一策”应急减排清单，实现应纳尽纳；引导重点企业在秋冬季安排停产检修计划，减少冬季和采暖期排放。推进重点行业深度治理，实施全工况脱硫脱硝提标改造，加大无组织排放治理力度，深度开展工业炉窑综合整治，全面提升电解铝、活性炭、硅冶炼、纯碱、电石、聚氯乙烯、石化等行业污染治理水平。</w:t>
                  </w:r>
                </w:p>
              </w:tc>
              <w:tc>
                <w:tcPr>
                  <w:tcW w:w="899" w:type="dxa"/>
                  <w:tcBorders>
                    <w:left w:val="single" w:color="auto" w:sz="4" w:space="0"/>
                  </w:tcBorders>
                  <w:vAlign w:val="center"/>
                </w:tcPr>
                <w:p w14:paraId="0EF9EDE3">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highlight w:val="none"/>
                    </w:rPr>
                  </w:pPr>
                  <w:r>
                    <w:rPr>
                      <w:rFonts w:hint="eastAsia" w:hAnsi="Times New Roman" w:cs="Times New Roman"/>
                      <w:color w:val="0000FF"/>
                      <w:highlight w:val="none"/>
                      <w:lang w:val="en-US" w:eastAsia="zh-CN"/>
                    </w:rPr>
                    <w:t>不涉及</w:t>
                  </w:r>
                </w:p>
              </w:tc>
            </w:tr>
            <w:tr w14:paraId="25082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Merge w:val="continue"/>
                  <w:vAlign w:val="center"/>
                </w:tcPr>
                <w:p w14:paraId="0A4455B3">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498" w:type="dxa"/>
                  <w:vMerge w:val="continue"/>
                  <w:vAlign w:val="center"/>
                </w:tcPr>
                <w:p w14:paraId="73CAB306">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5092" w:type="dxa"/>
                  <w:tcBorders>
                    <w:right w:val="single" w:color="auto" w:sz="4" w:space="0"/>
                  </w:tcBorders>
                  <w:vAlign w:val="center"/>
                </w:tcPr>
                <w:p w14:paraId="4F2598C9">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〔A1.1-8〕严格执行危险化学品“禁限控”目录，新建危险化学品生产项目必须进入一般或较低安全风险的化工园区(与其他行业生产装置配套建设的项目除外),引导其他石化化工项目在化工园区发展。</w:t>
                  </w:r>
                </w:p>
              </w:tc>
              <w:tc>
                <w:tcPr>
                  <w:tcW w:w="899" w:type="dxa"/>
                  <w:tcBorders>
                    <w:left w:val="single" w:color="auto" w:sz="4" w:space="0"/>
                  </w:tcBorders>
                  <w:vAlign w:val="center"/>
                </w:tcPr>
                <w:p w14:paraId="5F9F832F">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highlight w:val="none"/>
                    </w:rPr>
                  </w:pPr>
                  <w:r>
                    <w:rPr>
                      <w:rFonts w:hint="eastAsia" w:hAnsi="Times New Roman" w:cs="Times New Roman"/>
                      <w:color w:val="0000FF"/>
                      <w:highlight w:val="none"/>
                      <w:lang w:val="en-US" w:eastAsia="zh-CN"/>
                    </w:rPr>
                    <w:t>不涉及</w:t>
                  </w:r>
                </w:p>
              </w:tc>
            </w:tr>
            <w:tr w14:paraId="32119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Merge w:val="continue"/>
                  <w:vAlign w:val="center"/>
                </w:tcPr>
                <w:p w14:paraId="7C02B482">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498" w:type="dxa"/>
                  <w:vMerge w:val="continue"/>
                  <w:vAlign w:val="center"/>
                </w:tcPr>
                <w:p w14:paraId="6129CE0A">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5092" w:type="dxa"/>
                  <w:tcBorders>
                    <w:right w:val="single" w:color="auto" w:sz="4" w:space="0"/>
                  </w:tcBorders>
                  <w:vAlign w:val="center"/>
                </w:tcPr>
                <w:p w14:paraId="281D233B">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1.1-9〕严禁新建自治区《禁止、控制和限制危险化学品目录》中淘汰类、禁止类危险化学品化工项目。严格执行生态保护红线、永久基本农田管控要求，禁止新(改、扩)建化工项目违规占用生态保护红线和永久基本农田。在塔里木河、伊犁河、额尔齐斯河干流及主要支流岸线1公里范围内，除提升安全、环保、节能、智能化、产品质量水平的技术改造项目外，严格禁止新建、扩建化工项目，不得布局新的化工园区(含化工集中区)。</w:t>
                  </w:r>
                </w:p>
              </w:tc>
              <w:tc>
                <w:tcPr>
                  <w:tcW w:w="899" w:type="dxa"/>
                  <w:tcBorders>
                    <w:left w:val="single" w:color="auto" w:sz="4" w:space="0"/>
                  </w:tcBorders>
                  <w:vAlign w:val="center"/>
                </w:tcPr>
                <w:p w14:paraId="54D70954">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highlight w:val="none"/>
                    </w:rPr>
                  </w:pPr>
                  <w:r>
                    <w:rPr>
                      <w:rFonts w:hint="eastAsia" w:hAnsi="Times New Roman" w:cs="Times New Roman"/>
                      <w:color w:val="0000FF"/>
                      <w:highlight w:val="none"/>
                      <w:lang w:val="en-US" w:eastAsia="zh-CN"/>
                    </w:rPr>
                    <w:t>不涉及</w:t>
                  </w:r>
                </w:p>
              </w:tc>
            </w:tr>
            <w:tr w14:paraId="37C93C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Merge w:val="continue"/>
                  <w:vAlign w:val="center"/>
                </w:tcPr>
                <w:p w14:paraId="68CA86F0">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498" w:type="dxa"/>
                  <w:vMerge w:val="continue"/>
                  <w:vAlign w:val="center"/>
                </w:tcPr>
                <w:p w14:paraId="11D10CB1">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5092" w:type="dxa"/>
                  <w:tcBorders>
                    <w:right w:val="single" w:color="auto" w:sz="4" w:space="0"/>
                  </w:tcBorders>
                  <w:vAlign w:val="center"/>
                </w:tcPr>
                <w:p w14:paraId="54DB7BDC">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〔A1.1-10〕推动涉重金属产业集中优化发展，禁止新建用汞的电石法(聚)氯乙烯生产工艺，新建、扩建的重有色金属冶炼、电镀、制革企业优先选择布设在依法合规设立并依法开展规划环境影响评价的产业园区。</w:t>
                  </w:r>
                </w:p>
              </w:tc>
              <w:tc>
                <w:tcPr>
                  <w:tcW w:w="899" w:type="dxa"/>
                  <w:tcBorders>
                    <w:left w:val="single" w:color="auto" w:sz="4" w:space="0"/>
                  </w:tcBorders>
                  <w:vAlign w:val="center"/>
                </w:tcPr>
                <w:p w14:paraId="0FE061DB">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highlight w:val="none"/>
                    </w:rPr>
                  </w:pPr>
                  <w:r>
                    <w:rPr>
                      <w:rFonts w:hint="eastAsia" w:hAnsi="Times New Roman" w:cs="Times New Roman"/>
                      <w:color w:val="0000FF"/>
                      <w:highlight w:val="none"/>
                      <w:lang w:val="en-US" w:eastAsia="zh-CN"/>
                    </w:rPr>
                    <w:t>不涉及</w:t>
                  </w:r>
                </w:p>
              </w:tc>
            </w:tr>
            <w:tr w14:paraId="2D2513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Merge w:val="continue"/>
                  <w:vAlign w:val="center"/>
                </w:tcPr>
                <w:p w14:paraId="269763C0">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498" w:type="dxa"/>
                  <w:vMerge w:val="continue"/>
                  <w:vAlign w:val="center"/>
                </w:tcPr>
                <w:p w14:paraId="215BBE8F">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5092" w:type="dxa"/>
                  <w:tcBorders>
                    <w:right w:val="single" w:color="auto" w:sz="4" w:space="0"/>
                  </w:tcBorders>
                  <w:vAlign w:val="center"/>
                </w:tcPr>
                <w:p w14:paraId="4231C382">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1.1-11〕国务院有关部门和青藏高原县级以上地方人民政府应当建立健全青藏高原雪山冰川冻土保护制度，加强对雪山冰川冻土的监测预警和系统保护。青藏高原省级人民政府应当将大型冰帽冰川、小规模冰川群等划入生态保护红线，对重要雪山冰川实施封禁保护，采取有效措施，严格控制人为扰动。青藏高原省级人民政府应当划定冻土区保护范围，加强对多年冻土区和中深季节冻土区的保护，严格控制多年冻土区资源开发，严格审批多年冻土区城镇规划和交通、管线、输变电等重大工程项目。青藏高原省级人民政府应当开展雪山冰川冻土与周边生态系统的协同保护，维持有利于雪山冰川冻土保护的自然生态环境。</w:t>
                  </w:r>
                </w:p>
              </w:tc>
              <w:tc>
                <w:tcPr>
                  <w:tcW w:w="899" w:type="dxa"/>
                  <w:tcBorders>
                    <w:left w:val="single" w:color="auto" w:sz="4" w:space="0"/>
                  </w:tcBorders>
                  <w:vAlign w:val="center"/>
                </w:tcPr>
                <w:p w14:paraId="66677292">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highlight w:val="none"/>
                    </w:rPr>
                  </w:pPr>
                  <w:r>
                    <w:rPr>
                      <w:rFonts w:hint="eastAsia" w:hAnsi="Times New Roman" w:cs="Times New Roman"/>
                      <w:color w:val="0000FF"/>
                      <w:highlight w:val="none"/>
                      <w:lang w:val="en-US" w:eastAsia="zh-CN"/>
                    </w:rPr>
                    <w:t>不涉及</w:t>
                  </w:r>
                </w:p>
              </w:tc>
            </w:tr>
            <w:tr w14:paraId="0220A6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Merge w:val="continue"/>
                  <w:vAlign w:val="center"/>
                </w:tcPr>
                <w:p w14:paraId="4A6392E5">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498" w:type="dxa"/>
                  <w:vMerge w:val="restart"/>
                  <w:vAlign w:val="center"/>
                </w:tcPr>
                <w:p w14:paraId="5C8F77A0">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A1.2限制开发建设的活动</w:t>
                  </w:r>
                </w:p>
              </w:tc>
              <w:tc>
                <w:tcPr>
                  <w:tcW w:w="5092" w:type="dxa"/>
                  <w:tcBorders>
                    <w:right w:val="single" w:color="auto" w:sz="4" w:space="0"/>
                  </w:tcBorders>
                  <w:vAlign w:val="center"/>
                </w:tcPr>
                <w:p w14:paraId="2412ACC2">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〔A1.2-1〕严格控制缺水地区、水污染严重区域和敏感区域高耗水、高污染行业发展。</w:t>
                  </w:r>
                </w:p>
              </w:tc>
              <w:tc>
                <w:tcPr>
                  <w:tcW w:w="899" w:type="dxa"/>
                  <w:tcBorders>
                    <w:left w:val="single" w:color="auto" w:sz="4" w:space="0"/>
                  </w:tcBorders>
                  <w:vAlign w:val="center"/>
                </w:tcPr>
                <w:p w14:paraId="6303E7A3">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highlight w:val="none"/>
                    </w:rPr>
                  </w:pPr>
                  <w:r>
                    <w:rPr>
                      <w:rFonts w:hint="eastAsia" w:hAnsi="Times New Roman" w:cs="Times New Roman"/>
                      <w:color w:val="0000FF"/>
                      <w:highlight w:val="none"/>
                      <w:lang w:val="en-US" w:eastAsia="zh-CN"/>
                    </w:rPr>
                    <w:t>不涉及</w:t>
                  </w:r>
                </w:p>
              </w:tc>
            </w:tr>
            <w:tr w14:paraId="45BE6B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Merge w:val="continue"/>
                  <w:vAlign w:val="center"/>
                </w:tcPr>
                <w:p w14:paraId="2BB222BE">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498" w:type="dxa"/>
                  <w:vMerge w:val="continue"/>
                  <w:vAlign w:val="center"/>
                </w:tcPr>
                <w:p w14:paraId="28402219">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5092" w:type="dxa"/>
                  <w:tcBorders>
                    <w:right w:val="single" w:color="auto" w:sz="4" w:space="0"/>
                  </w:tcBorders>
                  <w:vAlign w:val="center"/>
                </w:tcPr>
                <w:p w14:paraId="73D54A60">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1.2-2〕建设项目用地原则上不得占用永久基本农田，确需占用永久基本农田的建设项目须符合《中华人民共和国基本农田保护条例》中相关要求，占用耕地、林地或草地的建设项目须按照国家、自治区相关补偿要求进行补偿。</w:t>
                  </w:r>
                </w:p>
              </w:tc>
              <w:tc>
                <w:tcPr>
                  <w:tcW w:w="899" w:type="dxa"/>
                  <w:tcBorders>
                    <w:left w:val="single" w:color="auto" w:sz="4" w:space="0"/>
                  </w:tcBorders>
                  <w:vAlign w:val="center"/>
                </w:tcPr>
                <w:p w14:paraId="2FBC2995">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highlight w:val="none"/>
                    </w:rPr>
                  </w:pPr>
                  <w:r>
                    <w:rPr>
                      <w:rFonts w:hint="default" w:ascii="Times New Roman" w:hAnsi="Times New Roman" w:eastAsia="宋体" w:cs="Times New Roman"/>
                      <w:color w:val="0000FF"/>
                      <w:highlight w:val="none"/>
                      <w:lang w:val="en-US" w:eastAsia="zh-CN"/>
                    </w:rPr>
                    <w:t>符合</w:t>
                  </w:r>
                </w:p>
              </w:tc>
            </w:tr>
            <w:tr w14:paraId="1D17C3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Merge w:val="continue"/>
                  <w:vAlign w:val="center"/>
                </w:tcPr>
                <w:p w14:paraId="491C1EE9">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498" w:type="dxa"/>
                  <w:vMerge w:val="continue"/>
                  <w:vAlign w:val="center"/>
                </w:tcPr>
                <w:p w14:paraId="4C2E6DAD">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5092" w:type="dxa"/>
                  <w:tcBorders>
                    <w:right w:val="single" w:color="auto" w:sz="4" w:space="0"/>
                  </w:tcBorders>
                  <w:vAlign w:val="center"/>
                </w:tcPr>
                <w:p w14:paraId="5F2B4738">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〔A1.2-3〕以用途变更为住宅、公共管理与公共服务用地的地块为重点，严格建设用地准入管理和风险管控，未依法完成土壤污染状况调查或风险评估的地块，不得开工建设与风险管控和修复无关的项目。</w:t>
                  </w:r>
                </w:p>
              </w:tc>
              <w:tc>
                <w:tcPr>
                  <w:tcW w:w="899" w:type="dxa"/>
                  <w:tcBorders>
                    <w:left w:val="single" w:color="auto" w:sz="4" w:space="0"/>
                  </w:tcBorders>
                  <w:vAlign w:val="center"/>
                </w:tcPr>
                <w:p w14:paraId="1EB8EE9A">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highlight w:val="none"/>
                    </w:rPr>
                  </w:pPr>
                  <w:r>
                    <w:rPr>
                      <w:rFonts w:hint="eastAsia" w:hAnsi="Times New Roman" w:cs="Times New Roman"/>
                      <w:color w:val="0000FF"/>
                      <w:highlight w:val="none"/>
                      <w:lang w:val="en-US" w:eastAsia="zh-CN"/>
                    </w:rPr>
                    <w:t>不涉及</w:t>
                  </w:r>
                </w:p>
              </w:tc>
            </w:tr>
            <w:tr w14:paraId="29B97D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Merge w:val="continue"/>
                  <w:vAlign w:val="center"/>
                </w:tcPr>
                <w:p w14:paraId="04AF2835">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498" w:type="dxa"/>
                  <w:vMerge w:val="continue"/>
                  <w:vAlign w:val="center"/>
                </w:tcPr>
                <w:p w14:paraId="4C58F0B7">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5092" w:type="dxa"/>
                  <w:tcBorders>
                    <w:right w:val="single" w:color="auto" w:sz="4" w:space="0"/>
                  </w:tcBorders>
                  <w:vAlign w:val="center"/>
                </w:tcPr>
                <w:p w14:paraId="2ABB791E">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〔A1.2-4〕严格控制建设项目占用湿地。因国家和自治区重点建设工程、基础设施建设，以及重点公益性项目建设，确需占用湿地的，应当按照有关法律、法规规定的权限和程序办理批准手续。</w:t>
                  </w:r>
                </w:p>
              </w:tc>
              <w:tc>
                <w:tcPr>
                  <w:tcW w:w="899" w:type="dxa"/>
                  <w:tcBorders>
                    <w:left w:val="single" w:color="auto" w:sz="4" w:space="0"/>
                  </w:tcBorders>
                  <w:vAlign w:val="center"/>
                </w:tcPr>
                <w:p w14:paraId="5EBCB6DD">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highlight w:val="none"/>
                    </w:rPr>
                  </w:pPr>
                  <w:r>
                    <w:rPr>
                      <w:rFonts w:hint="eastAsia" w:hAnsi="Times New Roman" w:cs="Times New Roman"/>
                      <w:color w:val="0000FF"/>
                      <w:highlight w:val="none"/>
                      <w:lang w:val="en-US" w:eastAsia="zh-CN"/>
                    </w:rPr>
                    <w:t>不涉及</w:t>
                  </w:r>
                </w:p>
              </w:tc>
            </w:tr>
            <w:tr w14:paraId="213FCF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Merge w:val="continue"/>
                  <w:tcBorders>
                    <w:bottom w:val="single" w:color="auto" w:sz="4" w:space="0"/>
                  </w:tcBorders>
                  <w:vAlign w:val="center"/>
                </w:tcPr>
                <w:p w14:paraId="6E7630FA">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498" w:type="dxa"/>
                  <w:vMerge w:val="continue"/>
                  <w:tcBorders>
                    <w:bottom w:val="single" w:color="auto" w:sz="4" w:space="0"/>
                  </w:tcBorders>
                  <w:vAlign w:val="center"/>
                </w:tcPr>
                <w:p w14:paraId="3FC1B154">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5092" w:type="dxa"/>
                  <w:tcBorders>
                    <w:right w:val="single" w:color="auto" w:sz="4" w:space="0"/>
                  </w:tcBorders>
                  <w:vAlign w:val="center"/>
                </w:tcPr>
                <w:p w14:paraId="6546C87B">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〔A1.2-5〕严格管控自然保护地范围内非生态活动，稳妥推进核心区内居民、耕地有序退出，矿权依法依规退出。</w:t>
                  </w:r>
                </w:p>
              </w:tc>
              <w:tc>
                <w:tcPr>
                  <w:tcW w:w="899" w:type="dxa"/>
                  <w:tcBorders>
                    <w:left w:val="single" w:color="auto" w:sz="4" w:space="0"/>
                  </w:tcBorders>
                  <w:vAlign w:val="center"/>
                </w:tcPr>
                <w:p w14:paraId="07DA4E1E">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highlight w:val="none"/>
                    </w:rPr>
                  </w:pPr>
                  <w:r>
                    <w:rPr>
                      <w:rFonts w:hint="eastAsia" w:hAnsi="Times New Roman" w:cs="Times New Roman"/>
                      <w:color w:val="0000FF"/>
                      <w:highlight w:val="none"/>
                      <w:lang w:val="en-US" w:eastAsia="zh-CN"/>
                    </w:rPr>
                    <w:t>不涉及</w:t>
                  </w:r>
                </w:p>
              </w:tc>
            </w:tr>
            <w:tr w14:paraId="0F100B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Merge w:val="restart"/>
                  <w:tcBorders>
                    <w:top w:val="single" w:color="auto" w:sz="4" w:space="0"/>
                  </w:tcBorders>
                  <w:vAlign w:val="center"/>
                </w:tcPr>
                <w:p w14:paraId="4C10ECDD">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498" w:type="dxa"/>
                  <w:vMerge w:val="restart"/>
                  <w:tcBorders>
                    <w:top w:val="single" w:color="auto" w:sz="4" w:space="0"/>
                    <w:bottom w:val="single" w:color="auto" w:sz="4" w:space="0"/>
                  </w:tcBorders>
                  <w:vAlign w:val="center"/>
                </w:tcPr>
                <w:p w14:paraId="7C302E15">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A1.3不符合空间布局要求活动的退出要求</w:t>
                  </w:r>
                </w:p>
              </w:tc>
              <w:tc>
                <w:tcPr>
                  <w:tcW w:w="5092" w:type="dxa"/>
                  <w:tcBorders>
                    <w:right w:val="single" w:color="auto" w:sz="4" w:space="0"/>
                  </w:tcBorders>
                  <w:vAlign w:val="center"/>
                </w:tcPr>
                <w:p w14:paraId="6BAD4B09">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〔A1.3-1〕任何单位和个人不得在水源涵养区、饮用水水源保护区内和河流、湖泊、水库周围建设重化工、涉重金属等工业污染项目；对已建成的工业污染项目，当地人民政府应当组织限期搬迁。</w:t>
                  </w:r>
                </w:p>
              </w:tc>
              <w:tc>
                <w:tcPr>
                  <w:tcW w:w="899" w:type="dxa"/>
                  <w:tcBorders>
                    <w:left w:val="single" w:color="auto" w:sz="4" w:space="0"/>
                  </w:tcBorders>
                  <w:vAlign w:val="center"/>
                </w:tcPr>
                <w:p w14:paraId="638CA1B1">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highlight w:val="none"/>
                    </w:rPr>
                  </w:pPr>
                  <w:r>
                    <w:rPr>
                      <w:rFonts w:hint="eastAsia" w:hAnsi="Times New Roman" w:cs="Times New Roman"/>
                      <w:color w:val="0000FF"/>
                      <w:highlight w:val="none"/>
                      <w:lang w:val="en-US" w:eastAsia="zh-CN"/>
                    </w:rPr>
                    <w:t>不涉及</w:t>
                  </w:r>
                </w:p>
              </w:tc>
            </w:tr>
            <w:tr w14:paraId="5085DC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Merge w:val="continue"/>
                  <w:tcBorders>
                    <w:top w:val="single" w:color="auto" w:sz="4" w:space="0"/>
                    <w:bottom w:val="single" w:color="auto" w:sz="4" w:space="0"/>
                  </w:tcBorders>
                  <w:vAlign w:val="center"/>
                </w:tcPr>
                <w:p w14:paraId="439D42C8">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498" w:type="dxa"/>
                  <w:vMerge w:val="continue"/>
                  <w:tcBorders>
                    <w:top w:val="single" w:color="auto" w:sz="4" w:space="0"/>
                    <w:bottom w:val="single" w:color="auto" w:sz="4" w:space="0"/>
                  </w:tcBorders>
                  <w:vAlign w:val="center"/>
                </w:tcPr>
                <w:p w14:paraId="5FFFFA7F">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5092" w:type="dxa"/>
                  <w:tcBorders>
                    <w:right w:val="single" w:color="auto" w:sz="4" w:space="0"/>
                  </w:tcBorders>
                  <w:vAlign w:val="center"/>
                </w:tcPr>
                <w:p w14:paraId="29D5B18A">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〔A1.3-2〕对不符合国家产业政策、严重污染水环境的生产项目全部予以取缔。</w:t>
                  </w:r>
                </w:p>
              </w:tc>
              <w:tc>
                <w:tcPr>
                  <w:tcW w:w="899" w:type="dxa"/>
                  <w:tcBorders>
                    <w:left w:val="single" w:color="auto" w:sz="4" w:space="0"/>
                  </w:tcBorders>
                  <w:vAlign w:val="center"/>
                </w:tcPr>
                <w:p w14:paraId="581F45C7">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highlight w:val="none"/>
                    </w:rPr>
                  </w:pPr>
                  <w:r>
                    <w:rPr>
                      <w:rFonts w:hint="eastAsia" w:hAnsi="Times New Roman" w:cs="Times New Roman"/>
                      <w:color w:val="0000FF"/>
                      <w:highlight w:val="none"/>
                      <w:lang w:val="en-US" w:eastAsia="zh-CN"/>
                    </w:rPr>
                    <w:t>不涉及</w:t>
                  </w:r>
                </w:p>
              </w:tc>
            </w:tr>
            <w:tr w14:paraId="669AA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Merge w:val="continue"/>
                  <w:tcBorders>
                    <w:top w:val="single" w:color="auto" w:sz="4" w:space="0"/>
                    <w:bottom w:val="single" w:color="auto" w:sz="4" w:space="0"/>
                  </w:tcBorders>
                  <w:vAlign w:val="center"/>
                </w:tcPr>
                <w:p w14:paraId="38598977">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498" w:type="dxa"/>
                  <w:vMerge w:val="continue"/>
                  <w:tcBorders>
                    <w:top w:val="single" w:color="auto" w:sz="4" w:space="0"/>
                    <w:bottom w:val="single" w:color="auto" w:sz="4" w:space="0"/>
                  </w:tcBorders>
                  <w:vAlign w:val="center"/>
                </w:tcPr>
                <w:p w14:paraId="688DFFF6">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5092" w:type="dxa"/>
                  <w:tcBorders>
                    <w:right w:val="single" w:color="auto" w:sz="4" w:space="0"/>
                  </w:tcBorders>
                  <w:vAlign w:val="center"/>
                </w:tcPr>
                <w:p w14:paraId="56060F72">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1.3-3〕根据《产业结构调整指导目录》《限期淘汰产生严重污染环境的工业固体废物的落后生产工艺设备名录》等要求，配合有关部门依法淘汰烧结-鼓风炉5炼铅工艺炼铅等涉重金属落后产能和化解过剩产能。严格执行生态环境保护等相关法规标准，推动经整改仍达不到要求的产能依法依规关闭退出。</w:t>
                  </w:r>
                </w:p>
              </w:tc>
              <w:tc>
                <w:tcPr>
                  <w:tcW w:w="899" w:type="dxa"/>
                  <w:tcBorders>
                    <w:left w:val="single" w:color="auto" w:sz="4" w:space="0"/>
                  </w:tcBorders>
                  <w:vAlign w:val="center"/>
                </w:tcPr>
                <w:p w14:paraId="1948B145">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highlight w:val="none"/>
                    </w:rPr>
                  </w:pPr>
                  <w:r>
                    <w:rPr>
                      <w:rFonts w:hint="eastAsia" w:hAnsi="Times New Roman" w:cs="Times New Roman"/>
                      <w:color w:val="0000FF"/>
                      <w:highlight w:val="none"/>
                      <w:lang w:val="en-US" w:eastAsia="zh-CN"/>
                    </w:rPr>
                    <w:t>不涉及</w:t>
                  </w:r>
                </w:p>
              </w:tc>
            </w:tr>
            <w:tr w14:paraId="2E98FD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Merge w:val="continue"/>
                  <w:tcBorders>
                    <w:top w:val="single" w:color="auto" w:sz="4" w:space="0"/>
                    <w:bottom w:val="single" w:color="auto" w:sz="4" w:space="0"/>
                  </w:tcBorders>
                  <w:vAlign w:val="center"/>
                </w:tcPr>
                <w:p w14:paraId="3F515907">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498" w:type="dxa"/>
                  <w:vMerge w:val="continue"/>
                  <w:tcBorders>
                    <w:top w:val="single" w:color="auto" w:sz="4" w:space="0"/>
                    <w:bottom w:val="single" w:color="auto" w:sz="4" w:space="0"/>
                  </w:tcBorders>
                  <w:vAlign w:val="center"/>
                </w:tcPr>
                <w:p w14:paraId="2B7A8CE0">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5092" w:type="dxa"/>
                  <w:tcBorders>
                    <w:right w:val="single" w:color="auto" w:sz="4" w:space="0"/>
                  </w:tcBorders>
                  <w:vAlign w:val="center"/>
                </w:tcPr>
                <w:p w14:paraId="3A145706">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〔A1.3-4〕城市建成区、重点流域内已建成投产化工企业和危险化学品生产企业应加快退城入园，搬入化工园区前企业不应实施改扩建工程扩大生产规模。</w:t>
                  </w:r>
                </w:p>
              </w:tc>
              <w:tc>
                <w:tcPr>
                  <w:tcW w:w="899" w:type="dxa"/>
                  <w:tcBorders>
                    <w:left w:val="single" w:color="auto" w:sz="4" w:space="0"/>
                  </w:tcBorders>
                  <w:vAlign w:val="center"/>
                </w:tcPr>
                <w:p w14:paraId="29F8C63A">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highlight w:val="none"/>
                    </w:rPr>
                  </w:pPr>
                  <w:r>
                    <w:rPr>
                      <w:rFonts w:hint="eastAsia" w:hAnsi="Times New Roman" w:cs="Times New Roman"/>
                      <w:color w:val="0000FF"/>
                      <w:highlight w:val="none"/>
                      <w:lang w:val="en-US" w:eastAsia="zh-CN"/>
                    </w:rPr>
                    <w:t>不涉及</w:t>
                  </w:r>
                </w:p>
              </w:tc>
            </w:tr>
            <w:tr w14:paraId="79AE9F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Merge w:val="continue"/>
                  <w:tcBorders>
                    <w:top w:val="single" w:color="auto" w:sz="4" w:space="0"/>
                    <w:bottom w:val="single" w:color="auto" w:sz="4" w:space="0"/>
                  </w:tcBorders>
                  <w:vAlign w:val="center"/>
                </w:tcPr>
                <w:p w14:paraId="5FCEC7E0">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498" w:type="dxa"/>
                  <w:vMerge w:val="restart"/>
                  <w:tcBorders>
                    <w:top w:val="single" w:color="auto" w:sz="4" w:space="0"/>
                    <w:bottom w:val="single" w:color="auto" w:sz="4" w:space="0"/>
                  </w:tcBorders>
                  <w:vAlign w:val="center"/>
                </w:tcPr>
                <w:p w14:paraId="353150A2">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A1.4其它布局</w:t>
                  </w:r>
                </w:p>
                <w:p w14:paraId="4A8D38E3">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要求</w:t>
                  </w:r>
                </w:p>
              </w:tc>
              <w:tc>
                <w:tcPr>
                  <w:tcW w:w="5092" w:type="dxa"/>
                  <w:tcBorders>
                    <w:right w:val="single" w:color="auto" w:sz="4" w:space="0"/>
                  </w:tcBorders>
                  <w:vAlign w:val="center"/>
                </w:tcPr>
                <w:p w14:paraId="059E5103">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1.4-1〕一切开发建设活动应符合国家、自治区主体功能区规划、自治区和各地颁布实施的生态环境功能区划、国民经济发展规划、产业发展规划、国土空间规划等相关规划及重点生态功能区负面清单要求，符合区域或产业规划环评要求。</w:t>
                  </w:r>
                </w:p>
              </w:tc>
              <w:tc>
                <w:tcPr>
                  <w:tcW w:w="899" w:type="dxa"/>
                  <w:tcBorders>
                    <w:left w:val="single" w:color="auto" w:sz="4" w:space="0"/>
                  </w:tcBorders>
                  <w:vAlign w:val="center"/>
                </w:tcPr>
                <w:p w14:paraId="085E28E7">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highlight w:val="none"/>
                    </w:rPr>
                  </w:pPr>
                  <w:r>
                    <w:rPr>
                      <w:rFonts w:hint="default" w:ascii="Times New Roman" w:hAnsi="Times New Roman" w:eastAsia="宋体" w:cs="Times New Roman"/>
                      <w:color w:val="0000FF"/>
                      <w:highlight w:val="none"/>
                      <w:lang w:val="en-US" w:eastAsia="zh-CN"/>
                    </w:rPr>
                    <w:t>符合</w:t>
                  </w:r>
                </w:p>
              </w:tc>
            </w:tr>
            <w:tr w14:paraId="4B1555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Merge w:val="continue"/>
                  <w:tcBorders>
                    <w:top w:val="single" w:color="auto" w:sz="4" w:space="0"/>
                    <w:bottom w:val="single" w:color="auto" w:sz="4" w:space="0"/>
                  </w:tcBorders>
                  <w:vAlign w:val="center"/>
                </w:tcPr>
                <w:p w14:paraId="2FC65835">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498" w:type="dxa"/>
                  <w:vMerge w:val="continue"/>
                  <w:tcBorders>
                    <w:top w:val="single" w:color="auto" w:sz="4" w:space="0"/>
                    <w:bottom w:val="single" w:color="auto" w:sz="4" w:space="0"/>
                  </w:tcBorders>
                  <w:vAlign w:val="center"/>
                </w:tcPr>
                <w:p w14:paraId="4860FCE5">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5092" w:type="dxa"/>
                  <w:tcBorders>
                    <w:right w:val="single" w:color="auto" w:sz="4" w:space="0"/>
                  </w:tcBorders>
                  <w:vAlign w:val="center"/>
                </w:tcPr>
                <w:p w14:paraId="2F264A11">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〔A1.4-2〕新建、扩建石化、化工、焦化、有色金属冶炼、平板玻璃项目应布设在依法合规设立并经规划环评的产业园区。</w:t>
                  </w:r>
                </w:p>
              </w:tc>
              <w:tc>
                <w:tcPr>
                  <w:tcW w:w="899" w:type="dxa"/>
                  <w:tcBorders>
                    <w:left w:val="single" w:color="auto" w:sz="4" w:space="0"/>
                  </w:tcBorders>
                  <w:vAlign w:val="center"/>
                </w:tcPr>
                <w:p w14:paraId="33F098CF">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highlight w:val="none"/>
                    </w:rPr>
                  </w:pPr>
                  <w:r>
                    <w:rPr>
                      <w:rFonts w:hint="eastAsia" w:hAnsi="Times New Roman" w:cs="Times New Roman"/>
                      <w:color w:val="0000FF"/>
                      <w:highlight w:val="none"/>
                      <w:lang w:val="en-US" w:eastAsia="zh-CN"/>
                    </w:rPr>
                    <w:t>不涉及</w:t>
                  </w:r>
                </w:p>
              </w:tc>
            </w:tr>
            <w:tr w14:paraId="149B8C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Merge w:val="continue"/>
                  <w:tcBorders>
                    <w:top w:val="single" w:color="auto" w:sz="4" w:space="0"/>
                    <w:bottom w:val="single" w:color="auto" w:sz="4" w:space="0"/>
                  </w:tcBorders>
                  <w:vAlign w:val="center"/>
                </w:tcPr>
                <w:p w14:paraId="6FB3B61E">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498" w:type="dxa"/>
                  <w:vMerge w:val="continue"/>
                  <w:tcBorders>
                    <w:top w:val="single" w:color="auto" w:sz="4" w:space="0"/>
                    <w:bottom w:val="single" w:color="auto" w:sz="4" w:space="0"/>
                  </w:tcBorders>
                  <w:vAlign w:val="center"/>
                </w:tcPr>
                <w:p w14:paraId="05B7EE98">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5092" w:type="dxa"/>
                  <w:tcBorders>
                    <w:right w:val="single" w:color="auto" w:sz="4" w:space="0"/>
                  </w:tcBorders>
                  <w:vAlign w:val="center"/>
                </w:tcPr>
                <w:p w14:paraId="10E5E99C">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1.4-3〕危险化学品生产企业搬迁改造及新建化工项目必须进入国家及自治区各级人民政府正式批准设立，规划环评通过审查，规划通过审批且环保基础设施完善的工业园区，并符合国土空间规划、产业发展规划和生态红线管控要求。</w:t>
                  </w:r>
                </w:p>
              </w:tc>
              <w:tc>
                <w:tcPr>
                  <w:tcW w:w="899" w:type="dxa"/>
                  <w:tcBorders>
                    <w:left w:val="single" w:color="auto" w:sz="4" w:space="0"/>
                  </w:tcBorders>
                  <w:vAlign w:val="center"/>
                </w:tcPr>
                <w:p w14:paraId="40E32FE6">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highlight w:val="none"/>
                    </w:rPr>
                  </w:pPr>
                  <w:r>
                    <w:rPr>
                      <w:rFonts w:hint="eastAsia" w:hAnsi="Times New Roman" w:cs="Times New Roman"/>
                      <w:color w:val="0000FF"/>
                      <w:highlight w:val="none"/>
                      <w:lang w:val="en-US" w:eastAsia="zh-CN"/>
                    </w:rPr>
                    <w:t>不涉及</w:t>
                  </w:r>
                </w:p>
              </w:tc>
            </w:tr>
            <w:tr w14:paraId="66D949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1" w:hRule="atLeast"/>
                <w:jc w:val="center"/>
              </w:trPr>
              <w:tc>
                <w:tcPr>
                  <w:tcW w:w="724" w:type="dxa"/>
                  <w:vMerge w:val="restart"/>
                  <w:tcBorders>
                    <w:top w:val="single" w:color="auto" w:sz="4" w:space="0"/>
                    <w:bottom w:val="single" w:color="auto" w:sz="4" w:space="0"/>
                  </w:tcBorders>
                  <w:vAlign w:val="center"/>
                </w:tcPr>
                <w:p w14:paraId="110B7D3F">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p w14:paraId="1DEFC669">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p w14:paraId="4921A9AD">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p w14:paraId="20D97E6B">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p w14:paraId="44782ACE">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p w14:paraId="29B86F1A">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A2污染物排放管控</w:t>
                  </w:r>
                </w:p>
              </w:tc>
              <w:tc>
                <w:tcPr>
                  <w:tcW w:w="498" w:type="dxa"/>
                  <w:vMerge w:val="restart"/>
                  <w:tcBorders>
                    <w:top w:val="single" w:color="auto" w:sz="4" w:space="0"/>
                  </w:tcBorders>
                  <w:vAlign w:val="center"/>
                </w:tcPr>
                <w:p w14:paraId="0819C2A4">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p w14:paraId="5F62A3C7">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p w14:paraId="3C3A7774">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p w14:paraId="0E67C10F">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p w14:paraId="480FDC48">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A2.2污染控制措施要求</w:t>
                  </w:r>
                </w:p>
              </w:tc>
              <w:tc>
                <w:tcPr>
                  <w:tcW w:w="5092" w:type="dxa"/>
                  <w:tcBorders>
                    <w:right w:val="single" w:color="auto" w:sz="4" w:space="0"/>
                  </w:tcBorders>
                  <w:vAlign w:val="center"/>
                </w:tcPr>
                <w:p w14:paraId="24A3E092">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2.2-1〕推动能源、钢铁、建材、有色、电力、化工等重点领域技术升级，控制工业过程温室气体排放，推动工业领域绿色低碳发展。积极鼓励发展二氧化碳捕集利用与封存等低碳技术。促进大气污染物与温室气体协同控制。实施污染物和温室气体协同控制，实现减污降碳协同效应。强化污水、垃圾等集中处置设施环境管理，协同控制氢氟碳化物、甲烷、氧化亚氮等温室气体。加强节约能源与大气污染防治协同有效衔接，促进大气污染防治协同增效。</w:t>
                  </w:r>
                </w:p>
              </w:tc>
              <w:tc>
                <w:tcPr>
                  <w:tcW w:w="899" w:type="dxa"/>
                  <w:tcBorders>
                    <w:left w:val="single" w:color="auto" w:sz="4" w:space="0"/>
                  </w:tcBorders>
                  <w:vAlign w:val="center"/>
                </w:tcPr>
                <w:p w14:paraId="4E114348">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highlight w:val="none"/>
                    </w:rPr>
                  </w:pPr>
                  <w:r>
                    <w:rPr>
                      <w:rFonts w:hint="eastAsia" w:hAnsi="Times New Roman" w:cs="Times New Roman"/>
                      <w:color w:val="0000FF"/>
                      <w:highlight w:val="none"/>
                      <w:lang w:val="en-US" w:eastAsia="zh-CN"/>
                    </w:rPr>
                    <w:t>不涉及</w:t>
                  </w:r>
                </w:p>
              </w:tc>
            </w:tr>
            <w:tr w14:paraId="022AC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Merge w:val="continue"/>
                  <w:tcBorders>
                    <w:top w:val="single" w:color="auto" w:sz="4" w:space="0"/>
                    <w:bottom w:val="single" w:color="auto" w:sz="4" w:space="0"/>
                  </w:tcBorders>
                  <w:vAlign w:val="center"/>
                </w:tcPr>
                <w:p w14:paraId="7A999046">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498" w:type="dxa"/>
                  <w:vMerge w:val="continue"/>
                  <w:vAlign w:val="center"/>
                </w:tcPr>
                <w:p w14:paraId="093F6827">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5092" w:type="dxa"/>
                  <w:tcBorders>
                    <w:right w:val="single" w:color="auto" w:sz="4" w:space="0"/>
                  </w:tcBorders>
                  <w:vAlign w:val="center"/>
                </w:tcPr>
                <w:p w14:paraId="009CC51C">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2.2-2〕实施重点行业氮氧化物等污染物深度治理。持续推进钢铁、水泥、焦化行业超低排放改造。推进玻璃、陶瓷、铸造、铁合金、有色、煤化和石化等行业采取清洁生产、提标改造、深度治理等综合措施。加强自备燃煤机组污染治理设施运行管控，确保按照超低排放标准运行。针对铸造、铁合金、焦化、水泥、砖瓦、石灰、耐火材料、金属冶炼以及煤化工、石油化工等行业，严格控制物料储存、输送及生产工艺过程无组织排放。重点涉气排放企业逐步取消烟气旁路，因安全生产无法取消的，安装在线监控系统。</w:t>
                  </w:r>
                </w:p>
              </w:tc>
              <w:tc>
                <w:tcPr>
                  <w:tcW w:w="899" w:type="dxa"/>
                  <w:tcBorders>
                    <w:left w:val="single" w:color="auto" w:sz="4" w:space="0"/>
                  </w:tcBorders>
                  <w:vAlign w:val="center"/>
                </w:tcPr>
                <w:p w14:paraId="685DF9A8">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highlight w:val="none"/>
                    </w:rPr>
                  </w:pPr>
                  <w:r>
                    <w:rPr>
                      <w:rFonts w:hint="eastAsia" w:hAnsi="Times New Roman" w:cs="Times New Roman"/>
                      <w:color w:val="0000FF"/>
                      <w:highlight w:val="none"/>
                      <w:lang w:val="en-US" w:eastAsia="zh-CN"/>
                    </w:rPr>
                    <w:t>不涉及</w:t>
                  </w:r>
                </w:p>
              </w:tc>
            </w:tr>
            <w:tr w14:paraId="0C8D37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Merge w:val="continue"/>
                  <w:tcBorders>
                    <w:top w:val="single" w:color="auto" w:sz="4" w:space="0"/>
                    <w:bottom w:val="single" w:color="auto" w:sz="4" w:space="0"/>
                  </w:tcBorders>
                  <w:vAlign w:val="center"/>
                </w:tcPr>
                <w:p w14:paraId="2363991B">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498" w:type="dxa"/>
                  <w:vMerge w:val="continue"/>
                  <w:vAlign w:val="center"/>
                </w:tcPr>
                <w:p w14:paraId="22A70EEF">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5092" w:type="dxa"/>
                  <w:tcBorders>
                    <w:right w:val="single" w:color="auto" w:sz="4" w:space="0"/>
                  </w:tcBorders>
                  <w:vAlign w:val="center"/>
                </w:tcPr>
                <w:p w14:paraId="703850CE">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2.2-3〕强化重点区域大气污染联防联控，合理确定产业布局，推动区域内统一产业准入和排放标准。实施水泥行业错峰生产，推进散煤整治、挥发性有机污染物综合治理、钢铁、水泥、焦化和燃煤工业锅炉行业超低排放改造、燃气锅炉低氮燃烧改造、工业园区内轨道运输(大宗货物“公转铁”)、柴油货车治理、锅炉炉窑综合治理等工程项目。全面推行绿色施工，持续推动城市建成区重污染企业搬迁或关闭退出。</w:t>
                  </w:r>
                </w:p>
              </w:tc>
              <w:tc>
                <w:tcPr>
                  <w:tcW w:w="899" w:type="dxa"/>
                  <w:tcBorders>
                    <w:left w:val="single" w:color="auto" w:sz="4" w:space="0"/>
                  </w:tcBorders>
                  <w:vAlign w:val="center"/>
                </w:tcPr>
                <w:p w14:paraId="5ADEF294">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highlight w:val="none"/>
                    </w:rPr>
                  </w:pPr>
                  <w:r>
                    <w:rPr>
                      <w:rFonts w:hint="eastAsia" w:hAnsi="Times New Roman" w:cs="Times New Roman"/>
                      <w:color w:val="0000FF"/>
                      <w:highlight w:val="none"/>
                      <w:lang w:val="en-US" w:eastAsia="zh-CN"/>
                    </w:rPr>
                    <w:t>不涉及</w:t>
                  </w:r>
                </w:p>
              </w:tc>
            </w:tr>
            <w:tr w14:paraId="49F24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Merge w:val="continue"/>
                  <w:tcBorders>
                    <w:top w:val="single" w:color="auto" w:sz="4" w:space="0"/>
                    <w:bottom w:val="single" w:color="auto" w:sz="4" w:space="0"/>
                  </w:tcBorders>
                  <w:vAlign w:val="center"/>
                </w:tcPr>
                <w:p w14:paraId="568D525D">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498" w:type="dxa"/>
                  <w:vMerge w:val="continue"/>
                  <w:vAlign w:val="center"/>
                </w:tcPr>
                <w:p w14:paraId="747C8394">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5092" w:type="dxa"/>
                  <w:tcBorders>
                    <w:right w:val="single" w:color="auto" w:sz="4" w:space="0"/>
                  </w:tcBorders>
                  <w:vAlign w:val="center"/>
                </w:tcPr>
                <w:p w14:paraId="0EFB38AA">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〔A2.2-4〕强化用水定额管理。推进地下水超采综合治理。开展河湖生态流量(水量)确定工作，强化生态用水保障。</w:t>
                  </w:r>
                </w:p>
              </w:tc>
              <w:tc>
                <w:tcPr>
                  <w:tcW w:w="899" w:type="dxa"/>
                  <w:tcBorders>
                    <w:left w:val="single" w:color="auto" w:sz="4" w:space="0"/>
                  </w:tcBorders>
                  <w:vAlign w:val="center"/>
                </w:tcPr>
                <w:p w14:paraId="44B6CA37">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highlight w:val="none"/>
                    </w:rPr>
                  </w:pPr>
                  <w:r>
                    <w:rPr>
                      <w:rFonts w:hint="eastAsia" w:hAnsi="Times New Roman" w:cs="Times New Roman"/>
                      <w:color w:val="0000FF"/>
                      <w:highlight w:val="none"/>
                      <w:lang w:val="en-US" w:eastAsia="zh-CN"/>
                    </w:rPr>
                    <w:t>不涉及</w:t>
                  </w:r>
                </w:p>
              </w:tc>
            </w:tr>
            <w:tr w14:paraId="5C756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Merge w:val="continue"/>
                  <w:tcBorders>
                    <w:top w:val="single" w:color="auto" w:sz="4" w:space="0"/>
                    <w:bottom w:val="single" w:color="auto" w:sz="4" w:space="0"/>
                  </w:tcBorders>
                  <w:vAlign w:val="center"/>
                </w:tcPr>
                <w:p w14:paraId="2F137BCC">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498" w:type="dxa"/>
                  <w:vMerge w:val="continue"/>
                  <w:vAlign w:val="center"/>
                </w:tcPr>
                <w:p w14:paraId="246C7F7B">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5092" w:type="dxa"/>
                  <w:tcBorders>
                    <w:right w:val="single" w:color="auto" w:sz="4" w:space="0"/>
                  </w:tcBorders>
                  <w:vAlign w:val="center"/>
                </w:tcPr>
                <w:p w14:paraId="58AF2ABA">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2.2-5〕持续推进伊犁河、额尔齐斯河、额敏河、玛纳斯河、乌伦古湖、博斯腾湖等流域生态治理，加强生态修复。推动重点行业、重点企业绿色发展，严格落实水污染物排放标准。加强农副食品加工、化工、印染、棉浆粕、粘胶纤维等企业综合治理和清洁化改造。</w:t>
                  </w:r>
                </w:p>
              </w:tc>
              <w:tc>
                <w:tcPr>
                  <w:tcW w:w="899" w:type="dxa"/>
                  <w:tcBorders>
                    <w:left w:val="single" w:color="auto" w:sz="4" w:space="0"/>
                  </w:tcBorders>
                  <w:vAlign w:val="center"/>
                </w:tcPr>
                <w:p w14:paraId="32964140">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highlight w:val="none"/>
                    </w:rPr>
                  </w:pPr>
                  <w:r>
                    <w:rPr>
                      <w:rFonts w:hint="eastAsia" w:hAnsi="Times New Roman" w:cs="Times New Roman"/>
                      <w:color w:val="0000FF"/>
                      <w:highlight w:val="none"/>
                      <w:lang w:val="en-US" w:eastAsia="zh-CN"/>
                    </w:rPr>
                    <w:t>不涉及</w:t>
                  </w:r>
                </w:p>
              </w:tc>
            </w:tr>
            <w:tr w14:paraId="60FD62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9" w:hRule="atLeast"/>
                <w:jc w:val="center"/>
              </w:trPr>
              <w:tc>
                <w:tcPr>
                  <w:tcW w:w="724" w:type="dxa"/>
                  <w:vMerge w:val="continue"/>
                  <w:tcBorders>
                    <w:top w:val="single" w:color="auto" w:sz="4" w:space="0"/>
                    <w:bottom w:val="single" w:color="auto" w:sz="4" w:space="0"/>
                  </w:tcBorders>
                  <w:vAlign w:val="center"/>
                </w:tcPr>
                <w:p w14:paraId="57818501">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498" w:type="dxa"/>
                  <w:vMerge w:val="continue"/>
                  <w:vAlign w:val="center"/>
                </w:tcPr>
                <w:p w14:paraId="656CDF2F">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5092" w:type="dxa"/>
                  <w:tcBorders>
                    <w:right w:val="single" w:color="auto" w:sz="4" w:space="0"/>
                  </w:tcBorders>
                  <w:vAlign w:val="center"/>
                </w:tcPr>
                <w:p w14:paraId="44F1DCFA">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2.2-6〕推进地表水与地下水协同防治。以傍河型地下水饮用水水源为重点，防范受污染河段侧渗和垂直补给对地下水污染。加强化学品生产企业、工业聚集区、矿山开采区等污染源的地表、地下协同防治与环境风险管控。加强工业污染防治。推动重点行业、重点企业绿色发展，严格落实水污染物排放标准和排污许可制度。加强农副食品加工、化工、印染、棉浆粕、粘胶纤维、制糖等企业综合治理和清洁化改造。支持企业积极实施节水技术改造，加强工业园区污水集中处理设施运行管理，加快再生水回用设施建设，提升园区水资源循环利用水平。</w:t>
                  </w:r>
                </w:p>
              </w:tc>
              <w:tc>
                <w:tcPr>
                  <w:tcW w:w="899" w:type="dxa"/>
                  <w:tcBorders>
                    <w:left w:val="single" w:color="auto" w:sz="4" w:space="0"/>
                  </w:tcBorders>
                  <w:vAlign w:val="center"/>
                </w:tcPr>
                <w:p w14:paraId="3BCCF285">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highlight w:val="none"/>
                    </w:rPr>
                  </w:pPr>
                  <w:r>
                    <w:rPr>
                      <w:rFonts w:hint="eastAsia" w:hAnsi="Times New Roman" w:cs="Times New Roman"/>
                      <w:color w:val="0000FF"/>
                      <w:highlight w:val="none"/>
                      <w:lang w:val="en-US" w:eastAsia="zh-CN"/>
                    </w:rPr>
                    <w:t>不涉及</w:t>
                  </w:r>
                </w:p>
              </w:tc>
            </w:tr>
            <w:tr w14:paraId="3FDC14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Merge w:val="continue"/>
                  <w:tcBorders>
                    <w:top w:val="single" w:color="auto" w:sz="4" w:space="0"/>
                    <w:bottom w:val="single" w:color="auto" w:sz="4" w:space="0"/>
                  </w:tcBorders>
                  <w:vAlign w:val="center"/>
                </w:tcPr>
                <w:p w14:paraId="760C96C5">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498" w:type="dxa"/>
                  <w:vMerge w:val="continue"/>
                  <w:vAlign w:val="center"/>
                </w:tcPr>
                <w:p w14:paraId="306E5895">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5092" w:type="dxa"/>
                  <w:tcBorders>
                    <w:right w:val="single" w:color="auto" w:sz="4" w:space="0"/>
                  </w:tcBorders>
                  <w:vAlign w:val="center"/>
                </w:tcPr>
                <w:p w14:paraId="00DBC900">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2.2-7〕强化重点区域地下水环境风险管控，对化学品生产企业、工业集聚区、尾矿库、矿山开采区、危险废物处置场、垃圾填埋场等地下水污染源及周边区域，逐步开展地下水环境状况调查评估，加强风险管控。</w:t>
                  </w:r>
                </w:p>
              </w:tc>
              <w:tc>
                <w:tcPr>
                  <w:tcW w:w="899" w:type="dxa"/>
                  <w:tcBorders>
                    <w:left w:val="single" w:color="auto" w:sz="4" w:space="0"/>
                  </w:tcBorders>
                  <w:vAlign w:val="center"/>
                </w:tcPr>
                <w:p w14:paraId="783D9B5F">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highlight w:val="none"/>
                    </w:rPr>
                  </w:pPr>
                  <w:r>
                    <w:rPr>
                      <w:rFonts w:hint="eastAsia" w:hAnsi="Times New Roman" w:cs="Times New Roman"/>
                      <w:color w:val="0000FF"/>
                      <w:highlight w:val="none"/>
                      <w:lang w:val="en-US" w:eastAsia="zh-CN"/>
                    </w:rPr>
                    <w:t>不涉及</w:t>
                  </w:r>
                </w:p>
              </w:tc>
            </w:tr>
            <w:tr w14:paraId="6C92F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Merge w:val="continue"/>
                  <w:tcBorders>
                    <w:top w:val="single" w:color="auto" w:sz="4" w:space="0"/>
                    <w:bottom w:val="single" w:color="auto" w:sz="4" w:space="0"/>
                  </w:tcBorders>
                  <w:vAlign w:val="center"/>
                </w:tcPr>
                <w:p w14:paraId="6DCF3A27">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498" w:type="dxa"/>
                  <w:vMerge w:val="continue"/>
                  <w:vAlign w:val="center"/>
                </w:tcPr>
                <w:p w14:paraId="22825077">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5092" w:type="dxa"/>
                  <w:tcBorders>
                    <w:right w:val="single" w:color="auto" w:sz="4" w:space="0"/>
                  </w:tcBorders>
                  <w:vAlign w:val="center"/>
                </w:tcPr>
                <w:p w14:paraId="438EBA9D">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〔A2.2-8〕严控土壤重金属污染，加强油(气)田开发土壤污染防治，以历史遗留工业企业污染场地为重点，开展土壤污染风险管控与修复工程。</w:t>
                  </w:r>
                </w:p>
              </w:tc>
              <w:tc>
                <w:tcPr>
                  <w:tcW w:w="899" w:type="dxa"/>
                  <w:tcBorders>
                    <w:left w:val="single" w:color="auto" w:sz="4" w:space="0"/>
                  </w:tcBorders>
                  <w:vAlign w:val="center"/>
                </w:tcPr>
                <w:p w14:paraId="391EA996">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highlight w:val="none"/>
                    </w:rPr>
                  </w:pPr>
                  <w:r>
                    <w:rPr>
                      <w:rFonts w:hint="eastAsia" w:hAnsi="Times New Roman" w:cs="Times New Roman"/>
                      <w:color w:val="0000FF"/>
                      <w:highlight w:val="none"/>
                      <w:lang w:val="en-US" w:eastAsia="zh-CN"/>
                    </w:rPr>
                    <w:t>不涉及</w:t>
                  </w:r>
                </w:p>
              </w:tc>
            </w:tr>
            <w:tr w14:paraId="5070F5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Merge w:val="continue"/>
                  <w:tcBorders>
                    <w:top w:val="single" w:color="auto" w:sz="4" w:space="0"/>
                    <w:bottom w:val="single" w:color="auto" w:sz="4" w:space="0"/>
                  </w:tcBorders>
                  <w:vAlign w:val="center"/>
                </w:tcPr>
                <w:p w14:paraId="62DDFD17">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498" w:type="dxa"/>
                  <w:vMerge w:val="continue"/>
                  <w:tcBorders>
                    <w:bottom w:val="single" w:color="auto" w:sz="4" w:space="0"/>
                  </w:tcBorders>
                  <w:vAlign w:val="center"/>
                </w:tcPr>
                <w:p w14:paraId="26BC856A">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5092" w:type="dxa"/>
                  <w:tcBorders>
                    <w:right w:val="single" w:color="auto" w:sz="4" w:space="0"/>
                  </w:tcBorders>
                  <w:vAlign w:val="center"/>
                </w:tcPr>
                <w:p w14:paraId="140D5D5F">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2.2-9〕加强种植业污染防治。深入推进化肥农药减量增效，全面推广测土配方施肥，引导推动有机肥、绿肥替代化肥，集成推广化肥减量增效技术模式，加强农药包装废弃物管理。实施农膜回收行动，健全农田废旧地膜回收利用体系，提高废旧地膜回收率。推进农作物秸秆综合利用，不断完善秸秆收储运用体系，形成布局合理、多元利用的秸秆综合利用格局。</w:t>
                  </w:r>
                </w:p>
              </w:tc>
              <w:tc>
                <w:tcPr>
                  <w:tcW w:w="899" w:type="dxa"/>
                  <w:tcBorders>
                    <w:left w:val="single" w:color="auto" w:sz="4" w:space="0"/>
                  </w:tcBorders>
                  <w:vAlign w:val="center"/>
                </w:tcPr>
                <w:p w14:paraId="2853809D">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highlight w:val="none"/>
                    </w:rPr>
                  </w:pPr>
                  <w:r>
                    <w:rPr>
                      <w:rFonts w:hint="default" w:ascii="Times New Roman" w:hAnsi="Times New Roman" w:eastAsia="宋体" w:cs="Times New Roman"/>
                      <w:color w:val="0000FF"/>
                      <w:highlight w:val="none"/>
                      <w:lang w:val="en-US" w:eastAsia="zh-CN"/>
                    </w:rPr>
                    <w:t>符合</w:t>
                  </w:r>
                </w:p>
              </w:tc>
            </w:tr>
            <w:tr w14:paraId="3E0C0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Merge w:val="restart"/>
                  <w:tcBorders>
                    <w:top w:val="single" w:color="auto" w:sz="4" w:space="0"/>
                    <w:bottom w:val="single" w:color="auto" w:sz="4" w:space="0"/>
                  </w:tcBorders>
                  <w:vAlign w:val="center"/>
                </w:tcPr>
                <w:p w14:paraId="0E52619C">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p w14:paraId="1EDC859C">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p w14:paraId="6CFF8644">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p w14:paraId="0B3CACAB">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p w14:paraId="1CBF723A">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p w14:paraId="2AD7158F">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p w14:paraId="25A40981">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p w14:paraId="783CBB8E">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p w14:paraId="07348C6A">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p w14:paraId="4675F435">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p w14:paraId="566AE009">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A3环</w:t>
                  </w:r>
                </w:p>
                <w:p w14:paraId="709571F7">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境风</w:t>
                  </w:r>
                </w:p>
                <w:p w14:paraId="4DC4CA40">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险防</w:t>
                  </w:r>
                </w:p>
                <w:p w14:paraId="79E2F26F">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控</w:t>
                  </w:r>
                </w:p>
              </w:tc>
              <w:tc>
                <w:tcPr>
                  <w:tcW w:w="498" w:type="dxa"/>
                  <w:vMerge w:val="restart"/>
                  <w:tcBorders>
                    <w:top w:val="single" w:color="auto" w:sz="4" w:space="0"/>
                  </w:tcBorders>
                  <w:vAlign w:val="center"/>
                </w:tcPr>
                <w:p w14:paraId="78F3773C">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A3.2联防联控</w:t>
                  </w:r>
                </w:p>
                <w:p w14:paraId="37C21A1F">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要求</w:t>
                  </w:r>
                </w:p>
              </w:tc>
              <w:tc>
                <w:tcPr>
                  <w:tcW w:w="5092" w:type="dxa"/>
                  <w:tcBorders>
                    <w:right w:val="single" w:color="auto" w:sz="4" w:space="0"/>
                  </w:tcBorders>
                  <w:vAlign w:val="center"/>
                </w:tcPr>
                <w:p w14:paraId="0D349C46">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3.2-1〕提升饮用水安全保障水平。以县级及以上集中式饮用水水源地为重点，推进饮用水水源保护区规范化建设，统筹推进备用水源或应急水源建设。单一水源供水的重点城市于2025年底前基本完成备用水源或应急水源建设，有条件的地区开展兵地互为备用水源建设。梯次推进农村集中式饮用水水源保护区划定，到2025年，完成乡镇级集中式饮用水水源保护区划定与勘界立标。开展“千吨万人”农村饮用水水源保护区环境风险排查整治，加强农村水源水质监测，依法清理饮用水水源保护区内违法建筑和排污口，实施从水源到水龙头全过程监管。强化饮用水水源保护区环境应急管理，完善重大突发环境事件的物资和技术储备。针对汇水区、补给区存在兵地跨界的，建立统一的饮用水水源应急和执法机制，共享应急物资。</w:t>
                  </w:r>
                </w:p>
              </w:tc>
              <w:tc>
                <w:tcPr>
                  <w:tcW w:w="899" w:type="dxa"/>
                  <w:tcBorders>
                    <w:left w:val="single" w:color="auto" w:sz="4" w:space="0"/>
                  </w:tcBorders>
                  <w:vAlign w:val="center"/>
                </w:tcPr>
                <w:p w14:paraId="6622AE16">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highlight w:val="none"/>
                    </w:rPr>
                  </w:pPr>
                  <w:r>
                    <w:rPr>
                      <w:rFonts w:hint="eastAsia" w:hAnsi="Times New Roman" w:cs="Times New Roman"/>
                      <w:color w:val="0000FF"/>
                      <w:highlight w:val="none"/>
                      <w:lang w:val="en-US" w:eastAsia="zh-CN"/>
                    </w:rPr>
                    <w:t>不涉及</w:t>
                  </w:r>
                </w:p>
              </w:tc>
            </w:tr>
            <w:tr w14:paraId="55062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Merge w:val="continue"/>
                  <w:tcBorders>
                    <w:top w:val="single" w:color="auto" w:sz="4" w:space="0"/>
                    <w:bottom w:val="single" w:color="auto" w:sz="4" w:space="0"/>
                  </w:tcBorders>
                  <w:vAlign w:val="center"/>
                </w:tcPr>
                <w:p w14:paraId="0E3CDE87">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498" w:type="dxa"/>
                  <w:vMerge w:val="continue"/>
                  <w:vAlign w:val="center"/>
                </w:tcPr>
                <w:p w14:paraId="38501B08">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5092" w:type="dxa"/>
                  <w:tcBorders>
                    <w:right w:val="single" w:color="auto" w:sz="4" w:space="0"/>
                  </w:tcBorders>
                  <w:vAlign w:val="center"/>
                </w:tcPr>
                <w:p w14:paraId="0768F5CA">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〔A3.2-2〕依法推行农用地分类管理制度，强化受污染耕地安全利用和风险管控。因地制宜制定实施安全利用方案，鼓励采取种植结构调整等措施，确保受污染耕地全部实现安全利用。</w:t>
                  </w:r>
                </w:p>
              </w:tc>
              <w:tc>
                <w:tcPr>
                  <w:tcW w:w="899" w:type="dxa"/>
                  <w:tcBorders>
                    <w:left w:val="single" w:color="auto" w:sz="4" w:space="0"/>
                  </w:tcBorders>
                  <w:vAlign w:val="center"/>
                </w:tcPr>
                <w:p w14:paraId="7CC787B2">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highlight w:val="none"/>
                    </w:rPr>
                  </w:pPr>
                  <w:r>
                    <w:rPr>
                      <w:rFonts w:hint="eastAsia" w:hAnsi="Times New Roman" w:cs="Times New Roman"/>
                      <w:color w:val="0000FF"/>
                      <w:highlight w:val="none"/>
                      <w:lang w:val="en-US" w:eastAsia="zh-CN"/>
                    </w:rPr>
                    <w:t>不涉及</w:t>
                  </w:r>
                </w:p>
              </w:tc>
            </w:tr>
            <w:tr w14:paraId="7FCDA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Merge w:val="continue"/>
                  <w:tcBorders>
                    <w:top w:val="single" w:color="auto" w:sz="4" w:space="0"/>
                    <w:bottom w:val="single" w:color="auto" w:sz="4" w:space="0"/>
                  </w:tcBorders>
                  <w:vAlign w:val="center"/>
                </w:tcPr>
                <w:p w14:paraId="081C928F">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498" w:type="dxa"/>
                  <w:vMerge w:val="continue"/>
                  <w:vAlign w:val="center"/>
                </w:tcPr>
                <w:p w14:paraId="27A58859">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5092" w:type="dxa"/>
                  <w:tcBorders>
                    <w:bottom w:val="nil"/>
                    <w:right w:val="single" w:color="auto" w:sz="4" w:space="0"/>
                  </w:tcBorders>
                  <w:vAlign w:val="center"/>
                </w:tcPr>
                <w:p w14:paraId="4C712C84">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3.2-3〕加强新污染物多环境介质协同治理。排放重点管控新污染物的企事业单位应采取污染控制措施，达到相关污染物排放标准及环境质量目标要求；按照排污许可管理有关要求，依法申领排污许可证或填写排污登记表，并在其中载明执行的污染控制标准要求及采取的污染控制措施。排放重点管控新污染物的企事业单位和其他生产经营者应按照相关法律法规要求，对排放(污)口及其周边环境定期开展环境监测，评估环境风险，排查整治环境安全隐患，依法公开新污染物信息，采取措施防范环境风险。土壤污染重点监管单位应严格控制有毒有害物质排放，建立土壤污染隐患排查制度，防止有毒有害物质渗漏、流失、扬散。</w:t>
                  </w:r>
                </w:p>
              </w:tc>
              <w:tc>
                <w:tcPr>
                  <w:tcW w:w="899" w:type="dxa"/>
                  <w:tcBorders>
                    <w:left w:val="single" w:color="auto" w:sz="4" w:space="0"/>
                    <w:bottom w:val="nil"/>
                  </w:tcBorders>
                  <w:vAlign w:val="center"/>
                </w:tcPr>
                <w:p w14:paraId="1A7A3B2A">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highlight w:val="none"/>
                    </w:rPr>
                  </w:pPr>
                  <w:r>
                    <w:rPr>
                      <w:rFonts w:hint="eastAsia" w:hAnsi="Times New Roman" w:cs="Times New Roman"/>
                      <w:color w:val="0000FF"/>
                      <w:highlight w:val="none"/>
                      <w:lang w:val="en-US" w:eastAsia="zh-CN"/>
                    </w:rPr>
                    <w:t>不涉及</w:t>
                  </w:r>
                </w:p>
              </w:tc>
            </w:tr>
            <w:tr w14:paraId="1E5C5E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Merge w:val="continue"/>
                  <w:tcBorders>
                    <w:top w:val="single" w:color="auto" w:sz="4" w:space="0"/>
                    <w:bottom w:val="single" w:color="auto" w:sz="4" w:space="0"/>
                  </w:tcBorders>
                  <w:vAlign w:val="center"/>
                </w:tcPr>
                <w:p w14:paraId="5CCAB864">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498" w:type="dxa"/>
                  <w:vMerge w:val="continue"/>
                  <w:vAlign w:val="center"/>
                </w:tcPr>
                <w:p w14:paraId="38F1768A">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5092" w:type="dxa"/>
                  <w:tcBorders>
                    <w:right w:val="single" w:color="auto" w:sz="4" w:space="0"/>
                  </w:tcBorders>
                  <w:vAlign w:val="center"/>
                </w:tcPr>
                <w:p w14:paraId="14B69E91">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3.2-4〕加强环境风险预警防控。加强涉危险废物企业、涉重金属企业、化工园区、集中式饮用水水源地及重点流域环境风险调查评估，实施分类分级风险管控，协同推进重点区域、流域生态环境污染综合防治、风险防控与生态修复。</w:t>
                  </w:r>
                </w:p>
              </w:tc>
              <w:tc>
                <w:tcPr>
                  <w:tcW w:w="899" w:type="dxa"/>
                  <w:tcBorders>
                    <w:left w:val="single" w:color="auto" w:sz="4" w:space="0"/>
                  </w:tcBorders>
                  <w:vAlign w:val="center"/>
                </w:tcPr>
                <w:p w14:paraId="22FC8396">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highlight w:val="none"/>
                    </w:rPr>
                  </w:pPr>
                  <w:r>
                    <w:rPr>
                      <w:rFonts w:hint="eastAsia" w:hAnsi="Times New Roman" w:cs="Times New Roman"/>
                      <w:color w:val="0000FF"/>
                      <w:highlight w:val="none"/>
                      <w:lang w:val="en-US" w:eastAsia="zh-CN"/>
                    </w:rPr>
                    <w:t>不涉及</w:t>
                  </w:r>
                </w:p>
              </w:tc>
            </w:tr>
            <w:tr w14:paraId="3EEB2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Merge w:val="continue"/>
                  <w:tcBorders>
                    <w:top w:val="single" w:color="auto" w:sz="4" w:space="0"/>
                    <w:bottom w:val="single" w:color="auto" w:sz="4" w:space="0"/>
                  </w:tcBorders>
                  <w:vAlign w:val="center"/>
                </w:tcPr>
                <w:p w14:paraId="4888066A">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498" w:type="dxa"/>
                  <w:vMerge w:val="continue"/>
                  <w:tcBorders>
                    <w:bottom w:val="single" w:color="auto" w:sz="4" w:space="0"/>
                  </w:tcBorders>
                  <w:vAlign w:val="center"/>
                </w:tcPr>
                <w:p w14:paraId="3D4DF8E8">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5092" w:type="dxa"/>
                  <w:tcBorders>
                    <w:right w:val="single" w:color="auto" w:sz="4" w:space="0"/>
                  </w:tcBorders>
                  <w:vAlign w:val="center"/>
                </w:tcPr>
                <w:p w14:paraId="18265595">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3.2-5〕强化生态环境应急管理。实施企业突发生态环境应急预案电子化备案，完成县级以上政府突发环境事件应急预案修编。完善区域和企业应急处置物资储备系统，结合新疆各地特征污染物的特性，加强应急物资储备及应急物资信息化建设，掌握社会应急物资储备动态信息，妥善应对各类突发生态环境事件。加强应急监测装备配置，定期开展应急演练，增强实战能力。</w:t>
                  </w:r>
                </w:p>
              </w:tc>
              <w:tc>
                <w:tcPr>
                  <w:tcW w:w="899" w:type="dxa"/>
                  <w:tcBorders>
                    <w:left w:val="single" w:color="auto" w:sz="4" w:space="0"/>
                  </w:tcBorders>
                  <w:vAlign w:val="center"/>
                </w:tcPr>
                <w:p w14:paraId="1F4923AE">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highlight w:val="none"/>
                    </w:rPr>
                  </w:pPr>
                  <w:r>
                    <w:rPr>
                      <w:rFonts w:hint="eastAsia" w:hAnsi="Times New Roman" w:cs="Times New Roman"/>
                      <w:color w:val="0000FF"/>
                      <w:highlight w:val="none"/>
                      <w:lang w:val="en-US" w:eastAsia="zh-CN"/>
                    </w:rPr>
                    <w:t>不涉及</w:t>
                  </w:r>
                </w:p>
              </w:tc>
            </w:tr>
            <w:tr w14:paraId="42FCFD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Merge w:val="restart"/>
                  <w:tcBorders>
                    <w:top w:val="single" w:color="auto" w:sz="4" w:space="0"/>
                    <w:bottom w:val="single" w:color="auto" w:sz="4" w:space="0"/>
                  </w:tcBorders>
                  <w:vAlign w:val="center"/>
                </w:tcPr>
                <w:p w14:paraId="072DA4C0">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A4资</w:t>
                  </w:r>
                </w:p>
                <w:p w14:paraId="086C3DFC">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源利</w:t>
                  </w:r>
                </w:p>
                <w:p w14:paraId="323E7AA1">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用要</w:t>
                  </w:r>
                </w:p>
                <w:p w14:paraId="555EBFF5">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求</w:t>
                  </w:r>
                </w:p>
              </w:tc>
              <w:tc>
                <w:tcPr>
                  <w:tcW w:w="498" w:type="dxa"/>
                  <w:vMerge w:val="restart"/>
                  <w:tcBorders>
                    <w:top w:val="single" w:color="auto" w:sz="4" w:space="0"/>
                    <w:bottom w:val="single" w:color="auto" w:sz="4" w:space="0"/>
                  </w:tcBorders>
                  <w:vAlign w:val="center"/>
                </w:tcPr>
                <w:p w14:paraId="53ACB24A">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A4.1水资源</w:t>
                  </w:r>
                </w:p>
              </w:tc>
              <w:tc>
                <w:tcPr>
                  <w:tcW w:w="5092" w:type="dxa"/>
                  <w:tcBorders>
                    <w:right w:val="single" w:color="auto" w:sz="4" w:space="0"/>
                  </w:tcBorders>
                  <w:vAlign w:val="center"/>
                </w:tcPr>
                <w:p w14:paraId="69470C14">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〔A4.1-1〕自治区用水总量2025年、2030年控制在国家下达的指标内。</w:t>
                  </w:r>
                </w:p>
              </w:tc>
              <w:tc>
                <w:tcPr>
                  <w:tcW w:w="899" w:type="dxa"/>
                  <w:tcBorders>
                    <w:left w:val="single" w:color="auto" w:sz="4" w:space="0"/>
                  </w:tcBorders>
                  <w:vAlign w:val="center"/>
                </w:tcPr>
                <w:p w14:paraId="0E659825">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highlight w:val="none"/>
                    </w:rPr>
                  </w:pPr>
                  <w:r>
                    <w:rPr>
                      <w:rFonts w:hint="default" w:ascii="Times New Roman" w:hAnsi="Times New Roman" w:eastAsia="宋体" w:cs="Times New Roman"/>
                      <w:color w:val="0000FF"/>
                      <w:highlight w:val="none"/>
                      <w:lang w:val="en-US" w:eastAsia="zh-CN"/>
                    </w:rPr>
                    <w:t>符合</w:t>
                  </w:r>
                </w:p>
              </w:tc>
            </w:tr>
            <w:tr w14:paraId="244E0F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Merge w:val="continue"/>
                  <w:tcBorders>
                    <w:top w:val="single" w:color="auto" w:sz="4" w:space="0"/>
                    <w:bottom w:val="single" w:color="auto" w:sz="4" w:space="0"/>
                  </w:tcBorders>
                  <w:vAlign w:val="center"/>
                </w:tcPr>
                <w:p w14:paraId="0079038B">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498" w:type="dxa"/>
                  <w:vMerge w:val="continue"/>
                  <w:tcBorders>
                    <w:top w:val="single" w:color="auto" w:sz="4" w:space="0"/>
                    <w:bottom w:val="single" w:color="auto" w:sz="4" w:space="0"/>
                  </w:tcBorders>
                  <w:vAlign w:val="center"/>
                </w:tcPr>
                <w:p w14:paraId="5B296EB2">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5092" w:type="dxa"/>
                  <w:tcBorders>
                    <w:right w:val="single" w:color="auto" w:sz="4" w:space="0"/>
                  </w:tcBorders>
                  <w:vAlign w:val="center"/>
                </w:tcPr>
                <w:p w14:paraId="51B92127">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〔A4.1-2〕加大城镇污水再生利用工程建设力度，推进区域再生水循环利用，到2025年，城市生活污水再生利用率力争达到60%。</w:t>
                  </w:r>
                </w:p>
                <w:p w14:paraId="51D88D88">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〔A4.1-3〕加强农村水利基础设施建设，推进农村供水保障工程，农村自来水普及率、集中供水率分别达到99.3%、99.7%。</w:t>
                  </w:r>
                </w:p>
              </w:tc>
              <w:tc>
                <w:tcPr>
                  <w:tcW w:w="899" w:type="dxa"/>
                  <w:tcBorders>
                    <w:left w:val="single" w:color="auto" w:sz="4" w:space="0"/>
                  </w:tcBorders>
                  <w:vAlign w:val="center"/>
                </w:tcPr>
                <w:p w14:paraId="07928A43">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highlight w:val="none"/>
                    </w:rPr>
                  </w:pPr>
                  <w:r>
                    <w:rPr>
                      <w:rFonts w:hint="eastAsia" w:hAnsi="Times New Roman" w:cs="Times New Roman"/>
                      <w:color w:val="0000FF"/>
                      <w:highlight w:val="none"/>
                      <w:lang w:val="en-US" w:eastAsia="zh-CN"/>
                    </w:rPr>
                    <w:t>不涉及</w:t>
                  </w:r>
                </w:p>
              </w:tc>
            </w:tr>
            <w:tr w14:paraId="7488AA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Merge w:val="continue"/>
                  <w:tcBorders>
                    <w:top w:val="single" w:color="auto" w:sz="4" w:space="0"/>
                    <w:bottom w:val="single" w:color="auto" w:sz="4" w:space="0"/>
                  </w:tcBorders>
                  <w:vAlign w:val="center"/>
                </w:tcPr>
                <w:p w14:paraId="49C69675">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498" w:type="dxa"/>
                  <w:vMerge w:val="continue"/>
                  <w:tcBorders>
                    <w:top w:val="single" w:color="auto" w:sz="4" w:space="0"/>
                    <w:bottom w:val="single" w:color="auto" w:sz="4" w:space="0"/>
                  </w:tcBorders>
                  <w:vAlign w:val="center"/>
                </w:tcPr>
                <w:p w14:paraId="55210BB5">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5092" w:type="dxa"/>
                  <w:tcBorders>
                    <w:right w:val="single" w:color="auto" w:sz="4" w:space="0"/>
                  </w:tcBorders>
                  <w:vAlign w:val="center"/>
                </w:tcPr>
                <w:p w14:paraId="425C68F4">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〔A4.1-4〕地下水资源利用实行总量控制和水位控制。取用地下水资源，应当按照国家和自治区有关规定申请取水许可。地下水利用应当以浅层地下水为主。</w:t>
                  </w:r>
                </w:p>
              </w:tc>
              <w:tc>
                <w:tcPr>
                  <w:tcW w:w="899" w:type="dxa"/>
                  <w:tcBorders>
                    <w:left w:val="single" w:color="auto" w:sz="4" w:space="0"/>
                  </w:tcBorders>
                  <w:vAlign w:val="center"/>
                </w:tcPr>
                <w:p w14:paraId="254A22CC">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highlight w:val="none"/>
                    </w:rPr>
                  </w:pPr>
                  <w:r>
                    <w:rPr>
                      <w:rFonts w:hint="eastAsia" w:hAnsi="Times New Roman" w:cs="Times New Roman"/>
                      <w:color w:val="0000FF"/>
                      <w:highlight w:val="none"/>
                      <w:lang w:val="en-US" w:eastAsia="zh-CN"/>
                    </w:rPr>
                    <w:t>不涉及</w:t>
                  </w:r>
                </w:p>
              </w:tc>
            </w:tr>
            <w:tr w14:paraId="792EA5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Merge w:val="continue"/>
                  <w:tcBorders>
                    <w:top w:val="single" w:color="auto" w:sz="4" w:space="0"/>
                  </w:tcBorders>
                  <w:vAlign w:val="center"/>
                </w:tcPr>
                <w:p w14:paraId="3ABA16E9">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498" w:type="dxa"/>
                  <w:tcBorders>
                    <w:top w:val="single" w:color="auto" w:sz="4" w:space="0"/>
                  </w:tcBorders>
                  <w:vAlign w:val="center"/>
                </w:tcPr>
                <w:p w14:paraId="4C872EA2">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A4.2土地资源</w:t>
                  </w:r>
                </w:p>
              </w:tc>
              <w:tc>
                <w:tcPr>
                  <w:tcW w:w="5092" w:type="dxa"/>
                  <w:tcBorders>
                    <w:right w:val="single" w:color="auto" w:sz="4" w:space="0"/>
                  </w:tcBorders>
                  <w:vAlign w:val="center"/>
                </w:tcPr>
                <w:p w14:paraId="22803896">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〔A4.2-1〕土地资源上线指标控制在最终批复的国土空间规划控制指标内。</w:t>
                  </w:r>
                </w:p>
              </w:tc>
              <w:tc>
                <w:tcPr>
                  <w:tcW w:w="899" w:type="dxa"/>
                  <w:tcBorders>
                    <w:left w:val="single" w:color="auto" w:sz="4" w:space="0"/>
                  </w:tcBorders>
                  <w:vAlign w:val="center"/>
                </w:tcPr>
                <w:p w14:paraId="557E87B5">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highlight w:val="none"/>
                    </w:rPr>
                  </w:pPr>
                  <w:r>
                    <w:rPr>
                      <w:rFonts w:hint="default" w:ascii="Times New Roman" w:hAnsi="Times New Roman" w:eastAsia="宋体" w:cs="Times New Roman"/>
                      <w:color w:val="0000FF"/>
                      <w:highlight w:val="none"/>
                      <w:lang w:val="en-US" w:eastAsia="zh-CN"/>
                    </w:rPr>
                    <w:t>符合</w:t>
                  </w:r>
                </w:p>
              </w:tc>
            </w:tr>
            <w:tr w14:paraId="105E9D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Merge w:val="continue"/>
                  <w:vAlign w:val="center"/>
                </w:tcPr>
                <w:p w14:paraId="3C952D1E">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498" w:type="dxa"/>
                  <w:vMerge w:val="restart"/>
                  <w:vAlign w:val="center"/>
                </w:tcPr>
                <w:p w14:paraId="05F0F695">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p w14:paraId="3693C4F7">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p w14:paraId="708D7205">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p w14:paraId="2A6D402B">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p w14:paraId="0B817D62">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A4.5资源综合利用</w:t>
                  </w:r>
                </w:p>
              </w:tc>
              <w:tc>
                <w:tcPr>
                  <w:tcW w:w="5092" w:type="dxa"/>
                  <w:tcBorders>
                    <w:right w:val="single" w:color="auto" w:sz="4" w:space="0"/>
                  </w:tcBorders>
                  <w:vAlign w:val="center"/>
                </w:tcPr>
                <w:p w14:paraId="14451AD7">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4.5-1〕加强固体废物源头减量、资源化利用和无害化处置，最大限度减少填埋量。推进工业固体废物精细化、名录化环境管理，促进大宗工业固废综合利用、主要农业废弃物全量利用。加快构建废旧物资回收和循环利用体系，健全强制报废制度和废旧家电、消费电子等耐用消费品回收处理体系，推行生产企业“逆向回收”等模式。以尾矿和共伴生矿、煤矸石、炉渣、粉煤灰、脱硫石膏、冶炼渣、建筑垃圾等为重点，持续推进固体废物综合利用和环境整治，不断提高大宗固体废物资源化利用水平。推行生活垃圾分类，加快建设县(市)生活垃圾处理设施，到2025年，全疆城市生活垃圾无害化处理率达到99%以上。</w:t>
                  </w:r>
                </w:p>
              </w:tc>
              <w:tc>
                <w:tcPr>
                  <w:tcW w:w="899" w:type="dxa"/>
                  <w:tcBorders>
                    <w:left w:val="single" w:color="auto" w:sz="4" w:space="0"/>
                  </w:tcBorders>
                  <w:vAlign w:val="center"/>
                </w:tcPr>
                <w:p w14:paraId="03BCDDDC">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highlight w:val="none"/>
                    </w:rPr>
                  </w:pPr>
                  <w:r>
                    <w:rPr>
                      <w:rFonts w:hint="default" w:ascii="Times New Roman" w:hAnsi="Times New Roman" w:eastAsia="宋体" w:cs="Times New Roman"/>
                      <w:color w:val="0000FF"/>
                      <w:highlight w:val="none"/>
                      <w:lang w:val="en-US" w:eastAsia="zh-CN"/>
                    </w:rPr>
                    <w:t>符合</w:t>
                  </w:r>
                </w:p>
              </w:tc>
            </w:tr>
            <w:tr w14:paraId="692430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Merge w:val="continue"/>
                  <w:vAlign w:val="center"/>
                </w:tcPr>
                <w:p w14:paraId="2FD12469">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498" w:type="dxa"/>
                  <w:vMerge w:val="continue"/>
                  <w:vAlign w:val="center"/>
                </w:tcPr>
                <w:p w14:paraId="1F3AB3A8">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5092" w:type="dxa"/>
                  <w:tcBorders>
                    <w:right w:val="single" w:color="auto" w:sz="4" w:space="0"/>
                  </w:tcBorders>
                  <w:vAlign w:val="center"/>
                </w:tcPr>
                <w:p w14:paraId="47B4FA34">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4.5-2〕推动工业固废按元素价值综合开发利用，加快推进尾矿(共伴生矿)、粉煤灰、煤矸石、冶炼渣、工业副产石膏、赤泥、化工废渣等工业固废在有价组分提取、建材生产、市政设施建设、井下充填、生态修复、土壤治理等领域的规模化利用。着力提升工业固废在生产纤维材料、微晶玻璃、超细化填料、低碳水泥、固废基高性能混凝土、预制件、节能型建筑材料等领域的高值化利用水平。</w:t>
                  </w:r>
                </w:p>
              </w:tc>
              <w:tc>
                <w:tcPr>
                  <w:tcW w:w="899" w:type="dxa"/>
                  <w:tcBorders>
                    <w:left w:val="single" w:color="auto" w:sz="4" w:space="0"/>
                  </w:tcBorders>
                  <w:vAlign w:val="center"/>
                </w:tcPr>
                <w:p w14:paraId="50F8CDFD">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highlight w:val="none"/>
                    </w:rPr>
                  </w:pPr>
                  <w:r>
                    <w:rPr>
                      <w:rFonts w:hint="eastAsia" w:hAnsi="Times New Roman" w:cs="Times New Roman"/>
                      <w:color w:val="0000FF"/>
                      <w:highlight w:val="none"/>
                      <w:lang w:val="en-US" w:eastAsia="zh-CN"/>
                    </w:rPr>
                    <w:t>不涉及</w:t>
                  </w:r>
                </w:p>
              </w:tc>
            </w:tr>
            <w:tr w14:paraId="7B8FEF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Merge w:val="continue"/>
                  <w:vAlign w:val="center"/>
                </w:tcPr>
                <w:p w14:paraId="7BAD2C34">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498" w:type="dxa"/>
                  <w:vMerge w:val="continue"/>
                  <w:vAlign w:val="center"/>
                </w:tcPr>
                <w:p w14:paraId="34513A6F">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5092" w:type="dxa"/>
                  <w:tcBorders>
                    <w:right w:val="single" w:color="auto" w:sz="4" w:space="0"/>
                  </w:tcBorders>
                  <w:vAlign w:val="center"/>
                </w:tcPr>
                <w:p w14:paraId="55E85B56">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4.5-3〕结合工业领域减污降碳要求，加快探索钢铁、有色、化工、建材等重点行业工业固体废物减量化路径，全面推行清洁生产。全面推进绿色矿山、“无废”矿区建设，推广尾矿等大宗工业固体废物环境友好型井下充填回填，减少尾矿库贮存量。推动大宗工业固体废物在提取有价组分、生产建材、筑路、生态修复、土壤治理等领域的规模化利用。</w:t>
                  </w:r>
                </w:p>
              </w:tc>
              <w:tc>
                <w:tcPr>
                  <w:tcW w:w="899" w:type="dxa"/>
                  <w:tcBorders>
                    <w:left w:val="single" w:color="auto" w:sz="4" w:space="0"/>
                  </w:tcBorders>
                  <w:vAlign w:val="center"/>
                </w:tcPr>
                <w:p w14:paraId="696B4FB1">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highlight w:val="none"/>
                    </w:rPr>
                  </w:pPr>
                  <w:r>
                    <w:rPr>
                      <w:rFonts w:hint="eastAsia" w:hAnsi="Times New Roman" w:cs="Times New Roman"/>
                      <w:color w:val="0000FF"/>
                      <w:highlight w:val="none"/>
                      <w:lang w:val="en-US" w:eastAsia="zh-CN"/>
                    </w:rPr>
                    <w:t>不涉及</w:t>
                  </w:r>
                </w:p>
              </w:tc>
            </w:tr>
            <w:tr w14:paraId="2921D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Merge w:val="continue"/>
                  <w:vAlign w:val="center"/>
                </w:tcPr>
                <w:p w14:paraId="564DA6A0">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498" w:type="dxa"/>
                  <w:vMerge w:val="continue"/>
                  <w:vAlign w:val="center"/>
                </w:tcPr>
                <w:p w14:paraId="72B56ACB">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5092" w:type="dxa"/>
                  <w:tcBorders>
                    <w:right w:val="single" w:color="auto" w:sz="4" w:space="0"/>
                  </w:tcBorders>
                  <w:vAlign w:val="center"/>
                </w:tcPr>
                <w:p w14:paraId="55F5C0E0">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4.5-4〕发展生态种植、生态养殖，建立农业循环经济发展模式，促进农业固体废物综合利用。鼓励和引导农民采用增施有机肥秸秆还田、种植绿肥等技术，持续减少化肥农药使用比例。加大畜禽粪污和秸秆资源化利用先进技术和新型市场模式的集成推广，推动形成长效运行机制。</w:t>
                  </w:r>
                </w:p>
              </w:tc>
              <w:tc>
                <w:tcPr>
                  <w:tcW w:w="899" w:type="dxa"/>
                  <w:tcBorders>
                    <w:left w:val="single" w:color="auto" w:sz="4" w:space="0"/>
                  </w:tcBorders>
                  <w:vAlign w:val="center"/>
                </w:tcPr>
                <w:p w14:paraId="1DC89F93">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highlight w:val="none"/>
                    </w:rPr>
                  </w:pPr>
                  <w:r>
                    <w:rPr>
                      <w:rFonts w:hint="eastAsia" w:hAnsi="Times New Roman" w:cs="Times New Roman"/>
                      <w:color w:val="0000FF"/>
                      <w:highlight w:val="none"/>
                      <w:lang w:val="en-US" w:eastAsia="zh-CN"/>
                    </w:rPr>
                    <w:t>不涉及</w:t>
                  </w:r>
                </w:p>
              </w:tc>
            </w:tr>
          </w:tbl>
          <w:p w14:paraId="0D1F4235">
            <w:pPr>
              <w:keepNext w:val="0"/>
              <w:keepLines w:val="0"/>
              <w:suppressLineNumbers w:val="0"/>
              <w:topLinePunct/>
              <w:spacing w:before="0" w:beforeAutospacing="0" w:after="0" w:afterAutospacing="0" w:line="360" w:lineRule="auto"/>
              <w:ind w:left="0" w:right="0" w:firstLine="482" w:firstLineChars="200"/>
              <w:rPr>
                <w:rFonts w:hint="default" w:ascii="Times New Roman" w:hAnsi="Times New Roman" w:eastAsia="宋体" w:cs="Times New Roman"/>
                <w:b/>
                <w:bCs w:val="0"/>
                <w:color w:val="auto"/>
                <w:sz w:val="24"/>
                <w:highlight w:val="none"/>
              </w:rPr>
            </w:pPr>
            <w:r>
              <w:rPr>
                <w:rFonts w:hint="eastAsia" w:ascii="Times New Roman" w:hAnsi="Times New Roman" w:cs="Times New Roman"/>
                <w:b/>
                <w:bCs w:val="0"/>
                <w:color w:val="auto"/>
                <w:sz w:val="24"/>
                <w:highlight w:val="none"/>
                <w:lang w:val="en-US" w:eastAsia="zh-CN"/>
              </w:rPr>
              <w:t>3</w:t>
            </w:r>
            <w:r>
              <w:rPr>
                <w:rFonts w:hint="default" w:ascii="Times New Roman" w:hAnsi="Times New Roman" w:eastAsia="宋体" w:cs="Times New Roman"/>
                <w:b/>
                <w:bCs w:val="0"/>
                <w:color w:val="auto"/>
                <w:sz w:val="24"/>
                <w:highlight w:val="none"/>
              </w:rPr>
              <w:t>、</w:t>
            </w:r>
            <w:r>
              <w:rPr>
                <w:rFonts w:hint="default" w:ascii="Times New Roman" w:hAnsi="Times New Roman" w:eastAsia="宋体" w:cs="Times New Roman"/>
                <w:b/>
                <w:bCs w:val="0"/>
                <w:color w:val="auto"/>
                <w:kern w:val="0"/>
                <w:sz w:val="24"/>
                <w:szCs w:val="24"/>
                <w:highlight w:val="none"/>
                <w:lang w:val="en-US" w:eastAsia="zh-CN" w:bidi="ar-SA"/>
              </w:rPr>
              <w:t>《关于印发〈新疆维吾尔自治区七大片区</w:t>
            </w:r>
            <w:r>
              <w:rPr>
                <w:rFonts w:hint="eastAsia" w:ascii="Times New Roman" w:hAnsi="Times New Roman" w:eastAsia="宋体" w:cs="Times New Roman"/>
                <w:b/>
                <w:bCs w:val="0"/>
                <w:color w:val="auto"/>
                <w:kern w:val="0"/>
                <w:sz w:val="24"/>
                <w:szCs w:val="24"/>
                <w:highlight w:val="none"/>
                <w:lang w:val="en-US" w:eastAsia="zh-CN" w:bidi="ar-SA"/>
              </w:rPr>
              <w:t>“三线一单”</w:t>
            </w:r>
            <w:r>
              <w:rPr>
                <w:rFonts w:hint="default" w:ascii="Times New Roman" w:hAnsi="Times New Roman" w:eastAsia="宋体" w:cs="Times New Roman"/>
                <w:b/>
                <w:bCs w:val="0"/>
                <w:color w:val="auto"/>
                <w:kern w:val="0"/>
                <w:sz w:val="24"/>
                <w:szCs w:val="24"/>
                <w:highlight w:val="none"/>
                <w:lang w:val="en-US" w:eastAsia="zh-CN" w:bidi="ar-SA"/>
              </w:rPr>
              <w:t>生态环境分区管控要求〉的通知》（新环环评发〔2021〕162号）</w:t>
            </w:r>
            <w:r>
              <w:rPr>
                <w:rFonts w:hint="default" w:ascii="Times New Roman" w:hAnsi="Times New Roman" w:eastAsia="宋体" w:cs="Times New Roman"/>
                <w:b/>
                <w:bCs w:val="0"/>
                <w:color w:val="auto"/>
                <w:sz w:val="24"/>
                <w:highlight w:val="none"/>
              </w:rPr>
              <w:t>符合性分析</w:t>
            </w:r>
          </w:p>
          <w:p w14:paraId="336039CD">
            <w:pPr>
              <w:pStyle w:val="3"/>
              <w:keepNext/>
              <w:keepLines/>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textAlignment w:val="auto"/>
              <w:rPr>
                <w:rFonts w:hint="default" w:ascii="Times New Roman" w:hAnsi="Times New Roman" w:eastAsia="宋体" w:cs="Times New Roman"/>
                <w:b w:val="0"/>
                <w:bCs w:val="0"/>
                <w:color w:val="auto"/>
                <w:kern w:val="0"/>
                <w:sz w:val="24"/>
                <w:szCs w:val="24"/>
                <w:highlight w:val="none"/>
                <w:lang w:val="en-US" w:eastAsia="zh-CN" w:bidi="ar-SA"/>
              </w:rPr>
            </w:pPr>
            <w:r>
              <w:rPr>
                <w:rFonts w:hint="default" w:ascii="Times New Roman" w:hAnsi="Times New Roman" w:eastAsia="宋体" w:cs="Times New Roman"/>
                <w:b w:val="0"/>
                <w:bCs w:val="0"/>
                <w:color w:val="auto"/>
                <w:kern w:val="0"/>
                <w:sz w:val="24"/>
                <w:szCs w:val="24"/>
                <w:highlight w:val="none"/>
                <w:lang w:val="en-US" w:eastAsia="zh-CN" w:bidi="ar-SA"/>
              </w:rPr>
              <w:t>按照《关于印发〈新疆维吾尔自治区七大片区</w:t>
            </w:r>
            <w:r>
              <w:rPr>
                <w:rFonts w:hint="eastAsia" w:ascii="Times New Roman" w:hAnsi="Times New Roman" w:eastAsia="宋体" w:cs="Times New Roman"/>
                <w:b w:val="0"/>
                <w:bCs w:val="0"/>
                <w:color w:val="auto"/>
                <w:kern w:val="0"/>
                <w:sz w:val="24"/>
                <w:szCs w:val="24"/>
                <w:highlight w:val="none"/>
                <w:lang w:val="en-US" w:eastAsia="zh-CN" w:bidi="ar-SA"/>
              </w:rPr>
              <w:t>“三线一单”</w:t>
            </w:r>
            <w:r>
              <w:rPr>
                <w:rFonts w:hint="default" w:ascii="Times New Roman" w:hAnsi="Times New Roman" w:eastAsia="宋体" w:cs="Times New Roman"/>
                <w:b w:val="0"/>
                <w:bCs w:val="0"/>
                <w:color w:val="auto"/>
                <w:kern w:val="0"/>
                <w:sz w:val="24"/>
                <w:szCs w:val="24"/>
                <w:highlight w:val="none"/>
                <w:lang w:val="en-US" w:eastAsia="zh-CN" w:bidi="ar-SA"/>
              </w:rPr>
              <w:t>生态环境分区管控要求〉的通知》（新环环评发〔2021〕162号），全区划分为七大片区，包括北疆北部（塔城地区、阿勒泰地区）、伊犁河谷、克奎乌－博州、乌昌石、吐哈、天山南坡（巴州、阿克苏地区）和南疆三地州片区，新疆维吾尔自治区生态环境厅制定《新疆维吾尔自治区七大片区</w:t>
            </w:r>
            <w:r>
              <w:rPr>
                <w:rFonts w:hint="eastAsia" w:ascii="Times New Roman" w:hAnsi="Times New Roman" w:eastAsia="宋体" w:cs="Times New Roman"/>
                <w:b w:val="0"/>
                <w:bCs w:val="0"/>
                <w:color w:val="auto"/>
                <w:kern w:val="0"/>
                <w:sz w:val="24"/>
                <w:szCs w:val="24"/>
                <w:highlight w:val="none"/>
                <w:lang w:val="en-US" w:eastAsia="zh-CN" w:bidi="ar-SA"/>
              </w:rPr>
              <w:t>“三线一单”</w:t>
            </w:r>
            <w:r>
              <w:rPr>
                <w:rFonts w:hint="default" w:ascii="Times New Roman" w:hAnsi="Times New Roman" w:eastAsia="宋体" w:cs="Times New Roman"/>
                <w:b w:val="0"/>
                <w:bCs w:val="0"/>
                <w:color w:val="auto"/>
                <w:kern w:val="0"/>
                <w:sz w:val="24"/>
                <w:szCs w:val="24"/>
                <w:highlight w:val="none"/>
                <w:lang w:val="en-US" w:eastAsia="zh-CN" w:bidi="ar-SA"/>
              </w:rPr>
              <w:t>生态环境分区管控要求》。塔城地区（不含沙湾市和乌苏市）主要涉及“北疆北部片区”，乌苏市涉及“克奎乌－博州片区”，沙湾市涉及乌昌石片区。</w:t>
            </w:r>
          </w:p>
          <w:p w14:paraId="6A0948D4">
            <w:pPr>
              <w:pStyle w:val="3"/>
              <w:keepNext/>
              <w:keepLines/>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textAlignment w:val="auto"/>
              <w:rPr>
                <w:rFonts w:hint="default" w:ascii="Times New Roman" w:hAnsi="Times New Roman" w:eastAsia="宋体" w:cs="Times New Roman"/>
                <w:b w:val="0"/>
                <w:bCs w:val="0"/>
                <w:color w:val="auto"/>
                <w:kern w:val="0"/>
                <w:sz w:val="24"/>
                <w:szCs w:val="24"/>
                <w:highlight w:val="none"/>
                <w:lang w:val="en-US" w:eastAsia="zh-CN" w:bidi="ar-SA"/>
              </w:rPr>
            </w:pPr>
            <w:r>
              <w:rPr>
                <w:rFonts w:hint="default" w:ascii="Times New Roman" w:hAnsi="Times New Roman" w:eastAsia="宋体" w:cs="Times New Roman"/>
                <w:b w:val="0"/>
                <w:bCs w:val="0"/>
                <w:color w:val="auto"/>
                <w:kern w:val="0"/>
                <w:sz w:val="24"/>
                <w:szCs w:val="24"/>
                <w:highlight w:val="none"/>
                <w:lang w:val="en-US" w:eastAsia="zh-CN" w:bidi="ar-SA"/>
              </w:rPr>
              <w:t>本项目位于七大片区中南疆三地州片区，该片区管控具体要求为：①南疆三地州片区包括喀什地区、克孜勒苏柯尔克孜自治州、和田地区。加强绿洲边缘生态保护与修复，统筹推进山水林田湖草沙治理，禁止樵采喀什三角洲荒漠、绿洲区荒漠植被，禁止砍伐玉龙喀什河、喀拉喀什河、叶尔羌河、和田河等河流沿岸天然林，保护绿洲和绿色走廊。②控制东昆仑山一阿尔金山山前绿洲、叶尔羌河流域绿洲、和田河流域绿洲、喀什－阿图什绿洲的农业用水量，提高水土资源利用效率，大力推行节水改造，维护叶尔羌河、和田河等河流下游基本生态用水。</w:t>
            </w:r>
          </w:p>
          <w:p w14:paraId="0797CEB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kern w:val="0"/>
                <w:sz w:val="24"/>
                <w:szCs w:val="24"/>
                <w:highlight w:val="none"/>
                <w:lang w:val="en-US" w:eastAsia="zh-CN" w:bidi="ar-SA"/>
              </w:rPr>
              <w:t>本项目符合《新疆维吾尔自治区生态环境分区管控方案和七大片区管控要求》中各项管控要求。</w:t>
            </w:r>
          </w:p>
          <w:p w14:paraId="64C13A68">
            <w:pPr>
              <w:keepNext w:val="0"/>
              <w:keepLines w:val="0"/>
              <w:suppressLineNumbers w:val="0"/>
              <w:topLinePunct/>
              <w:spacing w:before="0" w:beforeAutospacing="0" w:after="0" w:afterAutospacing="0" w:line="360" w:lineRule="auto"/>
              <w:ind w:left="0" w:right="0" w:firstLine="482" w:firstLineChars="200"/>
              <w:rPr>
                <w:rFonts w:hint="default" w:ascii="Times New Roman" w:hAnsi="Times New Roman" w:eastAsia="宋体" w:cs="Times New Roman"/>
                <w:b/>
                <w:color w:val="auto"/>
                <w:sz w:val="24"/>
                <w:highlight w:val="none"/>
              </w:rPr>
            </w:pPr>
            <w:r>
              <w:rPr>
                <w:rFonts w:hint="eastAsia" w:ascii="Times New Roman" w:hAnsi="Times New Roman" w:cs="Times New Roman"/>
                <w:b/>
                <w:color w:val="auto"/>
                <w:sz w:val="24"/>
                <w:highlight w:val="none"/>
                <w:lang w:val="en-US" w:eastAsia="zh-CN"/>
              </w:rPr>
              <w:t>4</w:t>
            </w:r>
            <w:r>
              <w:rPr>
                <w:rFonts w:hint="default" w:ascii="Times New Roman" w:hAnsi="Times New Roman" w:eastAsia="宋体" w:cs="Times New Roman"/>
                <w:b/>
                <w:color w:val="auto"/>
                <w:sz w:val="24"/>
                <w:highlight w:val="none"/>
              </w:rPr>
              <w:t>、</w:t>
            </w:r>
            <w:r>
              <w:rPr>
                <w:rFonts w:hint="default" w:ascii="Times New Roman" w:hAnsi="Times New Roman" w:eastAsia="宋体" w:cs="Times New Roman"/>
                <w:b/>
                <w:color w:val="auto"/>
                <w:sz w:val="24"/>
                <w:highlight w:val="none"/>
                <w:lang w:val="en-US" w:eastAsia="zh-CN"/>
              </w:rPr>
              <w:t>《喀什地区</w:t>
            </w:r>
            <w:r>
              <w:rPr>
                <w:rFonts w:hint="eastAsia" w:ascii="Times New Roman" w:hAnsi="Times New Roman" w:eastAsia="宋体" w:cs="Times New Roman"/>
                <w:b/>
                <w:color w:val="auto"/>
                <w:sz w:val="24"/>
                <w:highlight w:val="none"/>
                <w:lang w:val="en-US" w:eastAsia="zh-CN"/>
              </w:rPr>
              <w:t>“三线一单”</w:t>
            </w:r>
            <w:r>
              <w:rPr>
                <w:rFonts w:hint="default" w:ascii="Times New Roman" w:hAnsi="Times New Roman" w:eastAsia="宋体" w:cs="Times New Roman"/>
                <w:b/>
                <w:color w:val="auto"/>
                <w:sz w:val="24"/>
                <w:highlight w:val="none"/>
                <w:lang w:val="en-US" w:eastAsia="zh-CN"/>
              </w:rPr>
              <w:t>生态环境分区管控方案》（2023版）</w:t>
            </w:r>
            <w:r>
              <w:rPr>
                <w:rFonts w:hint="default" w:ascii="Times New Roman" w:hAnsi="Times New Roman" w:eastAsia="宋体" w:cs="Times New Roman"/>
                <w:b/>
                <w:color w:val="auto"/>
                <w:sz w:val="24"/>
                <w:highlight w:val="none"/>
              </w:rPr>
              <w:t>符合性分析</w:t>
            </w:r>
          </w:p>
          <w:p w14:paraId="61A5D6F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本项目与《喀什地区</w:t>
            </w:r>
            <w:r>
              <w:rPr>
                <w:rFonts w:hint="eastAsia" w:ascii="Times New Roman" w:hAnsi="Times New Roman" w:eastAsia="宋体" w:cs="Times New Roman"/>
                <w:color w:val="auto"/>
                <w:sz w:val="24"/>
                <w:szCs w:val="24"/>
                <w:lang w:eastAsia="zh-CN"/>
              </w:rPr>
              <w:t>“三线一单”</w:t>
            </w:r>
            <w:r>
              <w:rPr>
                <w:rFonts w:hint="default" w:ascii="Times New Roman" w:hAnsi="Times New Roman" w:eastAsia="宋体" w:cs="Times New Roman"/>
                <w:color w:val="auto"/>
                <w:sz w:val="24"/>
                <w:szCs w:val="24"/>
              </w:rPr>
              <w:t>生态环境分区管控方案》〔</w:t>
            </w:r>
            <w:r>
              <w:rPr>
                <w:rFonts w:hint="eastAsia" w:ascii="Times New Roman" w:hAnsi="Times New Roman" w:eastAsia="宋体" w:cs="Times New Roman"/>
                <w:color w:val="auto"/>
                <w:sz w:val="24"/>
                <w:szCs w:val="24"/>
                <w:lang w:val="en-US" w:eastAsia="zh-CN"/>
              </w:rPr>
              <w:t>2023版</w:t>
            </w:r>
            <w:r>
              <w:rPr>
                <w:rFonts w:hint="default" w:ascii="Times New Roman" w:hAnsi="Times New Roman" w:eastAsia="宋体" w:cs="Times New Roman"/>
                <w:color w:val="auto"/>
                <w:sz w:val="24"/>
                <w:szCs w:val="24"/>
              </w:rPr>
              <w:t>）、《喀什地区环境管控单元汇总表（2023年版）》的相符性分析见表</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w:t>
            </w:r>
            <w:r>
              <w:rPr>
                <w:rFonts w:hint="eastAsia"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p>
          <w:p w14:paraId="772D7DB3">
            <w:pPr>
              <w:pStyle w:val="111"/>
              <w:keepNext w:val="0"/>
              <w:keepLines w:val="0"/>
              <w:suppressLineNumbers w:val="0"/>
              <w:spacing w:before="0" w:beforeAutospacing="0" w:after="0" w:afterAutospacing="0"/>
              <w:ind w:left="0" w:right="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rPr>
              <w:t>表</w:t>
            </w:r>
            <w:r>
              <w:rPr>
                <w:rFonts w:hint="default" w:ascii="Times New Roman" w:hAnsi="Times New Roman" w:eastAsia="宋体" w:cs="Times New Roman"/>
                <w:b/>
                <w:bCs/>
                <w:color w:val="auto"/>
                <w:highlight w:val="none"/>
                <w:lang w:val="en-US" w:eastAsia="zh-CN"/>
              </w:rPr>
              <w:t>1</w:t>
            </w:r>
            <w:r>
              <w:rPr>
                <w:rFonts w:hint="default" w:ascii="Times New Roman" w:hAnsi="Times New Roman" w:eastAsia="宋体" w:cs="Times New Roman"/>
                <w:b/>
                <w:bCs/>
                <w:color w:val="auto"/>
                <w:highlight w:val="none"/>
              </w:rPr>
              <w:t>-</w:t>
            </w:r>
            <w:r>
              <w:rPr>
                <w:rFonts w:hint="eastAsia" w:hAnsi="Times New Roman" w:cs="Times New Roman"/>
                <w:b/>
                <w:bCs/>
                <w:color w:val="auto"/>
                <w:highlight w:val="none"/>
                <w:lang w:val="en-US" w:eastAsia="zh-CN"/>
              </w:rPr>
              <w:t>3</w:t>
            </w:r>
            <w:r>
              <w:rPr>
                <w:rFonts w:hint="default" w:ascii="Times New Roman" w:hAnsi="Times New Roman" w:eastAsia="宋体" w:cs="Times New Roman"/>
                <w:b/>
                <w:bCs/>
                <w:color w:val="auto"/>
                <w:highlight w:val="none"/>
              </w:rPr>
              <w:t xml:space="preserve"> 与 《喀什地区</w:t>
            </w:r>
            <w:r>
              <w:rPr>
                <w:rFonts w:hint="eastAsia" w:ascii="Times New Roman" w:hAnsi="Times New Roman" w:eastAsia="宋体" w:cs="Times New Roman"/>
                <w:b/>
                <w:bCs/>
                <w:color w:val="auto"/>
                <w:highlight w:val="none"/>
                <w:lang w:eastAsia="zh-CN"/>
              </w:rPr>
              <w:t>“三线一单”</w:t>
            </w:r>
            <w:r>
              <w:rPr>
                <w:rFonts w:hint="default" w:ascii="Times New Roman" w:hAnsi="Times New Roman" w:eastAsia="宋体" w:cs="Times New Roman"/>
                <w:b/>
                <w:bCs/>
                <w:color w:val="auto"/>
                <w:highlight w:val="none"/>
              </w:rPr>
              <w:t>生态环境分区管控方案》的相符性分析</w:t>
            </w:r>
          </w:p>
          <w:tbl>
            <w:tblPr>
              <w:tblStyle w:val="34"/>
              <w:tblW w:w="7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02"/>
              <w:gridCol w:w="2458"/>
              <w:gridCol w:w="1020"/>
            </w:tblGrid>
            <w:tr w14:paraId="5F012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2" w:type="dxa"/>
                  <w:noWrap w:val="0"/>
                  <w:vAlign w:val="center"/>
                </w:tcPr>
                <w:p w14:paraId="2F3A9E0E">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《喀什地区</w:t>
                  </w:r>
                  <w:r>
                    <w:rPr>
                      <w:rFonts w:hint="eastAsia" w:ascii="Times New Roman" w:hAnsi="Times New Roman" w:eastAsia="宋体" w:cs="Times New Roman"/>
                      <w:color w:val="auto"/>
                      <w:highlight w:val="none"/>
                      <w:lang w:eastAsia="zh-CN"/>
                    </w:rPr>
                    <w:t>“三线一单”</w:t>
                  </w:r>
                  <w:r>
                    <w:rPr>
                      <w:rFonts w:hint="default" w:ascii="Times New Roman" w:hAnsi="Times New Roman" w:eastAsia="宋体" w:cs="Times New Roman"/>
                      <w:color w:val="auto"/>
                      <w:highlight w:val="none"/>
                    </w:rPr>
                    <w:t>生态环境分区管控方案》（喀署办发〔2021〕56号）、《喀什地区环境管控单元汇总表（2023年版）》</w:t>
                  </w:r>
                </w:p>
              </w:tc>
              <w:tc>
                <w:tcPr>
                  <w:tcW w:w="2458" w:type="dxa"/>
                  <w:noWrap w:val="0"/>
                  <w:vAlign w:val="center"/>
                </w:tcPr>
                <w:p w14:paraId="27808E99">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本项目情况</w:t>
                  </w:r>
                </w:p>
              </w:tc>
              <w:tc>
                <w:tcPr>
                  <w:tcW w:w="1020" w:type="dxa"/>
                  <w:noWrap w:val="0"/>
                  <w:vAlign w:val="center"/>
                </w:tcPr>
                <w:p w14:paraId="2C7A0157">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相符性</w:t>
                  </w:r>
                </w:p>
              </w:tc>
            </w:tr>
            <w:tr w14:paraId="6767B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2" w:type="dxa"/>
                  <w:noWrap w:val="0"/>
                  <w:vAlign w:val="center"/>
                </w:tcPr>
                <w:p w14:paraId="262AF149">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（一）生态保护红线。按照“生态功能不降低、面积不减少、性质不改变”的基本要求，对划定的生态保护红线实施严格管控，保障和维护生态安全的底线和生命线。</w:t>
                  </w:r>
                </w:p>
              </w:tc>
              <w:tc>
                <w:tcPr>
                  <w:tcW w:w="2458" w:type="dxa"/>
                  <w:noWrap w:val="0"/>
                  <w:vAlign w:val="center"/>
                </w:tcPr>
                <w:p w14:paraId="166AB4A5">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本项目所在区域内无自然保护区、风景名胜区等特殊生态敏感区，不在生态保护红线区内。</w:t>
                  </w:r>
                </w:p>
              </w:tc>
              <w:tc>
                <w:tcPr>
                  <w:tcW w:w="1020" w:type="dxa"/>
                  <w:noWrap w:val="0"/>
                  <w:vAlign w:val="center"/>
                </w:tcPr>
                <w:p w14:paraId="18075F41">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符合</w:t>
                  </w:r>
                </w:p>
              </w:tc>
            </w:tr>
            <w:tr w14:paraId="48B15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2" w:type="dxa"/>
                  <w:noWrap w:val="0"/>
                  <w:vAlign w:val="center"/>
                </w:tcPr>
                <w:p w14:paraId="18C2B9A7">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二</w:t>
                  </w: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全地区水环境质量持续</w:t>
                  </w:r>
                  <w:r>
                    <w:rPr>
                      <w:rFonts w:hint="default" w:ascii="Times New Roman" w:hAnsi="Times New Roman" w:eastAsia="宋体" w:cs="Times New Roman"/>
                      <w:color w:val="auto"/>
                      <w:highlight w:val="none"/>
                    </w:rPr>
                    <w:t>改善，受污染地表水体得到有效治理，河流水质优良断面比例保持稳定，饮用水安全保障水平持续提升，地下水水质保持稳定；全地区环境空气质量稳步提升，重污染天数持续减少，沙尘影响严重地区做好防风固沙、生态环境保护修复等工作；全地区土壤环境质量保持稳定，污染地块安全利用水平稳中有升，土壤环境风险得到进一步管控。</w:t>
                  </w:r>
                </w:p>
              </w:tc>
              <w:tc>
                <w:tcPr>
                  <w:tcW w:w="2458" w:type="dxa"/>
                  <w:noWrap w:val="0"/>
                  <w:vAlign w:val="center"/>
                </w:tcPr>
                <w:p w14:paraId="36A83B39">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根据环境空气质量模型技术支持服务系统中生态环境部环境工程评估中心国家环境保</w:t>
                  </w:r>
                  <w:r>
                    <w:rPr>
                      <w:rFonts w:hint="default" w:ascii="Times New Roman" w:hAnsi="Times New Roman" w:eastAsia="宋体" w:cs="Times New Roman"/>
                      <w:color w:val="auto"/>
                      <w:sz w:val="21"/>
                      <w:szCs w:val="21"/>
                      <w:highlight w:val="none"/>
                    </w:rPr>
                    <w:t>护环境影响评价数值模拟重点实验室发布的2023年</w:t>
                  </w:r>
                  <w:r>
                    <w:rPr>
                      <w:rFonts w:hint="default" w:ascii="Times New Roman" w:hAnsi="Times New Roman" w:cs="Times New Roman"/>
                      <w:color w:val="auto"/>
                      <w:sz w:val="21"/>
                      <w:szCs w:val="21"/>
                      <w:highlight w:val="none"/>
                      <w:lang w:val="en-US" w:eastAsia="zh-CN"/>
                    </w:rPr>
                    <w:t>莎车县</w:t>
                  </w:r>
                  <w:r>
                    <w:rPr>
                      <w:rFonts w:hint="default" w:ascii="Times New Roman" w:hAnsi="Times New Roman" w:eastAsia="宋体" w:cs="Times New Roman"/>
                      <w:color w:val="auto"/>
                      <w:sz w:val="21"/>
                      <w:szCs w:val="21"/>
                      <w:highlight w:val="none"/>
                    </w:rPr>
                    <w:t>城市空气质量数据判定，项目所在区域为不达标区域。</w:t>
                  </w:r>
                  <w:r>
                    <w:rPr>
                      <w:rFonts w:hint="default" w:ascii="Times New Roman" w:hAnsi="Times New Roman" w:eastAsia="宋体" w:cs="Times New Roman"/>
                      <w:color w:val="auto"/>
                      <w:sz w:val="21"/>
                      <w:szCs w:val="21"/>
                    </w:rPr>
                    <w:t>本项目属于</w:t>
                  </w:r>
                  <w:r>
                    <w:rPr>
                      <w:rFonts w:hint="eastAsia" w:hAnsi="Times New Roman" w:cs="Times New Roman"/>
                      <w:color w:val="auto"/>
                      <w:sz w:val="21"/>
                      <w:szCs w:val="21"/>
                      <w:highlight w:val="none"/>
                      <w:lang w:val="en-US" w:eastAsia="zh-CN"/>
                    </w:rPr>
                    <w:t>防渗渠道</w:t>
                  </w:r>
                  <w:r>
                    <w:rPr>
                      <w:rFonts w:hint="default" w:ascii="Times New Roman" w:hAnsi="Times New Roman" w:eastAsia="宋体" w:cs="Times New Roman"/>
                      <w:color w:val="auto"/>
                      <w:sz w:val="21"/>
                      <w:szCs w:val="21"/>
                      <w:highlight w:val="none"/>
                      <w:lang w:val="en-US" w:eastAsia="zh-CN"/>
                    </w:rPr>
                    <w:t>项目，采取各项环保措施减少污染物的产生量</w:t>
                  </w:r>
                  <w:r>
                    <w:rPr>
                      <w:rFonts w:hint="default" w:ascii="Times New Roman" w:hAnsi="Times New Roman" w:eastAsia="宋体" w:cs="Times New Roman"/>
                      <w:color w:val="auto"/>
                      <w:sz w:val="21"/>
                      <w:szCs w:val="21"/>
                      <w:highlight w:val="none"/>
                    </w:rPr>
                    <w:t>，符合环境质</w:t>
                  </w:r>
                  <w:r>
                    <w:rPr>
                      <w:rFonts w:hint="default" w:ascii="Times New Roman" w:hAnsi="Times New Roman" w:eastAsia="宋体" w:cs="Times New Roman"/>
                      <w:color w:val="auto"/>
                      <w:highlight w:val="none"/>
                    </w:rPr>
                    <w:t>量底线要求。</w:t>
                  </w:r>
                </w:p>
              </w:tc>
              <w:tc>
                <w:tcPr>
                  <w:tcW w:w="1020" w:type="dxa"/>
                  <w:noWrap w:val="0"/>
                  <w:vAlign w:val="center"/>
                </w:tcPr>
                <w:p w14:paraId="048B7F8D">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符合</w:t>
                  </w:r>
                </w:p>
              </w:tc>
            </w:tr>
            <w:tr w14:paraId="5206E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2" w:type="dxa"/>
                  <w:noWrap w:val="0"/>
                  <w:vAlign w:val="center"/>
                </w:tcPr>
                <w:p w14:paraId="39EEBD65">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三）资源利用上线。强化节约集约利用，持续提升资源能源利用效率，水资源、土地资源、能源消耗达到国家、自治区下达的总量和强度控制目标。积极推动区域低碳发展，鼓励低碳试点城市建设，发挥示范引领作用。</w:t>
                  </w:r>
                </w:p>
              </w:tc>
              <w:tc>
                <w:tcPr>
                  <w:tcW w:w="2458" w:type="dxa"/>
                  <w:noWrap w:val="0"/>
                  <w:vAlign w:val="center"/>
                </w:tcPr>
                <w:p w14:paraId="6B4CC7E9">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本项目运营期消耗资源未超出区域负荷上限，符合资源利用上线要求。</w:t>
                  </w:r>
                </w:p>
              </w:tc>
              <w:tc>
                <w:tcPr>
                  <w:tcW w:w="1020" w:type="dxa"/>
                  <w:noWrap w:val="0"/>
                  <w:vAlign w:val="center"/>
                </w:tcPr>
                <w:p w14:paraId="07C3E820">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符合</w:t>
                  </w:r>
                </w:p>
              </w:tc>
            </w:tr>
            <w:tr w14:paraId="5942F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2" w:type="dxa"/>
                  <w:noWrap w:val="0"/>
                  <w:vAlign w:val="center"/>
                </w:tcPr>
                <w:p w14:paraId="65F0E73C">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四）环境管控单元。喀什地区共划定116个环境管控单元，分为优先保护、重点管控和一般管控三类。优先保护单元31个，主要包括生态保护红线区和生态保护红线区以外的一般生态空间管控区（饮用水水源保护区、水源涵养区、防风固沙区、土地沙化防控区、水土流失防控区等）。生态保护红线区执行生态保护红线管理办法的有关要求；一般生态空间管控区应以生态保护优先为原则，开发建设活动应严格执行相关法律、法规要求，严守生态环境质量底线，确保生态环境功能不降低。重点管控单元73个，主要包括城镇建成区、工业园区和开发强度大、污染物排放强度高的工业聚集区等。该区域要着力优化空间布局，不断提升资源利用效率，有针对性的加强污染物排放管控和环境风险防控，解决生态环境质量不达标、生态环境风险高等问题。一般管控单元12个，指除优先保护单元和重点管控单元之外的其他区域，主要以经济社会可持续发展为导向，生态环境保护与适度开发相结合，开发建设应落实生态环境保护基本要求，促进区域环境质量持续改善。</w:t>
                  </w:r>
                </w:p>
              </w:tc>
              <w:tc>
                <w:tcPr>
                  <w:tcW w:w="2458" w:type="dxa"/>
                  <w:noWrap w:val="0"/>
                  <w:vAlign w:val="center"/>
                </w:tcPr>
                <w:p w14:paraId="359CAB0A">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本项目不在生态保护红线区，属于</w:t>
                  </w:r>
                  <w:r>
                    <w:rPr>
                      <w:rFonts w:hint="default" w:ascii="Times New Roman" w:hAnsi="Times New Roman" w:eastAsia="宋体" w:cs="Times New Roman"/>
                      <w:color w:val="auto"/>
                      <w:highlight w:val="none"/>
                      <w:lang w:val="en-US" w:eastAsia="zh-CN"/>
                    </w:rPr>
                    <w:t>一般</w:t>
                  </w:r>
                  <w:r>
                    <w:rPr>
                      <w:rFonts w:hint="default" w:ascii="Times New Roman" w:hAnsi="Times New Roman" w:eastAsia="宋体" w:cs="Times New Roman"/>
                      <w:color w:val="auto"/>
                      <w:highlight w:val="none"/>
                    </w:rPr>
                    <w:t>管控单元。本项目采取了有效的污染防治措施，可确保污染得到有效的控制，不会对周围环境产生明显影响。</w:t>
                  </w:r>
                </w:p>
              </w:tc>
              <w:tc>
                <w:tcPr>
                  <w:tcW w:w="1020" w:type="dxa"/>
                  <w:noWrap w:val="0"/>
                  <w:vAlign w:val="center"/>
                </w:tcPr>
                <w:p w14:paraId="71D01AAB">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符合</w:t>
                  </w:r>
                </w:p>
              </w:tc>
            </w:tr>
          </w:tbl>
          <w:p w14:paraId="00F11CC7">
            <w:pPr>
              <w:pStyle w:val="113"/>
              <w:ind w:firstLine="480"/>
              <w:rPr>
                <w:rFonts w:hint="default" w:ascii="Times New Roman" w:hAnsi="Times New Roman" w:eastAsia="宋体" w:cs="Times New Roman"/>
                <w:color w:val="auto"/>
                <w:highlight w:val="none"/>
              </w:rPr>
            </w:pPr>
            <w:r>
              <w:rPr>
                <w:rFonts w:hint="default" w:ascii="Times New Roman" w:hAnsi="Times New Roman" w:cs="Times New Roman"/>
                <w:color w:val="auto"/>
                <w:kern w:val="0"/>
                <w:highlight w:val="none"/>
                <w:lang w:val="en-US" w:eastAsia="zh-CN"/>
              </w:rPr>
              <w:t>根据喀什地区生态环境准入清单（2023年版），</w:t>
            </w:r>
            <w:r>
              <w:rPr>
                <w:rFonts w:hint="default" w:ascii="Times New Roman" w:hAnsi="Times New Roman" w:cs="Times New Roman"/>
                <w:color w:val="auto"/>
                <w:kern w:val="0"/>
                <w:highlight w:val="none"/>
                <w:lang w:eastAsia="zh-CN"/>
              </w:rPr>
              <w:t>本项目</w:t>
            </w:r>
            <w:r>
              <w:rPr>
                <w:rFonts w:hint="eastAsia" w:ascii="Times New Roman" w:hAnsi="Times New Roman" w:cs="Times New Roman"/>
                <w:color w:val="auto"/>
                <w:kern w:val="0"/>
                <w:highlight w:val="none"/>
                <w:lang w:val="en-US" w:eastAsia="zh-CN"/>
              </w:rPr>
              <w:t>涉及</w:t>
            </w:r>
            <w:r>
              <w:rPr>
                <w:rFonts w:hint="default" w:ascii="Times New Roman" w:hAnsi="Times New Roman" w:eastAsia="宋体" w:cs="Times New Roman"/>
                <w:color w:val="auto"/>
                <w:kern w:val="0"/>
                <w:highlight w:val="none"/>
              </w:rPr>
              <w:t>一般管控单元内，</w:t>
            </w:r>
            <w:r>
              <w:rPr>
                <w:rFonts w:hint="default" w:ascii="Times New Roman" w:hAnsi="Times New Roman" w:eastAsia="宋体" w:cs="Times New Roman"/>
                <w:color w:val="auto"/>
                <w:kern w:val="0"/>
                <w:highlight w:val="none"/>
                <w:lang w:val="en-US" w:eastAsia="zh-CN"/>
              </w:rPr>
              <w:t>单元编号ZH65312530001</w:t>
            </w:r>
            <w:r>
              <w:rPr>
                <w:rFonts w:hint="default" w:ascii="Times New Roman" w:hAnsi="Times New Roman" w:cs="Times New Roman"/>
                <w:color w:val="auto"/>
                <w:kern w:val="0"/>
                <w:highlight w:val="none"/>
                <w:lang w:val="en-US" w:eastAsia="zh-CN"/>
              </w:rPr>
              <w:t>，</w:t>
            </w:r>
            <w:r>
              <w:rPr>
                <w:rFonts w:hint="default" w:ascii="Times New Roman" w:hAnsi="Times New Roman" w:eastAsia="宋体" w:cs="Times New Roman"/>
                <w:color w:val="auto"/>
                <w:kern w:val="0"/>
                <w:highlight w:val="none"/>
                <w:lang w:val="en-US" w:eastAsia="zh-CN"/>
              </w:rPr>
              <w:t>单元名称为莎车县一般管控单元。</w:t>
            </w:r>
            <w:r>
              <w:rPr>
                <w:rFonts w:hint="default" w:ascii="Times New Roman" w:hAnsi="Times New Roman" w:eastAsia="宋体" w:cs="Times New Roman"/>
                <w:color w:val="auto"/>
                <w:highlight w:val="none"/>
              </w:rPr>
              <w:t>具体分析如下表</w:t>
            </w:r>
            <w:r>
              <w:rPr>
                <w:rFonts w:hint="default" w:ascii="Times New Roman" w:hAnsi="Times New Roman" w:eastAsia="宋体" w:cs="Times New Roman"/>
                <w:color w:val="auto"/>
                <w:highlight w:val="none"/>
                <w:lang w:val="en-US" w:eastAsia="zh-CN"/>
              </w:rPr>
              <w:t>1-</w:t>
            </w:r>
            <w:r>
              <w:rPr>
                <w:rFonts w:hint="eastAsia" w:ascii="Times New Roman" w:hAnsi="Times New Roman" w:cs="Times New Roman"/>
                <w:color w:val="auto"/>
                <w:highlight w:val="none"/>
                <w:lang w:val="en-US" w:eastAsia="zh-CN"/>
              </w:rPr>
              <w:t>4</w:t>
            </w:r>
            <w:r>
              <w:rPr>
                <w:rFonts w:hint="default" w:ascii="Times New Roman" w:hAnsi="Times New Roman" w:eastAsia="宋体" w:cs="Times New Roman"/>
                <w:color w:val="auto"/>
                <w:highlight w:val="none"/>
              </w:rPr>
              <w:t>。</w:t>
            </w:r>
          </w:p>
          <w:p w14:paraId="0EAA216B">
            <w:pPr>
              <w:pStyle w:val="10"/>
              <w:spacing w:before="0" w:after="0" w:line="240" w:lineRule="auto"/>
              <w:ind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1-</w:t>
            </w:r>
            <w:r>
              <w:rPr>
                <w:rFonts w:hint="eastAsia" w:ascii="Times New Roman" w:hAnsi="Times New Roman" w:cs="Times New Roman"/>
                <w:b/>
                <w:color w:val="auto"/>
                <w:sz w:val="21"/>
                <w:szCs w:val="21"/>
                <w:highlight w:val="none"/>
                <w:lang w:val="en-US" w:eastAsia="zh-CN"/>
              </w:rPr>
              <w:t>4</w:t>
            </w:r>
            <w:r>
              <w:rPr>
                <w:rFonts w:hint="default"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与喀什地区生态环境准入清单（2023年版</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相符性</w:t>
            </w:r>
          </w:p>
          <w:tbl>
            <w:tblPr>
              <w:tblStyle w:val="34"/>
              <w:tblW w:w="46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4173"/>
              <w:gridCol w:w="1650"/>
              <w:gridCol w:w="533"/>
            </w:tblGrid>
            <w:tr w14:paraId="77940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Align w:val="center"/>
                </w:tcPr>
                <w:p w14:paraId="32767FAA">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管控</w:t>
                  </w:r>
                </w:p>
                <w:p w14:paraId="065F15F9">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类别</w:t>
                  </w:r>
                </w:p>
              </w:tc>
              <w:tc>
                <w:tcPr>
                  <w:tcW w:w="4173" w:type="dxa"/>
                  <w:vAlign w:val="center"/>
                </w:tcPr>
                <w:p w14:paraId="4005574F">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shd w:val="clear" w:color="auto" w:fill="FFFFFF"/>
                    </w:rPr>
                    <w:t>生态环境分区管控要求</w:t>
                  </w:r>
                </w:p>
              </w:tc>
              <w:tc>
                <w:tcPr>
                  <w:tcW w:w="1650" w:type="dxa"/>
                  <w:vAlign w:val="center"/>
                </w:tcPr>
                <w:p w14:paraId="33F1E01B">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lang w:val="en-US" w:eastAsia="zh-CN"/>
                    </w:rPr>
                    <w:t>本项目</w:t>
                  </w:r>
                  <w:r>
                    <w:rPr>
                      <w:rFonts w:hint="default" w:ascii="Times New Roman" w:hAnsi="Times New Roman" w:eastAsia="宋体" w:cs="Times New Roman"/>
                      <w:color w:val="auto"/>
                      <w:highlight w:val="none"/>
                    </w:rPr>
                    <w:t>建设情况</w:t>
                  </w:r>
                </w:p>
              </w:tc>
              <w:tc>
                <w:tcPr>
                  <w:tcW w:w="533" w:type="dxa"/>
                  <w:vAlign w:val="center"/>
                </w:tcPr>
                <w:p w14:paraId="78DEE1D1">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相符性</w:t>
                  </w:r>
                </w:p>
              </w:tc>
            </w:tr>
            <w:tr w14:paraId="5D834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Align w:val="center"/>
                </w:tcPr>
                <w:p w14:paraId="055BFF8B">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shd w:val="clear" w:color="auto" w:fill="FFFFFF"/>
                    </w:rPr>
                    <w:t>空间布局约束</w:t>
                  </w:r>
                </w:p>
              </w:tc>
              <w:tc>
                <w:tcPr>
                  <w:tcW w:w="4173" w:type="dxa"/>
                  <w:vAlign w:val="center"/>
                </w:tcPr>
                <w:p w14:paraId="54CB497C">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A1.3-1列入《产业结构调整指导目录》淘汰类的现状企业，制定调整计划；针对环保治理措施不符合现行环保要求、资源能源消耗高或持续发生环保投诉的现有企业，制定整治计划；在调整过渡期内，应严格控制其生产规模，禁止新增产生环境污染的产能和产品。</w:t>
                  </w:r>
                </w:p>
                <w:p w14:paraId="7D93829C">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A1.3-3淘汰区域内生产工艺落后、生产效率低下、严重污染环境的企业，加大环保、能耗、安全执法处罚力度，建立以节能环保标准促进“两高”行业过剩产能退出的机制。</w:t>
                  </w:r>
                </w:p>
                <w:p w14:paraId="0594A48E">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A1.3-7全面排查装备水平低、环保设施差的小型工业企业，开展对水环境影响较大的“低、小、散”落后企业、加工点、作坊的专项整治，并按照水污染防治法律法规要求，全部取缔不符合国家产业政策的小型造纸、制革等严重污染水环境的生产项目。</w:t>
                  </w:r>
                </w:p>
                <w:p w14:paraId="2F8ACC00">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A1.4-1一切开发建设活动应符合国家、自治区主体功能区规划、自治区和各地颁布实施的生态环境功能区划、国民经济发展规划、产业发展规划、城乡总体规划、土地利用规划等相关规划及重点生态功能区负面清单要求，符合区域或产业规划环评要求。</w:t>
                  </w:r>
                </w:p>
                <w:p w14:paraId="64886E41">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A1.4-2所有新、改（扩）建项目，必须依据《建设项目环境影响评价分类管理名录》要求进行环境影响评价；未通过环境影响评价审批的，一律不准开工建设；违规建设的，要依法进行处罚。</w:t>
                  </w:r>
                </w:p>
                <w:p w14:paraId="5C95D003">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A1.4-3加强产业政策在产业转移过程中的引导和约束作用，严禁在生态环境敏感区域建设“两高”行业项目，加强各类产业发展规划的环境影响评价。</w:t>
                  </w:r>
                </w:p>
                <w:p w14:paraId="7AA171DE">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A1.4-4按照流域断面水质考核目标和主体功能区规划要求，明确区域环境准入条件，对断面对应的流域控制单元实施差别化环境准入政策，严禁审批淘汰类和禁止类项目，严格审批限制类项目，坚决控制高污染项目及存在污染环境隐患的项目准入。</w:t>
                  </w:r>
                </w:p>
                <w:p w14:paraId="1EE6674D">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A1.4-6防治畜禽养殖污染，进一步优化畜禽养殖空间布局，科学划定畜禽养殖禁养区、限养区。严格按照农业部、原环境保护部《畜禽养殖禁养区划定技术指南》的要求，修订完善畜禽养殖禁养区的划定方案。已完成畜禽养殖禁养区划定工作的县市，要按照《工作方案》规定时限加快完成禁养区内规模养殖场的关闭搬迁工作。</w:t>
                  </w:r>
                </w:p>
                <w:p w14:paraId="7DD92C6B">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A1.4-7严格按照“禁采区关停、限采区收缩、可采区集聚”的方式，坚持节约资源、保护环境及集约化、规模化发展模式，优化矿山结构、推进资源整合，严格控制矿山企业数量，对手续不齐全的矿山，限期整改，补办手续。对布局不合理的矿山企业逐步清退。加强矿山监管，落实矿山生态修复，建设绿色矿山。</w:t>
                  </w:r>
                </w:p>
                <w:p w14:paraId="6F908BA4">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 xml:space="preserve">A7.1-1 禁止在法律法规规定的禁采区内新建矿山；禁止土法采、选、冶严重污染环境的矿产资源。 </w:t>
                  </w:r>
                </w:p>
                <w:p w14:paraId="3218B0AF">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 xml:space="preserve">A7.1-2 涉及永久基本农田的区域，除法律规定的重点建设项目选址确实无法避让外，其他任何建设不得占用。 </w:t>
                  </w:r>
                </w:p>
                <w:p w14:paraId="3692DDF8">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 xml:space="preserve">A7.1-3 畜禽养殖严格按照畜禽养殖区域划定方案执行，根据区域用地和消纳水平，合理确定养殖规模。 </w:t>
                  </w:r>
                </w:p>
                <w:p w14:paraId="6030DAD8">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 xml:space="preserve">A7.1-4 限制进行大规模高强度工业化城镇化开发，严格控制“高污染、高环境风险产品”工业项目。 </w:t>
                  </w:r>
                </w:p>
                <w:p w14:paraId="377C89A3">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highlight w:val="none"/>
                      <w:shd w:val="clear" w:color="auto" w:fill="FFFFFF"/>
                    </w:rPr>
                  </w:pPr>
                  <w:r>
                    <w:rPr>
                      <w:rFonts w:hint="default" w:ascii="Times New Roman" w:hAnsi="Times New Roman" w:eastAsia="宋体" w:cs="Times New Roman"/>
                      <w:color w:val="auto"/>
                      <w:highlight w:val="none"/>
                      <w:shd w:val="clear" w:color="auto" w:fill="FFFFFF"/>
                    </w:rPr>
                    <w:t>3.禁止在岸线保护范围建设可能影响防洪工程安全和重要水利工程安全与正常运行的项目。不得在保护范围内倾倒垃圾和排放污染物，不得造成水体污染。</w:t>
                  </w:r>
                </w:p>
                <w:p w14:paraId="49DD301A">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shd w:val="clear" w:color="auto" w:fill="FFFFFF"/>
                    </w:rPr>
                    <w:t>4.河道采砂须严格按照河道采砂规划要求进行布局和管控。</w:t>
                  </w:r>
                </w:p>
              </w:tc>
              <w:tc>
                <w:tcPr>
                  <w:tcW w:w="1650" w:type="dxa"/>
                  <w:vAlign w:val="center"/>
                </w:tcPr>
                <w:p w14:paraId="448716FF">
                  <w:pPr>
                    <w:pStyle w:val="111"/>
                    <w:keepNext w:val="0"/>
                    <w:keepLines w:val="0"/>
                    <w:suppressLineNumbers w:val="0"/>
                    <w:spacing w:before="0" w:beforeAutospacing="0" w:after="0" w:afterAutospacing="0"/>
                    <w:ind w:left="0" w:right="0"/>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highlight w:val="none"/>
                      <w:lang w:val="en-US" w:eastAsia="zh-CN"/>
                    </w:rPr>
                    <w:t>A1.3-1：</w:t>
                  </w:r>
                  <w:r>
                    <w:rPr>
                      <w:rFonts w:hint="default" w:ascii="Times New Roman" w:hAnsi="Times New Roman" w:cs="Times New Roman"/>
                      <w:color w:val="auto"/>
                      <w:highlight w:val="none"/>
                      <w:lang w:val="en-US" w:eastAsia="zh-CN"/>
                    </w:rPr>
                    <w:t>本项目属于“鼓励类”</w:t>
                  </w:r>
                </w:p>
                <w:p w14:paraId="3CF0A0A6">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A1.3-</w:t>
                  </w:r>
                  <w:r>
                    <w:rPr>
                      <w:rFonts w:hint="default" w:ascii="Times New Roman" w:hAnsi="Times New Roman" w:cs="Times New Roman"/>
                      <w:color w:val="auto"/>
                      <w:highlight w:val="none"/>
                      <w:lang w:val="en-US" w:eastAsia="zh-CN"/>
                    </w:rPr>
                    <w:t>3</w:t>
                  </w:r>
                  <w:r>
                    <w:rPr>
                      <w:rFonts w:hint="default" w:ascii="Times New Roman" w:hAnsi="Times New Roman" w:eastAsia="宋体" w:cs="Times New Roman"/>
                      <w:color w:val="auto"/>
                      <w:highlight w:val="none"/>
                      <w:lang w:val="en-US" w:eastAsia="zh-CN"/>
                    </w:rPr>
                    <w:t>：不涉及A1.3-</w:t>
                  </w:r>
                  <w:r>
                    <w:rPr>
                      <w:rFonts w:hint="default" w:ascii="Times New Roman" w:hAnsi="Times New Roman" w:cs="Times New Roman"/>
                      <w:color w:val="auto"/>
                      <w:highlight w:val="none"/>
                      <w:lang w:val="en-US" w:eastAsia="zh-CN"/>
                    </w:rPr>
                    <w:t>7</w:t>
                  </w:r>
                  <w:r>
                    <w:rPr>
                      <w:rFonts w:hint="default" w:ascii="Times New Roman" w:hAnsi="Times New Roman" w:eastAsia="宋体" w:cs="Times New Roman"/>
                      <w:color w:val="auto"/>
                      <w:highlight w:val="none"/>
                      <w:lang w:val="en-US" w:eastAsia="zh-CN"/>
                    </w:rPr>
                    <w:t>：不涉及A1.4-1：本项目</w:t>
                  </w:r>
                  <w:r>
                    <w:rPr>
                      <w:rFonts w:hint="default" w:ascii="Times New Roman" w:hAnsi="Times New Roman" w:cs="Times New Roman"/>
                      <w:color w:val="auto"/>
                      <w:highlight w:val="none"/>
                      <w:lang w:val="en-US" w:eastAsia="zh-CN"/>
                    </w:rPr>
                    <w:t>符合土地规划</w:t>
                  </w:r>
                </w:p>
                <w:p w14:paraId="6C621612">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A1.4-2：本项目依法进行环境影响评价</w:t>
                  </w:r>
                </w:p>
                <w:p w14:paraId="0C74D08D">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A</w:t>
                  </w:r>
                  <w:r>
                    <w:rPr>
                      <w:rFonts w:hint="default" w:ascii="Times New Roman" w:hAnsi="Times New Roman" w:cs="Times New Roman"/>
                      <w:color w:val="auto"/>
                      <w:highlight w:val="none"/>
                      <w:lang w:val="en-US" w:eastAsia="zh-CN"/>
                    </w:rPr>
                    <w:t>1.4-3</w:t>
                  </w:r>
                  <w:r>
                    <w:rPr>
                      <w:rFonts w:hint="default" w:ascii="Times New Roman" w:hAnsi="Times New Roman" w:eastAsia="宋体" w:cs="Times New Roman"/>
                      <w:color w:val="auto"/>
                      <w:highlight w:val="none"/>
                      <w:lang w:val="en-US" w:eastAsia="zh-CN"/>
                    </w:rPr>
                    <w:t>：不涉及</w:t>
                  </w:r>
                </w:p>
                <w:p w14:paraId="48E0ED77">
                  <w:pPr>
                    <w:pStyle w:val="111"/>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A</w:t>
                  </w:r>
                  <w:r>
                    <w:rPr>
                      <w:rFonts w:hint="default" w:ascii="Times New Roman" w:hAnsi="Times New Roman" w:cs="Times New Roman"/>
                      <w:color w:val="auto"/>
                      <w:highlight w:val="none"/>
                      <w:lang w:val="en-US" w:eastAsia="zh-CN"/>
                    </w:rPr>
                    <w:t>1.4-4</w:t>
                  </w:r>
                  <w:r>
                    <w:rPr>
                      <w:rFonts w:hint="default" w:ascii="Times New Roman" w:hAnsi="Times New Roman" w:eastAsia="宋体" w:cs="Times New Roman"/>
                      <w:color w:val="auto"/>
                      <w:highlight w:val="none"/>
                      <w:lang w:val="en-US" w:eastAsia="zh-CN"/>
                    </w:rPr>
                    <w:t>：不涉及A</w:t>
                  </w:r>
                  <w:r>
                    <w:rPr>
                      <w:rFonts w:hint="default" w:ascii="Times New Roman" w:hAnsi="Times New Roman" w:cs="Times New Roman"/>
                      <w:color w:val="auto"/>
                      <w:highlight w:val="none"/>
                      <w:lang w:val="en-US" w:eastAsia="zh-CN"/>
                    </w:rPr>
                    <w:t>1.4-6</w:t>
                  </w:r>
                  <w:r>
                    <w:rPr>
                      <w:rFonts w:hint="default" w:ascii="Times New Roman" w:hAnsi="Times New Roman" w:eastAsia="宋体" w:cs="Times New Roman"/>
                      <w:color w:val="auto"/>
                      <w:highlight w:val="none"/>
                      <w:lang w:val="en-US" w:eastAsia="zh-CN"/>
                    </w:rPr>
                    <w:t>：不涉及A</w:t>
                  </w:r>
                  <w:r>
                    <w:rPr>
                      <w:rFonts w:hint="default" w:ascii="Times New Roman" w:hAnsi="Times New Roman" w:cs="Times New Roman"/>
                      <w:color w:val="auto"/>
                      <w:highlight w:val="none"/>
                      <w:lang w:val="en-US" w:eastAsia="zh-CN"/>
                    </w:rPr>
                    <w:t>1.4-7</w:t>
                  </w:r>
                  <w:r>
                    <w:rPr>
                      <w:rFonts w:hint="default" w:ascii="Times New Roman" w:hAnsi="Times New Roman" w:eastAsia="宋体" w:cs="Times New Roman"/>
                      <w:color w:val="auto"/>
                      <w:highlight w:val="none"/>
                      <w:lang w:val="en-US" w:eastAsia="zh-CN"/>
                    </w:rPr>
                    <w:t>：不涉及A</w:t>
                  </w:r>
                  <w:r>
                    <w:rPr>
                      <w:rFonts w:hint="default" w:ascii="Times New Roman" w:hAnsi="Times New Roman" w:cs="Times New Roman"/>
                      <w:color w:val="auto"/>
                      <w:highlight w:val="none"/>
                      <w:lang w:val="en-US" w:eastAsia="zh-CN"/>
                    </w:rPr>
                    <w:t>7</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highlight w:val="none"/>
                      <w:lang w:val="en-US" w:eastAsia="zh-CN"/>
                    </w:rPr>
                    <w:t>1</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highlight w:val="none"/>
                      <w:lang w:val="en-US" w:eastAsia="zh-CN"/>
                    </w:rPr>
                    <w:t>1</w:t>
                  </w:r>
                  <w:r>
                    <w:rPr>
                      <w:rFonts w:hint="default" w:ascii="Times New Roman" w:hAnsi="Times New Roman" w:eastAsia="宋体" w:cs="Times New Roman"/>
                      <w:color w:val="auto"/>
                      <w:highlight w:val="none"/>
                      <w:lang w:val="en-US" w:eastAsia="zh-CN"/>
                    </w:rPr>
                    <w:t>：不涉及A</w:t>
                  </w:r>
                  <w:r>
                    <w:rPr>
                      <w:rFonts w:hint="default" w:ascii="Times New Roman" w:hAnsi="Times New Roman" w:cs="Times New Roman"/>
                      <w:color w:val="auto"/>
                      <w:highlight w:val="none"/>
                      <w:lang w:val="en-US" w:eastAsia="zh-CN"/>
                    </w:rPr>
                    <w:t>7</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highlight w:val="none"/>
                      <w:lang w:val="en-US" w:eastAsia="zh-CN"/>
                    </w:rPr>
                    <w:t>1</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highlight w:val="none"/>
                      <w:lang w:val="en-US" w:eastAsia="zh-CN"/>
                    </w:rPr>
                    <w:t>2</w:t>
                  </w:r>
                  <w:r>
                    <w:rPr>
                      <w:rFonts w:hint="default" w:ascii="Times New Roman" w:hAnsi="Times New Roman" w:eastAsia="宋体" w:cs="Times New Roman"/>
                      <w:color w:val="auto"/>
                      <w:highlight w:val="none"/>
                      <w:lang w:val="en-US" w:eastAsia="zh-CN"/>
                    </w:rPr>
                    <w:t>：不涉及A</w:t>
                  </w:r>
                  <w:r>
                    <w:rPr>
                      <w:rFonts w:hint="default" w:ascii="Times New Roman" w:hAnsi="Times New Roman" w:cs="Times New Roman"/>
                      <w:color w:val="auto"/>
                      <w:highlight w:val="none"/>
                      <w:lang w:val="en-US" w:eastAsia="zh-CN"/>
                    </w:rPr>
                    <w:t>7</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highlight w:val="none"/>
                      <w:lang w:val="en-US" w:eastAsia="zh-CN"/>
                    </w:rPr>
                    <w:t>1</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highlight w:val="none"/>
                      <w:lang w:val="en-US" w:eastAsia="zh-CN"/>
                    </w:rPr>
                    <w:t>3</w:t>
                  </w:r>
                  <w:r>
                    <w:rPr>
                      <w:rFonts w:hint="default" w:ascii="Times New Roman" w:hAnsi="Times New Roman" w:eastAsia="宋体" w:cs="Times New Roman"/>
                      <w:color w:val="auto"/>
                      <w:highlight w:val="none"/>
                      <w:lang w:val="en-US" w:eastAsia="zh-CN"/>
                    </w:rPr>
                    <w:t>：不涉及A</w:t>
                  </w:r>
                  <w:r>
                    <w:rPr>
                      <w:rFonts w:hint="default" w:ascii="Times New Roman" w:hAnsi="Times New Roman" w:cs="Times New Roman"/>
                      <w:color w:val="auto"/>
                      <w:highlight w:val="none"/>
                      <w:lang w:val="en-US" w:eastAsia="zh-CN"/>
                    </w:rPr>
                    <w:t>7</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highlight w:val="none"/>
                      <w:lang w:val="en-US" w:eastAsia="zh-CN"/>
                    </w:rPr>
                    <w:t>1</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highlight w:val="none"/>
                      <w:lang w:val="en-US" w:eastAsia="zh-CN"/>
                    </w:rPr>
                    <w:t>4</w:t>
                  </w:r>
                  <w:r>
                    <w:rPr>
                      <w:rFonts w:hint="default" w:ascii="Times New Roman" w:hAnsi="Times New Roman" w:eastAsia="宋体" w:cs="Times New Roman"/>
                      <w:color w:val="auto"/>
                      <w:highlight w:val="none"/>
                      <w:lang w:val="en-US" w:eastAsia="zh-CN"/>
                    </w:rPr>
                    <w:t>：不涉及</w:t>
                  </w:r>
                </w:p>
                <w:p w14:paraId="060C195D">
                  <w:pPr>
                    <w:pStyle w:val="111"/>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3：不涉及</w:t>
                  </w:r>
                </w:p>
                <w:p w14:paraId="7CF6C6C0">
                  <w:pPr>
                    <w:pStyle w:val="111"/>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4：不涉及</w:t>
                  </w:r>
                </w:p>
              </w:tc>
              <w:tc>
                <w:tcPr>
                  <w:tcW w:w="533" w:type="dxa"/>
                  <w:vAlign w:val="center"/>
                </w:tcPr>
                <w:p w14:paraId="0C645E63">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符合</w:t>
                  </w:r>
                </w:p>
              </w:tc>
            </w:tr>
            <w:tr w14:paraId="0FBCE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Align w:val="center"/>
                </w:tcPr>
                <w:p w14:paraId="5CD8566E">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污染物排放管控</w:t>
                  </w:r>
                </w:p>
              </w:tc>
              <w:tc>
                <w:tcPr>
                  <w:tcW w:w="4173" w:type="dxa"/>
                  <w:vAlign w:val="center"/>
                </w:tcPr>
                <w:p w14:paraId="4ABB4BDB">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A2.3-3加快县市污水处理厂及配套管网建设，提升污水收集处理能力。加强城镇污水处理设施建设与改造，所有县级以上城市以及重点独立建制镇均应建成污水处理设施，现有城镇污水处理设施，要因地制宜进行改造；强化城中村、老旧城区和城乡接合部污水截流、收集，完善城市排水体制，不具备雨污分流改造条件的，可采取增加截留倍数、调蓄等措施防止污水外溢。加强污水处理设施运行管理，确保城镇污水处理厂达标排放，建立和完善污水处理设施第三方运营机制。</w:t>
                  </w:r>
                </w:p>
                <w:p w14:paraId="6A18D404">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A2.3-4大力发展生态畜牧业，促进畜牧业转型升级。切实加强畜禽养殖场废弃物综合利用、生态消纳，加强处置设施的运行监管。</w:t>
                  </w:r>
                </w:p>
                <w:p w14:paraId="1AB66A76">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A2.3-5加大农村面源污染防治力度。加强化肥农药减量化和土壤污染治理，强化白色污染治理，推进农作物秸秆和畜禽养殖废弃物资源化利用。提高农村生活垃圾无害化处理水平。</w:t>
                  </w:r>
                </w:p>
                <w:p w14:paraId="4EC44F71">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A2.3-6以保障农产品安全和人居环境健康为出发点，以农用地和建设用地为重点，加大污染场地环境风险防控和管理工作力度，深入抓好污染场地试点示范，持续推进污染场地治理修复。</w:t>
                  </w:r>
                </w:p>
                <w:p w14:paraId="63BA0179">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A2.3-7加强矿山开采扬尘综合整治和植被恢复。制定清理整治方案，依法取缔城市周边无证采矿、采石和采砂企业。督促企业依法履行矿山地质环境治理恢复义务。继续推进城镇周边矿业权灭失的砂石、粘土矿治理恢复。</w:t>
                  </w:r>
                </w:p>
                <w:p w14:paraId="6D3B3297">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A2.3-8强化不达标河湖污染治理；严控废弃农膜污染，开展油井勘探区、矿产资源开采区土壤污染修复。</w:t>
                  </w:r>
                </w:p>
                <w:p w14:paraId="0A1D9F62">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A7.2减少工业化、城镇化对大气环境的影响，严格执行喀什地区大气污染防治要求，加强常态化管控，确保环境空气质量持续稳定达标。严格污染源头防控。</w:t>
                  </w:r>
                </w:p>
                <w:p w14:paraId="3B102449">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lang w:val="en-US" w:eastAsia="zh-CN"/>
                    </w:rPr>
                    <w:t>3、严格控制林地、草地、园地农药使用量，禁止使用高毒、高残留农药。</w:t>
                  </w:r>
                </w:p>
              </w:tc>
              <w:tc>
                <w:tcPr>
                  <w:tcW w:w="1650" w:type="dxa"/>
                  <w:vAlign w:val="center"/>
                </w:tcPr>
                <w:p w14:paraId="320321DB">
                  <w:pPr>
                    <w:pStyle w:val="111"/>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A2.3-</w:t>
                  </w:r>
                  <w:r>
                    <w:rPr>
                      <w:rFonts w:hint="default" w:ascii="Times New Roman" w:hAnsi="Times New Roman" w:cs="Times New Roman"/>
                      <w:color w:val="auto"/>
                      <w:highlight w:val="none"/>
                      <w:lang w:val="en-US" w:eastAsia="zh-CN"/>
                    </w:rPr>
                    <w:t>3：</w:t>
                  </w:r>
                  <w:r>
                    <w:rPr>
                      <w:rFonts w:hint="default" w:ascii="Times New Roman" w:hAnsi="Times New Roman" w:eastAsia="宋体" w:cs="Times New Roman"/>
                      <w:color w:val="auto"/>
                      <w:highlight w:val="none"/>
                      <w:lang w:val="en-US" w:eastAsia="zh-CN"/>
                    </w:rPr>
                    <w:t>不涉及</w:t>
                  </w:r>
                </w:p>
                <w:p w14:paraId="682D5B7E">
                  <w:pPr>
                    <w:pStyle w:val="111"/>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A2.3-</w:t>
                  </w:r>
                  <w:r>
                    <w:rPr>
                      <w:rFonts w:hint="default" w:ascii="Times New Roman" w:hAnsi="Times New Roman" w:cs="Times New Roman"/>
                      <w:color w:val="auto"/>
                      <w:highlight w:val="none"/>
                      <w:lang w:val="en-US" w:eastAsia="zh-CN"/>
                    </w:rPr>
                    <w:t>4：</w:t>
                  </w:r>
                  <w:r>
                    <w:rPr>
                      <w:rFonts w:hint="default" w:ascii="Times New Roman" w:hAnsi="Times New Roman" w:eastAsia="宋体" w:cs="Times New Roman"/>
                      <w:color w:val="auto"/>
                      <w:highlight w:val="none"/>
                      <w:lang w:val="en-US" w:eastAsia="zh-CN"/>
                    </w:rPr>
                    <w:t>不涉及A2.3-</w:t>
                  </w:r>
                  <w:r>
                    <w:rPr>
                      <w:rFonts w:hint="default" w:ascii="Times New Roman" w:hAnsi="Times New Roman" w:cs="Times New Roman"/>
                      <w:color w:val="auto"/>
                      <w:highlight w:val="none"/>
                      <w:lang w:val="en-US" w:eastAsia="zh-CN"/>
                    </w:rPr>
                    <w:t>5：不涉及</w:t>
                  </w:r>
                </w:p>
                <w:p w14:paraId="1CC57A6A">
                  <w:pPr>
                    <w:pStyle w:val="111"/>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A2.3-</w:t>
                  </w:r>
                  <w:r>
                    <w:rPr>
                      <w:rFonts w:hint="default" w:ascii="Times New Roman" w:hAnsi="Times New Roman" w:cs="Times New Roman"/>
                      <w:color w:val="auto"/>
                      <w:highlight w:val="none"/>
                      <w:lang w:val="en-US" w:eastAsia="zh-CN"/>
                    </w:rPr>
                    <w:t>6：</w:t>
                  </w:r>
                  <w:r>
                    <w:rPr>
                      <w:rFonts w:hint="default" w:ascii="Times New Roman" w:hAnsi="Times New Roman" w:eastAsia="宋体" w:cs="Times New Roman"/>
                      <w:color w:val="auto"/>
                      <w:highlight w:val="none"/>
                      <w:lang w:val="en-US" w:eastAsia="zh-CN"/>
                    </w:rPr>
                    <w:t>不涉及A2.3-</w:t>
                  </w:r>
                  <w:r>
                    <w:rPr>
                      <w:rFonts w:hint="default" w:ascii="Times New Roman" w:hAnsi="Times New Roman" w:cs="Times New Roman"/>
                      <w:color w:val="auto"/>
                      <w:highlight w:val="none"/>
                      <w:lang w:val="en-US" w:eastAsia="zh-CN"/>
                    </w:rPr>
                    <w:t>7：</w:t>
                  </w:r>
                  <w:r>
                    <w:rPr>
                      <w:rFonts w:hint="default" w:ascii="Times New Roman" w:hAnsi="Times New Roman" w:eastAsia="宋体" w:cs="Times New Roman"/>
                      <w:color w:val="auto"/>
                      <w:highlight w:val="none"/>
                      <w:lang w:val="en-US" w:eastAsia="zh-CN"/>
                    </w:rPr>
                    <w:t>不涉及A2.3-</w:t>
                  </w:r>
                  <w:r>
                    <w:rPr>
                      <w:rFonts w:hint="default" w:ascii="Times New Roman" w:hAnsi="Times New Roman" w:cs="Times New Roman"/>
                      <w:color w:val="auto"/>
                      <w:highlight w:val="none"/>
                      <w:lang w:val="en-US" w:eastAsia="zh-CN"/>
                    </w:rPr>
                    <w:t>8：</w:t>
                  </w:r>
                  <w:r>
                    <w:rPr>
                      <w:rFonts w:hint="default" w:ascii="Times New Roman" w:hAnsi="Times New Roman" w:eastAsia="宋体" w:cs="Times New Roman"/>
                      <w:color w:val="auto"/>
                      <w:highlight w:val="none"/>
                      <w:lang w:val="en-US" w:eastAsia="zh-CN"/>
                    </w:rPr>
                    <w:t>不涉及A7.2</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不涉及</w:t>
                  </w:r>
                </w:p>
                <w:p w14:paraId="70EF22FB">
                  <w:pPr>
                    <w:pStyle w:val="111"/>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不涉及</w:t>
                  </w:r>
                </w:p>
              </w:tc>
              <w:tc>
                <w:tcPr>
                  <w:tcW w:w="533" w:type="dxa"/>
                  <w:vAlign w:val="center"/>
                </w:tcPr>
                <w:p w14:paraId="48C170B7">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符合</w:t>
                  </w:r>
                </w:p>
              </w:tc>
            </w:tr>
            <w:tr w14:paraId="3A7AF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Align w:val="center"/>
                </w:tcPr>
                <w:p w14:paraId="31EE520A">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环境风险防控</w:t>
                  </w:r>
                </w:p>
              </w:tc>
              <w:tc>
                <w:tcPr>
                  <w:tcW w:w="4173" w:type="dxa"/>
                  <w:vAlign w:val="center"/>
                </w:tcPr>
                <w:p w14:paraId="0C0D5DFF">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A3.1-1禁止在化工园区外新建、扩建危险化学品生产项目。严格危险化学品废弃处置。对城镇人口密集区现有不符合安全和卫生防护距离要求的危险化学品生产企业，进行定量风险评估，就地改造达标、搬迁进入规范化工园区或关闭退出。</w:t>
                  </w:r>
                </w:p>
                <w:p w14:paraId="5D6B9AF4">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lang w:val="en-US" w:eastAsia="zh-CN"/>
                    </w:rPr>
                    <w:t>A7.3减少人类活动对自然生态系统的干扰和破坏，控制生活污染，维持水环境现状，确保水质稳中趋好；加强</w:t>
                  </w:r>
                  <w:r>
                    <w:rPr>
                      <w:rFonts w:hint="default" w:ascii="Times New Roman" w:hAnsi="Times New Roman" w:cs="Times New Roman"/>
                      <w:color w:val="auto"/>
                      <w:lang w:val="en-US" w:eastAsia="zh-CN"/>
                    </w:rPr>
                    <w:t>耕地</w:t>
                  </w:r>
                  <w:r>
                    <w:rPr>
                      <w:rFonts w:hint="default" w:ascii="Times New Roman" w:hAnsi="Times New Roman" w:eastAsia="宋体" w:cs="Times New Roman"/>
                      <w:color w:val="auto"/>
                      <w:lang w:val="en-US" w:eastAsia="zh-CN"/>
                    </w:rPr>
                    <w:t>土壤、灌溉水的监测及评价，对周边或区域环境风险源进行评估。</w:t>
                  </w:r>
                </w:p>
              </w:tc>
              <w:tc>
                <w:tcPr>
                  <w:tcW w:w="1650" w:type="dxa"/>
                  <w:vAlign w:val="center"/>
                </w:tcPr>
                <w:p w14:paraId="75DC44D0">
                  <w:pPr>
                    <w:pStyle w:val="111"/>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A3.1-1：不涉及A7.3：不涉及</w:t>
                  </w:r>
                </w:p>
              </w:tc>
              <w:tc>
                <w:tcPr>
                  <w:tcW w:w="533" w:type="dxa"/>
                  <w:vAlign w:val="center"/>
                </w:tcPr>
                <w:p w14:paraId="3F0C60BB">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符合</w:t>
                  </w:r>
                </w:p>
              </w:tc>
            </w:tr>
            <w:tr w14:paraId="5BBC1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Align w:val="center"/>
                </w:tcPr>
                <w:p w14:paraId="72426216">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资源利用效率要求</w:t>
                  </w:r>
                </w:p>
              </w:tc>
              <w:tc>
                <w:tcPr>
                  <w:tcW w:w="4173" w:type="dxa"/>
                  <w:vAlign w:val="center"/>
                </w:tcPr>
                <w:p w14:paraId="38582AF8">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A4.1-1控制叶尔羌河流域绿洲农业用水量，提高水土资源利用效率，大力推行节水改造，维护流域下游基本生态用水。</w:t>
                  </w:r>
                </w:p>
                <w:p w14:paraId="68DFD1B2">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A4.1-2实施最严格水资源管理，健全取用水总量控制指标体系制定并落实地区用水总量控制方案，合理分配农业、工业、生态和生活用水量，严格实施取水许可制度。加强工业水循环利用，促进再生水利用，加强城镇节水，大力发展农业节水。</w:t>
                  </w:r>
                </w:p>
                <w:p w14:paraId="4FA35C00">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A7.4调整优化能源结构，构建清洁低碳高效能源体系，提高能源利用效率，加快清洁能源替代利用。</w:t>
                  </w:r>
                </w:p>
                <w:p w14:paraId="41AB03CE">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3.大力推行光伏、风电、制氢等清洁能源开发利用。</w:t>
                  </w:r>
                </w:p>
              </w:tc>
              <w:tc>
                <w:tcPr>
                  <w:tcW w:w="1650" w:type="dxa"/>
                  <w:vAlign w:val="center"/>
                </w:tcPr>
                <w:p w14:paraId="609179C9">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A4.1-1：不涉及</w:t>
                  </w:r>
                </w:p>
                <w:p w14:paraId="3A41ACDB">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A4.1-2：不涉及A7.4：不涉及</w:t>
                  </w:r>
                </w:p>
                <w:p w14:paraId="5140EF78">
                  <w:pPr>
                    <w:pStyle w:val="111"/>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3：不涉及</w:t>
                  </w:r>
                </w:p>
              </w:tc>
              <w:tc>
                <w:tcPr>
                  <w:tcW w:w="533" w:type="dxa"/>
                  <w:vAlign w:val="center"/>
                </w:tcPr>
                <w:p w14:paraId="50F7A0EC">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符合</w:t>
                  </w:r>
                </w:p>
              </w:tc>
            </w:tr>
          </w:tbl>
          <w:p w14:paraId="333B47F2">
            <w:pPr>
              <w:pStyle w:val="10"/>
              <w:spacing w:before="0" w:after="0" w:line="240" w:lineRule="auto"/>
              <w:ind w:right="0"/>
              <w:jc w:val="center"/>
              <w:rPr>
                <w:rFonts w:hint="default" w:ascii="Times New Roman" w:hAnsi="Times New Roman" w:eastAsia="宋体" w:cs="Times New Roman"/>
                <w:b/>
                <w:color w:val="auto"/>
                <w:sz w:val="21"/>
                <w:szCs w:val="21"/>
                <w:highlight w:val="none"/>
              </w:rPr>
            </w:pPr>
          </w:p>
          <w:p w14:paraId="660F085F">
            <w:pPr>
              <w:pStyle w:val="32"/>
              <w:spacing w:after="0" w:line="360" w:lineRule="auto"/>
              <w:ind w:left="0" w:leftChars="0"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从上表可以看出，</w:t>
            </w:r>
            <w:r>
              <w:rPr>
                <w:rFonts w:hint="default" w:ascii="Times New Roman" w:hAnsi="Times New Roman" w:cs="Times New Roman"/>
                <w:color w:val="auto"/>
                <w:kern w:val="2"/>
                <w:sz w:val="24"/>
                <w:szCs w:val="24"/>
                <w:highlight w:val="none"/>
                <w:lang w:val="en-US" w:eastAsia="zh-CN" w:bidi="ar-SA"/>
              </w:rPr>
              <w:t>本项目</w:t>
            </w:r>
            <w:r>
              <w:rPr>
                <w:rFonts w:hint="default" w:ascii="Times New Roman" w:hAnsi="Times New Roman" w:eastAsia="宋体" w:cs="Times New Roman"/>
                <w:color w:val="auto"/>
                <w:kern w:val="2"/>
                <w:sz w:val="24"/>
                <w:szCs w:val="24"/>
                <w:highlight w:val="none"/>
                <w:lang w:val="en-US" w:eastAsia="zh-CN" w:bidi="ar-SA"/>
              </w:rPr>
              <w:t>建设</w:t>
            </w:r>
            <w:r>
              <w:rPr>
                <w:rFonts w:hint="default" w:ascii="Times New Roman" w:hAnsi="Times New Roman" w:cs="Times New Roman"/>
                <w:color w:val="auto"/>
                <w:kern w:val="2"/>
                <w:sz w:val="24"/>
                <w:szCs w:val="24"/>
                <w:highlight w:val="none"/>
                <w:lang w:val="en-US" w:eastAsia="zh-CN" w:bidi="ar-SA"/>
              </w:rPr>
              <w:t>符合</w:t>
            </w:r>
            <w:r>
              <w:rPr>
                <w:rFonts w:hint="default" w:ascii="Times New Roman" w:hAnsi="Times New Roman" w:eastAsia="宋体" w:cs="Times New Roman"/>
                <w:color w:val="auto"/>
                <w:kern w:val="2"/>
                <w:sz w:val="24"/>
                <w:szCs w:val="24"/>
                <w:highlight w:val="none"/>
                <w:lang w:val="en-US" w:eastAsia="zh-CN" w:bidi="ar-SA"/>
              </w:rPr>
              <w:t>《喀什地区</w:t>
            </w:r>
            <w:r>
              <w:rPr>
                <w:rFonts w:hint="eastAsia" w:ascii="Times New Roman" w:hAnsi="Times New Roman" w:eastAsia="宋体" w:cs="Times New Roman"/>
                <w:color w:val="auto"/>
                <w:kern w:val="2"/>
                <w:sz w:val="24"/>
                <w:szCs w:val="24"/>
                <w:highlight w:val="none"/>
                <w:lang w:val="en-US" w:eastAsia="zh-CN" w:bidi="ar-SA"/>
              </w:rPr>
              <w:t>“三线一单”</w:t>
            </w:r>
            <w:r>
              <w:rPr>
                <w:rFonts w:hint="default" w:ascii="Times New Roman" w:hAnsi="Times New Roman" w:eastAsia="宋体" w:cs="Times New Roman"/>
                <w:color w:val="auto"/>
                <w:kern w:val="2"/>
                <w:sz w:val="24"/>
                <w:szCs w:val="24"/>
                <w:highlight w:val="none"/>
                <w:lang w:val="en-US" w:eastAsia="zh-CN" w:bidi="ar-SA"/>
              </w:rPr>
              <w:t>生态环境分区管控方案》中生态环境分区管控要求。</w:t>
            </w:r>
          </w:p>
          <w:p w14:paraId="40B61641">
            <w:pPr>
              <w:keepNext w:val="0"/>
              <w:keepLines w:val="0"/>
              <w:suppressLineNumbers w:val="0"/>
              <w:topLinePunct/>
              <w:spacing w:before="0" w:beforeAutospacing="0" w:after="0" w:afterAutospacing="0" w:line="360" w:lineRule="auto"/>
              <w:ind w:left="0" w:right="0" w:firstLine="482" w:firstLineChars="200"/>
              <w:rPr>
                <w:rFonts w:hint="default" w:ascii="Times New Roman" w:hAnsi="Times New Roman" w:eastAsia="宋体" w:cs="Times New Roman"/>
                <w:b/>
                <w:color w:val="auto"/>
                <w:sz w:val="24"/>
                <w:highlight w:val="none"/>
              </w:rPr>
            </w:pPr>
            <w:r>
              <w:rPr>
                <w:rFonts w:hint="eastAsia" w:ascii="Times New Roman" w:hAnsi="Times New Roman" w:eastAsia="宋体" w:cs="Times New Roman"/>
                <w:b/>
                <w:color w:val="auto"/>
                <w:sz w:val="24"/>
                <w:highlight w:val="none"/>
                <w:lang w:val="en-US" w:eastAsia="zh-CN"/>
              </w:rPr>
              <w:t>5</w:t>
            </w:r>
            <w:r>
              <w:rPr>
                <w:rFonts w:hint="default" w:ascii="Times New Roman" w:hAnsi="Times New Roman" w:eastAsia="宋体" w:cs="Times New Roman"/>
                <w:b/>
                <w:color w:val="auto"/>
                <w:sz w:val="24"/>
                <w:highlight w:val="none"/>
              </w:rPr>
              <w:t>、</w:t>
            </w:r>
            <w:r>
              <w:rPr>
                <w:rFonts w:hint="default" w:ascii="Times New Roman" w:hAnsi="Times New Roman" w:eastAsia="宋体" w:cs="Times New Roman"/>
                <w:b/>
                <w:color w:val="auto"/>
                <w:sz w:val="24"/>
                <w:highlight w:val="none"/>
                <w:lang w:val="en-US" w:eastAsia="zh-CN"/>
              </w:rPr>
              <w:t>《克孜勒苏柯尔克孜自治州“三线一单”生态环境分区管控方案》（克政办发〔2021〕13号）</w:t>
            </w:r>
            <w:r>
              <w:rPr>
                <w:rFonts w:hint="default" w:ascii="Times New Roman" w:hAnsi="Times New Roman" w:eastAsia="宋体" w:cs="Times New Roman"/>
                <w:b/>
                <w:color w:val="auto"/>
                <w:sz w:val="24"/>
                <w:highlight w:val="none"/>
              </w:rPr>
              <w:t>符合性分析</w:t>
            </w:r>
          </w:p>
          <w:p w14:paraId="5BFE5686">
            <w:pPr>
              <w:pStyle w:val="111"/>
              <w:keepNext w:val="0"/>
              <w:keepLines w:val="0"/>
              <w:suppressLineNumbers w:val="0"/>
              <w:spacing w:before="0" w:beforeAutospacing="0" w:after="0" w:afterAutospacing="0"/>
              <w:ind w:left="0" w:right="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rPr>
              <w:t>表</w:t>
            </w:r>
            <w:r>
              <w:rPr>
                <w:rFonts w:hint="default" w:ascii="Times New Roman" w:hAnsi="Times New Roman" w:eastAsia="宋体" w:cs="Times New Roman"/>
                <w:b/>
                <w:bCs/>
                <w:color w:val="auto"/>
                <w:highlight w:val="none"/>
                <w:lang w:val="en-US" w:eastAsia="zh-CN"/>
              </w:rPr>
              <w:t>1</w:t>
            </w:r>
            <w:r>
              <w:rPr>
                <w:rFonts w:hint="default" w:ascii="Times New Roman" w:hAnsi="Times New Roman" w:eastAsia="宋体" w:cs="Times New Roman"/>
                <w:b/>
                <w:bCs/>
                <w:color w:val="auto"/>
                <w:highlight w:val="none"/>
              </w:rPr>
              <w:t>-</w:t>
            </w:r>
            <w:r>
              <w:rPr>
                <w:rFonts w:hint="eastAsia" w:hAnsi="Times New Roman" w:eastAsia="宋体" w:cs="Times New Roman"/>
                <w:b/>
                <w:bCs/>
                <w:color w:val="auto"/>
                <w:highlight w:val="none"/>
                <w:lang w:val="en-US" w:eastAsia="zh-CN"/>
              </w:rPr>
              <w:t>5</w:t>
            </w:r>
            <w:r>
              <w:rPr>
                <w:rFonts w:hint="default" w:ascii="Times New Roman" w:hAnsi="Times New Roman" w:eastAsia="宋体" w:cs="Times New Roman"/>
                <w:b/>
                <w:bCs/>
                <w:color w:val="auto"/>
                <w:highlight w:val="none"/>
              </w:rPr>
              <w:t xml:space="preserve">与 </w:t>
            </w:r>
            <w:r>
              <w:rPr>
                <w:rFonts w:hint="default" w:ascii="Times New Roman" w:hAnsi="Times New Roman" w:eastAsia="宋体" w:cs="Times New Roman"/>
                <w:b/>
                <w:bCs/>
                <w:color w:val="auto"/>
                <w:highlight w:val="none"/>
                <w:lang w:val="en-US" w:eastAsia="zh-CN"/>
              </w:rPr>
              <w:t>《克孜勒苏柯尔克孜自治州“三线一单”生态环境分区管控方案》</w:t>
            </w:r>
            <w:r>
              <w:rPr>
                <w:rFonts w:hint="default" w:ascii="Times New Roman" w:hAnsi="Times New Roman" w:eastAsia="宋体" w:cs="Times New Roman"/>
                <w:b/>
                <w:bCs/>
                <w:color w:val="auto"/>
                <w:highlight w:val="none"/>
              </w:rPr>
              <w:t>的相符性分析</w:t>
            </w:r>
          </w:p>
          <w:tbl>
            <w:tblPr>
              <w:tblStyle w:val="34"/>
              <w:tblW w:w="7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02"/>
              <w:gridCol w:w="2458"/>
              <w:gridCol w:w="1020"/>
            </w:tblGrid>
            <w:tr w14:paraId="06F51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2" w:type="dxa"/>
                  <w:noWrap w:val="0"/>
                  <w:vAlign w:val="center"/>
                </w:tcPr>
                <w:p w14:paraId="79656B21">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文件要求</w:t>
                  </w:r>
                </w:p>
              </w:tc>
              <w:tc>
                <w:tcPr>
                  <w:tcW w:w="2458" w:type="dxa"/>
                  <w:noWrap w:val="0"/>
                  <w:vAlign w:val="center"/>
                </w:tcPr>
                <w:p w14:paraId="41BAE67A">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本项目情况</w:t>
                  </w:r>
                </w:p>
              </w:tc>
              <w:tc>
                <w:tcPr>
                  <w:tcW w:w="1020" w:type="dxa"/>
                  <w:noWrap w:val="0"/>
                  <w:vAlign w:val="center"/>
                </w:tcPr>
                <w:p w14:paraId="4079802D">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相符性</w:t>
                  </w:r>
                </w:p>
              </w:tc>
            </w:tr>
            <w:tr w14:paraId="04AAF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2" w:type="dxa"/>
                  <w:noWrap w:val="0"/>
                  <w:vAlign w:val="center"/>
                </w:tcPr>
                <w:p w14:paraId="6EF12EDB">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生态保护红线。按照“生态功能不降低、面积不减少、性质不改变”的基本要求，对划定的生态保护红线实施严格管控，保障和维护生态安全的底线和生命线。</w:t>
                  </w:r>
                </w:p>
              </w:tc>
              <w:tc>
                <w:tcPr>
                  <w:tcW w:w="2458" w:type="dxa"/>
                  <w:noWrap w:val="0"/>
                  <w:vAlign w:val="center"/>
                </w:tcPr>
                <w:p w14:paraId="4E916F00">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w:t>
                  </w:r>
                  <w:r>
                    <w:rPr>
                      <w:rFonts w:hint="eastAsia" w:ascii="Times New Roman" w:hAnsi="Times New Roman" w:eastAsia="宋体" w:cs="Times New Roman"/>
                      <w:color w:val="auto"/>
                      <w:highlight w:val="none"/>
                      <w:lang w:val="en-US" w:eastAsia="zh-CN"/>
                    </w:rPr>
                    <w:t>涉及</w:t>
                  </w:r>
                  <w:r>
                    <w:rPr>
                      <w:rFonts w:hint="default" w:ascii="Times New Roman" w:hAnsi="Times New Roman" w:eastAsia="宋体" w:cs="Times New Roman"/>
                      <w:color w:val="auto"/>
                      <w:highlight w:val="none"/>
                    </w:rPr>
                    <w:t>生态保护红线</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本项目不新增建设用地，属于已有的合法水利设施运行维护改造</w:t>
                  </w:r>
                  <w:r>
                    <w:rPr>
                      <w:rFonts w:hint="default" w:ascii="Times New Roman" w:hAnsi="Times New Roman" w:eastAsia="宋体" w:cs="Times New Roman"/>
                      <w:color w:val="auto"/>
                      <w:highlight w:val="none"/>
                    </w:rPr>
                    <w:t>。</w:t>
                  </w:r>
                </w:p>
              </w:tc>
              <w:tc>
                <w:tcPr>
                  <w:tcW w:w="1020" w:type="dxa"/>
                  <w:noWrap w:val="0"/>
                  <w:vAlign w:val="center"/>
                </w:tcPr>
                <w:p w14:paraId="55208812">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符合</w:t>
                  </w:r>
                </w:p>
              </w:tc>
            </w:tr>
            <w:tr w14:paraId="63927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2" w:type="dxa"/>
                  <w:noWrap w:val="0"/>
                  <w:vAlign w:val="center"/>
                </w:tcPr>
                <w:p w14:paraId="4FF66550">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rPr>
                    <w:t>环境质量底线。全州水环境质量、饮用水安全保障水平持续保持稳定，地下水水质保持稳定；全州环境空气质量有所提升，重污染天数持续减少，已达标县（市）环境空气质量保持稳定，未达标县（市）环境空气质量持续改善，做好防风固沙、生态环境保护修复等工作；全州土壤环境质量保持稳定，土壤环境风险得到进一步管控</w:t>
                  </w:r>
                </w:p>
              </w:tc>
              <w:tc>
                <w:tcPr>
                  <w:tcW w:w="2458" w:type="dxa"/>
                  <w:noWrap w:val="0"/>
                  <w:vAlign w:val="center"/>
                </w:tcPr>
                <w:p w14:paraId="05EA9370">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根据环境空气质量模型技术支持服务系统中生态环境部环境工程评估中心国家环境保护环境影响评价数值模拟重点实验室发布的城市空气质量数据判定，项目所在区域为不达标区域。本项目属于</w:t>
                  </w:r>
                  <w:r>
                    <w:rPr>
                      <w:rFonts w:hint="eastAsia" w:hAnsi="Times New Roman" w:eastAsia="宋体" w:cs="Times New Roman"/>
                      <w:color w:val="auto"/>
                      <w:highlight w:val="none"/>
                      <w:lang w:val="en-US" w:eastAsia="zh-CN"/>
                    </w:rPr>
                    <w:t>防渗渠道</w:t>
                  </w:r>
                  <w:r>
                    <w:rPr>
                      <w:rFonts w:hint="default" w:ascii="Times New Roman" w:hAnsi="Times New Roman" w:eastAsia="宋体" w:cs="Times New Roman"/>
                      <w:color w:val="auto"/>
                      <w:highlight w:val="none"/>
                      <w:lang w:val="en-US" w:eastAsia="zh-CN"/>
                    </w:rPr>
                    <w:t>项目，采取各项环保措施减少污染物的产生量</w:t>
                  </w:r>
                  <w:r>
                    <w:rPr>
                      <w:rFonts w:hint="default" w:ascii="Times New Roman" w:hAnsi="Times New Roman" w:eastAsia="宋体" w:cs="Times New Roman"/>
                      <w:color w:val="auto"/>
                      <w:highlight w:val="none"/>
                    </w:rPr>
                    <w:t>，符合环境质量底线要求。</w:t>
                  </w:r>
                </w:p>
              </w:tc>
              <w:tc>
                <w:tcPr>
                  <w:tcW w:w="1020" w:type="dxa"/>
                  <w:noWrap w:val="0"/>
                  <w:vAlign w:val="center"/>
                </w:tcPr>
                <w:p w14:paraId="0D68E501">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符合</w:t>
                  </w:r>
                </w:p>
              </w:tc>
            </w:tr>
            <w:tr w14:paraId="45D0A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2" w:type="dxa"/>
                  <w:noWrap w:val="0"/>
                  <w:vAlign w:val="center"/>
                </w:tcPr>
                <w:p w14:paraId="66B9ED20">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rPr>
                    <w:t>资源利用上线。强化节约集约利用，持续提升资源能源利用效率，水资源、土地资源、能源消耗等达到自治区下达的总量和强度控制目标。</w:t>
                  </w:r>
                </w:p>
              </w:tc>
              <w:tc>
                <w:tcPr>
                  <w:tcW w:w="2458" w:type="dxa"/>
                  <w:noWrap w:val="0"/>
                  <w:vAlign w:val="center"/>
                </w:tcPr>
                <w:p w14:paraId="6A215C43">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本项目运营期消耗资源未超出区域负荷上限，符合资源利用上线要求。</w:t>
                  </w:r>
                </w:p>
              </w:tc>
              <w:tc>
                <w:tcPr>
                  <w:tcW w:w="1020" w:type="dxa"/>
                  <w:noWrap w:val="0"/>
                  <w:vAlign w:val="center"/>
                </w:tcPr>
                <w:p w14:paraId="72548FFA">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符合</w:t>
                  </w:r>
                </w:p>
              </w:tc>
            </w:tr>
            <w:tr w14:paraId="1578F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2" w:type="dxa"/>
                  <w:noWrap w:val="0"/>
                  <w:vAlign w:val="center"/>
                </w:tcPr>
                <w:p w14:paraId="525135E8">
                  <w:pPr>
                    <w:pStyle w:val="111"/>
                    <w:keepNext w:val="0"/>
                    <w:keepLines w:val="0"/>
                    <w:suppressLineNumbers w:val="0"/>
                    <w:spacing w:before="0" w:beforeAutospacing="0" w:after="0" w:afterAutospacing="0"/>
                    <w:ind w:left="0" w:right="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全州共划定84个环境管控单元，分为优先保护单元、重点管控单元和一般管控单元三类，实施分类管控。</w:t>
                  </w:r>
                </w:p>
                <w:p w14:paraId="0B06E020">
                  <w:pPr>
                    <w:pStyle w:val="111"/>
                    <w:keepNext w:val="0"/>
                    <w:keepLines w:val="0"/>
                    <w:suppressLineNumbers w:val="0"/>
                    <w:spacing w:before="0" w:beforeAutospacing="0" w:after="0" w:afterAutospacing="0"/>
                    <w:ind w:left="0" w:right="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优先保护单元18个，主要包括生态保护红线区和生态保护红线区以外的饮用水源地、水源涵养区、防风固沙区、水土流失防控区等一般生态空间管控区。生态保护红线区执行生态保护红线管理办法的有关要求；一般生态空间管控区应以生态环境保护优先为原则，开发建设活动应严格执行相关法律、法规要求，严守生态环境质量底线，确保生态功能不降低。</w:t>
                  </w:r>
                </w:p>
                <w:p w14:paraId="6F6CC578">
                  <w:pPr>
                    <w:pStyle w:val="111"/>
                    <w:keepNext w:val="0"/>
                    <w:keepLines w:val="0"/>
                    <w:suppressLineNumbers w:val="0"/>
                    <w:spacing w:before="0" w:beforeAutospacing="0" w:after="0" w:afterAutospacing="0"/>
                    <w:ind w:left="0" w:right="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重点管控单元62个，主要包括各县（市）城镇建成区、工业园区、建设用地污染风险重点管控企业等。重点管控单元要着力优化空间布局，不断提升资源利用效率，有针对性地加强污染物排放管控和环境风险防控，解决生态环境质量不达标、生态环境风险高等问题。</w:t>
                  </w:r>
                </w:p>
                <w:p w14:paraId="18FFDF21">
                  <w:pPr>
                    <w:pStyle w:val="111"/>
                    <w:keepNext w:val="0"/>
                    <w:keepLines w:val="0"/>
                    <w:suppressLineNumbers w:val="0"/>
                    <w:spacing w:before="0" w:beforeAutospacing="0" w:after="0" w:afterAutospacing="0"/>
                    <w:ind w:left="0" w:right="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一般管控单元4个，主要包括优先保护单元和重点管控单元之外的其它区域。一般管控单元主要落实生态环境保护基本要求,重点加强农业、生活等领域污染治理，推动区域环境质量持续改善。</w:t>
                  </w:r>
                </w:p>
                <w:p w14:paraId="4FD35432">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2458" w:type="dxa"/>
                  <w:noWrap w:val="0"/>
                  <w:vAlign w:val="center"/>
                </w:tcPr>
                <w:p w14:paraId="058E34D6">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本项目</w:t>
                  </w:r>
                  <w:r>
                    <w:rPr>
                      <w:rFonts w:hint="eastAsia" w:hAnsi="Times New Roman" w:eastAsia="宋体" w:cs="Times New Roman"/>
                      <w:color w:val="auto"/>
                      <w:highlight w:val="none"/>
                      <w:lang w:val="en-US" w:eastAsia="zh-CN"/>
                    </w:rPr>
                    <w:t>涉及阿克陶县一般管控单元、阿克陶一般生态空间、阿克陶县水土流失生态红线区</w:t>
                  </w:r>
                  <w:r>
                    <w:rPr>
                      <w:rFonts w:hint="default" w:ascii="Times New Roman" w:hAnsi="Times New Roman" w:eastAsia="宋体" w:cs="Times New Roman"/>
                      <w:color w:val="auto"/>
                      <w:highlight w:val="none"/>
                    </w:rPr>
                    <w:t>。本项目采取了有效的污染防治措施，可确保污染得到有效的控制，不会对周围环境产生明显影响。</w:t>
                  </w:r>
                </w:p>
              </w:tc>
              <w:tc>
                <w:tcPr>
                  <w:tcW w:w="1020" w:type="dxa"/>
                  <w:noWrap w:val="0"/>
                  <w:vAlign w:val="center"/>
                </w:tcPr>
                <w:p w14:paraId="20DB90A3">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符合</w:t>
                  </w:r>
                </w:p>
              </w:tc>
            </w:tr>
          </w:tbl>
          <w:p w14:paraId="4B102C38">
            <w:pPr>
              <w:pStyle w:val="113"/>
              <w:ind w:firstLine="480"/>
              <w:rPr>
                <w:rFonts w:hint="default" w:ascii="Times New Roman" w:hAnsi="Times New Roman" w:eastAsia="宋体" w:cs="Times New Roman"/>
                <w:color w:val="0000C7"/>
                <w:highlight w:val="none"/>
              </w:rPr>
            </w:pPr>
            <w:r>
              <w:rPr>
                <w:rFonts w:hint="default" w:ascii="Times New Roman" w:hAnsi="Times New Roman" w:eastAsia="宋体" w:cs="Times New Roman"/>
                <w:color w:val="0000C7"/>
                <w:highlight w:val="none"/>
                <w:lang w:val="en-US" w:eastAsia="zh-CN"/>
              </w:rPr>
              <w:t>根据</w:t>
            </w:r>
            <w:r>
              <w:rPr>
                <w:rFonts w:hint="eastAsia" w:ascii="Times New Roman" w:hAnsi="Times New Roman" w:eastAsia="宋体" w:cs="Times New Roman"/>
                <w:color w:val="0000C7"/>
                <w:highlight w:val="none"/>
                <w:lang w:val="en-US" w:eastAsia="zh-CN"/>
              </w:rPr>
              <w:t>阿克陶县生态环境准入清单</w:t>
            </w:r>
            <w:r>
              <w:rPr>
                <w:rFonts w:hint="default" w:ascii="Times New Roman" w:hAnsi="Times New Roman" w:eastAsia="宋体" w:cs="Times New Roman"/>
                <w:color w:val="0000C7"/>
                <w:highlight w:val="none"/>
                <w:lang w:val="en-US" w:eastAsia="zh-CN"/>
              </w:rPr>
              <w:t>，</w:t>
            </w:r>
            <w:r>
              <w:rPr>
                <w:rFonts w:hint="default" w:ascii="Times New Roman" w:hAnsi="Times New Roman" w:eastAsia="宋体" w:cs="Times New Roman"/>
                <w:color w:val="0000C7"/>
                <w:highlight w:val="none"/>
                <w:lang w:eastAsia="zh-CN"/>
              </w:rPr>
              <w:t>本项目</w:t>
            </w:r>
            <w:r>
              <w:rPr>
                <w:rFonts w:hint="eastAsia" w:ascii="Times New Roman" w:hAnsi="Times New Roman" w:eastAsia="宋体" w:cs="Times New Roman"/>
                <w:color w:val="0000C7"/>
                <w:highlight w:val="none"/>
                <w:lang w:val="en-US" w:eastAsia="zh-CN"/>
              </w:rPr>
              <w:t>涉及优先管控单元</w:t>
            </w:r>
            <w:r>
              <w:rPr>
                <w:rFonts w:hint="default" w:ascii="Times New Roman" w:hAnsi="Times New Roman" w:eastAsia="宋体" w:cs="Times New Roman"/>
                <w:color w:val="0000C7"/>
                <w:highlight w:val="none"/>
              </w:rPr>
              <w:t>ZH65302210003阿克陶县水土流失生态保护红线区</w:t>
            </w:r>
            <w:r>
              <w:rPr>
                <w:rFonts w:hint="eastAsia" w:ascii="Times New Roman" w:hAnsi="Times New Roman" w:eastAsia="宋体" w:cs="Times New Roman"/>
                <w:color w:val="0000C7"/>
                <w:highlight w:val="none"/>
                <w:lang w:val="en-US" w:eastAsia="zh-CN"/>
              </w:rPr>
              <w:t>和</w:t>
            </w:r>
            <w:r>
              <w:rPr>
                <w:rFonts w:hint="default" w:ascii="Times New Roman" w:hAnsi="Times New Roman" w:eastAsia="宋体" w:cs="Times New Roman"/>
                <w:color w:val="0000C7"/>
                <w:highlight w:val="none"/>
              </w:rPr>
              <w:t>ZH653022100</w:t>
            </w:r>
            <w:r>
              <w:rPr>
                <w:rFonts w:hint="eastAsia" w:ascii="Times New Roman" w:hAnsi="Times New Roman" w:eastAsia="宋体" w:cs="Times New Roman"/>
                <w:color w:val="0000C7"/>
                <w:highlight w:val="none"/>
                <w:lang w:val="en-US" w:eastAsia="zh-CN"/>
              </w:rPr>
              <w:t>10阿克陶一般生态空间，</w:t>
            </w:r>
            <w:r>
              <w:rPr>
                <w:rFonts w:hint="default" w:ascii="Times New Roman" w:hAnsi="Times New Roman" w:eastAsia="宋体" w:cs="Times New Roman"/>
                <w:color w:val="0000C7"/>
                <w:highlight w:val="none"/>
                <w:lang w:val="en-US" w:eastAsia="zh-CN"/>
              </w:rPr>
              <w:t>一般管控单元</w:t>
            </w:r>
            <w:r>
              <w:rPr>
                <w:rFonts w:hint="default" w:ascii="Times New Roman" w:hAnsi="Times New Roman" w:eastAsia="宋体" w:cs="Times New Roman"/>
                <w:color w:val="0000C7"/>
                <w:highlight w:val="none"/>
              </w:rPr>
              <w:t>阿克陶县一般管控单元</w:t>
            </w:r>
            <w:r>
              <w:rPr>
                <w:rFonts w:hint="default" w:ascii="Times New Roman" w:hAnsi="Times New Roman" w:eastAsia="宋体" w:cs="Times New Roman"/>
                <w:color w:val="0000C7"/>
                <w:highlight w:val="none"/>
                <w:lang w:val="en-US" w:eastAsia="zh-CN"/>
              </w:rPr>
              <w:t>。</w:t>
            </w:r>
            <w:r>
              <w:rPr>
                <w:rFonts w:hint="default" w:ascii="Times New Roman" w:hAnsi="Times New Roman" w:eastAsia="宋体" w:cs="Times New Roman"/>
                <w:color w:val="0000C7"/>
                <w:highlight w:val="none"/>
              </w:rPr>
              <w:t>具体分析如下表</w:t>
            </w:r>
            <w:r>
              <w:rPr>
                <w:rFonts w:hint="default" w:ascii="Times New Roman" w:hAnsi="Times New Roman" w:eastAsia="宋体" w:cs="Times New Roman"/>
                <w:color w:val="0000C7"/>
                <w:highlight w:val="none"/>
                <w:lang w:val="en-US" w:eastAsia="zh-CN"/>
              </w:rPr>
              <w:t>1-</w:t>
            </w:r>
            <w:r>
              <w:rPr>
                <w:rFonts w:hint="eastAsia" w:ascii="Times New Roman" w:hAnsi="Times New Roman" w:eastAsia="宋体" w:cs="Times New Roman"/>
                <w:color w:val="0000C7"/>
                <w:highlight w:val="none"/>
                <w:lang w:val="en-US" w:eastAsia="zh-CN"/>
              </w:rPr>
              <w:t>6</w:t>
            </w:r>
            <w:r>
              <w:rPr>
                <w:rFonts w:hint="default" w:ascii="Times New Roman" w:hAnsi="Times New Roman" w:eastAsia="宋体" w:cs="Times New Roman"/>
                <w:color w:val="0000C7"/>
                <w:highlight w:val="none"/>
              </w:rPr>
              <w:t>。</w:t>
            </w:r>
          </w:p>
          <w:p w14:paraId="55DD4BAA">
            <w:pPr>
              <w:pStyle w:val="10"/>
              <w:spacing w:before="0" w:after="0" w:line="240" w:lineRule="auto"/>
              <w:ind w:right="0"/>
              <w:jc w:val="center"/>
              <w:rPr>
                <w:rFonts w:hint="eastAsia" w:ascii="Times New Roman" w:hAnsi="Times New Roman" w:eastAsia="宋体" w:cs="Times New Roman"/>
                <w:b/>
                <w:color w:val="0000C7"/>
                <w:sz w:val="21"/>
                <w:szCs w:val="21"/>
                <w:highlight w:val="none"/>
                <w:lang w:val="en-US" w:eastAsia="zh-CN"/>
              </w:rPr>
            </w:pPr>
            <w:r>
              <w:rPr>
                <w:rFonts w:hint="default" w:ascii="Times New Roman" w:hAnsi="Times New Roman" w:eastAsia="宋体" w:cs="Times New Roman"/>
                <w:b/>
                <w:color w:val="0000C7"/>
                <w:sz w:val="21"/>
                <w:szCs w:val="21"/>
                <w:highlight w:val="none"/>
                <w:lang w:val="en-US" w:eastAsia="zh-CN"/>
              </w:rPr>
              <w:t>表1-</w:t>
            </w:r>
            <w:r>
              <w:rPr>
                <w:rFonts w:hint="eastAsia" w:ascii="Times New Roman" w:hAnsi="Times New Roman" w:eastAsia="宋体" w:cs="Times New Roman"/>
                <w:b/>
                <w:color w:val="0000C7"/>
                <w:sz w:val="21"/>
                <w:szCs w:val="21"/>
                <w:highlight w:val="none"/>
                <w:lang w:val="en-US" w:eastAsia="zh-CN"/>
              </w:rPr>
              <w:t>6</w:t>
            </w:r>
            <w:r>
              <w:rPr>
                <w:rFonts w:hint="default" w:ascii="Times New Roman" w:hAnsi="Times New Roman" w:eastAsia="宋体" w:cs="Times New Roman"/>
                <w:b/>
                <w:color w:val="0000C7"/>
                <w:sz w:val="21"/>
                <w:szCs w:val="21"/>
                <w:highlight w:val="none"/>
                <w:lang w:val="en-US" w:eastAsia="zh-CN"/>
              </w:rPr>
              <w:t xml:space="preserve"> 与喀</w:t>
            </w:r>
            <w:r>
              <w:rPr>
                <w:rFonts w:hint="eastAsia" w:ascii="Times New Roman" w:hAnsi="Times New Roman" w:eastAsia="宋体" w:cs="Times New Roman"/>
                <w:b/>
                <w:color w:val="0000C7"/>
                <w:sz w:val="21"/>
                <w:szCs w:val="21"/>
                <w:highlight w:val="none"/>
                <w:lang w:val="en-US" w:eastAsia="zh-CN"/>
              </w:rPr>
              <w:t>阿克陶县生态环境准入清单</w:t>
            </w:r>
            <w:r>
              <w:rPr>
                <w:rFonts w:hint="default" w:ascii="Times New Roman" w:hAnsi="Times New Roman" w:eastAsia="宋体" w:cs="Times New Roman"/>
                <w:b/>
                <w:color w:val="0000C7"/>
                <w:sz w:val="21"/>
                <w:szCs w:val="21"/>
                <w:highlight w:val="none"/>
                <w:lang w:val="en-US" w:eastAsia="zh-CN"/>
              </w:rPr>
              <w:t>相符性</w:t>
            </w:r>
            <w:r>
              <w:rPr>
                <w:rFonts w:hint="eastAsia" w:ascii="Times New Roman" w:hAnsi="Times New Roman" w:eastAsia="宋体" w:cs="Times New Roman"/>
                <w:b/>
                <w:color w:val="0000C7"/>
                <w:sz w:val="21"/>
                <w:szCs w:val="21"/>
                <w:highlight w:val="none"/>
                <w:lang w:val="en-US" w:eastAsia="zh-CN"/>
              </w:rPr>
              <w:t>（</w:t>
            </w:r>
            <w:r>
              <w:rPr>
                <w:rFonts w:hint="default" w:ascii="Times New Roman" w:hAnsi="Times New Roman" w:eastAsia="宋体" w:cs="Times New Roman"/>
                <w:b/>
                <w:color w:val="0000C7"/>
                <w:sz w:val="21"/>
                <w:szCs w:val="21"/>
                <w:highlight w:val="none"/>
                <w:lang w:val="en-US" w:eastAsia="zh-CN"/>
              </w:rPr>
              <w:t>阿克陶县一般管控单元</w:t>
            </w:r>
            <w:r>
              <w:rPr>
                <w:rFonts w:hint="eastAsia" w:ascii="Times New Roman" w:hAnsi="Times New Roman" w:eastAsia="宋体" w:cs="Times New Roman"/>
                <w:b/>
                <w:color w:val="0000C7"/>
                <w:sz w:val="21"/>
                <w:szCs w:val="21"/>
                <w:highlight w:val="none"/>
                <w:lang w:val="en-US" w:eastAsia="zh-CN"/>
              </w:rPr>
              <w:t>）</w:t>
            </w:r>
          </w:p>
          <w:tbl>
            <w:tblPr>
              <w:tblStyle w:val="34"/>
              <w:tblW w:w="46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4173"/>
              <w:gridCol w:w="1650"/>
              <w:gridCol w:w="533"/>
            </w:tblGrid>
            <w:tr w14:paraId="6CC12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Align w:val="center"/>
                </w:tcPr>
                <w:p w14:paraId="76C5D9B5">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0000C7"/>
                      <w:highlight w:val="none"/>
                    </w:rPr>
                  </w:pPr>
                  <w:r>
                    <w:rPr>
                      <w:rFonts w:hint="default" w:ascii="Times New Roman" w:hAnsi="Times New Roman" w:eastAsia="宋体" w:cs="Times New Roman"/>
                      <w:color w:val="0000C7"/>
                      <w:highlight w:val="none"/>
                    </w:rPr>
                    <w:t>管控</w:t>
                  </w:r>
                </w:p>
                <w:p w14:paraId="256E4E3F">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0000C7"/>
                      <w:highlight w:val="none"/>
                    </w:rPr>
                  </w:pPr>
                  <w:r>
                    <w:rPr>
                      <w:rFonts w:hint="default" w:ascii="Times New Roman" w:hAnsi="Times New Roman" w:eastAsia="宋体" w:cs="Times New Roman"/>
                      <w:color w:val="0000C7"/>
                      <w:highlight w:val="none"/>
                    </w:rPr>
                    <w:t>类别</w:t>
                  </w:r>
                </w:p>
              </w:tc>
              <w:tc>
                <w:tcPr>
                  <w:tcW w:w="4173" w:type="dxa"/>
                  <w:vAlign w:val="center"/>
                </w:tcPr>
                <w:p w14:paraId="549D2FCF">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0000C7"/>
                      <w:highlight w:val="none"/>
                    </w:rPr>
                  </w:pPr>
                  <w:r>
                    <w:rPr>
                      <w:rFonts w:hint="default" w:ascii="Times New Roman" w:hAnsi="Times New Roman" w:eastAsia="宋体" w:cs="Times New Roman"/>
                      <w:color w:val="0000C7"/>
                      <w:highlight w:val="none"/>
                      <w:shd w:val="clear" w:color="auto" w:fill="FFFFFF"/>
                    </w:rPr>
                    <w:t>生态环境分区管控要求</w:t>
                  </w:r>
                </w:p>
              </w:tc>
              <w:tc>
                <w:tcPr>
                  <w:tcW w:w="1650" w:type="dxa"/>
                  <w:vAlign w:val="center"/>
                </w:tcPr>
                <w:p w14:paraId="20A9DD28">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0000C7"/>
                      <w:highlight w:val="none"/>
                    </w:rPr>
                  </w:pPr>
                  <w:r>
                    <w:rPr>
                      <w:rFonts w:hint="default" w:ascii="Times New Roman" w:hAnsi="Times New Roman" w:eastAsia="宋体" w:cs="Times New Roman"/>
                      <w:color w:val="0000C7"/>
                      <w:lang w:val="en-US" w:eastAsia="zh-CN"/>
                    </w:rPr>
                    <w:t>本项目</w:t>
                  </w:r>
                  <w:r>
                    <w:rPr>
                      <w:rFonts w:hint="default" w:ascii="Times New Roman" w:hAnsi="Times New Roman" w:eastAsia="宋体" w:cs="Times New Roman"/>
                      <w:color w:val="0000C7"/>
                      <w:highlight w:val="none"/>
                    </w:rPr>
                    <w:t>建设情况</w:t>
                  </w:r>
                </w:p>
              </w:tc>
              <w:tc>
                <w:tcPr>
                  <w:tcW w:w="533" w:type="dxa"/>
                  <w:vAlign w:val="center"/>
                </w:tcPr>
                <w:p w14:paraId="6A0B7A73">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0000C7"/>
                      <w:highlight w:val="none"/>
                    </w:rPr>
                  </w:pPr>
                  <w:r>
                    <w:rPr>
                      <w:rFonts w:hint="default" w:ascii="Times New Roman" w:hAnsi="Times New Roman" w:eastAsia="宋体" w:cs="Times New Roman"/>
                      <w:color w:val="0000C7"/>
                      <w:highlight w:val="none"/>
                    </w:rPr>
                    <w:t>相符性</w:t>
                  </w:r>
                </w:p>
              </w:tc>
            </w:tr>
            <w:tr w14:paraId="59114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Align w:val="center"/>
                </w:tcPr>
                <w:p w14:paraId="40D8378B">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0000C7"/>
                      <w:highlight w:val="none"/>
                    </w:rPr>
                  </w:pPr>
                  <w:r>
                    <w:rPr>
                      <w:rFonts w:hint="default" w:ascii="Times New Roman" w:hAnsi="Times New Roman" w:eastAsia="宋体" w:cs="Times New Roman"/>
                      <w:color w:val="0000C7"/>
                      <w:highlight w:val="none"/>
                      <w:shd w:val="clear" w:color="auto" w:fill="FFFFFF"/>
                    </w:rPr>
                    <w:t>空间布局约束</w:t>
                  </w:r>
                </w:p>
              </w:tc>
              <w:tc>
                <w:tcPr>
                  <w:tcW w:w="4173" w:type="dxa"/>
                  <w:vAlign w:val="center"/>
                </w:tcPr>
                <w:p w14:paraId="74519D61">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0000C7"/>
                      <w:highlight w:val="none"/>
                    </w:rPr>
                  </w:pPr>
                  <w:r>
                    <w:rPr>
                      <w:rFonts w:hint="eastAsia" w:ascii="Times New Roman" w:hAnsi="Times New Roman" w:eastAsia="宋体" w:cs="Times New Roman"/>
                      <w:color w:val="0000C7"/>
                      <w:highlight w:val="none"/>
                    </w:rPr>
                    <w:t>【1.1-1】限制进行大规模高强度工业化城镇化开发，严格控制金属冶炼、石油化工、焦化等“高污染、高环境风险产品”工业项目，原则上不增加产能，现有“高污染、高环境风险产品”工业项目持续削减污染物排放总量并严格控制环境风险。原则上禁止建设涉及一类重金属、持久性有机污染物排放的工业项目。建立集镇居住商业区、耕地保护区与工业功能区等集聚区块之间的防护带。</w:t>
                  </w:r>
                </w:p>
                <w:p w14:paraId="05D47814">
                  <w:pPr>
                    <w:pStyle w:val="111"/>
                    <w:keepNext w:val="0"/>
                    <w:keepLines w:val="0"/>
                    <w:suppressLineNumbers w:val="0"/>
                    <w:spacing w:before="0" w:beforeAutospacing="0" w:after="0" w:afterAutospacing="0"/>
                    <w:ind w:left="0" w:right="0"/>
                    <w:jc w:val="left"/>
                    <w:rPr>
                      <w:rFonts w:hint="eastAsia" w:ascii="Times New Roman" w:hAnsi="Times New Roman" w:eastAsia="宋体" w:cs="Times New Roman"/>
                      <w:color w:val="0000C7"/>
                      <w:highlight w:val="none"/>
                    </w:rPr>
                  </w:pPr>
                  <w:r>
                    <w:rPr>
                      <w:rFonts w:hint="eastAsia" w:ascii="Times New Roman" w:hAnsi="Times New Roman" w:eastAsia="宋体" w:cs="Times New Roman"/>
                      <w:color w:val="0000C7"/>
                      <w:highlight w:val="none"/>
                    </w:rPr>
                    <w:t>【1.1-2】严格执行畜禽养殖禁养区规定，根据区域用地和消纳水平，合理确定养殖规模。加强基本农田保护，严格限制非农项目占用耕地。</w:t>
                  </w:r>
                </w:p>
                <w:p w14:paraId="3C5646B2">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0000C7"/>
                      <w:highlight w:val="none"/>
                    </w:rPr>
                  </w:pPr>
                  <w:r>
                    <w:rPr>
                      <w:rFonts w:hint="default" w:ascii="Times New Roman" w:hAnsi="Times New Roman" w:eastAsia="宋体" w:cs="Times New Roman"/>
                      <w:color w:val="0000C7"/>
                      <w:highlight w:val="none"/>
                    </w:rPr>
                    <w:t>【1.2-1】严格水域岸线用途管制，新建项目一律不得违规占用水域，土地开发利用应按照有关法律法规和技术标准要求，留足河道、湖泊的管理和保护范围，非法挤占的应限期退出。</w:t>
                  </w:r>
                </w:p>
                <w:p w14:paraId="71918B3A">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0000C7"/>
                      <w:highlight w:val="none"/>
                    </w:rPr>
                  </w:pPr>
                  <w:r>
                    <w:rPr>
                      <w:rFonts w:hint="default" w:ascii="Times New Roman" w:hAnsi="Times New Roman" w:eastAsia="宋体" w:cs="Times New Roman"/>
                      <w:color w:val="0000C7"/>
                      <w:highlight w:val="none"/>
                    </w:rPr>
                    <w:t>【1.3-1】加强相关规划和项目建设布局水资源论证工作，国民经济和社会发展规划以及城市总体规划的编制、重大建设项目的布局，应充分考虑当地水资源条件和防洪要求。</w:t>
                  </w:r>
                </w:p>
                <w:p w14:paraId="61E7DC7E">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0000C7"/>
                      <w:highlight w:val="none"/>
                    </w:rPr>
                  </w:pPr>
                  <w:r>
                    <w:rPr>
                      <w:rFonts w:hint="default" w:ascii="Times New Roman" w:hAnsi="Times New Roman" w:eastAsia="宋体" w:cs="Times New Roman"/>
                      <w:color w:val="0000C7"/>
                      <w:highlight w:val="none"/>
                    </w:rPr>
                    <w:t>【1.3-2】重大项目原则上布局在重点开发区，并符合城乡规划和土地利用总体规划。鼓励发展节水高效现代农业、低耗水高新技术产业以及生态保护型旅游业，严格控制缺水地区和敏感区域高耗水、高污染行业发展。</w:t>
                  </w:r>
                </w:p>
                <w:p w14:paraId="094780BE">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0000C7"/>
                      <w:highlight w:val="none"/>
                    </w:rPr>
                  </w:pPr>
                  <w:r>
                    <w:rPr>
                      <w:rFonts w:hint="default" w:ascii="Times New Roman" w:hAnsi="Times New Roman" w:eastAsia="宋体" w:cs="Times New Roman"/>
                      <w:color w:val="0000C7"/>
                      <w:highlight w:val="none"/>
                    </w:rPr>
                    <w:t>【1.3-3】水资源论证不过关的用水项目一律不予批准，对取用水总量已达到或超过控制指标的地区，暂停审批其建设项目新增取水许可。具备使用再生水条件但未充分利用的钢铁、化工等项目，不得批准其新增取水许可。</w:t>
                  </w:r>
                </w:p>
                <w:p w14:paraId="4045B3CA">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0000C7"/>
                      <w:highlight w:val="none"/>
                    </w:rPr>
                  </w:pPr>
                  <w:r>
                    <w:rPr>
                      <w:rFonts w:hint="default" w:ascii="Times New Roman" w:hAnsi="Times New Roman" w:eastAsia="宋体" w:cs="Times New Roman"/>
                      <w:color w:val="0000C7"/>
                      <w:highlight w:val="none"/>
                    </w:rPr>
                    <w:t>【1.4-1】将建设用地土壤环境管理要求纳入城市规划和供地管理，土地开发利用必须符合土壤环境质量要求。对暂不开发利用或现阶段不具备治理修复条件的污染地块，由各县（市）人民政府组织划定管控区域，设立标识，发布公告，开展土壤、地表水、地下水、空气环境监测，发现污染扩散的，有关责任主体要及时采取污染物隔离、阻断等环境风险管控措施。对拟开发利用的，要逐步开展治理与修复，符合相应规划用地土壤环境质量要求的地块，方可进入用地程序。</w:t>
                  </w:r>
                </w:p>
                <w:p w14:paraId="6B4987DD">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0000C7"/>
                      <w:highlight w:val="none"/>
                    </w:rPr>
                  </w:pPr>
                  <w:r>
                    <w:rPr>
                      <w:rFonts w:hint="default" w:ascii="Times New Roman" w:hAnsi="Times New Roman" w:eastAsia="宋体" w:cs="Times New Roman"/>
                      <w:color w:val="0000C7"/>
                      <w:highlight w:val="none"/>
                    </w:rPr>
                    <w:t>【1.4-2】对基本农田实行严格保护，确保其面积不减少、土壤环境质量不下降，除法律规定的重点建设项目选址确实无法避让外，其他任何建设不得占用。</w:t>
                  </w:r>
                </w:p>
                <w:p w14:paraId="198BD1B8">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0000C7"/>
                      <w:highlight w:val="none"/>
                    </w:rPr>
                  </w:pPr>
                  <w:r>
                    <w:rPr>
                      <w:rFonts w:hint="default" w:ascii="Times New Roman" w:hAnsi="Times New Roman" w:eastAsia="宋体" w:cs="Times New Roman"/>
                      <w:color w:val="0000C7"/>
                      <w:highlight w:val="none"/>
                    </w:rPr>
                    <w:t>【1.4-3】未利用地拟开发为农用地的，各县（市）人民政府要组织开展土壤环境质量状况评估；不符合相应标准的，不得种植食用农产品。</w:t>
                  </w:r>
                </w:p>
                <w:p w14:paraId="5E36F6A1">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0000C7"/>
                      <w:highlight w:val="none"/>
                    </w:rPr>
                  </w:pPr>
                  <w:r>
                    <w:rPr>
                      <w:rFonts w:hint="default" w:ascii="Times New Roman" w:hAnsi="Times New Roman" w:eastAsia="宋体" w:cs="Times New Roman"/>
                      <w:color w:val="0000C7"/>
                      <w:highlight w:val="none"/>
                    </w:rPr>
                    <w:t>【1.4-4】科学划定畜禽养殖禁养区、限养区。做好畜禽养殖小区建设备案管理工作，执行好新建、改建、扩建规模畜禽养殖场（小区）建设项目环境影响评价和“三同时”制度，确保畜牧业发展符合区域环境功能定位和环境保护要求。</w:t>
                  </w:r>
                </w:p>
                <w:p w14:paraId="2BA95FC3">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0000C7"/>
                      <w:highlight w:val="none"/>
                    </w:rPr>
                  </w:pPr>
                  <w:r>
                    <w:rPr>
                      <w:rFonts w:hint="default" w:ascii="Times New Roman" w:hAnsi="Times New Roman" w:eastAsia="宋体" w:cs="Times New Roman"/>
                      <w:color w:val="0000C7"/>
                      <w:highlight w:val="none"/>
                    </w:rPr>
                    <w:t>【1.4-5】加强对本地区矿山、油气等矿产资源开采活动影响区域内未利用地的环境监管，发现未利用土壤污染问题的，要坚决进行查处，并及时督促有关企业采取有效防治措施消除或减轻污染。</w:t>
                  </w:r>
                </w:p>
                <w:p w14:paraId="5198C182">
                  <w:pPr>
                    <w:pStyle w:val="111"/>
                    <w:keepNext w:val="0"/>
                    <w:keepLines w:val="0"/>
                    <w:suppressLineNumbers w:val="0"/>
                    <w:spacing w:before="0" w:beforeAutospacing="0" w:after="0" w:afterAutospacing="0"/>
                    <w:ind w:left="0" w:right="0"/>
                    <w:jc w:val="left"/>
                    <w:rPr>
                      <w:rFonts w:hint="default" w:ascii="仿宋" w:hAnsi="仿宋" w:eastAsia="仿宋" w:cs="仿宋"/>
                      <w:i w:val="0"/>
                      <w:iCs w:val="0"/>
                      <w:caps w:val="0"/>
                      <w:color w:val="0000C7"/>
                      <w:spacing w:val="0"/>
                      <w:sz w:val="21"/>
                      <w:szCs w:val="21"/>
                    </w:rPr>
                  </w:pPr>
                  <w:r>
                    <w:rPr>
                      <w:rFonts w:hint="default" w:ascii="Times New Roman" w:hAnsi="Times New Roman" w:eastAsia="宋体" w:cs="Times New Roman"/>
                      <w:color w:val="0000C7"/>
                      <w:highlight w:val="none"/>
                    </w:rPr>
                    <w:t>【1.4-6】鼓励工业企业“退城入园”，集聚发展，提高土地集约利用水平，减少土壤污染。严格执行相关行业企业布局选址要求，禁止在居民区、学校、医疗和养老机构等周边新建土壤环境重点监管行业企业；结合推进新型城镇化、产业结构调整和化解过剩产能等，有序搬迁或依法关闭对土壤造成严重污染的现有企业。结合区域功能定位和土壤污染防治需要，科学布局生活垃圾处理、危险废物处置、废旧资源再生利用等设施和场所，合理确定畜禽养殖布局和规模。</w:t>
                  </w:r>
                </w:p>
              </w:tc>
              <w:tc>
                <w:tcPr>
                  <w:tcW w:w="1650" w:type="dxa"/>
                  <w:vAlign w:val="center"/>
                </w:tcPr>
                <w:p w14:paraId="6D521FE3">
                  <w:pPr>
                    <w:pStyle w:val="111"/>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0000C7"/>
                      <w:highlight w:val="none"/>
                      <w:lang w:val="en-US" w:eastAsia="zh-CN"/>
                    </w:rPr>
                  </w:pPr>
                  <w:r>
                    <w:rPr>
                      <w:rFonts w:hint="default" w:ascii="Times New Roman" w:hAnsi="Times New Roman" w:eastAsia="宋体" w:cs="Times New Roman"/>
                      <w:color w:val="0000C7"/>
                      <w:highlight w:val="none"/>
                      <w:lang w:val="en-US" w:eastAsia="zh-CN"/>
                    </w:rPr>
                    <w:t>1.</w:t>
                  </w:r>
                  <w:r>
                    <w:rPr>
                      <w:rFonts w:hint="eastAsia" w:hAnsi="Times New Roman" w:eastAsia="宋体" w:cs="Times New Roman"/>
                      <w:color w:val="0000C7"/>
                      <w:highlight w:val="none"/>
                      <w:lang w:val="en-US" w:eastAsia="zh-CN"/>
                    </w:rPr>
                    <w:t>1</w:t>
                  </w:r>
                  <w:r>
                    <w:rPr>
                      <w:rFonts w:hint="default" w:ascii="Times New Roman" w:hAnsi="Times New Roman" w:eastAsia="宋体" w:cs="Times New Roman"/>
                      <w:color w:val="0000C7"/>
                      <w:highlight w:val="none"/>
                      <w:lang w:val="en-US" w:eastAsia="zh-CN"/>
                    </w:rPr>
                    <w:t>-1：</w:t>
                  </w:r>
                  <w:r>
                    <w:rPr>
                      <w:rFonts w:hint="eastAsia" w:hAnsi="Times New Roman" w:cs="Times New Roman"/>
                      <w:color w:val="0000C7"/>
                      <w:highlight w:val="none"/>
                      <w:lang w:val="en-US" w:eastAsia="zh-CN"/>
                    </w:rPr>
                    <w:t>不涉及</w:t>
                  </w:r>
                  <w:r>
                    <w:rPr>
                      <w:rFonts w:hint="default" w:ascii="Times New Roman" w:hAnsi="Times New Roman" w:eastAsia="宋体" w:cs="Times New Roman"/>
                      <w:color w:val="0000C7"/>
                      <w:highlight w:val="none"/>
                      <w:lang w:val="en-US" w:eastAsia="zh-CN"/>
                    </w:rPr>
                    <w:t>1.</w:t>
                  </w:r>
                  <w:r>
                    <w:rPr>
                      <w:rFonts w:hint="eastAsia" w:hAnsi="Times New Roman" w:eastAsia="宋体" w:cs="Times New Roman"/>
                      <w:color w:val="0000C7"/>
                      <w:highlight w:val="none"/>
                      <w:lang w:val="en-US" w:eastAsia="zh-CN"/>
                    </w:rPr>
                    <w:t>1</w:t>
                  </w:r>
                  <w:r>
                    <w:rPr>
                      <w:rFonts w:hint="default" w:ascii="Times New Roman" w:hAnsi="Times New Roman" w:eastAsia="宋体" w:cs="Times New Roman"/>
                      <w:color w:val="0000C7"/>
                      <w:highlight w:val="none"/>
                      <w:lang w:val="en-US" w:eastAsia="zh-CN"/>
                    </w:rPr>
                    <w:t>-</w:t>
                  </w:r>
                  <w:r>
                    <w:rPr>
                      <w:rFonts w:hint="eastAsia" w:hAnsi="Times New Roman" w:eastAsia="宋体" w:cs="Times New Roman"/>
                      <w:color w:val="0000C7"/>
                      <w:highlight w:val="none"/>
                      <w:lang w:val="en-US" w:eastAsia="zh-CN"/>
                    </w:rPr>
                    <w:t>2</w:t>
                  </w:r>
                  <w:r>
                    <w:rPr>
                      <w:rFonts w:hint="default" w:ascii="Times New Roman" w:hAnsi="Times New Roman" w:eastAsia="宋体" w:cs="Times New Roman"/>
                      <w:color w:val="0000C7"/>
                      <w:highlight w:val="none"/>
                      <w:lang w:val="en-US" w:eastAsia="zh-CN"/>
                    </w:rPr>
                    <w:t>：不涉及1.</w:t>
                  </w:r>
                  <w:r>
                    <w:rPr>
                      <w:rFonts w:hint="eastAsia" w:hAnsi="Times New Roman" w:eastAsia="宋体" w:cs="Times New Roman"/>
                      <w:color w:val="0000C7"/>
                      <w:highlight w:val="none"/>
                      <w:lang w:val="en-US" w:eastAsia="zh-CN"/>
                    </w:rPr>
                    <w:t>2</w:t>
                  </w:r>
                  <w:r>
                    <w:rPr>
                      <w:rFonts w:hint="default" w:ascii="Times New Roman" w:hAnsi="Times New Roman" w:eastAsia="宋体" w:cs="Times New Roman"/>
                      <w:color w:val="0000C7"/>
                      <w:highlight w:val="none"/>
                      <w:lang w:val="en-US" w:eastAsia="zh-CN"/>
                    </w:rPr>
                    <w:t>-1：</w:t>
                  </w:r>
                  <w:r>
                    <w:rPr>
                      <w:rFonts w:hint="eastAsia" w:hAnsi="Times New Roman" w:cs="Times New Roman"/>
                      <w:color w:val="0000C7"/>
                      <w:highlight w:val="none"/>
                      <w:lang w:val="en-US" w:eastAsia="zh-CN"/>
                    </w:rPr>
                    <w:t>不涉及</w:t>
                  </w:r>
                  <w:r>
                    <w:rPr>
                      <w:rFonts w:hint="default" w:ascii="Times New Roman" w:hAnsi="Times New Roman" w:eastAsia="宋体" w:cs="Times New Roman"/>
                      <w:color w:val="0000C7"/>
                      <w:highlight w:val="none"/>
                      <w:lang w:val="en-US" w:eastAsia="zh-CN"/>
                    </w:rPr>
                    <w:t>1.</w:t>
                  </w:r>
                  <w:r>
                    <w:rPr>
                      <w:rFonts w:hint="eastAsia" w:hAnsi="Times New Roman" w:eastAsia="宋体" w:cs="Times New Roman"/>
                      <w:color w:val="0000C7"/>
                      <w:highlight w:val="none"/>
                      <w:lang w:val="en-US" w:eastAsia="zh-CN"/>
                    </w:rPr>
                    <w:t>3</w:t>
                  </w:r>
                  <w:r>
                    <w:rPr>
                      <w:rFonts w:hint="default" w:ascii="Times New Roman" w:hAnsi="Times New Roman" w:eastAsia="宋体" w:cs="Times New Roman"/>
                      <w:color w:val="0000C7"/>
                      <w:highlight w:val="none"/>
                      <w:lang w:val="en-US" w:eastAsia="zh-CN"/>
                    </w:rPr>
                    <w:t>-</w:t>
                  </w:r>
                  <w:r>
                    <w:rPr>
                      <w:rFonts w:hint="eastAsia" w:hAnsi="Times New Roman" w:eastAsia="宋体" w:cs="Times New Roman"/>
                      <w:color w:val="0000C7"/>
                      <w:highlight w:val="none"/>
                      <w:lang w:val="en-US" w:eastAsia="zh-CN"/>
                    </w:rPr>
                    <w:t>1</w:t>
                  </w:r>
                  <w:r>
                    <w:rPr>
                      <w:rFonts w:hint="default" w:ascii="Times New Roman" w:hAnsi="Times New Roman" w:eastAsia="宋体" w:cs="Times New Roman"/>
                      <w:color w:val="0000C7"/>
                      <w:highlight w:val="none"/>
                      <w:lang w:val="en-US" w:eastAsia="zh-CN"/>
                    </w:rPr>
                    <w:t>：不涉及1.</w:t>
                  </w:r>
                  <w:r>
                    <w:rPr>
                      <w:rFonts w:hint="eastAsia" w:hAnsi="Times New Roman" w:eastAsia="宋体" w:cs="Times New Roman"/>
                      <w:color w:val="0000C7"/>
                      <w:highlight w:val="none"/>
                      <w:lang w:val="en-US" w:eastAsia="zh-CN"/>
                    </w:rPr>
                    <w:t>3</w:t>
                  </w:r>
                  <w:r>
                    <w:rPr>
                      <w:rFonts w:hint="default" w:ascii="Times New Roman" w:hAnsi="Times New Roman" w:eastAsia="宋体" w:cs="Times New Roman"/>
                      <w:color w:val="0000C7"/>
                      <w:highlight w:val="none"/>
                      <w:lang w:val="en-US" w:eastAsia="zh-CN"/>
                    </w:rPr>
                    <w:t>-</w:t>
                  </w:r>
                  <w:r>
                    <w:rPr>
                      <w:rFonts w:hint="eastAsia" w:hAnsi="Times New Roman" w:eastAsia="宋体" w:cs="Times New Roman"/>
                      <w:color w:val="0000C7"/>
                      <w:highlight w:val="none"/>
                      <w:lang w:val="en-US" w:eastAsia="zh-CN"/>
                    </w:rPr>
                    <w:t>2</w:t>
                  </w:r>
                  <w:r>
                    <w:rPr>
                      <w:rFonts w:hint="default" w:ascii="Times New Roman" w:hAnsi="Times New Roman" w:eastAsia="宋体" w:cs="Times New Roman"/>
                      <w:color w:val="0000C7"/>
                      <w:highlight w:val="none"/>
                      <w:lang w:val="en-US" w:eastAsia="zh-CN"/>
                    </w:rPr>
                    <w:t>：</w:t>
                  </w:r>
                  <w:r>
                    <w:rPr>
                      <w:rFonts w:hint="eastAsia" w:hAnsi="Times New Roman" w:cs="Times New Roman"/>
                      <w:color w:val="0000C7"/>
                      <w:highlight w:val="none"/>
                      <w:lang w:val="en-US" w:eastAsia="zh-CN"/>
                    </w:rPr>
                    <w:t>不涉及</w:t>
                  </w:r>
                  <w:r>
                    <w:rPr>
                      <w:rFonts w:hint="default" w:ascii="Times New Roman" w:hAnsi="Times New Roman" w:eastAsia="宋体" w:cs="Times New Roman"/>
                      <w:color w:val="0000C7"/>
                      <w:highlight w:val="none"/>
                      <w:lang w:val="en-US" w:eastAsia="zh-CN"/>
                    </w:rPr>
                    <w:t>1.</w:t>
                  </w:r>
                  <w:r>
                    <w:rPr>
                      <w:rFonts w:hint="eastAsia" w:hAnsi="Times New Roman" w:eastAsia="宋体" w:cs="Times New Roman"/>
                      <w:color w:val="0000C7"/>
                      <w:highlight w:val="none"/>
                      <w:lang w:val="en-US" w:eastAsia="zh-CN"/>
                    </w:rPr>
                    <w:t>3</w:t>
                  </w:r>
                  <w:r>
                    <w:rPr>
                      <w:rFonts w:hint="default" w:ascii="Times New Roman" w:hAnsi="Times New Roman" w:eastAsia="宋体" w:cs="Times New Roman"/>
                      <w:color w:val="0000C7"/>
                      <w:highlight w:val="none"/>
                      <w:lang w:val="en-US" w:eastAsia="zh-CN"/>
                    </w:rPr>
                    <w:t>-</w:t>
                  </w:r>
                  <w:r>
                    <w:rPr>
                      <w:rFonts w:hint="eastAsia" w:hAnsi="Times New Roman" w:eastAsia="宋体" w:cs="Times New Roman"/>
                      <w:color w:val="0000C7"/>
                      <w:highlight w:val="none"/>
                      <w:lang w:val="en-US" w:eastAsia="zh-CN"/>
                    </w:rPr>
                    <w:t>3</w:t>
                  </w:r>
                  <w:r>
                    <w:rPr>
                      <w:rFonts w:hint="default" w:ascii="Times New Roman" w:hAnsi="Times New Roman" w:eastAsia="宋体" w:cs="Times New Roman"/>
                      <w:color w:val="0000C7"/>
                      <w:highlight w:val="none"/>
                      <w:lang w:val="en-US" w:eastAsia="zh-CN"/>
                    </w:rPr>
                    <w:t>：不涉及1.</w:t>
                  </w:r>
                  <w:r>
                    <w:rPr>
                      <w:rFonts w:hint="eastAsia" w:hAnsi="Times New Roman" w:eastAsia="宋体" w:cs="Times New Roman"/>
                      <w:color w:val="0000C7"/>
                      <w:highlight w:val="none"/>
                      <w:lang w:val="en-US" w:eastAsia="zh-CN"/>
                    </w:rPr>
                    <w:t>4</w:t>
                  </w:r>
                  <w:r>
                    <w:rPr>
                      <w:rFonts w:hint="default" w:ascii="Times New Roman" w:hAnsi="Times New Roman" w:eastAsia="宋体" w:cs="Times New Roman"/>
                      <w:color w:val="0000C7"/>
                      <w:highlight w:val="none"/>
                      <w:lang w:val="en-US" w:eastAsia="zh-CN"/>
                    </w:rPr>
                    <w:t>-1：</w:t>
                  </w:r>
                  <w:r>
                    <w:rPr>
                      <w:rFonts w:hint="eastAsia" w:hAnsi="Times New Roman" w:cs="Times New Roman"/>
                      <w:color w:val="0000C7"/>
                      <w:highlight w:val="none"/>
                      <w:lang w:val="en-US" w:eastAsia="zh-CN"/>
                    </w:rPr>
                    <w:t>不涉及</w:t>
                  </w:r>
                  <w:r>
                    <w:rPr>
                      <w:rFonts w:hint="default" w:ascii="Times New Roman" w:hAnsi="Times New Roman" w:eastAsia="宋体" w:cs="Times New Roman"/>
                      <w:color w:val="0000C7"/>
                      <w:highlight w:val="none"/>
                      <w:lang w:val="en-US" w:eastAsia="zh-CN"/>
                    </w:rPr>
                    <w:t>1.</w:t>
                  </w:r>
                  <w:r>
                    <w:rPr>
                      <w:rFonts w:hint="eastAsia" w:hAnsi="Times New Roman" w:eastAsia="宋体" w:cs="Times New Roman"/>
                      <w:color w:val="0000C7"/>
                      <w:highlight w:val="none"/>
                      <w:lang w:val="en-US" w:eastAsia="zh-CN"/>
                    </w:rPr>
                    <w:t>4</w:t>
                  </w:r>
                  <w:r>
                    <w:rPr>
                      <w:rFonts w:hint="default" w:ascii="Times New Roman" w:hAnsi="Times New Roman" w:eastAsia="宋体" w:cs="Times New Roman"/>
                      <w:color w:val="0000C7"/>
                      <w:highlight w:val="none"/>
                      <w:lang w:val="en-US" w:eastAsia="zh-CN"/>
                    </w:rPr>
                    <w:t>-</w:t>
                  </w:r>
                  <w:r>
                    <w:rPr>
                      <w:rFonts w:hint="eastAsia" w:hAnsi="Times New Roman" w:eastAsia="宋体" w:cs="Times New Roman"/>
                      <w:color w:val="0000C7"/>
                      <w:highlight w:val="none"/>
                      <w:lang w:val="en-US" w:eastAsia="zh-CN"/>
                    </w:rPr>
                    <w:t>2</w:t>
                  </w:r>
                  <w:r>
                    <w:rPr>
                      <w:rFonts w:hint="default" w:ascii="Times New Roman" w:hAnsi="Times New Roman" w:eastAsia="宋体" w:cs="Times New Roman"/>
                      <w:color w:val="0000C7"/>
                      <w:highlight w:val="none"/>
                      <w:lang w:val="en-US" w:eastAsia="zh-CN"/>
                    </w:rPr>
                    <w:t>：不涉及1.</w:t>
                  </w:r>
                  <w:r>
                    <w:rPr>
                      <w:rFonts w:hint="eastAsia" w:hAnsi="Times New Roman" w:eastAsia="宋体" w:cs="Times New Roman"/>
                      <w:color w:val="0000C7"/>
                      <w:highlight w:val="none"/>
                      <w:lang w:val="en-US" w:eastAsia="zh-CN"/>
                    </w:rPr>
                    <w:t>4</w:t>
                  </w:r>
                  <w:r>
                    <w:rPr>
                      <w:rFonts w:hint="default" w:ascii="Times New Roman" w:hAnsi="Times New Roman" w:eastAsia="宋体" w:cs="Times New Roman"/>
                      <w:color w:val="0000C7"/>
                      <w:highlight w:val="none"/>
                      <w:lang w:val="en-US" w:eastAsia="zh-CN"/>
                    </w:rPr>
                    <w:t>-</w:t>
                  </w:r>
                  <w:r>
                    <w:rPr>
                      <w:rFonts w:hint="eastAsia" w:hAnsi="Times New Roman" w:eastAsia="宋体" w:cs="Times New Roman"/>
                      <w:color w:val="0000C7"/>
                      <w:highlight w:val="none"/>
                      <w:lang w:val="en-US" w:eastAsia="zh-CN"/>
                    </w:rPr>
                    <w:t>3</w:t>
                  </w:r>
                  <w:r>
                    <w:rPr>
                      <w:rFonts w:hint="default" w:ascii="Times New Roman" w:hAnsi="Times New Roman" w:eastAsia="宋体" w:cs="Times New Roman"/>
                      <w:color w:val="0000C7"/>
                      <w:highlight w:val="none"/>
                      <w:lang w:val="en-US" w:eastAsia="zh-CN"/>
                    </w:rPr>
                    <w:t>：</w:t>
                  </w:r>
                  <w:r>
                    <w:rPr>
                      <w:rFonts w:hint="eastAsia" w:hAnsi="Times New Roman" w:cs="Times New Roman"/>
                      <w:color w:val="0000C7"/>
                      <w:highlight w:val="none"/>
                      <w:lang w:val="en-US" w:eastAsia="zh-CN"/>
                    </w:rPr>
                    <w:t>不涉及</w:t>
                  </w:r>
                  <w:r>
                    <w:rPr>
                      <w:rFonts w:hint="default" w:ascii="Times New Roman" w:hAnsi="Times New Roman" w:eastAsia="宋体" w:cs="Times New Roman"/>
                      <w:color w:val="0000C7"/>
                      <w:highlight w:val="none"/>
                      <w:lang w:val="en-US" w:eastAsia="zh-CN"/>
                    </w:rPr>
                    <w:t>1.</w:t>
                  </w:r>
                  <w:r>
                    <w:rPr>
                      <w:rFonts w:hint="eastAsia" w:hAnsi="Times New Roman" w:eastAsia="宋体" w:cs="Times New Roman"/>
                      <w:color w:val="0000C7"/>
                      <w:highlight w:val="none"/>
                      <w:lang w:val="en-US" w:eastAsia="zh-CN"/>
                    </w:rPr>
                    <w:t>4</w:t>
                  </w:r>
                  <w:r>
                    <w:rPr>
                      <w:rFonts w:hint="default" w:ascii="Times New Roman" w:hAnsi="Times New Roman" w:eastAsia="宋体" w:cs="Times New Roman"/>
                      <w:color w:val="0000C7"/>
                      <w:highlight w:val="none"/>
                      <w:lang w:val="en-US" w:eastAsia="zh-CN"/>
                    </w:rPr>
                    <w:t>-</w:t>
                  </w:r>
                  <w:r>
                    <w:rPr>
                      <w:rFonts w:hint="eastAsia" w:hAnsi="Times New Roman" w:eastAsia="宋体" w:cs="Times New Roman"/>
                      <w:color w:val="0000C7"/>
                      <w:highlight w:val="none"/>
                      <w:lang w:val="en-US" w:eastAsia="zh-CN"/>
                    </w:rPr>
                    <w:t>4</w:t>
                  </w:r>
                  <w:r>
                    <w:rPr>
                      <w:rFonts w:hint="default" w:ascii="Times New Roman" w:hAnsi="Times New Roman" w:eastAsia="宋体" w:cs="Times New Roman"/>
                      <w:color w:val="0000C7"/>
                      <w:highlight w:val="none"/>
                      <w:lang w:val="en-US" w:eastAsia="zh-CN"/>
                    </w:rPr>
                    <w:t>：</w:t>
                  </w:r>
                  <w:r>
                    <w:rPr>
                      <w:rFonts w:hint="eastAsia" w:hAnsi="Times New Roman" w:cs="Times New Roman"/>
                      <w:color w:val="0000C7"/>
                      <w:highlight w:val="none"/>
                      <w:lang w:val="en-US" w:eastAsia="zh-CN"/>
                    </w:rPr>
                    <w:t>不涉及</w:t>
                  </w:r>
                  <w:r>
                    <w:rPr>
                      <w:rFonts w:hint="default" w:ascii="Times New Roman" w:hAnsi="Times New Roman" w:eastAsia="宋体" w:cs="Times New Roman"/>
                      <w:color w:val="0000C7"/>
                      <w:highlight w:val="none"/>
                      <w:lang w:val="en-US" w:eastAsia="zh-CN"/>
                    </w:rPr>
                    <w:t>1.</w:t>
                  </w:r>
                  <w:r>
                    <w:rPr>
                      <w:rFonts w:hint="eastAsia" w:hAnsi="Times New Roman" w:eastAsia="宋体" w:cs="Times New Roman"/>
                      <w:color w:val="0000C7"/>
                      <w:highlight w:val="none"/>
                      <w:lang w:val="en-US" w:eastAsia="zh-CN"/>
                    </w:rPr>
                    <w:t>4</w:t>
                  </w:r>
                  <w:r>
                    <w:rPr>
                      <w:rFonts w:hint="default" w:ascii="Times New Roman" w:hAnsi="Times New Roman" w:eastAsia="宋体" w:cs="Times New Roman"/>
                      <w:color w:val="0000C7"/>
                      <w:highlight w:val="none"/>
                      <w:lang w:val="en-US" w:eastAsia="zh-CN"/>
                    </w:rPr>
                    <w:t>-</w:t>
                  </w:r>
                  <w:r>
                    <w:rPr>
                      <w:rFonts w:hint="eastAsia" w:hAnsi="Times New Roman" w:eastAsia="宋体" w:cs="Times New Roman"/>
                      <w:color w:val="0000C7"/>
                      <w:highlight w:val="none"/>
                      <w:lang w:val="en-US" w:eastAsia="zh-CN"/>
                    </w:rPr>
                    <w:t>5</w:t>
                  </w:r>
                  <w:r>
                    <w:rPr>
                      <w:rFonts w:hint="default" w:ascii="Times New Roman" w:hAnsi="Times New Roman" w:eastAsia="宋体" w:cs="Times New Roman"/>
                      <w:color w:val="0000C7"/>
                      <w:highlight w:val="none"/>
                      <w:lang w:val="en-US" w:eastAsia="zh-CN"/>
                    </w:rPr>
                    <w:t>：</w:t>
                  </w:r>
                  <w:r>
                    <w:rPr>
                      <w:rFonts w:hint="eastAsia" w:hAnsi="Times New Roman" w:cs="Times New Roman"/>
                      <w:color w:val="0000C7"/>
                      <w:highlight w:val="none"/>
                      <w:lang w:val="en-US" w:eastAsia="zh-CN"/>
                    </w:rPr>
                    <w:t>不涉及</w:t>
                  </w:r>
                  <w:r>
                    <w:rPr>
                      <w:rFonts w:hint="default" w:ascii="Times New Roman" w:hAnsi="Times New Roman" w:eastAsia="宋体" w:cs="Times New Roman"/>
                      <w:color w:val="0000C7"/>
                      <w:highlight w:val="none"/>
                      <w:lang w:val="en-US" w:eastAsia="zh-CN"/>
                    </w:rPr>
                    <w:t>1.</w:t>
                  </w:r>
                  <w:r>
                    <w:rPr>
                      <w:rFonts w:hint="eastAsia" w:hAnsi="Times New Roman" w:eastAsia="宋体" w:cs="Times New Roman"/>
                      <w:color w:val="0000C7"/>
                      <w:highlight w:val="none"/>
                      <w:lang w:val="en-US" w:eastAsia="zh-CN"/>
                    </w:rPr>
                    <w:t>4</w:t>
                  </w:r>
                  <w:r>
                    <w:rPr>
                      <w:rFonts w:hint="default" w:ascii="Times New Roman" w:hAnsi="Times New Roman" w:eastAsia="宋体" w:cs="Times New Roman"/>
                      <w:color w:val="0000C7"/>
                      <w:highlight w:val="none"/>
                      <w:lang w:val="en-US" w:eastAsia="zh-CN"/>
                    </w:rPr>
                    <w:t>-</w:t>
                  </w:r>
                  <w:r>
                    <w:rPr>
                      <w:rFonts w:hint="eastAsia" w:hAnsi="Times New Roman" w:eastAsia="宋体" w:cs="Times New Roman"/>
                      <w:color w:val="0000C7"/>
                      <w:highlight w:val="none"/>
                      <w:lang w:val="en-US" w:eastAsia="zh-CN"/>
                    </w:rPr>
                    <w:t>6</w:t>
                  </w:r>
                  <w:r>
                    <w:rPr>
                      <w:rFonts w:hint="default" w:ascii="Times New Roman" w:hAnsi="Times New Roman" w:eastAsia="宋体" w:cs="Times New Roman"/>
                      <w:color w:val="0000C7"/>
                      <w:highlight w:val="none"/>
                      <w:lang w:val="en-US" w:eastAsia="zh-CN"/>
                    </w:rPr>
                    <w:t>：</w:t>
                  </w:r>
                  <w:r>
                    <w:rPr>
                      <w:rFonts w:hint="eastAsia" w:hAnsi="Times New Roman" w:cs="Times New Roman"/>
                      <w:color w:val="0000C7"/>
                      <w:highlight w:val="none"/>
                      <w:lang w:val="en-US" w:eastAsia="zh-CN"/>
                    </w:rPr>
                    <w:t>不涉及</w:t>
                  </w:r>
                </w:p>
              </w:tc>
              <w:tc>
                <w:tcPr>
                  <w:tcW w:w="533" w:type="dxa"/>
                  <w:vAlign w:val="center"/>
                </w:tcPr>
                <w:p w14:paraId="2136BB26">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0000C7"/>
                      <w:highlight w:val="none"/>
                    </w:rPr>
                  </w:pPr>
                  <w:r>
                    <w:rPr>
                      <w:rFonts w:hint="default" w:ascii="Times New Roman" w:hAnsi="Times New Roman" w:eastAsia="宋体" w:cs="Times New Roman"/>
                      <w:color w:val="0000C7"/>
                      <w:highlight w:val="none"/>
                    </w:rPr>
                    <w:t>符合</w:t>
                  </w:r>
                </w:p>
              </w:tc>
            </w:tr>
            <w:tr w14:paraId="7F82F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Align w:val="center"/>
                </w:tcPr>
                <w:p w14:paraId="72A82E8A">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0000C7"/>
                      <w:highlight w:val="none"/>
                    </w:rPr>
                  </w:pPr>
                  <w:r>
                    <w:rPr>
                      <w:rFonts w:hint="default" w:ascii="Times New Roman" w:hAnsi="Times New Roman" w:eastAsia="宋体" w:cs="Times New Roman"/>
                      <w:color w:val="0000C7"/>
                      <w:highlight w:val="none"/>
                    </w:rPr>
                    <w:t>污染物排放管控</w:t>
                  </w:r>
                </w:p>
              </w:tc>
              <w:tc>
                <w:tcPr>
                  <w:tcW w:w="4173" w:type="dxa"/>
                  <w:vAlign w:val="center"/>
                </w:tcPr>
                <w:p w14:paraId="33EA4288">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0000C7"/>
                      <w:highlight w:val="none"/>
                    </w:rPr>
                  </w:pPr>
                  <w:r>
                    <w:rPr>
                      <w:rFonts w:hint="default" w:ascii="Times New Roman" w:hAnsi="Times New Roman" w:eastAsia="宋体" w:cs="Times New Roman"/>
                      <w:color w:val="0000C7"/>
                      <w:highlight w:val="none"/>
                    </w:rPr>
                    <w:t>【2.1-1】落实污染物总量控制制度，根据区域环境质量改善目标，削减污染物排放总量。加强农业面源污染治理，严格控制化肥农药施加量，逐步削减农业面源污染物排放量。</w:t>
                  </w:r>
                </w:p>
                <w:p w14:paraId="41E50E85">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0000C7"/>
                      <w:highlight w:val="none"/>
                    </w:rPr>
                  </w:pPr>
                  <w:r>
                    <w:rPr>
                      <w:rFonts w:hint="default" w:ascii="Times New Roman" w:hAnsi="Times New Roman" w:eastAsia="宋体" w:cs="Times New Roman"/>
                      <w:color w:val="0000C7"/>
                      <w:highlight w:val="none"/>
                    </w:rPr>
                    <w:t>【2.2-1】全面加强秸秆禁烧管控，强化各级政府秸秆禁烧主体责任，充分发挥网格化监管作用，在初春、秋收和夏收阶段开展秸秆禁烧专项巡查。</w:t>
                  </w:r>
                </w:p>
                <w:p w14:paraId="148206A5">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0000C7"/>
                      <w:highlight w:val="none"/>
                    </w:rPr>
                  </w:pPr>
                  <w:r>
                    <w:rPr>
                      <w:rFonts w:hint="default" w:ascii="Times New Roman" w:hAnsi="Times New Roman" w:eastAsia="宋体" w:cs="Times New Roman"/>
                      <w:color w:val="0000C7"/>
                      <w:highlight w:val="none"/>
                    </w:rPr>
                    <w:t>【2.2-2】推进农业大气氨污染防治，加强种植业氨排放控制，调整氮肥结构，改进施肥方式；加强养殖业氨排放治理，鼓励农村地区实施规模化畜禽养殖。</w:t>
                  </w:r>
                </w:p>
                <w:p w14:paraId="0C34CABD">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0000C7"/>
                      <w:highlight w:val="none"/>
                    </w:rPr>
                  </w:pPr>
                  <w:r>
                    <w:rPr>
                      <w:rFonts w:hint="default" w:ascii="Times New Roman" w:hAnsi="Times New Roman" w:eastAsia="宋体" w:cs="Times New Roman"/>
                      <w:color w:val="0000C7"/>
                      <w:highlight w:val="none"/>
                    </w:rPr>
                    <w:t>【2.3-1】根据农村地理环境和人口聚集程度，因地制宜采取集中与分散相结合的方式，实施农村生活污水处理：将城镇周边村庄生活污水纳入城镇污水处理管网收集处理；距城镇较远、人口居住集中的村庄，采取统一新建污水处理设施及配套管网的方式收集处理；地形条件复杂、居住相对分散的村庄，分区域采取大集中、小集中与分散相结合的灵活方式，建设污水处理设施进行收集处理。</w:t>
                  </w:r>
                </w:p>
                <w:p w14:paraId="5564EB48">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0000C7"/>
                      <w:highlight w:val="none"/>
                    </w:rPr>
                  </w:pPr>
                  <w:r>
                    <w:rPr>
                      <w:rFonts w:hint="default" w:ascii="Times New Roman" w:hAnsi="Times New Roman" w:eastAsia="宋体" w:cs="Times New Roman"/>
                      <w:color w:val="0000C7"/>
                      <w:highlight w:val="none"/>
                    </w:rPr>
                    <w:t>【2.3-2】严格灌区水盐管理制度，敏感区域和大中型灌区，应建设生态沟渠、污水净化塘、地表径流集蓄池等设施，净化农田排水及地表径流，避免上灌下排恶性循环，严禁直接进入河道污染河流水质。</w:t>
                  </w:r>
                </w:p>
                <w:p w14:paraId="766EE4D2">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0000C7"/>
                      <w:highlight w:val="none"/>
                    </w:rPr>
                  </w:pPr>
                  <w:r>
                    <w:rPr>
                      <w:rFonts w:hint="default" w:ascii="Times New Roman" w:hAnsi="Times New Roman" w:eastAsia="宋体" w:cs="Times New Roman"/>
                      <w:color w:val="0000C7"/>
                      <w:highlight w:val="none"/>
                    </w:rPr>
                    <w:t>【2.4-1】加大农村生活垃圾收集、转运及处理等配套设施建设，鼓励有条件的县（市）推行适合农村特点的垃圾就地分类和资源化利用。</w:t>
                  </w:r>
                </w:p>
                <w:p w14:paraId="47345D39">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0000C7"/>
                      <w:highlight w:val="none"/>
                    </w:rPr>
                  </w:pPr>
                  <w:r>
                    <w:rPr>
                      <w:rFonts w:hint="default" w:ascii="Times New Roman" w:hAnsi="Times New Roman" w:eastAsia="宋体" w:cs="Times New Roman"/>
                      <w:color w:val="0000C7"/>
                      <w:highlight w:val="none"/>
                    </w:rPr>
                    <w:t>【2.4-2】合理选择改厕模式，稳步推进乡村户用卫生厕所建设和改造，实施厕所粪污无害化处理和资源化利用。新建农村安居房原则上要配套建设无害化卫生厕所，切实保证农村供水和排水相关配套设施建设以及运行达到国家标准，积极引导有条件的农牧民家庭改造现有旱厕，人员较为集中、经济条件达不到的乡镇、行政村，可试点配套建设水冲式公共厕所。</w:t>
                  </w:r>
                </w:p>
                <w:p w14:paraId="1F68624A">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0000C7"/>
                      <w:highlight w:val="none"/>
                    </w:rPr>
                  </w:pPr>
                  <w:r>
                    <w:rPr>
                      <w:rFonts w:hint="default" w:ascii="Times New Roman" w:hAnsi="Times New Roman" w:eastAsia="宋体" w:cs="Times New Roman"/>
                      <w:color w:val="0000C7"/>
                      <w:highlight w:val="none"/>
                    </w:rPr>
                    <w:t>【2.5-1】排放重点污染物的建设项目，在开展环境影响评价时，要开展土壤环境风险评估，并提出防范土壤污染的具体措施；需要建设的土壤污染防治设施，要与主体工程同时设计、同时施工、同时投产使用。</w:t>
                  </w:r>
                </w:p>
                <w:p w14:paraId="52D2C2AD">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0000C7"/>
                      <w:highlight w:val="none"/>
                    </w:rPr>
                  </w:pPr>
                  <w:r>
                    <w:rPr>
                      <w:rFonts w:hint="default" w:ascii="Times New Roman" w:hAnsi="Times New Roman" w:eastAsia="宋体" w:cs="Times New Roman"/>
                      <w:color w:val="0000C7"/>
                      <w:highlight w:val="none"/>
                    </w:rPr>
                    <w:t>【2.5-2】依法严查向沙漠、滩涂、盐碱地、沼泽地等非法排污、倾倒有毒有害物质的环境违法行为。</w:t>
                  </w:r>
                </w:p>
              </w:tc>
              <w:tc>
                <w:tcPr>
                  <w:tcW w:w="1650" w:type="dxa"/>
                  <w:vAlign w:val="center"/>
                </w:tcPr>
                <w:p w14:paraId="3D0A1BFA">
                  <w:pPr>
                    <w:pStyle w:val="111"/>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0000C7"/>
                      <w:highlight w:val="none"/>
                      <w:lang w:val="en-US" w:eastAsia="zh-CN"/>
                    </w:rPr>
                  </w:pPr>
                  <w:r>
                    <w:rPr>
                      <w:rFonts w:hint="default" w:ascii="Times New Roman" w:hAnsi="Times New Roman" w:eastAsia="宋体" w:cs="Times New Roman"/>
                      <w:color w:val="0000C7"/>
                      <w:highlight w:val="none"/>
                      <w:lang w:val="en-US" w:eastAsia="zh-CN"/>
                    </w:rPr>
                    <w:t>2.</w:t>
                  </w:r>
                  <w:r>
                    <w:rPr>
                      <w:rFonts w:hint="eastAsia" w:hAnsi="Times New Roman" w:eastAsia="宋体" w:cs="Times New Roman"/>
                      <w:color w:val="0000C7"/>
                      <w:highlight w:val="none"/>
                      <w:lang w:val="en-US" w:eastAsia="zh-CN"/>
                    </w:rPr>
                    <w:t>1</w:t>
                  </w:r>
                  <w:r>
                    <w:rPr>
                      <w:rFonts w:hint="default" w:ascii="Times New Roman" w:hAnsi="Times New Roman" w:eastAsia="宋体" w:cs="Times New Roman"/>
                      <w:color w:val="0000C7"/>
                      <w:highlight w:val="none"/>
                      <w:lang w:val="en-US" w:eastAsia="zh-CN"/>
                    </w:rPr>
                    <w:t>-</w:t>
                  </w:r>
                  <w:r>
                    <w:rPr>
                      <w:rFonts w:hint="eastAsia" w:hAnsi="Times New Roman" w:cs="Times New Roman"/>
                      <w:color w:val="0000C7"/>
                      <w:highlight w:val="none"/>
                      <w:lang w:val="en-US" w:eastAsia="zh-CN"/>
                    </w:rPr>
                    <w:t>1</w:t>
                  </w:r>
                  <w:r>
                    <w:rPr>
                      <w:rFonts w:hint="default" w:ascii="Times New Roman" w:hAnsi="Times New Roman" w:cs="Times New Roman"/>
                      <w:color w:val="0000C7"/>
                      <w:highlight w:val="none"/>
                      <w:lang w:val="en-US" w:eastAsia="zh-CN"/>
                    </w:rPr>
                    <w:t>：</w:t>
                  </w:r>
                  <w:r>
                    <w:rPr>
                      <w:rFonts w:hint="default" w:ascii="Times New Roman" w:hAnsi="Times New Roman" w:eastAsia="宋体" w:cs="Times New Roman"/>
                      <w:color w:val="0000C7"/>
                      <w:highlight w:val="none"/>
                      <w:lang w:val="en-US" w:eastAsia="zh-CN"/>
                    </w:rPr>
                    <w:t>不涉及</w:t>
                  </w:r>
                </w:p>
                <w:p w14:paraId="656FEF17">
                  <w:pPr>
                    <w:pStyle w:val="111"/>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0000C7"/>
                      <w:highlight w:val="none"/>
                      <w:lang w:val="en-US" w:eastAsia="zh-CN"/>
                    </w:rPr>
                  </w:pPr>
                  <w:r>
                    <w:rPr>
                      <w:rFonts w:hint="default" w:ascii="Times New Roman" w:hAnsi="Times New Roman" w:eastAsia="宋体" w:cs="Times New Roman"/>
                      <w:color w:val="0000C7"/>
                      <w:highlight w:val="none"/>
                      <w:lang w:val="en-US" w:eastAsia="zh-CN"/>
                    </w:rPr>
                    <w:t>2.</w:t>
                  </w:r>
                  <w:r>
                    <w:rPr>
                      <w:rFonts w:hint="eastAsia" w:hAnsi="Times New Roman" w:eastAsia="宋体" w:cs="Times New Roman"/>
                      <w:color w:val="0000C7"/>
                      <w:highlight w:val="none"/>
                      <w:lang w:val="en-US" w:eastAsia="zh-CN"/>
                    </w:rPr>
                    <w:t>2</w:t>
                  </w:r>
                  <w:r>
                    <w:rPr>
                      <w:rFonts w:hint="default" w:ascii="Times New Roman" w:hAnsi="Times New Roman" w:eastAsia="宋体" w:cs="Times New Roman"/>
                      <w:color w:val="0000C7"/>
                      <w:highlight w:val="none"/>
                      <w:lang w:val="en-US" w:eastAsia="zh-CN"/>
                    </w:rPr>
                    <w:t>-</w:t>
                  </w:r>
                  <w:r>
                    <w:rPr>
                      <w:rFonts w:hint="eastAsia" w:hAnsi="Times New Roman" w:cs="Times New Roman"/>
                      <w:color w:val="0000C7"/>
                      <w:highlight w:val="none"/>
                      <w:lang w:val="en-US" w:eastAsia="zh-CN"/>
                    </w:rPr>
                    <w:t>1</w:t>
                  </w:r>
                  <w:r>
                    <w:rPr>
                      <w:rFonts w:hint="default" w:ascii="Times New Roman" w:hAnsi="Times New Roman" w:cs="Times New Roman"/>
                      <w:color w:val="0000C7"/>
                      <w:highlight w:val="none"/>
                      <w:lang w:val="en-US" w:eastAsia="zh-CN"/>
                    </w:rPr>
                    <w:t>：</w:t>
                  </w:r>
                  <w:r>
                    <w:rPr>
                      <w:rFonts w:hint="default" w:ascii="Times New Roman" w:hAnsi="Times New Roman" w:eastAsia="宋体" w:cs="Times New Roman"/>
                      <w:color w:val="0000C7"/>
                      <w:highlight w:val="none"/>
                      <w:lang w:val="en-US" w:eastAsia="zh-CN"/>
                    </w:rPr>
                    <w:t>不涉及2.</w:t>
                  </w:r>
                  <w:r>
                    <w:rPr>
                      <w:rFonts w:hint="eastAsia" w:hAnsi="Times New Roman" w:eastAsia="宋体" w:cs="Times New Roman"/>
                      <w:color w:val="0000C7"/>
                      <w:highlight w:val="none"/>
                      <w:lang w:val="en-US" w:eastAsia="zh-CN"/>
                    </w:rPr>
                    <w:t>2</w:t>
                  </w:r>
                  <w:r>
                    <w:rPr>
                      <w:rFonts w:hint="default" w:ascii="Times New Roman" w:hAnsi="Times New Roman" w:eastAsia="宋体" w:cs="Times New Roman"/>
                      <w:color w:val="0000C7"/>
                      <w:highlight w:val="none"/>
                      <w:lang w:val="en-US" w:eastAsia="zh-CN"/>
                    </w:rPr>
                    <w:t>-</w:t>
                  </w:r>
                  <w:r>
                    <w:rPr>
                      <w:rFonts w:hint="eastAsia" w:hAnsi="Times New Roman" w:cs="Times New Roman"/>
                      <w:color w:val="0000C7"/>
                      <w:highlight w:val="none"/>
                      <w:lang w:val="en-US" w:eastAsia="zh-CN"/>
                    </w:rPr>
                    <w:t>2</w:t>
                  </w:r>
                  <w:r>
                    <w:rPr>
                      <w:rFonts w:hint="default" w:ascii="Times New Roman" w:hAnsi="Times New Roman" w:cs="Times New Roman"/>
                      <w:color w:val="0000C7"/>
                      <w:highlight w:val="none"/>
                      <w:lang w:val="en-US" w:eastAsia="zh-CN"/>
                    </w:rPr>
                    <w:t>：不涉及</w:t>
                  </w:r>
                </w:p>
                <w:p w14:paraId="69C2156E">
                  <w:pPr>
                    <w:pStyle w:val="111"/>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0000C7"/>
                      <w:highlight w:val="none"/>
                      <w:lang w:val="en-US" w:eastAsia="zh-CN"/>
                    </w:rPr>
                  </w:pPr>
                  <w:r>
                    <w:rPr>
                      <w:rFonts w:hint="default" w:ascii="Times New Roman" w:hAnsi="Times New Roman" w:eastAsia="宋体" w:cs="Times New Roman"/>
                      <w:color w:val="0000C7"/>
                      <w:highlight w:val="none"/>
                      <w:lang w:val="en-US" w:eastAsia="zh-CN"/>
                    </w:rPr>
                    <w:t>2.3-</w:t>
                  </w:r>
                  <w:r>
                    <w:rPr>
                      <w:rFonts w:hint="eastAsia" w:hAnsi="Times New Roman" w:cs="Times New Roman"/>
                      <w:color w:val="0000C7"/>
                      <w:highlight w:val="none"/>
                      <w:lang w:val="en-US" w:eastAsia="zh-CN"/>
                    </w:rPr>
                    <w:t>1</w:t>
                  </w:r>
                  <w:r>
                    <w:rPr>
                      <w:rFonts w:hint="default" w:ascii="Times New Roman" w:hAnsi="Times New Roman" w:cs="Times New Roman"/>
                      <w:color w:val="0000C7"/>
                      <w:highlight w:val="none"/>
                      <w:lang w:val="en-US" w:eastAsia="zh-CN"/>
                    </w:rPr>
                    <w:t>：</w:t>
                  </w:r>
                  <w:r>
                    <w:rPr>
                      <w:rFonts w:hint="default" w:ascii="Times New Roman" w:hAnsi="Times New Roman" w:eastAsia="宋体" w:cs="Times New Roman"/>
                      <w:color w:val="0000C7"/>
                      <w:highlight w:val="none"/>
                      <w:lang w:val="en-US" w:eastAsia="zh-CN"/>
                    </w:rPr>
                    <w:t>不涉及2.3-</w:t>
                  </w:r>
                  <w:r>
                    <w:rPr>
                      <w:rFonts w:hint="eastAsia" w:hAnsi="Times New Roman" w:cs="Times New Roman"/>
                      <w:color w:val="0000C7"/>
                      <w:highlight w:val="none"/>
                      <w:lang w:val="en-US" w:eastAsia="zh-CN"/>
                    </w:rPr>
                    <w:t>2</w:t>
                  </w:r>
                  <w:r>
                    <w:rPr>
                      <w:rFonts w:hint="default" w:ascii="Times New Roman" w:hAnsi="Times New Roman" w:cs="Times New Roman"/>
                      <w:color w:val="0000C7"/>
                      <w:highlight w:val="none"/>
                      <w:lang w:val="en-US" w:eastAsia="zh-CN"/>
                    </w:rPr>
                    <w:t>：</w:t>
                  </w:r>
                  <w:r>
                    <w:rPr>
                      <w:rFonts w:hint="default" w:ascii="Times New Roman" w:hAnsi="Times New Roman" w:eastAsia="宋体" w:cs="Times New Roman"/>
                      <w:color w:val="0000C7"/>
                      <w:highlight w:val="none"/>
                      <w:lang w:val="en-US" w:eastAsia="zh-CN"/>
                    </w:rPr>
                    <w:t>不涉及2.</w:t>
                  </w:r>
                  <w:r>
                    <w:rPr>
                      <w:rFonts w:hint="eastAsia" w:hAnsi="Times New Roman" w:eastAsia="宋体" w:cs="Times New Roman"/>
                      <w:color w:val="0000C7"/>
                      <w:highlight w:val="none"/>
                      <w:lang w:val="en-US" w:eastAsia="zh-CN"/>
                    </w:rPr>
                    <w:t>4</w:t>
                  </w:r>
                  <w:r>
                    <w:rPr>
                      <w:rFonts w:hint="default" w:ascii="Times New Roman" w:hAnsi="Times New Roman" w:eastAsia="宋体" w:cs="Times New Roman"/>
                      <w:color w:val="0000C7"/>
                      <w:highlight w:val="none"/>
                      <w:lang w:val="en-US" w:eastAsia="zh-CN"/>
                    </w:rPr>
                    <w:t>-</w:t>
                  </w:r>
                  <w:r>
                    <w:rPr>
                      <w:rFonts w:hint="eastAsia" w:hAnsi="Times New Roman" w:cs="Times New Roman"/>
                      <w:color w:val="0000C7"/>
                      <w:highlight w:val="none"/>
                      <w:lang w:val="en-US" w:eastAsia="zh-CN"/>
                    </w:rPr>
                    <w:t>1</w:t>
                  </w:r>
                  <w:r>
                    <w:rPr>
                      <w:rFonts w:hint="default" w:ascii="Times New Roman" w:hAnsi="Times New Roman" w:cs="Times New Roman"/>
                      <w:color w:val="0000C7"/>
                      <w:highlight w:val="none"/>
                      <w:lang w:val="en-US" w:eastAsia="zh-CN"/>
                    </w:rPr>
                    <w:t>：</w:t>
                  </w:r>
                  <w:r>
                    <w:rPr>
                      <w:rFonts w:hint="default" w:ascii="Times New Roman" w:hAnsi="Times New Roman" w:eastAsia="宋体" w:cs="Times New Roman"/>
                      <w:color w:val="0000C7"/>
                      <w:highlight w:val="none"/>
                      <w:lang w:val="en-US" w:eastAsia="zh-CN"/>
                    </w:rPr>
                    <w:t>不涉及2.</w:t>
                  </w:r>
                  <w:r>
                    <w:rPr>
                      <w:rFonts w:hint="eastAsia" w:hAnsi="Times New Roman" w:eastAsia="宋体" w:cs="Times New Roman"/>
                      <w:color w:val="0000C7"/>
                      <w:highlight w:val="none"/>
                      <w:lang w:val="en-US" w:eastAsia="zh-CN"/>
                    </w:rPr>
                    <w:t>4</w:t>
                  </w:r>
                  <w:r>
                    <w:rPr>
                      <w:rFonts w:hint="default" w:ascii="Times New Roman" w:hAnsi="Times New Roman" w:eastAsia="宋体" w:cs="Times New Roman"/>
                      <w:color w:val="0000C7"/>
                      <w:highlight w:val="none"/>
                      <w:lang w:val="en-US" w:eastAsia="zh-CN"/>
                    </w:rPr>
                    <w:t>-</w:t>
                  </w:r>
                  <w:r>
                    <w:rPr>
                      <w:rFonts w:hint="eastAsia" w:hAnsi="Times New Roman" w:cs="Times New Roman"/>
                      <w:color w:val="0000C7"/>
                      <w:highlight w:val="none"/>
                      <w:lang w:val="en-US" w:eastAsia="zh-CN"/>
                    </w:rPr>
                    <w:t>2</w:t>
                  </w:r>
                  <w:r>
                    <w:rPr>
                      <w:rFonts w:hint="default" w:ascii="Times New Roman" w:hAnsi="Times New Roman" w:cs="Times New Roman"/>
                      <w:color w:val="0000C7"/>
                      <w:highlight w:val="none"/>
                      <w:lang w:val="en-US" w:eastAsia="zh-CN"/>
                    </w:rPr>
                    <w:t>：</w:t>
                  </w:r>
                  <w:r>
                    <w:rPr>
                      <w:rFonts w:hint="default" w:ascii="Times New Roman" w:hAnsi="Times New Roman" w:eastAsia="宋体" w:cs="Times New Roman"/>
                      <w:color w:val="0000C7"/>
                      <w:highlight w:val="none"/>
                      <w:lang w:val="en-US" w:eastAsia="zh-CN"/>
                    </w:rPr>
                    <w:t>不涉及2.</w:t>
                  </w:r>
                  <w:r>
                    <w:rPr>
                      <w:rFonts w:hint="eastAsia" w:hAnsi="Times New Roman" w:eastAsia="宋体" w:cs="Times New Roman"/>
                      <w:color w:val="0000C7"/>
                      <w:highlight w:val="none"/>
                      <w:lang w:val="en-US" w:eastAsia="zh-CN"/>
                    </w:rPr>
                    <w:t>5</w:t>
                  </w:r>
                  <w:r>
                    <w:rPr>
                      <w:rFonts w:hint="default" w:ascii="Times New Roman" w:hAnsi="Times New Roman" w:eastAsia="宋体" w:cs="Times New Roman"/>
                      <w:color w:val="0000C7"/>
                      <w:highlight w:val="none"/>
                      <w:lang w:val="en-US" w:eastAsia="zh-CN"/>
                    </w:rPr>
                    <w:t>-</w:t>
                  </w:r>
                  <w:r>
                    <w:rPr>
                      <w:rFonts w:hint="eastAsia" w:hAnsi="Times New Roman" w:cs="Times New Roman"/>
                      <w:color w:val="0000C7"/>
                      <w:highlight w:val="none"/>
                      <w:lang w:val="en-US" w:eastAsia="zh-CN"/>
                    </w:rPr>
                    <w:t>1</w:t>
                  </w:r>
                  <w:r>
                    <w:rPr>
                      <w:rFonts w:hint="default" w:ascii="Times New Roman" w:hAnsi="Times New Roman" w:cs="Times New Roman"/>
                      <w:color w:val="0000C7"/>
                      <w:highlight w:val="none"/>
                      <w:lang w:val="en-US" w:eastAsia="zh-CN"/>
                    </w:rPr>
                    <w:t>：</w:t>
                  </w:r>
                  <w:r>
                    <w:rPr>
                      <w:rFonts w:hint="default" w:ascii="Times New Roman" w:hAnsi="Times New Roman" w:eastAsia="宋体" w:cs="Times New Roman"/>
                      <w:color w:val="0000C7"/>
                      <w:highlight w:val="none"/>
                      <w:lang w:val="en-US" w:eastAsia="zh-CN"/>
                    </w:rPr>
                    <w:t>不涉及2.</w:t>
                  </w:r>
                  <w:r>
                    <w:rPr>
                      <w:rFonts w:hint="eastAsia" w:hAnsi="Times New Roman" w:eastAsia="宋体" w:cs="Times New Roman"/>
                      <w:color w:val="0000C7"/>
                      <w:highlight w:val="none"/>
                      <w:lang w:val="en-US" w:eastAsia="zh-CN"/>
                    </w:rPr>
                    <w:t>5</w:t>
                  </w:r>
                  <w:r>
                    <w:rPr>
                      <w:rFonts w:hint="default" w:ascii="Times New Roman" w:hAnsi="Times New Roman" w:eastAsia="宋体" w:cs="Times New Roman"/>
                      <w:color w:val="0000C7"/>
                      <w:highlight w:val="none"/>
                      <w:lang w:val="en-US" w:eastAsia="zh-CN"/>
                    </w:rPr>
                    <w:t>-</w:t>
                  </w:r>
                  <w:r>
                    <w:rPr>
                      <w:rFonts w:hint="eastAsia" w:hAnsi="Times New Roman" w:cs="Times New Roman"/>
                      <w:color w:val="0000C7"/>
                      <w:highlight w:val="none"/>
                      <w:lang w:val="en-US" w:eastAsia="zh-CN"/>
                    </w:rPr>
                    <w:t>2</w:t>
                  </w:r>
                  <w:r>
                    <w:rPr>
                      <w:rFonts w:hint="default" w:ascii="Times New Roman" w:hAnsi="Times New Roman" w:cs="Times New Roman"/>
                      <w:color w:val="0000C7"/>
                      <w:highlight w:val="none"/>
                      <w:lang w:val="en-US" w:eastAsia="zh-CN"/>
                    </w:rPr>
                    <w:t>：</w:t>
                  </w:r>
                  <w:r>
                    <w:rPr>
                      <w:rFonts w:hint="default" w:ascii="Times New Roman" w:hAnsi="Times New Roman" w:eastAsia="宋体" w:cs="Times New Roman"/>
                      <w:color w:val="0000C7"/>
                      <w:highlight w:val="none"/>
                      <w:lang w:val="en-US" w:eastAsia="zh-CN"/>
                    </w:rPr>
                    <w:t>不涉及</w:t>
                  </w:r>
                </w:p>
              </w:tc>
              <w:tc>
                <w:tcPr>
                  <w:tcW w:w="533" w:type="dxa"/>
                  <w:vAlign w:val="center"/>
                </w:tcPr>
                <w:p w14:paraId="06644AA5">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0000C7"/>
                      <w:highlight w:val="none"/>
                    </w:rPr>
                  </w:pPr>
                  <w:r>
                    <w:rPr>
                      <w:rFonts w:hint="default" w:ascii="Times New Roman" w:hAnsi="Times New Roman" w:eastAsia="宋体" w:cs="Times New Roman"/>
                      <w:color w:val="0000C7"/>
                      <w:highlight w:val="none"/>
                    </w:rPr>
                    <w:t>符合</w:t>
                  </w:r>
                </w:p>
              </w:tc>
            </w:tr>
            <w:tr w14:paraId="491BB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Align w:val="center"/>
                </w:tcPr>
                <w:p w14:paraId="53CE7AA5">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0000C7"/>
                      <w:highlight w:val="none"/>
                    </w:rPr>
                  </w:pPr>
                  <w:r>
                    <w:rPr>
                      <w:rFonts w:hint="default" w:ascii="Times New Roman" w:hAnsi="Times New Roman" w:eastAsia="宋体" w:cs="Times New Roman"/>
                      <w:color w:val="0000C7"/>
                      <w:highlight w:val="none"/>
                    </w:rPr>
                    <w:t>环境风险防控</w:t>
                  </w:r>
                </w:p>
              </w:tc>
              <w:tc>
                <w:tcPr>
                  <w:tcW w:w="4173" w:type="dxa"/>
                  <w:vAlign w:val="center"/>
                </w:tcPr>
                <w:p w14:paraId="3756BD8E">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0000C7"/>
                      <w:highlight w:val="none"/>
                    </w:rPr>
                  </w:pPr>
                  <w:r>
                    <w:rPr>
                      <w:rFonts w:hint="default" w:ascii="Times New Roman" w:hAnsi="Times New Roman" w:eastAsia="宋体" w:cs="Times New Roman"/>
                      <w:color w:val="0000C7"/>
                      <w:highlight w:val="none"/>
                    </w:rPr>
                    <w:t>【3.1-1】加强生态公益林保护与建设，防止水土流失。禁止向农用地排放重金属或者其他有毒有害物质含量超标的污水、污泥，以及可能造成土壤污染的尾矿、矿渣等。加强农田土壤、灌溉水的监测及评价，对周边或区域环境风险源进行评估。</w:t>
                  </w:r>
                </w:p>
                <w:p w14:paraId="6E9B32EC">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0000C7"/>
                      <w:highlight w:val="none"/>
                    </w:rPr>
                  </w:pPr>
                  <w:r>
                    <w:rPr>
                      <w:rFonts w:hint="default" w:ascii="Times New Roman" w:hAnsi="Times New Roman" w:eastAsia="宋体" w:cs="Times New Roman"/>
                      <w:color w:val="0000C7"/>
                      <w:highlight w:val="none"/>
                    </w:rPr>
                    <w:t>【3.2-1】盖孜河、克孜勒苏河、恰克马克河和托什干河干流沿岸，要严格控制有色金属冶炼等项目环境风险，合理布局生产装置及危险化学品仓储等设施。</w:t>
                  </w:r>
                </w:p>
              </w:tc>
              <w:tc>
                <w:tcPr>
                  <w:tcW w:w="1650" w:type="dxa"/>
                  <w:vAlign w:val="center"/>
                </w:tcPr>
                <w:p w14:paraId="109F5B16">
                  <w:pPr>
                    <w:pStyle w:val="111"/>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0000C7"/>
                      <w:highlight w:val="none"/>
                    </w:rPr>
                  </w:pPr>
                  <w:r>
                    <w:rPr>
                      <w:rFonts w:hint="default" w:ascii="Times New Roman" w:hAnsi="Times New Roman" w:eastAsia="宋体" w:cs="Times New Roman"/>
                      <w:color w:val="0000C7"/>
                      <w:highlight w:val="none"/>
                      <w:lang w:val="en-US" w:eastAsia="zh-CN"/>
                    </w:rPr>
                    <w:t>3.1-1：不涉及3.</w:t>
                  </w:r>
                  <w:r>
                    <w:rPr>
                      <w:rFonts w:hint="eastAsia" w:hAnsi="Times New Roman" w:eastAsia="宋体" w:cs="Times New Roman"/>
                      <w:color w:val="0000C7"/>
                      <w:highlight w:val="none"/>
                      <w:lang w:val="en-US" w:eastAsia="zh-CN"/>
                    </w:rPr>
                    <w:t>2</w:t>
                  </w:r>
                  <w:r>
                    <w:rPr>
                      <w:rFonts w:hint="default" w:ascii="Times New Roman" w:hAnsi="Times New Roman" w:eastAsia="宋体" w:cs="Times New Roman"/>
                      <w:color w:val="0000C7"/>
                      <w:highlight w:val="none"/>
                      <w:lang w:val="en-US" w:eastAsia="zh-CN"/>
                    </w:rPr>
                    <w:t>-1：不涉及</w:t>
                  </w:r>
                </w:p>
              </w:tc>
              <w:tc>
                <w:tcPr>
                  <w:tcW w:w="533" w:type="dxa"/>
                  <w:vAlign w:val="center"/>
                </w:tcPr>
                <w:p w14:paraId="7FB63C8F">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0000C7"/>
                      <w:highlight w:val="none"/>
                    </w:rPr>
                  </w:pPr>
                  <w:r>
                    <w:rPr>
                      <w:rFonts w:hint="default" w:ascii="Times New Roman" w:hAnsi="Times New Roman" w:eastAsia="宋体" w:cs="Times New Roman"/>
                      <w:color w:val="0000C7"/>
                      <w:highlight w:val="none"/>
                    </w:rPr>
                    <w:t>符合</w:t>
                  </w:r>
                </w:p>
              </w:tc>
            </w:tr>
            <w:tr w14:paraId="2A75A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Align w:val="center"/>
                </w:tcPr>
                <w:p w14:paraId="35E09248">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0000C7"/>
                      <w:highlight w:val="none"/>
                    </w:rPr>
                  </w:pPr>
                  <w:r>
                    <w:rPr>
                      <w:rFonts w:hint="default" w:ascii="Times New Roman" w:hAnsi="Times New Roman" w:eastAsia="宋体" w:cs="Times New Roman"/>
                      <w:color w:val="0000C7"/>
                      <w:highlight w:val="none"/>
                    </w:rPr>
                    <w:t>资源利用效率要求</w:t>
                  </w:r>
                </w:p>
              </w:tc>
              <w:tc>
                <w:tcPr>
                  <w:tcW w:w="4173" w:type="dxa"/>
                  <w:vAlign w:val="center"/>
                </w:tcPr>
                <w:p w14:paraId="722CE36F">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0000C7"/>
                      <w:lang w:val="en-US" w:eastAsia="zh-CN"/>
                    </w:rPr>
                  </w:pPr>
                  <w:r>
                    <w:rPr>
                      <w:rFonts w:hint="default" w:ascii="Times New Roman" w:hAnsi="Times New Roman" w:eastAsia="宋体" w:cs="Times New Roman"/>
                      <w:color w:val="0000C7"/>
                      <w:lang w:val="en-US" w:eastAsia="zh-CN"/>
                    </w:rPr>
                    <w:t>【4.1-1】实行水资源消耗总量和强度双控，推进农业节水，提高农业用水效率。优化能源结构，加强能源清洁利用。</w:t>
                  </w:r>
                </w:p>
                <w:p w14:paraId="23FAD0B2">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0000C7"/>
                      <w:lang w:val="en-US" w:eastAsia="zh-CN"/>
                    </w:rPr>
                  </w:pPr>
                  <w:r>
                    <w:rPr>
                      <w:rFonts w:hint="default" w:ascii="Times New Roman" w:hAnsi="Times New Roman" w:eastAsia="宋体" w:cs="Times New Roman"/>
                      <w:color w:val="0000C7"/>
                      <w:lang w:val="en-US" w:eastAsia="zh-CN"/>
                    </w:rPr>
                    <w:t>【4.2-1】全面推进秸秆综合利用，鼓励秸秆资源化、饲料化、肥料化利用，推动秸秆还田与离田收集。</w:t>
                  </w:r>
                </w:p>
                <w:p w14:paraId="609F914A">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0000C7"/>
                      <w:lang w:val="en-US" w:eastAsia="zh-CN"/>
                    </w:rPr>
                  </w:pPr>
                  <w:r>
                    <w:rPr>
                      <w:rFonts w:hint="default" w:ascii="Times New Roman" w:hAnsi="Times New Roman" w:eastAsia="宋体" w:cs="Times New Roman"/>
                      <w:color w:val="0000C7"/>
                      <w:lang w:val="en-US" w:eastAsia="zh-CN"/>
                    </w:rPr>
                    <w:t>【4.3-1】新建、改建、扩建项目用水要达到行业先进水平，节水设施应与主体工程同时设计、同时施工、同时投运。</w:t>
                  </w:r>
                </w:p>
                <w:p w14:paraId="6C301AA5">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0000C7"/>
                      <w:lang w:val="en-US" w:eastAsia="zh-CN"/>
                    </w:rPr>
                  </w:pPr>
                  <w:r>
                    <w:rPr>
                      <w:rFonts w:hint="default" w:ascii="Times New Roman" w:hAnsi="Times New Roman" w:eastAsia="宋体" w:cs="Times New Roman"/>
                      <w:color w:val="0000C7"/>
                      <w:lang w:val="en-US" w:eastAsia="zh-CN"/>
                    </w:rPr>
                    <w:t>【4.3-2】严格控制开采深层承压水，矿泉水开发应严格实行取水许可和采矿许可。实行地下水开采量与水位双控制。</w:t>
                  </w:r>
                </w:p>
              </w:tc>
              <w:tc>
                <w:tcPr>
                  <w:tcW w:w="1650" w:type="dxa"/>
                  <w:vAlign w:val="center"/>
                </w:tcPr>
                <w:p w14:paraId="474BE4FA">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0000C7"/>
                      <w:highlight w:val="none"/>
                      <w:lang w:val="en-US" w:eastAsia="zh-CN"/>
                    </w:rPr>
                  </w:pPr>
                  <w:r>
                    <w:rPr>
                      <w:rFonts w:hint="default" w:ascii="Times New Roman" w:hAnsi="Times New Roman" w:eastAsia="宋体" w:cs="Times New Roman"/>
                      <w:color w:val="0000C7"/>
                      <w:highlight w:val="none"/>
                      <w:lang w:val="en-US" w:eastAsia="zh-CN"/>
                    </w:rPr>
                    <w:t>4.1-1：不涉及</w:t>
                  </w:r>
                </w:p>
                <w:p w14:paraId="554E7456">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0000C7"/>
                      <w:highlight w:val="none"/>
                      <w:lang w:val="en-US" w:eastAsia="zh-CN"/>
                    </w:rPr>
                  </w:pPr>
                  <w:r>
                    <w:rPr>
                      <w:rFonts w:hint="default" w:ascii="Times New Roman" w:hAnsi="Times New Roman" w:eastAsia="宋体" w:cs="Times New Roman"/>
                      <w:color w:val="0000C7"/>
                      <w:highlight w:val="none"/>
                      <w:lang w:val="en-US" w:eastAsia="zh-CN"/>
                    </w:rPr>
                    <w:t>4.</w:t>
                  </w:r>
                  <w:r>
                    <w:rPr>
                      <w:rFonts w:hint="eastAsia" w:hAnsi="Times New Roman" w:eastAsia="宋体" w:cs="Times New Roman"/>
                      <w:color w:val="0000C7"/>
                      <w:highlight w:val="none"/>
                      <w:lang w:val="en-US" w:eastAsia="zh-CN"/>
                    </w:rPr>
                    <w:t>2</w:t>
                  </w:r>
                  <w:r>
                    <w:rPr>
                      <w:rFonts w:hint="default" w:ascii="Times New Roman" w:hAnsi="Times New Roman" w:eastAsia="宋体" w:cs="Times New Roman"/>
                      <w:color w:val="0000C7"/>
                      <w:highlight w:val="none"/>
                      <w:lang w:val="en-US" w:eastAsia="zh-CN"/>
                    </w:rPr>
                    <w:t>-1：不涉及4.</w:t>
                  </w:r>
                  <w:r>
                    <w:rPr>
                      <w:rFonts w:hint="eastAsia" w:hAnsi="Times New Roman" w:eastAsia="宋体" w:cs="Times New Roman"/>
                      <w:color w:val="0000C7"/>
                      <w:highlight w:val="none"/>
                      <w:lang w:val="en-US" w:eastAsia="zh-CN"/>
                    </w:rPr>
                    <w:t>3</w:t>
                  </w:r>
                  <w:r>
                    <w:rPr>
                      <w:rFonts w:hint="default" w:ascii="Times New Roman" w:hAnsi="Times New Roman" w:eastAsia="宋体" w:cs="Times New Roman"/>
                      <w:color w:val="0000C7"/>
                      <w:highlight w:val="none"/>
                      <w:lang w:val="en-US" w:eastAsia="zh-CN"/>
                    </w:rPr>
                    <w:t>-1：不涉及4.</w:t>
                  </w:r>
                  <w:r>
                    <w:rPr>
                      <w:rFonts w:hint="eastAsia" w:hAnsi="Times New Roman" w:eastAsia="宋体" w:cs="Times New Roman"/>
                      <w:color w:val="0000C7"/>
                      <w:highlight w:val="none"/>
                      <w:lang w:val="en-US" w:eastAsia="zh-CN"/>
                    </w:rPr>
                    <w:t>3</w:t>
                  </w:r>
                  <w:r>
                    <w:rPr>
                      <w:rFonts w:hint="default" w:ascii="Times New Roman" w:hAnsi="Times New Roman" w:eastAsia="宋体" w:cs="Times New Roman"/>
                      <w:color w:val="0000C7"/>
                      <w:highlight w:val="none"/>
                      <w:lang w:val="en-US" w:eastAsia="zh-CN"/>
                    </w:rPr>
                    <w:t>-</w:t>
                  </w:r>
                  <w:r>
                    <w:rPr>
                      <w:rFonts w:hint="eastAsia" w:hAnsi="Times New Roman" w:eastAsia="宋体" w:cs="Times New Roman"/>
                      <w:color w:val="0000C7"/>
                      <w:highlight w:val="none"/>
                      <w:lang w:val="en-US" w:eastAsia="zh-CN"/>
                    </w:rPr>
                    <w:t>2</w:t>
                  </w:r>
                  <w:r>
                    <w:rPr>
                      <w:rFonts w:hint="default" w:ascii="Times New Roman" w:hAnsi="Times New Roman" w:eastAsia="宋体" w:cs="Times New Roman"/>
                      <w:color w:val="0000C7"/>
                      <w:highlight w:val="none"/>
                      <w:lang w:val="en-US" w:eastAsia="zh-CN"/>
                    </w:rPr>
                    <w:t>：不涉及</w:t>
                  </w:r>
                </w:p>
                <w:p w14:paraId="02AF73F4">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0000C7"/>
                      <w:highlight w:val="none"/>
                      <w:lang w:val="en-US" w:eastAsia="zh-CN"/>
                    </w:rPr>
                  </w:pPr>
                </w:p>
                <w:p w14:paraId="2AD820A6">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0000C7"/>
                      <w:highlight w:val="none"/>
                      <w:lang w:val="en-US" w:eastAsia="zh-CN"/>
                    </w:rPr>
                  </w:pPr>
                </w:p>
                <w:p w14:paraId="01A6266D">
                  <w:pPr>
                    <w:pStyle w:val="111"/>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0000C7"/>
                      <w:highlight w:val="none"/>
                    </w:rPr>
                  </w:pPr>
                </w:p>
              </w:tc>
              <w:tc>
                <w:tcPr>
                  <w:tcW w:w="533" w:type="dxa"/>
                  <w:vAlign w:val="center"/>
                </w:tcPr>
                <w:p w14:paraId="6F472B51">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0000C7"/>
                      <w:highlight w:val="none"/>
                    </w:rPr>
                  </w:pPr>
                  <w:r>
                    <w:rPr>
                      <w:rFonts w:hint="default" w:ascii="Times New Roman" w:hAnsi="Times New Roman" w:eastAsia="宋体" w:cs="Times New Roman"/>
                      <w:color w:val="0000C7"/>
                      <w:highlight w:val="none"/>
                    </w:rPr>
                    <w:t>符合</w:t>
                  </w:r>
                </w:p>
              </w:tc>
            </w:tr>
          </w:tbl>
          <w:p w14:paraId="7DC66917">
            <w:pPr>
              <w:pStyle w:val="10"/>
              <w:spacing w:before="0" w:after="0" w:line="240" w:lineRule="auto"/>
              <w:ind w:right="0"/>
              <w:jc w:val="center"/>
              <w:rPr>
                <w:rFonts w:hint="eastAsia" w:ascii="Times New Roman" w:hAnsi="Times New Roman" w:eastAsia="宋体" w:cs="Times New Roman"/>
                <w:b/>
                <w:color w:val="0000C7"/>
                <w:sz w:val="21"/>
                <w:szCs w:val="21"/>
                <w:highlight w:val="none"/>
                <w:lang w:val="en-US" w:eastAsia="zh-CN"/>
              </w:rPr>
            </w:pPr>
            <w:r>
              <w:rPr>
                <w:rFonts w:hint="default" w:ascii="Times New Roman" w:hAnsi="Times New Roman" w:eastAsia="宋体" w:cs="Times New Roman"/>
                <w:b/>
                <w:color w:val="0000C7"/>
                <w:sz w:val="21"/>
                <w:szCs w:val="21"/>
                <w:highlight w:val="none"/>
                <w:lang w:val="en-US" w:eastAsia="zh-CN"/>
              </w:rPr>
              <w:t>表1-</w:t>
            </w:r>
            <w:r>
              <w:rPr>
                <w:rFonts w:hint="eastAsia" w:ascii="Times New Roman" w:hAnsi="Times New Roman" w:eastAsia="宋体" w:cs="Times New Roman"/>
                <w:b/>
                <w:color w:val="0000C7"/>
                <w:sz w:val="21"/>
                <w:szCs w:val="21"/>
                <w:highlight w:val="none"/>
                <w:lang w:val="en-US" w:eastAsia="zh-CN"/>
              </w:rPr>
              <w:t>7</w:t>
            </w:r>
            <w:r>
              <w:rPr>
                <w:rFonts w:hint="default" w:ascii="Times New Roman" w:hAnsi="Times New Roman" w:eastAsia="宋体" w:cs="Times New Roman"/>
                <w:b/>
                <w:color w:val="0000C7"/>
                <w:sz w:val="21"/>
                <w:szCs w:val="21"/>
                <w:highlight w:val="none"/>
                <w:lang w:val="en-US" w:eastAsia="zh-CN"/>
              </w:rPr>
              <w:t xml:space="preserve"> 喀</w:t>
            </w:r>
            <w:r>
              <w:rPr>
                <w:rFonts w:hint="eastAsia" w:ascii="Times New Roman" w:hAnsi="Times New Roman" w:eastAsia="宋体" w:cs="Times New Roman"/>
                <w:b/>
                <w:color w:val="0000C7"/>
                <w:sz w:val="21"/>
                <w:szCs w:val="21"/>
                <w:highlight w:val="none"/>
                <w:lang w:val="en-US" w:eastAsia="zh-CN"/>
              </w:rPr>
              <w:t>阿克陶县生态环境准入清单</w:t>
            </w:r>
            <w:r>
              <w:rPr>
                <w:rFonts w:hint="default" w:ascii="Times New Roman" w:hAnsi="Times New Roman" w:eastAsia="宋体" w:cs="Times New Roman"/>
                <w:b/>
                <w:color w:val="0000C7"/>
                <w:sz w:val="21"/>
                <w:szCs w:val="21"/>
                <w:highlight w:val="none"/>
                <w:lang w:val="en-US" w:eastAsia="zh-CN"/>
              </w:rPr>
              <w:t>相符性</w:t>
            </w:r>
            <w:r>
              <w:rPr>
                <w:rFonts w:hint="eastAsia" w:ascii="Times New Roman" w:hAnsi="Times New Roman" w:eastAsia="宋体" w:cs="Times New Roman"/>
                <w:b/>
                <w:color w:val="0000C7"/>
                <w:sz w:val="21"/>
                <w:szCs w:val="21"/>
                <w:highlight w:val="none"/>
                <w:lang w:val="en-US" w:eastAsia="zh-CN"/>
              </w:rPr>
              <w:t>（</w:t>
            </w:r>
            <w:r>
              <w:rPr>
                <w:rFonts w:hint="default" w:ascii="Times New Roman" w:hAnsi="Times New Roman" w:eastAsia="宋体" w:cs="Times New Roman"/>
                <w:b/>
                <w:color w:val="0000C7"/>
                <w:sz w:val="21"/>
                <w:szCs w:val="21"/>
                <w:highlight w:val="none"/>
                <w:lang w:val="en-US" w:eastAsia="zh-CN"/>
              </w:rPr>
              <w:t>阿克陶县水土流失生态保护红线区</w:t>
            </w:r>
            <w:r>
              <w:rPr>
                <w:rFonts w:hint="eastAsia" w:ascii="Times New Roman" w:hAnsi="Times New Roman" w:eastAsia="宋体" w:cs="Times New Roman"/>
                <w:b/>
                <w:color w:val="0000C7"/>
                <w:sz w:val="21"/>
                <w:szCs w:val="21"/>
                <w:highlight w:val="none"/>
                <w:lang w:val="en-US" w:eastAsia="zh-CN"/>
              </w:rPr>
              <w:t>）</w:t>
            </w:r>
          </w:p>
          <w:tbl>
            <w:tblPr>
              <w:tblStyle w:val="34"/>
              <w:tblW w:w="46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4073"/>
              <w:gridCol w:w="1750"/>
              <w:gridCol w:w="533"/>
            </w:tblGrid>
            <w:tr w14:paraId="7632A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Align w:val="center"/>
                </w:tcPr>
                <w:p w14:paraId="6C0FE3CF">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0000C7"/>
                      <w:highlight w:val="none"/>
                      <w:shd w:val="clear" w:color="auto" w:fill="FFFFFF"/>
                    </w:rPr>
                  </w:pPr>
                  <w:r>
                    <w:rPr>
                      <w:rFonts w:hint="default" w:ascii="Times New Roman" w:hAnsi="Times New Roman" w:eastAsia="宋体" w:cs="Times New Roman"/>
                      <w:color w:val="0000C7"/>
                      <w:highlight w:val="none"/>
                      <w:shd w:val="clear" w:color="auto" w:fill="FFFFFF"/>
                    </w:rPr>
                    <w:t>管控</w:t>
                  </w:r>
                </w:p>
                <w:p w14:paraId="3A9D6591">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0000C7"/>
                      <w:highlight w:val="none"/>
                      <w:shd w:val="clear" w:color="auto" w:fill="FFFFFF"/>
                    </w:rPr>
                  </w:pPr>
                  <w:r>
                    <w:rPr>
                      <w:rFonts w:hint="default" w:ascii="Times New Roman" w:hAnsi="Times New Roman" w:eastAsia="宋体" w:cs="Times New Roman"/>
                      <w:color w:val="0000C7"/>
                      <w:highlight w:val="none"/>
                      <w:shd w:val="clear" w:color="auto" w:fill="FFFFFF"/>
                    </w:rPr>
                    <w:t>类别</w:t>
                  </w:r>
                </w:p>
              </w:tc>
              <w:tc>
                <w:tcPr>
                  <w:tcW w:w="4073" w:type="dxa"/>
                  <w:vAlign w:val="center"/>
                </w:tcPr>
                <w:p w14:paraId="7354F46A">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0000C7"/>
                      <w:highlight w:val="none"/>
                      <w:shd w:val="clear" w:color="auto" w:fill="FFFFFF"/>
                    </w:rPr>
                  </w:pPr>
                  <w:r>
                    <w:rPr>
                      <w:rFonts w:hint="default" w:ascii="Times New Roman" w:hAnsi="Times New Roman" w:eastAsia="宋体" w:cs="Times New Roman"/>
                      <w:color w:val="0000C7"/>
                      <w:highlight w:val="none"/>
                      <w:shd w:val="clear" w:color="auto" w:fill="FFFFFF"/>
                    </w:rPr>
                    <w:t>生态环境分区管控要求</w:t>
                  </w:r>
                </w:p>
              </w:tc>
              <w:tc>
                <w:tcPr>
                  <w:tcW w:w="1750" w:type="dxa"/>
                  <w:vAlign w:val="center"/>
                </w:tcPr>
                <w:p w14:paraId="62DEE55D">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0000C7"/>
                      <w:highlight w:val="none"/>
                      <w:shd w:val="clear" w:color="auto" w:fill="FFFFFF"/>
                    </w:rPr>
                  </w:pPr>
                  <w:r>
                    <w:rPr>
                      <w:rFonts w:hint="default" w:ascii="Times New Roman" w:hAnsi="Times New Roman" w:eastAsia="宋体" w:cs="Times New Roman"/>
                      <w:color w:val="0000C7"/>
                      <w:highlight w:val="none"/>
                      <w:shd w:val="clear" w:color="auto" w:fill="FFFFFF"/>
                      <w:lang w:val="en-US" w:eastAsia="zh-CN"/>
                    </w:rPr>
                    <w:t>本项目</w:t>
                  </w:r>
                  <w:r>
                    <w:rPr>
                      <w:rFonts w:hint="default" w:ascii="Times New Roman" w:hAnsi="Times New Roman" w:eastAsia="宋体" w:cs="Times New Roman"/>
                      <w:color w:val="0000C7"/>
                      <w:highlight w:val="none"/>
                      <w:shd w:val="clear" w:color="auto" w:fill="FFFFFF"/>
                    </w:rPr>
                    <w:t>建设情况</w:t>
                  </w:r>
                </w:p>
              </w:tc>
              <w:tc>
                <w:tcPr>
                  <w:tcW w:w="533" w:type="dxa"/>
                  <w:vAlign w:val="center"/>
                </w:tcPr>
                <w:p w14:paraId="6ACCCFFA">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0000C7"/>
                      <w:highlight w:val="none"/>
                      <w:shd w:val="clear" w:color="auto" w:fill="FFFFFF"/>
                    </w:rPr>
                  </w:pPr>
                  <w:r>
                    <w:rPr>
                      <w:rFonts w:hint="default" w:ascii="Times New Roman" w:hAnsi="Times New Roman" w:eastAsia="宋体" w:cs="Times New Roman"/>
                      <w:color w:val="0000C7"/>
                      <w:highlight w:val="none"/>
                      <w:shd w:val="clear" w:color="auto" w:fill="FFFFFF"/>
                    </w:rPr>
                    <w:t>相符性</w:t>
                  </w:r>
                </w:p>
              </w:tc>
            </w:tr>
            <w:tr w14:paraId="67AD1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Align w:val="center"/>
                </w:tcPr>
                <w:p w14:paraId="35D5B80E">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0000C7"/>
                      <w:highlight w:val="none"/>
                      <w:shd w:val="clear" w:color="auto" w:fill="FFFFFF"/>
                    </w:rPr>
                  </w:pPr>
                  <w:r>
                    <w:rPr>
                      <w:rFonts w:hint="default" w:ascii="Times New Roman" w:hAnsi="Times New Roman" w:eastAsia="宋体" w:cs="Times New Roman"/>
                      <w:color w:val="0000C7"/>
                      <w:highlight w:val="none"/>
                      <w:shd w:val="clear" w:color="auto" w:fill="FFFFFF"/>
                    </w:rPr>
                    <w:t>空间布局约束</w:t>
                  </w:r>
                </w:p>
              </w:tc>
              <w:tc>
                <w:tcPr>
                  <w:tcW w:w="4073" w:type="dxa"/>
                  <w:vAlign w:val="center"/>
                </w:tcPr>
                <w:p w14:paraId="5BCA5FC5">
                  <w:pPr>
                    <w:pStyle w:val="111"/>
                    <w:keepNext w:val="0"/>
                    <w:keepLines w:val="0"/>
                    <w:suppressLineNumbers w:val="0"/>
                    <w:spacing w:before="0" w:beforeAutospacing="0" w:after="0" w:afterAutospacing="0"/>
                    <w:ind w:left="0" w:right="0"/>
                    <w:jc w:val="left"/>
                    <w:rPr>
                      <w:rFonts w:hint="eastAsia" w:ascii="Times New Roman" w:hAnsi="Times New Roman" w:eastAsia="宋体" w:cs="Times New Roman"/>
                      <w:color w:val="0000C7"/>
                      <w:highlight w:val="none"/>
                      <w:shd w:val="clear" w:color="auto" w:fill="FFFFFF"/>
                    </w:rPr>
                  </w:pPr>
                  <w:r>
                    <w:rPr>
                      <w:rFonts w:hint="eastAsia" w:ascii="Times New Roman" w:hAnsi="Times New Roman" w:eastAsia="宋体" w:cs="Times New Roman"/>
                      <w:color w:val="0000C7"/>
                      <w:highlight w:val="none"/>
                      <w:shd w:val="clear" w:color="auto" w:fill="FFFFFF"/>
                    </w:rPr>
                    <w:t>【1.1-1】生态保护红线按红线管控要求进行管理，禁止或限制不符合主体功能定位的各类开发活动，确保生态保护红线内“生态功能不降低，面积不减少，性质不改变”。</w:t>
                  </w:r>
                </w:p>
                <w:p w14:paraId="6A10656C">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0000C7"/>
                      <w:highlight w:val="none"/>
                      <w:shd w:val="clear" w:color="auto" w:fill="FFFFFF"/>
                    </w:rPr>
                  </w:pPr>
                  <w:r>
                    <w:rPr>
                      <w:rFonts w:hint="eastAsia" w:ascii="Times New Roman" w:hAnsi="Times New Roman" w:eastAsia="宋体" w:cs="Times New Roman"/>
                      <w:color w:val="0000C7"/>
                      <w:highlight w:val="none"/>
                      <w:shd w:val="clear" w:color="auto" w:fill="FFFFFF"/>
                    </w:rPr>
                    <w:t>【1.2-1】禁止在自然保护区、风景名胜区、饮用水水源保护区、世界文化和自然遗产地、森林公园、基本农田保护区、基本草原、森林公园、地质公园、重要湿地、天然林、珍稀濒危野生动植物天然集中分布区等重点保护区域内及其它法律法规禁止的区域进行污染环境的任何开发建设活动，现行法律、法规明确豁免的开发建设活动除外</w:t>
                  </w:r>
                </w:p>
              </w:tc>
              <w:tc>
                <w:tcPr>
                  <w:tcW w:w="1750" w:type="dxa"/>
                  <w:vAlign w:val="center"/>
                </w:tcPr>
                <w:p w14:paraId="0989BDD3">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0000C7"/>
                      <w:highlight w:val="none"/>
                      <w:shd w:val="clear" w:color="auto" w:fill="FFFFFF"/>
                      <w:lang w:val="en-US" w:eastAsia="zh-CN"/>
                    </w:rPr>
                  </w:pPr>
                  <w:r>
                    <w:rPr>
                      <w:rFonts w:hint="eastAsia" w:hAnsi="Times New Roman" w:eastAsia="宋体" w:cs="Times New Roman"/>
                      <w:color w:val="0000C7"/>
                      <w:highlight w:val="none"/>
                      <w:shd w:val="clear" w:color="auto" w:fill="FFFFFF"/>
                      <w:lang w:val="en-US" w:eastAsia="zh-CN"/>
                    </w:rPr>
                    <w:t>本项目不新增建设用地，属于已有的合法水利设施运行维护改造，施工期严格采严格的环保措施及水土保持措施，不改变生态保护红线功能、面积和性质，不属于</w:t>
                  </w:r>
                  <w:r>
                    <w:rPr>
                      <w:rFonts w:hint="eastAsia" w:ascii="Times New Roman" w:hAnsi="Times New Roman" w:eastAsia="宋体" w:cs="Times New Roman"/>
                      <w:color w:val="0000C7"/>
                      <w:kern w:val="0"/>
                      <w:sz w:val="24"/>
                      <w:szCs w:val="24"/>
                      <w:highlight w:val="none"/>
                      <w:u w:val="none"/>
                      <w:lang w:val="en-US" w:eastAsia="zh-CN" w:bidi="ar-SA"/>
                    </w:rPr>
                    <w:t>《</w:t>
                  </w:r>
                  <w:r>
                    <w:rPr>
                      <w:rFonts w:hint="eastAsia" w:hAnsi="Times New Roman" w:eastAsia="宋体" w:cs="Times New Roman"/>
                      <w:color w:val="0000C7"/>
                      <w:highlight w:val="none"/>
                      <w:shd w:val="clear" w:color="auto" w:fill="FFFFFF"/>
                      <w:lang w:val="en-US" w:eastAsia="zh-CN"/>
                    </w:rPr>
                    <w:t>关于加强自治区生态保护红线管理的通知（试行）》生态保护红线内禁止的行为。</w:t>
                  </w:r>
                </w:p>
              </w:tc>
              <w:tc>
                <w:tcPr>
                  <w:tcW w:w="533" w:type="dxa"/>
                  <w:vAlign w:val="center"/>
                </w:tcPr>
                <w:p w14:paraId="6D55B369">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0000C7"/>
                      <w:highlight w:val="none"/>
                      <w:shd w:val="clear" w:color="auto" w:fill="FFFFFF"/>
                    </w:rPr>
                  </w:pPr>
                  <w:r>
                    <w:rPr>
                      <w:rFonts w:hint="default" w:ascii="Times New Roman" w:hAnsi="Times New Roman" w:eastAsia="宋体" w:cs="Times New Roman"/>
                      <w:color w:val="0000C7"/>
                      <w:highlight w:val="none"/>
                      <w:shd w:val="clear" w:color="auto" w:fill="FFFFFF"/>
                    </w:rPr>
                    <w:t>符合</w:t>
                  </w:r>
                </w:p>
              </w:tc>
            </w:tr>
          </w:tbl>
          <w:p w14:paraId="00F35899">
            <w:pPr>
              <w:pStyle w:val="10"/>
              <w:spacing w:before="0" w:after="0" w:line="240" w:lineRule="auto"/>
              <w:ind w:right="0"/>
              <w:jc w:val="center"/>
              <w:rPr>
                <w:rFonts w:hint="eastAsia" w:ascii="Times New Roman" w:hAnsi="Times New Roman" w:eastAsia="宋体" w:cs="Times New Roman"/>
                <w:b/>
                <w:color w:val="0000C7"/>
                <w:sz w:val="21"/>
                <w:szCs w:val="21"/>
                <w:highlight w:val="none"/>
                <w:lang w:val="en-US" w:eastAsia="zh-CN"/>
              </w:rPr>
            </w:pPr>
            <w:r>
              <w:rPr>
                <w:rFonts w:hint="default" w:ascii="Times New Roman" w:hAnsi="Times New Roman" w:eastAsia="宋体" w:cs="Times New Roman"/>
                <w:b/>
                <w:color w:val="0000C7"/>
                <w:sz w:val="21"/>
                <w:szCs w:val="21"/>
                <w:highlight w:val="none"/>
                <w:lang w:val="en-US" w:eastAsia="zh-CN"/>
              </w:rPr>
              <w:t>表1-</w:t>
            </w:r>
            <w:r>
              <w:rPr>
                <w:rFonts w:hint="eastAsia" w:ascii="Times New Roman" w:hAnsi="Times New Roman" w:eastAsia="宋体" w:cs="Times New Roman"/>
                <w:b/>
                <w:color w:val="0000C7"/>
                <w:sz w:val="21"/>
                <w:szCs w:val="21"/>
                <w:highlight w:val="none"/>
                <w:lang w:val="en-US" w:eastAsia="zh-CN"/>
              </w:rPr>
              <w:t>8</w:t>
            </w:r>
            <w:r>
              <w:rPr>
                <w:rFonts w:hint="default" w:ascii="Times New Roman" w:hAnsi="Times New Roman" w:eastAsia="宋体" w:cs="Times New Roman"/>
                <w:b/>
                <w:color w:val="0000C7"/>
                <w:sz w:val="21"/>
                <w:szCs w:val="21"/>
                <w:highlight w:val="none"/>
                <w:lang w:val="en-US" w:eastAsia="zh-CN"/>
              </w:rPr>
              <w:t xml:space="preserve"> 与喀</w:t>
            </w:r>
            <w:r>
              <w:rPr>
                <w:rFonts w:hint="eastAsia" w:ascii="Times New Roman" w:hAnsi="Times New Roman" w:eastAsia="宋体" w:cs="Times New Roman"/>
                <w:b/>
                <w:color w:val="0000C7"/>
                <w:sz w:val="21"/>
                <w:szCs w:val="21"/>
                <w:highlight w:val="none"/>
                <w:lang w:val="en-US" w:eastAsia="zh-CN"/>
              </w:rPr>
              <w:t>阿克陶县生态环境准入清单</w:t>
            </w:r>
            <w:r>
              <w:rPr>
                <w:rFonts w:hint="default" w:ascii="Times New Roman" w:hAnsi="Times New Roman" w:eastAsia="宋体" w:cs="Times New Roman"/>
                <w:b/>
                <w:color w:val="0000C7"/>
                <w:sz w:val="21"/>
                <w:szCs w:val="21"/>
                <w:highlight w:val="none"/>
                <w:lang w:val="en-US" w:eastAsia="zh-CN"/>
              </w:rPr>
              <w:t>相符性</w:t>
            </w:r>
            <w:r>
              <w:rPr>
                <w:rFonts w:hint="eastAsia" w:ascii="Times New Roman" w:hAnsi="Times New Roman" w:eastAsia="宋体" w:cs="Times New Roman"/>
                <w:b/>
                <w:color w:val="0000C7"/>
                <w:sz w:val="21"/>
                <w:szCs w:val="21"/>
                <w:highlight w:val="none"/>
                <w:lang w:val="en-US" w:eastAsia="zh-CN"/>
              </w:rPr>
              <w:t>（阿克陶一般生态空间）</w:t>
            </w:r>
          </w:p>
          <w:tbl>
            <w:tblPr>
              <w:tblStyle w:val="34"/>
              <w:tblW w:w="46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4173"/>
              <w:gridCol w:w="1650"/>
              <w:gridCol w:w="533"/>
            </w:tblGrid>
            <w:tr w14:paraId="25068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Align w:val="center"/>
                </w:tcPr>
                <w:p w14:paraId="79B35291">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0000C7"/>
                      <w:highlight w:val="none"/>
                      <w:shd w:val="clear" w:color="auto" w:fill="FFFFFF"/>
                    </w:rPr>
                  </w:pPr>
                  <w:r>
                    <w:rPr>
                      <w:rFonts w:hint="default" w:ascii="Times New Roman" w:hAnsi="Times New Roman" w:eastAsia="宋体" w:cs="Times New Roman"/>
                      <w:color w:val="0000C7"/>
                      <w:highlight w:val="none"/>
                      <w:shd w:val="clear" w:color="auto" w:fill="FFFFFF"/>
                    </w:rPr>
                    <w:t>管控</w:t>
                  </w:r>
                </w:p>
                <w:p w14:paraId="31109F4E">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0000C7"/>
                      <w:highlight w:val="none"/>
                      <w:shd w:val="clear" w:color="auto" w:fill="FFFFFF"/>
                    </w:rPr>
                  </w:pPr>
                  <w:r>
                    <w:rPr>
                      <w:rFonts w:hint="default" w:ascii="Times New Roman" w:hAnsi="Times New Roman" w:eastAsia="宋体" w:cs="Times New Roman"/>
                      <w:color w:val="0000C7"/>
                      <w:highlight w:val="none"/>
                      <w:shd w:val="clear" w:color="auto" w:fill="FFFFFF"/>
                    </w:rPr>
                    <w:t>类别</w:t>
                  </w:r>
                </w:p>
              </w:tc>
              <w:tc>
                <w:tcPr>
                  <w:tcW w:w="4173" w:type="dxa"/>
                  <w:vAlign w:val="center"/>
                </w:tcPr>
                <w:p w14:paraId="6D0873A6">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0000C7"/>
                      <w:highlight w:val="none"/>
                      <w:shd w:val="clear" w:color="auto" w:fill="FFFFFF"/>
                    </w:rPr>
                  </w:pPr>
                  <w:r>
                    <w:rPr>
                      <w:rFonts w:hint="default" w:ascii="Times New Roman" w:hAnsi="Times New Roman" w:eastAsia="宋体" w:cs="Times New Roman"/>
                      <w:color w:val="0000C7"/>
                      <w:highlight w:val="none"/>
                      <w:shd w:val="clear" w:color="auto" w:fill="FFFFFF"/>
                    </w:rPr>
                    <w:t>生态环境分区管控要求</w:t>
                  </w:r>
                </w:p>
              </w:tc>
              <w:tc>
                <w:tcPr>
                  <w:tcW w:w="1650" w:type="dxa"/>
                  <w:vAlign w:val="center"/>
                </w:tcPr>
                <w:p w14:paraId="72ECCA04">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0000C7"/>
                      <w:highlight w:val="none"/>
                      <w:shd w:val="clear" w:color="auto" w:fill="FFFFFF"/>
                    </w:rPr>
                  </w:pPr>
                  <w:r>
                    <w:rPr>
                      <w:rFonts w:hint="default" w:ascii="Times New Roman" w:hAnsi="Times New Roman" w:eastAsia="宋体" w:cs="Times New Roman"/>
                      <w:color w:val="0000C7"/>
                      <w:highlight w:val="none"/>
                      <w:shd w:val="clear" w:color="auto" w:fill="FFFFFF"/>
                      <w:lang w:val="en-US" w:eastAsia="zh-CN"/>
                    </w:rPr>
                    <w:t>本项目</w:t>
                  </w:r>
                  <w:r>
                    <w:rPr>
                      <w:rFonts w:hint="default" w:ascii="Times New Roman" w:hAnsi="Times New Roman" w:eastAsia="宋体" w:cs="Times New Roman"/>
                      <w:color w:val="0000C7"/>
                      <w:highlight w:val="none"/>
                      <w:shd w:val="clear" w:color="auto" w:fill="FFFFFF"/>
                    </w:rPr>
                    <w:t>建设情况</w:t>
                  </w:r>
                </w:p>
              </w:tc>
              <w:tc>
                <w:tcPr>
                  <w:tcW w:w="533" w:type="dxa"/>
                  <w:vAlign w:val="center"/>
                </w:tcPr>
                <w:p w14:paraId="2C7C6D89">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0000C7"/>
                      <w:highlight w:val="none"/>
                      <w:shd w:val="clear" w:color="auto" w:fill="FFFFFF"/>
                    </w:rPr>
                  </w:pPr>
                  <w:r>
                    <w:rPr>
                      <w:rFonts w:hint="default" w:ascii="Times New Roman" w:hAnsi="Times New Roman" w:eastAsia="宋体" w:cs="Times New Roman"/>
                      <w:color w:val="0000C7"/>
                      <w:highlight w:val="none"/>
                      <w:shd w:val="clear" w:color="auto" w:fill="FFFFFF"/>
                    </w:rPr>
                    <w:t>相符性</w:t>
                  </w:r>
                </w:p>
              </w:tc>
            </w:tr>
            <w:tr w14:paraId="2B48C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Align w:val="center"/>
                </w:tcPr>
                <w:p w14:paraId="0C048A7C">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0000C7"/>
                      <w:highlight w:val="none"/>
                      <w:shd w:val="clear" w:color="auto" w:fill="FFFFFF"/>
                    </w:rPr>
                  </w:pPr>
                  <w:r>
                    <w:rPr>
                      <w:rFonts w:hint="default" w:ascii="Times New Roman" w:hAnsi="Times New Roman" w:eastAsia="宋体" w:cs="Times New Roman"/>
                      <w:color w:val="0000C7"/>
                      <w:highlight w:val="none"/>
                      <w:shd w:val="clear" w:color="auto" w:fill="FFFFFF"/>
                    </w:rPr>
                    <w:t>空间布局约束</w:t>
                  </w:r>
                </w:p>
              </w:tc>
              <w:tc>
                <w:tcPr>
                  <w:tcW w:w="4173" w:type="dxa"/>
                  <w:vAlign w:val="center"/>
                </w:tcPr>
                <w:p w14:paraId="0EE5829F">
                  <w:pPr>
                    <w:pStyle w:val="111"/>
                    <w:keepNext w:val="0"/>
                    <w:keepLines w:val="0"/>
                    <w:suppressLineNumbers w:val="0"/>
                    <w:spacing w:before="0" w:beforeAutospacing="0" w:after="0" w:afterAutospacing="0"/>
                    <w:ind w:left="0" w:right="0"/>
                    <w:jc w:val="left"/>
                    <w:rPr>
                      <w:rFonts w:hint="eastAsia" w:ascii="Times New Roman" w:hAnsi="Times New Roman" w:eastAsia="宋体" w:cs="Times New Roman"/>
                      <w:color w:val="0000C7"/>
                      <w:highlight w:val="none"/>
                      <w:shd w:val="clear" w:color="auto" w:fill="FFFFFF"/>
                    </w:rPr>
                  </w:pPr>
                  <w:r>
                    <w:rPr>
                      <w:rFonts w:hint="eastAsia" w:ascii="Times New Roman" w:hAnsi="Times New Roman" w:eastAsia="宋体" w:cs="Times New Roman"/>
                      <w:color w:val="0000C7"/>
                      <w:highlight w:val="none"/>
                      <w:shd w:val="clear" w:color="auto" w:fill="FFFFFF"/>
                    </w:rPr>
                    <w:t>【2.1-1】推进天然林保护和围栏封育，以草定畜，严格控制载畜量，治理土壤侵蚀，维护与重建湿地、森林、草原等生态系统，严格保护具有水源涵养功能的植被。</w:t>
                  </w:r>
                </w:p>
                <w:p w14:paraId="28404EC8">
                  <w:pPr>
                    <w:pStyle w:val="111"/>
                    <w:keepNext w:val="0"/>
                    <w:keepLines w:val="0"/>
                    <w:suppressLineNumbers w:val="0"/>
                    <w:spacing w:before="0" w:beforeAutospacing="0" w:after="0" w:afterAutospacing="0"/>
                    <w:ind w:left="0" w:right="0"/>
                    <w:jc w:val="left"/>
                    <w:rPr>
                      <w:rFonts w:hint="eastAsia" w:ascii="Times New Roman" w:hAnsi="Times New Roman" w:eastAsia="宋体" w:cs="Times New Roman"/>
                      <w:color w:val="0000C7"/>
                      <w:highlight w:val="none"/>
                      <w:shd w:val="clear" w:color="auto" w:fill="FFFFFF"/>
                    </w:rPr>
                  </w:pPr>
                  <w:r>
                    <w:rPr>
                      <w:rFonts w:hint="eastAsia" w:ascii="Times New Roman" w:hAnsi="Times New Roman" w:eastAsia="宋体" w:cs="Times New Roman"/>
                      <w:color w:val="0000C7"/>
                      <w:highlight w:val="none"/>
                      <w:shd w:val="clear" w:color="auto" w:fill="FFFFFF"/>
                    </w:rPr>
                    <w:t>【2.1-2】水环境功能区划目标水质为I、Ⅱ类水体岸边1公里范围内（有山体等自然阻隔地形，具备阻隔条件，确保不会对水体产生影响的除外），禁止新（改、扩）建“高污染、高风险”的重化工、非金属矿采选、涉重金属等工业污染项目；现有“高污染、高风险”工业项目要强化治理、削减污染物排放量，严格控制水环境污染，消除环境风险隐患，对存在严重环境问题的依法关停整改或取缔。</w:t>
                  </w:r>
                </w:p>
                <w:p w14:paraId="52C9C23F">
                  <w:pPr>
                    <w:pStyle w:val="111"/>
                    <w:keepNext w:val="0"/>
                    <w:keepLines w:val="0"/>
                    <w:suppressLineNumbers w:val="0"/>
                    <w:spacing w:before="0" w:beforeAutospacing="0" w:after="0" w:afterAutospacing="0"/>
                    <w:ind w:left="0" w:right="0"/>
                    <w:jc w:val="left"/>
                    <w:rPr>
                      <w:rFonts w:hint="eastAsia" w:ascii="Times New Roman" w:hAnsi="Times New Roman" w:eastAsia="宋体" w:cs="Times New Roman"/>
                      <w:color w:val="0000C7"/>
                      <w:highlight w:val="none"/>
                      <w:shd w:val="clear" w:color="auto" w:fill="FFFFFF"/>
                    </w:rPr>
                  </w:pPr>
                  <w:r>
                    <w:rPr>
                      <w:rFonts w:hint="eastAsia" w:ascii="Times New Roman" w:hAnsi="Times New Roman" w:eastAsia="宋体" w:cs="Times New Roman"/>
                      <w:color w:val="0000C7"/>
                      <w:highlight w:val="none"/>
                      <w:shd w:val="clear" w:color="auto" w:fill="FFFFFF"/>
                    </w:rPr>
                    <w:t>【2.2-1】维护自然生态平衡，发挥荒漠草原生态功能。同时加强小流域综合治理，控制人为因素对土壤的侵蚀，恢复退化植被。保护草地植被，保护野生动物，保护河流水质。</w:t>
                  </w:r>
                </w:p>
                <w:p w14:paraId="1EDBA920">
                  <w:pPr>
                    <w:pStyle w:val="111"/>
                    <w:keepNext w:val="0"/>
                    <w:keepLines w:val="0"/>
                    <w:suppressLineNumbers w:val="0"/>
                    <w:spacing w:before="0" w:beforeAutospacing="0" w:after="0" w:afterAutospacing="0"/>
                    <w:ind w:left="0" w:right="0"/>
                    <w:jc w:val="left"/>
                    <w:rPr>
                      <w:rFonts w:hint="eastAsia" w:ascii="Times New Roman" w:hAnsi="Times New Roman" w:eastAsia="宋体" w:cs="Times New Roman"/>
                      <w:color w:val="0000C7"/>
                      <w:highlight w:val="none"/>
                      <w:shd w:val="clear" w:color="auto" w:fill="FFFFFF"/>
                    </w:rPr>
                  </w:pPr>
                  <w:r>
                    <w:rPr>
                      <w:rFonts w:hint="eastAsia" w:ascii="Times New Roman" w:hAnsi="Times New Roman" w:eastAsia="宋体" w:cs="Times New Roman"/>
                      <w:color w:val="0000C7"/>
                      <w:highlight w:val="none"/>
                      <w:shd w:val="clear" w:color="auto" w:fill="FFFFFF"/>
                    </w:rPr>
                    <w:t>【2.2-2】在侵蚀沟的沟坡和沟岸、河流的两岸以及湖泊和水库的周边，土地所有权人、使用权人或者有关管理单位应当营造植物保护带。禁止开垦、开发植物保护带。在二十五度以上陡坡地种植经济林的，应当科学选择树种，合理确定规模，采取水土保持措施，防止造成水土流失。生产建设项目选址、选线应当避让水土流失重点预防区和重点治理区；无法避让的，应当提高防治标准，优化施工工艺，减少地表扰动和植被损坏范围，有效控制可能造成的水土流失。</w:t>
                  </w:r>
                </w:p>
                <w:p w14:paraId="601FBCA6">
                  <w:pPr>
                    <w:pStyle w:val="111"/>
                    <w:keepNext w:val="0"/>
                    <w:keepLines w:val="0"/>
                    <w:suppressLineNumbers w:val="0"/>
                    <w:spacing w:before="0" w:beforeAutospacing="0" w:after="0" w:afterAutospacing="0"/>
                    <w:ind w:left="0" w:right="0"/>
                    <w:jc w:val="left"/>
                    <w:rPr>
                      <w:rFonts w:hint="eastAsia" w:ascii="Times New Roman" w:hAnsi="Times New Roman" w:eastAsia="宋体" w:cs="Times New Roman"/>
                      <w:color w:val="0000C7"/>
                      <w:highlight w:val="none"/>
                      <w:shd w:val="clear" w:color="auto" w:fill="FFFFFF"/>
                    </w:rPr>
                  </w:pPr>
                  <w:r>
                    <w:rPr>
                      <w:rFonts w:hint="eastAsia" w:ascii="Times New Roman" w:hAnsi="Times New Roman" w:eastAsia="宋体" w:cs="Times New Roman"/>
                      <w:color w:val="0000C7"/>
                      <w:highlight w:val="none"/>
                      <w:shd w:val="clear" w:color="auto" w:fill="FFFFFF"/>
                    </w:rPr>
                    <w:t>【2.2-3】严格保护植被、沙壳、结皮等具有水土保持功能的原生地貌，防止水土流失。</w:t>
                  </w:r>
                </w:p>
                <w:p w14:paraId="35FDE26B">
                  <w:pPr>
                    <w:pStyle w:val="111"/>
                    <w:keepNext w:val="0"/>
                    <w:keepLines w:val="0"/>
                    <w:suppressLineNumbers w:val="0"/>
                    <w:spacing w:before="0" w:beforeAutospacing="0" w:after="0" w:afterAutospacing="0"/>
                    <w:ind w:left="0" w:right="0"/>
                    <w:jc w:val="left"/>
                    <w:rPr>
                      <w:rFonts w:hint="eastAsia" w:ascii="Times New Roman" w:hAnsi="Times New Roman" w:eastAsia="宋体" w:cs="Times New Roman"/>
                      <w:color w:val="0000C7"/>
                      <w:highlight w:val="none"/>
                      <w:shd w:val="clear" w:color="auto" w:fill="FFFFFF"/>
                    </w:rPr>
                  </w:pPr>
                  <w:r>
                    <w:rPr>
                      <w:rFonts w:hint="eastAsia" w:ascii="Times New Roman" w:hAnsi="Times New Roman" w:eastAsia="宋体" w:cs="Times New Roman"/>
                      <w:color w:val="0000C7"/>
                      <w:highlight w:val="none"/>
                      <w:shd w:val="clear" w:color="auto" w:fill="FFFFFF"/>
                    </w:rPr>
                    <w:t>【2.3-1】在风沙危害大的区域，转变传统畜牧业生产方式，实行禁牧休牧，推行舍饲圈养，以草定畜，严格控制载畜量。加大退牧还草、退耕还林和防沙治沙力度，恢复草地植被。</w:t>
                  </w:r>
                </w:p>
                <w:p w14:paraId="27537E60">
                  <w:pPr>
                    <w:pStyle w:val="111"/>
                    <w:keepNext w:val="0"/>
                    <w:keepLines w:val="0"/>
                    <w:suppressLineNumbers w:val="0"/>
                    <w:spacing w:before="0" w:beforeAutospacing="0" w:after="0" w:afterAutospacing="0"/>
                    <w:ind w:left="0" w:right="0"/>
                    <w:jc w:val="left"/>
                    <w:rPr>
                      <w:rFonts w:hint="eastAsia" w:ascii="Times New Roman" w:hAnsi="Times New Roman" w:eastAsia="宋体" w:cs="Times New Roman"/>
                      <w:color w:val="0000C7"/>
                      <w:highlight w:val="none"/>
                      <w:shd w:val="clear" w:color="auto" w:fill="FFFFFF"/>
                    </w:rPr>
                  </w:pPr>
                  <w:r>
                    <w:rPr>
                      <w:rFonts w:hint="eastAsia" w:ascii="Times New Roman" w:hAnsi="Times New Roman" w:eastAsia="宋体" w:cs="Times New Roman"/>
                      <w:color w:val="0000C7"/>
                      <w:highlight w:val="none"/>
                      <w:shd w:val="clear" w:color="auto" w:fill="FFFFFF"/>
                    </w:rPr>
                    <w:t>【2.3-2】县级以上人民政府林业行政主管部门应当严格控制防风固沙林网、林带的采伐。</w:t>
                  </w:r>
                </w:p>
                <w:p w14:paraId="5AD87EF9">
                  <w:pPr>
                    <w:pStyle w:val="111"/>
                    <w:keepNext w:val="0"/>
                    <w:keepLines w:val="0"/>
                    <w:suppressLineNumbers w:val="0"/>
                    <w:spacing w:before="0" w:beforeAutospacing="0" w:after="0" w:afterAutospacing="0"/>
                    <w:ind w:left="0" w:right="0"/>
                    <w:jc w:val="left"/>
                    <w:rPr>
                      <w:rFonts w:hint="eastAsia" w:ascii="Times New Roman" w:hAnsi="Times New Roman" w:eastAsia="宋体" w:cs="Times New Roman"/>
                      <w:color w:val="0000C7"/>
                      <w:highlight w:val="none"/>
                      <w:shd w:val="clear" w:color="auto" w:fill="FFFFFF"/>
                    </w:rPr>
                  </w:pPr>
                  <w:r>
                    <w:rPr>
                      <w:rFonts w:hint="eastAsia" w:ascii="Times New Roman" w:hAnsi="Times New Roman" w:eastAsia="宋体" w:cs="Times New Roman"/>
                      <w:color w:val="0000C7"/>
                      <w:highlight w:val="none"/>
                      <w:shd w:val="clear" w:color="auto" w:fill="FFFFFF"/>
                    </w:rPr>
                    <w:t>【2.4-1】禁止对野生动植物进行滥捕、乱采和乱猎。保护自然生态系统与重要物种栖息地，加强对外来物种入侵的控制，禁止在生物多样性保护功能区引进外来物种。</w:t>
                  </w:r>
                </w:p>
                <w:p w14:paraId="0165E433">
                  <w:pPr>
                    <w:pStyle w:val="111"/>
                    <w:keepNext w:val="0"/>
                    <w:keepLines w:val="0"/>
                    <w:suppressLineNumbers w:val="0"/>
                    <w:spacing w:before="0" w:beforeAutospacing="0" w:after="0" w:afterAutospacing="0"/>
                    <w:ind w:left="0" w:right="0"/>
                    <w:jc w:val="left"/>
                    <w:rPr>
                      <w:rFonts w:hint="eastAsia" w:ascii="Times New Roman" w:hAnsi="Times New Roman" w:eastAsia="宋体" w:cs="Times New Roman"/>
                      <w:color w:val="0000C7"/>
                      <w:highlight w:val="none"/>
                      <w:shd w:val="clear" w:color="auto" w:fill="FFFFFF"/>
                    </w:rPr>
                  </w:pPr>
                  <w:r>
                    <w:rPr>
                      <w:rFonts w:hint="eastAsia" w:ascii="Times New Roman" w:hAnsi="Times New Roman" w:eastAsia="宋体" w:cs="Times New Roman"/>
                      <w:color w:val="0000C7"/>
                      <w:highlight w:val="none"/>
                      <w:shd w:val="clear" w:color="auto" w:fill="FFFFFF"/>
                    </w:rPr>
                    <w:t>【2.4-2】加强防御外来物种入侵的能力，防止外来有害物种对生态系统的侵害。加强生态建设和管理，减少人为干扰，对其进行封禁，要维持好天然草地的生态平衡，保护好现有野生动植物生存环境。</w:t>
                  </w:r>
                </w:p>
                <w:p w14:paraId="2E10AF5D">
                  <w:pPr>
                    <w:pStyle w:val="111"/>
                    <w:keepNext w:val="0"/>
                    <w:keepLines w:val="0"/>
                    <w:suppressLineNumbers w:val="0"/>
                    <w:spacing w:before="0" w:beforeAutospacing="0" w:after="0" w:afterAutospacing="0"/>
                    <w:ind w:left="0" w:right="0"/>
                    <w:jc w:val="left"/>
                    <w:rPr>
                      <w:rFonts w:hint="eastAsia" w:ascii="Times New Roman" w:hAnsi="Times New Roman" w:eastAsia="宋体" w:cs="Times New Roman"/>
                      <w:color w:val="0000C7"/>
                      <w:highlight w:val="none"/>
                      <w:shd w:val="clear" w:color="auto" w:fill="FFFFFF"/>
                    </w:rPr>
                  </w:pPr>
                  <w:r>
                    <w:rPr>
                      <w:rFonts w:hint="eastAsia" w:ascii="Times New Roman" w:hAnsi="Times New Roman" w:eastAsia="宋体" w:cs="Times New Roman"/>
                      <w:color w:val="0000C7"/>
                      <w:highlight w:val="none"/>
                      <w:shd w:val="clear" w:color="auto" w:fill="FFFFFF"/>
                    </w:rPr>
                    <w:t>【2.4-3】继续推进天然林保护、退耕还林还草、风沙源治理、防护林体系、野生动植物保护等重点生态工程；工程措施和生物措施相结合，修复遭到破坏或退化的河湖鱼类产卵场，恢复河湖鱼类生态联系；继续实施禁渔区、禁渔期、捕捞配额和捕捞许可证制度；加强对自然保护区外分布的极小种群野生植物就地保护小区、保护点的建设，开展多种形式的民间生物多样性就地保护；继续实施退牧还草工程，通过禁牧封育、轮封轮牧等措施，限制超载放牧等活动，加强草原生态系统保护。</w:t>
                  </w:r>
                </w:p>
                <w:p w14:paraId="19595B8E">
                  <w:pPr>
                    <w:pStyle w:val="111"/>
                    <w:keepNext w:val="0"/>
                    <w:keepLines w:val="0"/>
                    <w:suppressLineNumbers w:val="0"/>
                    <w:spacing w:before="0" w:beforeAutospacing="0" w:after="0" w:afterAutospacing="0"/>
                    <w:ind w:left="0" w:right="0"/>
                    <w:jc w:val="left"/>
                    <w:rPr>
                      <w:rFonts w:hint="eastAsia" w:ascii="Times New Roman" w:hAnsi="Times New Roman" w:eastAsia="宋体" w:cs="Times New Roman"/>
                      <w:color w:val="0000C7"/>
                      <w:highlight w:val="none"/>
                      <w:shd w:val="clear" w:color="auto" w:fill="FFFFFF"/>
                    </w:rPr>
                  </w:pPr>
                  <w:r>
                    <w:rPr>
                      <w:rFonts w:hint="eastAsia" w:ascii="Times New Roman" w:hAnsi="Times New Roman" w:eastAsia="宋体" w:cs="Times New Roman"/>
                      <w:color w:val="0000C7"/>
                      <w:highlight w:val="none"/>
                      <w:shd w:val="clear" w:color="auto" w:fill="FFFFFF"/>
                    </w:rPr>
                    <w:t>【2.5-1】全面实施保护天然林、退耕还林、退牧还草工程。在水土流失严重并可能对当地或下游造成严重危害的区域实施水土保持工程，进行重点治理。严格资源开发和建设项目的生态监管，控制新的人为水土流失。</w:t>
                  </w:r>
                </w:p>
                <w:p w14:paraId="1C0408CC">
                  <w:pPr>
                    <w:pStyle w:val="111"/>
                    <w:keepNext w:val="0"/>
                    <w:keepLines w:val="0"/>
                    <w:suppressLineNumbers w:val="0"/>
                    <w:spacing w:before="0" w:beforeAutospacing="0" w:after="0" w:afterAutospacing="0"/>
                    <w:ind w:left="0" w:right="0"/>
                    <w:jc w:val="left"/>
                    <w:rPr>
                      <w:rFonts w:hint="eastAsia" w:ascii="Times New Roman" w:hAnsi="Times New Roman" w:eastAsia="宋体" w:cs="Times New Roman"/>
                      <w:color w:val="0000C7"/>
                      <w:highlight w:val="none"/>
                      <w:shd w:val="clear" w:color="auto" w:fill="FFFFFF"/>
                    </w:rPr>
                  </w:pPr>
                  <w:r>
                    <w:rPr>
                      <w:rFonts w:hint="eastAsia" w:ascii="Times New Roman" w:hAnsi="Times New Roman" w:eastAsia="宋体" w:cs="Times New Roman"/>
                      <w:color w:val="0000C7"/>
                      <w:highlight w:val="none"/>
                      <w:shd w:val="clear" w:color="auto" w:fill="FFFFFF"/>
                    </w:rPr>
                    <w:t>【2.5-2】加强对取土、挖砂、采石等活动的管理，预防和减轻水土流失。生产建设项目选址、选线应当避让水土流失重点预防区和重点治理区；无法避让的，应当提高防治标准，优化施工工艺，减少地表扰动和植被损坏范围，有效控制可能造成的水土流失。</w:t>
                  </w:r>
                </w:p>
                <w:p w14:paraId="7196415A">
                  <w:pPr>
                    <w:pStyle w:val="111"/>
                    <w:keepNext w:val="0"/>
                    <w:keepLines w:val="0"/>
                    <w:suppressLineNumbers w:val="0"/>
                    <w:spacing w:before="0" w:beforeAutospacing="0" w:after="0" w:afterAutospacing="0"/>
                    <w:ind w:left="0" w:right="0"/>
                    <w:jc w:val="left"/>
                    <w:rPr>
                      <w:rFonts w:hint="default" w:ascii="Times New Roman" w:hAnsi="Times New Roman" w:eastAsia="宋体" w:cs="Times New Roman"/>
                      <w:color w:val="0000C7"/>
                      <w:highlight w:val="none"/>
                      <w:shd w:val="clear" w:color="auto" w:fill="FFFFFF"/>
                    </w:rPr>
                  </w:pPr>
                  <w:r>
                    <w:rPr>
                      <w:rFonts w:hint="eastAsia" w:ascii="Times New Roman" w:hAnsi="Times New Roman" w:eastAsia="宋体" w:cs="Times New Roman"/>
                      <w:color w:val="0000C7"/>
                      <w:highlight w:val="none"/>
                      <w:shd w:val="clear" w:color="auto" w:fill="FFFFFF"/>
                    </w:rPr>
                    <w:t>【2.6-1】调整传统的畜牧业生产方式，大力发展草业，加快规模化圈养牧业的发展，控制放养对草地生态系统的损害。积极推进草畜平衡科学管理办法，限制养殖规模。实施防风固沙工程，恢复草地植被，大力推进调整产业结构，退耕还草，退牧还草等措施。</w:t>
                  </w:r>
                </w:p>
              </w:tc>
              <w:tc>
                <w:tcPr>
                  <w:tcW w:w="1650" w:type="dxa"/>
                  <w:vAlign w:val="center"/>
                </w:tcPr>
                <w:p w14:paraId="003F4F30">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0000C7"/>
                      <w:highlight w:val="none"/>
                      <w:shd w:val="clear" w:color="auto" w:fill="FFFFFF"/>
                      <w:lang w:val="en-US" w:eastAsia="zh-CN"/>
                    </w:rPr>
                  </w:pPr>
                  <w:r>
                    <w:rPr>
                      <w:rFonts w:hint="eastAsia" w:ascii="Times New Roman" w:hAnsi="Times New Roman" w:eastAsia="宋体" w:cs="Times New Roman"/>
                      <w:color w:val="0000C7"/>
                      <w:highlight w:val="none"/>
                      <w:shd w:val="clear" w:color="auto" w:fill="FFFFFF"/>
                    </w:rPr>
                    <w:t>2.1-1</w:t>
                  </w:r>
                  <w:r>
                    <w:rPr>
                      <w:rFonts w:hint="default" w:ascii="Times New Roman" w:hAnsi="Times New Roman" w:eastAsia="宋体" w:cs="Times New Roman"/>
                      <w:color w:val="0000C7"/>
                      <w:highlight w:val="none"/>
                      <w:shd w:val="clear" w:color="auto" w:fill="FFFFFF"/>
                      <w:lang w:val="en-US" w:eastAsia="zh-CN"/>
                    </w:rPr>
                    <w:t>：不涉及</w:t>
                  </w:r>
                  <w:r>
                    <w:rPr>
                      <w:rFonts w:hint="eastAsia" w:ascii="Times New Roman" w:hAnsi="Times New Roman" w:eastAsia="宋体" w:cs="Times New Roman"/>
                      <w:color w:val="0000C7"/>
                      <w:highlight w:val="none"/>
                      <w:shd w:val="clear" w:color="auto" w:fill="FFFFFF"/>
                    </w:rPr>
                    <w:t>2.1-</w:t>
                  </w:r>
                  <w:r>
                    <w:rPr>
                      <w:rFonts w:hint="eastAsia" w:hAnsi="Times New Roman" w:eastAsia="宋体" w:cs="Times New Roman"/>
                      <w:color w:val="0000C7"/>
                      <w:highlight w:val="none"/>
                      <w:shd w:val="clear" w:color="auto" w:fill="FFFFFF"/>
                      <w:lang w:val="en-US" w:eastAsia="zh-CN"/>
                    </w:rPr>
                    <w:t>2</w:t>
                  </w:r>
                  <w:r>
                    <w:rPr>
                      <w:rFonts w:hint="default" w:ascii="Times New Roman" w:hAnsi="Times New Roman" w:eastAsia="宋体" w:cs="Times New Roman"/>
                      <w:color w:val="0000C7"/>
                      <w:highlight w:val="none"/>
                      <w:shd w:val="clear" w:color="auto" w:fill="FFFFFF"/>
                      <w:lang w:val="en-US" w:eastAsia="zh-CN"/>
                    </w:rPr>
                    <w:t>：不涉及</w:t>
                  </w:r>
                </w:p>
                <w:p w14:paraId="1260C717">
                  <w:pPr>
                    <w:pStyle w:val="111"/>
                    <w:keepNext w:val="0"/>
                    <w:keepLines w:val="0"/>
                    <w:suppressLineNumbers w:val="0"/>
                    <w:spacing w:before="0" w:beforeAutospacing="0" w:after="0" w:afterAutospacing="0"/>
                    <w:ind w:left="0" w:right="0"/>
                    <w:rPr>
                      <w:rFonts w:hint="eastAsia" w:hAnsi="Times New Roman" w:eastAsia="宋体" w:cs="Times New Roman"/>
                      <w:color w:val="0000C7"/>
                      <w:highlight w:val="none"/>
                      <w:shd w:val="clear" w:color="auto" w:fill="FFFFFF"/>
                      <w:lang w:val="en-US" w:eastAsia="zh-CN"/>
                    </w:rPr>
                  </w:pPr>
                  <w:r>
                    <w:rPr>
                      <w:rFonts w:hint="eastAsia" w:ascii="Times New Roman" w:hAnsi="Times New Roman" w:eastAsia="宋体" w:cs="Times New Roman"/>
                      <w:color w:val="0000C7"/>
                      <w:highlight w:val="none"/>
                      <w:shd w:val="clear" w:color="auto" w:fill="FFFFFF"/>
                    </w:rPr>
                    <w:t>2.</w:t>
                  </w:r>
                  <w:r>
                    <w:rPr>
                      <w:rFonts w:hint="eastAsia" w:hAnsi="Times New Roman" w:eastAsia="宋体" w:cs="Times New Roman"/>
                      <w:color w:val="0000C7"/>
                      <w:highlight w:val="none"/>
                      <w:shd w:val="clear" w:color="auto" w:fill="FFFFFF"/>
                      <w:lang w:val="en-US" w:eastAsia="zh-CN"/>
                    </w:rPr>
                    <w:t>2</w:t>
                  </w:r>
                  <w:r>
                    <w:rPr>
                      <w:rFonts w:hint="eastAsia" w:ascii="Times New Roman" w:hAnsi="Times New Roman" w:eastAsia="宋体" w:cs="Times New Roman"/>
                      <w:color w:val="0000C7"/>
                      <w:highlight w:val="none"/>
                      <w:shd w:val="clear" w:color="auto" w:fill="FFFFFF"/>
                    </w:rPr>
                    <w:t>-1</w:t>
                  </w:r>
                  <w:r>
                    <w:rPr>
                      <w:rFonts w:hint="default" w:ascii="Times New Roman" w:hAnsi="Times New Roman" w:eastAsia="宋体" w:cs="Times New Roman"/>
                      <w:color w:val="0000C7"/>
                      <w:highlight w:val="none"/>
                      <w:shd w:val="clear" w:color="auto" w:fill="FFFFFF"/>
                      <w:lang w:val="en-US" w:eastAsia="zh-CN"/>
                    </w:rPr>
                    <w:t>：不涉及</w:t>
                  </w:r>
                  <w:r>
                    <w:rPr>
                      <w:rFonts w:hint="eastAsia" w:ascii="Times New Roman" w:hAnsi="Times New Roman" w:eastAsia="宋体" w:cs="Times New Roman"/>
                      <w:color w:val="0000C7"/>
                      <w:highlight w:val="none"/>
                      <w:shd w:val="clear" w:color="auto" w:fill="FFFFFF"/>
                    </w:rPr>
                    <w:t>2.</w:t>
                  </w:r>
                  <w:r>
                    <w:rPr>
                      <w:rFonts w:hint="eastAsia" w:hAnsi="Times New Roman" w:eastAsia="宋体" w:cs="Times New Roman"/>
                      <w:color w:val="0000C7"/>
                      <w:highlight w:val="none"/>
                      <w:shd w:val="clear" w:color="auto" w:fill="FFFFFF"/>
                      <w:lang w:val="en-US" w:eastAsia="zh-CN"/>
                    </w:rPr>
                    <w:t>2</w:t>
                  </w:r>
                  <w:r>
                    <w:rPr>
                      <w:rFonts w:hint="eastAsia" w:ascii="Times New Roman" w:hAnsi="Times New Roman" w:eastAsia="宋体" w:cs="Times New Roman"/>
                      <w:color w:val="0000C7"/>
                      <w:highlight w:val="none"/>
                      <w:shd w:val="clear" w:color="auto" w:fill="FFFFFF"/>
                    </w:rPr>
                    <w:t>-</w:t>
                  </w:r>
                  <w:r>
                    <w:rPr>
                      <w:rFonts w:hint="eastAsia" w:hAnsi="Times New Roman" w:eastAsia="宋体" w:cs="Times New Roman"/>
                      <w:color w:val="0000C7"/>
                      <w:highlight w:val="none"/>
                      <w:shd w:val="clear" w:color="auto" w:fill="FFFFFF"/>
                      <w:lang w:val="en-US" w:eastAsia="zh-CN"/>
                    </w:rPr>
                    <w:t>2，2.2-3</w:t>
                  </w:r>
                  <w:r>
                    <w:rPr>
                      <w:rFonts w:hint="default" w:ascii="Times New Roman" w:hAnsi="Times New Roman" w:eastAsia="宋体" w:cs="Times New Roman"/>
                      <w:color w:val="0000C7"/>
                      <w:highlight w:val="none"/>
                      <w:shd w:val="clear" w:color="auto" w:fill="FFFFFF"/>
                      <w:lang w:val="en-US" w:eastAsia="zh-CN"/>
                    </w:rPr>
                    <w:t>：</w:t>
                  </w:r>
                  <w:r>
                    <w:rPr>
                      <w:rFonts w:hint="eastAsia" w:hAnsi="Times New Roman" w:eastAsia="宋体" w:cs="Times New Roman"/>
                      <w:color w:val="0000C7"/>
                      <w:highlight w:val="none"/>
                      <w:shd w:val="clear" w:color="auto" w:fill="FFFFFF"/>
                      <w:lang w:val="en-US" w:eastAsia="zh-CN"/>
                    </w:rPr>
                    <w:t>本项目不新增建设用地，属于已有的合法水利设施运行维护改造，施工期严格采严格的环保措施及水土保持措施，不改变生态保护红线功能、面积和性质。</w:t>
                  </w:r>
                </w:p>
                <w:p w14:paraId="37F959F9">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0000C7"/>
                      <w:highlight w:val="none"/>
                      <w:shd w:val="clear" w:color="auto" w:fill="FFFFFF"/>
                      <w:lang w:val="en-US" w:eastAsia="zh-CN"/>
                    </w:rPr>
                  </w:pPr>
                  <w:r>
                    <w:rPr>
                      <w:rFonts w:hint="eastAsia" w:ascii="Times New Roman" w:hAnsi="Times New Roman" w:eastAsia="宋体" w:cs="Times New Roman"/>
                      <w:color w:val="0000C7"/>
                      <w:highlight w:val="none"/>
                      <w:shd w:val="clear" w:color="auto" w:fill="FFFFFF"/>
                    </w:rPr>
                    <w:t>2.</w:t>
                  </w:r>
                  <w:r>
                    <w:rPr>
                      <w:rFonts w:hint="eastAsia" w:hAnsi="Times New Roman" w:eastAsia="宋体" w:cs="Times New Roman"/>
                      <w:color w:val="0000C7"/>
                      <w:highlight w:val="none"/>
                      <w:shd w:val="clear" w:color="auto" w:fill="FFFFFF"/>
                      <w:lang w:val="en-US" w:eastAsia="zh-CN"/>
                    </w:rPr>
                    <w:t>3</w:t>
                  </w:r>
                  <w:r>
                    <w:rPr>
                      <w:rFonts w:hint="eastAsia" w:ascii="Times New Roman" w:hAnsi="Times New Roman" w:eastAsia="宋体" w:cs="Times New Roman"/>
                      <w:color w:val="0000C7"/>
                      <w:highlight w:val="none"/>
                      <w:shd w:val="clear" w:color="auto" w:fill="FFFFFF"/>
                    </w:rPr>
                    <w:t>-1</w:t>
                  </w:r>
                  <w:r>
                    <w:rPr>
                      <w:rFonts w:hint="default" w:ascii="Times New Roman" w:hAnsi="Times New Roman" w:eastAsia="宋体" w:cs="Times New Roman"/>
                      <w:color w:val="0000C7"/>
                      <w:highlight w:val="none"/>
                      <w:shd w:val="clear" w:color="auto" w:fill="FFFFFF"/>
                      <w:lang w:val="en-US" w:eastAsia="zh-CN"/>
                    </w:rPr>
                    <w:t>：不涉及</w:t>
                  </w:r>
                </w:p>
                <w:p w14:paraId="4D40EDB1">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0000C7"/>
                      <w:highlight w:val="none"/>
                      <w:shd w:val="clear" w:color="auto" w:fill="FFFFFF"/>
                      <w:lang w:val="en-US" w:eastAsia="zh-CN"/>
                    </w:rPr>
                  </w:pPr>
                  <w:r>
                    <w:rPr>
                      <w:rFonts w:hint="eastAsia" w:ascii="Times New Roman" w:hAnsi="Times New Roman" w:eastAsia="宋体" w:cs="Times New Roman"/>
                      <w:color w:val="0000C7"/>
                      <w:highlight w:val="none"/>
                      <w:shd w:val="clear" w:color="auto" w:fill="FFFFFF"/>
                    </w:rPr>
                    <w:t>2.</w:t>
                  </w:r>
                  <w:r>
                    <w:rPr>
                      <w:rFonts w:hint="eastAsia" w:hAnsi="Times New Roman" w:eastAsia="宋体" w:cs="Times New Roman"/>
                      <w:color w:val="0000C7"/>
                      <w:highlight w:val="none"/>
                      <w:shd w:val="clear" w:color="auto" w:fill="FFFFFF"/>
                      <w:lang w:val="en-US" w:eastAsia="zh-CN"/>
                    </w:rPr>
                    <w:t>3</w:t>
                  </w:r>
                  <w:r>
                    <w:rPr>
                      <w:rFonts w:hint="eastAsia" w:ascii="Times New Roman" w:hAnsi="Times New Roman" w:eastAsia="宋体" w:cs="Times New Roman"/>
                      <w:color w:val="0000C7"/>
                      <w:highlight w:val="none"/>
                      <w:shd w:val="clear" w:color="auto" w:fill="FFFFFF"/>
                    </w:rPr>
                    <w:t>-</w:t>
                  </w:r>
                  <w:r>
                    <w:rPr>
                      <w:rFonts w:hint="eastAsia" w:hAnsi="Times New Roman" w:eastAsia="宋体" w:cs="Times New Roman"/>
                      <w:color w:val="0000C7"/>
                      <w:highlight w:val="none"/>
                      <w:shd w:val="clear" w:color="auto" w:fill="FFFFFF"/>
                      <w:lang w:val="en-US" w:eastAsia="zh-CN"/>
                    </w:rPr>
                    <w:t>2</w:t>
                  </w:r>
                  <w:r>
                    <w:rPr>
                      <w:rFonts w:hint="default" w:ascii="Times New Roman" w:hAnsi="Times New Roman" w:eastAsia="宋体" w:cs="Times New Roman"/>
                      <w:color w:val="0000C7"/>
                      <w:highlight w:val="none"/>
                      <w:shd w:val="clear" w:color="auto" w:fill="FFFFFF"/>
                      <w:lang w:val="en-US" w:eastAsia="zh-CN"/>
                    </w:rPr>
                    <w:t>：不涉及</w:t>
                  </w:r>
                  <w:r>
                    <w:rPr>
                      <w:rFonts w:hint="eastAsia" w:ascii="Times New Roman" w:hAnsi="Times New Roman" w:eastAsia="宋体" w:cs="Times New Roman"/>
                      <w:color w:val="0000C7"/>
                      <w:highlight w:val="none"/>
                      <w:shd w:val="clear" w:color="auto" w:fill="FFFFFF"/>
                    </w:rPr>
                    <w:t>2.</w:t>
                  </w:r>
                  <w:r>
                    <w:rPr>
                      <w:rFonts w:hint="eastAsia" w:hAnsi="Times New Roman" w:eastAsia="宋体" w:cs="Times New Roman"/>
                      <w:color w:val="0000C7"/>
                      <w:highlight w:val="none"/>
                      <w:shd w:val="clear" w:color="auto" w:fill="FFFFFF"/>
                      <w:lang w:val="en-US" w:eastAsia="zh-CN"/>
                    </w:rPr>
                    <w:t>4</w:t>
                  </w:r>
                  <w:r>
                    <w:rPr>
                      <w:rFonts w:hint="eastAsia" w:ascii="Times New Roman" w:hAnsi="Times New Roman" w:eastAsia="宋体" w:cs="Times New Roman"/>
                      <w:color w:val="0000C7"/>
                      <w:highlight w:val="none"/>
                      <w:shd w:val="clear" w:color="auto" w:fill="FFFFFF"/>
                    </w:rPr>
                    <w:t>-1</w:t>
                  </w:r>
                  <w:r>
                    <w:rPr>
                      <w:rFonts w:hint="default" w:ascii="Times New Roman" w:hAnsi="Times New Roman" w:eastAsia="宋体" w:cs="Times New Roman"/>
                      <w:color w:val="0000C7"/>
                      <w:highlight w:val="none"/>
                      <w:shd w:val="clear" w:color="auto" w:fill="FFFFFF"/>
                      <w:lang w:val="en-US" w:eastAsia="zh-CN"/>
                    </w:rPr>
                    <w:t>：不涉及</w:t>
                  </w:r>
                  <w:r>
                    <w:rPr>
                      <w:rFonts w:hint="eastAsia" w:ascii="Times New Roman" w:hAnsi="Times New Roman" w:eastAsia="宋体" w:cs="Times New Roman"/>
                      <w:color w:val="0000C7"/>
                      <w:highlight w:val="none"/>
                      <w:shd w:val="clear" w:color="auto" w:fill="FFFFFF"/>
                    </w:rPr>
                    <w:t>2.</w:t>
                  </w:r>
                  <w:r>
                    <w:rPr>
                      <w:rFonts w:hint="eastAsia" w:hAnsi="Times New Roman" w:eastAsia="宋体" w:cs="Times New Roman"/>
                      <w:color w:val="0000C7"/>
                      <w:highlight w:val="none"/>
                      <w:shd w:val="clear" w:color="auto" w:fill="FFFFFF"/>
                      <w:lang w:val="en-US" w:eastAsia="zh-CN"/>
                    </w:rPr>
                    <w:t>4</w:t>
                  </w:r>
                  <w:r>
                    <w:rPr>
                      <w:rFonts w:hint="eastAsia" w:ascii="Times New Roman" w:hAnsi="Times New Roman" w:eastAsia="宋体" w:cs="Times New Roman"/>
                      <w:color w:val="0000C7"/>
                      <w:highlight w:val="none"/>
                      <w:shd w:val="clear" w:color="auto" w:fill="FFFFFF"/>
                    </w:rPr>
                    <w:t>-</w:t>
                  </w:r>
                  <w:r>
                    <w:rPr>
                      <w:rFonts w:hint="eastAsia" w:hAnsi="Times New Roman" w:eastAsia="宋体" w:cs="Times New Roman"/>
                      <w:color w:val="0000C7"/>
                      <w:highlight w:val="none"/>
                      <w:shd w:val="clear" w:color="auto" w:fill="FFFFFF"/>
                      <w:lang w:val="en-US" w:eastAsia="zh-CN"/>
                    </w:rPr>
                    <w:t>2</w:t>
                  </w:r>
                  <w:r>
                    <w:rPr>
                      <w:rFonts w:hint="default" w:ascii="Times New Roman" w:hAnsi="Times New Roman" w:eastAsia="宋体" w:cs="Times New Roman"/>
                      <w:color w:val="0000C7"/>
                      <w:highlight w:val="none"/>
                      <w:shd w:val="clear" w:color="auto" w:fill="FFFFFF"/>
                      <w:lang w:val="en-US" w:eastAsia="zh-CN"/>
                    </w:rPr>
                    <w:t>：不涉及</w:t>
                  </w:r>
                  <w:r>
                    <w:rPr>
                      <w:rFonts w:hint="eastAsia" w:ascii="Times New Roman" w:hAnsi="Times New Roman" w:eastAsia="宋体" w:cs="Times New Roman"/>
                      <w:color w:val="0000C7"/>
                      <w:highlight w:val="none"/>
                      <w:shd w:val="clear" w:color="auto" w:fill="FFFFFF"/>
                    </w:rPr>
                    <w:t>2.</w:t>
                  </w:r>
                  <w:r>
                    <w:rPr>
                      <w:rFonts w:hint="eastAsia" w:hAnsi="Times New Roman" w:eastAsia="宋体" w:cs="Times New Roman"/>
                      <w:color w:val="0000C7"/>
                      <w:highlight w:val="none"/>
                      <w:shd w:val="clear" w:color="auto" w:fill="FFFFFF"/>
                      <w:lang w:val="en-US" w:eastAsia="zh-CN"/>
                    </w:rPr>
                    <w:t>4</w:t>
                  </w:r>
                  <w:r>
                    <w:rPr>
                      <w:rFonts w:hint="eastAsia" w:ascii="Times New Roman" w:hAnsi="Times New Roman" w:eastAsia="宋体" w:cs="Times New Roman"/>
                      <w:color w:val="0000C7"/>
                      <w:highlight w:val="none"/>
                      <w:shd w:val="clear" w:color="auto" w:fill="FFFFFF"/>
                    </w:rPr>
                    <w:t>-</w:t>
                  </w:r>
                  <w:r>
                    <w:rPr>
                      <w:rFonts w:hint="eastAsia" w:hAnsi="Times New Roman" w:eastAsia="宋体" w:cs="Times New Roman"/>
                      <w:color w:val="0000C7"/>
                      <w:highlight w:val="none"/>
                      <w:shd w:val="clear" w:color="auto" w:fill="FFFFFF"/>
                      <w:lang w:val="en-US" w:eastAsia="zh-CN"/>
                    </w:rPr>
                    <w:t>3</w:t>
                  </w:r>
                  <w:r>
                    <w:rPr>
                      <w:rFonts w:hint="default" w:ascii="Times New Roman" w:hAnsi="Times New Roman" w:eastAsia="宋体" w:cs="Times New Roman"/>
                      <w:color w:val="0000C7"/>
                      <w:highlight w:val="none"/>
                      <w:shd w:val="clear" w:color="auto" w:fill="FFFFFF"/>
                      <w:lang w:val="en-US" w:eastAsia="zh-CN"/>
                    </w:rPr>
                    <w:t>：不涉及</w:t>
                  </w:r>
                </w:p>
                <w:p w14:paraId="65B9EB4C">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0000C7"/>
                      <w:highlight w:val="none"/>
                      <w:shd w:val="clear" w:color="auto" w:fill="FFFFFF"/>
                      <w:lang w:val="en-US" w:eastAsia="zh-CN"/>
                    </w:rPr>
                  </w:pPr>
                  <w:r>
                    <w:rPr>
                      <w:rFonts w:hint="eastAsia" w:ascii="Times New Roman" w:hAnsi="Times New Roman" w:eastAsia="宋体" w:cs="Times New Roman"/>
                      <w:color w:val="0000C7"/>
                      <w:highlight w:val="none"/>
                      <w:shd w:val="clear" w:color="auto" w:fill="FFFFFF"/>
                    </w:rPr>
                    <w:t>2.</w:t>
                  </w:r>
                  <w:r>
                    <w:rPr>
                      <w:rFonts w:hint="eastAsia" w:hAnsi="Times New Roman" w:eastAsia="宋体" w:cs="Times New Roman"/>
                      <w:color w:val="0000C7"/>
                      <w:highlight w:val="none"/>
                      <w:shd w:val="clear" w:color="auto" w:fill="FFFFFF"/>
                      <w:lang w:val="en-US" w:eastAsia="zh-CN"/>
                    </w:rPr>
                    <w:t>5</w:t>
                  </w:r>
                  <w:r>
                    <w:rPr>
                      <w:rFonts w:hint="eastAsia" w:ascii="Times New Roman" w:hAnsi="Times New Roman" w:eastAsia="宋体" w:cs="Times New Roman"/>
                      <w:color w:val="0000C7"/>
                      <w:highlight w:val="none"/>
                      <w:shd w:val="clear" w:color="auto" w:fill="FFFFFF"/>
                    </w:rPr>
                    <w:t>-</w:t>
                  </w:r>
                  <w:r>
                    <w:rPr>
                      <w:rFonts w:hint="eastAsia" w:hAnsi="Times New Roman" w:eastAsia="宋体" w:cs="Times New Roman"/>
                      <w:color w:val="0000C7"/>
                      <w:highlight w:val="none"/>
                      <w:shd w:val="clear" w:color="auto" w:fill="FFFFFF"/>
                      <w:lang w:val="en-US" w:eastAsia="zh-CN"/>
                    </w:rPr>
                    <w:t>1</w:t>
                  </w:r>
                  <w:r>
                    <w:rPr>
                      <w:rFonts w:hint="default" w:ascii="Times New Roman" w:hAnsi="Times New Roman" w:eastAsia="宋体" w:cs="Times New Roman"/>
                      <w:color w:val="0000C7"/>
                      <w:highlight w:val="none"/>
                      <w:shd w:val="clear" w:color="auto" w:fill="FFFFFF"/>
                      <w:lang w:val="en-US" w:eastAsia="zh-CN"/>
                    </w:rPr>
                    <w:t>：不涉及</w:t>
                  </w:r>
                  <w:r>
                    <w:rPr>
                      <w:rFonts w:hint="eastAsia" w:ascii="Times New Roman" w:hAnsi="Times New Roman" w:eastAsia="宋体" w:cs="Times New Roman"/>
                      <w:color w:val="0000C7"/>
                      <w:highlight w:val="none"/>
                      <w:shd w:val="clear" w:color="auto" w:fill="FFFFFF"/>
                    </w:rPr>
                    <w:t>2.</w:t>
                  </w:r>
                  <w:r>
                    <w:rPr>
                      <w:rFonts w:hint="eastAsia" w:hAnsi="Times New Roman" w:eastAsia="宋体" w:cs="Times New Roman"/>
                      <w:color w:val="0000C7"/>
                      <w:highlight w:val="none"/>
                      <w:shd w:val="clear" w:color="auto" w:fill="FFFFFF"/>
                      <w:lang w:val="en-US" w:eastAsia="zh-CN"/>
                    </w:rPr>
                    <w:t>5</w:t>
                  </w:r>
                  <w:r>
                    <w:rPr>
                      <w:rFonts w:hint="eastAsia" w:ascii="Times New Roman" w:hAnsi="Times New Roman" w:eastAsia="宋体" w:cs="Times New Roman"/>
                      <w:color w:val="0000C7"/>
                      <w:highlight w:val="none"/>
                      <w:shd w:val="clear" w:color="auto" w:fill="FFFFFF"/>
                    </w:rPr>
                    <w:t>-</w:t>
                  </w:r>
                  <w:r>
                    <w:rPr>
                      <w:rFonts w:hint="eastAsia" w:hAnsi="Times New Roman" w:eastAsia="宋体" w:cs="Times New Roman"/>
                      <w:color w:val="0000C7"/>
                      <w:highlight w:val="none"/>
                      <w:shd w:val="clear" w:color="auto" w:fill="FFFFFF"/>
                      <w:lang w:val="en-US" w:eastAsia="zh-CN"/>
                    </w:rPr>
                    <w:t>2</w:t>
                  </w:r>
                  <w:r>
                    <w:rPr>
                      <w:rFonts w:hint="default" w:ascii="Times New Roman" w:hAnsi="Times New Roman" w:eastAsia="宋体" w:cs="Times New Roman"/>
                      <w:color w:val="0000C7"/>
                      <w:highlight w:val="none"/>
                      <w:shd w:val="clear" w:color="auto" w:fill="FFFFFF"/>
                      <w:lang w:val="en-US" w:eastAsia="zh-CN"/>
                    </w:rPr>
                    <w:t>：不涉及</w:t>
                  </w:r>
                  <w:r>
                    <w:rPr>
                      <w:rFonts w:hint="eastAsia" w:ascii="Times New Roman" w:hAnsi="Times New Roman" w:eastAsia="宋体" w:cs="Times New Roman"/>
                      <w:color w:val="0000C7"/>
                      <w:highlight w:val="none"/>
                      <w:shd w:val="clear" w:color="auto" w:fill="FFFFFF"/>
                    </w:rPr>
                    <w:t>2.</w:t>
                  </w:r>
                  <w:r>
                    <w:rPr>
                      <w:rFonts w:hint="eastAsia" w:hAnsi="Times New Roman" w:eastAsia="宋体" w:cs="Times New Roman"/>
                      <w:color w:val="0000C7"/>
                      <w:highlight w:val="none"/>
                      <w:shd w:val="clear" w:color="auto" w:fill="FFFFFF"/>
                      <w:lang w:val="en-US" w:eastAsia="zh-CN"/>
                    </w:rPr>
                    <w:t>6</w:t>
                  </w:r>
                  <w:r>
                    <w:rPr>
                      <w:rFonts w:hint="eastAsia" w:ascii="Times New Roman" w:hAnsi="Times New Roman" w:eastAsia="宋体" w:cs="Times New Roman"/>
                      <w:color w:val="0000C7"/>
                      <w:highlight w:val="none"/>
                      <w:shd w:val="clear" w:color="auto" w:fill="FFFFFF"/>
                    </w:rPr>
                    <w:t>-</w:t>
                  </w:r>
                  <w:r>
                    <w:rPr>
                      <w:rFonts w:hint="eastAsia" w:hAnsi="Times New Roman" w:eastAsia="宋体" w:cs="Times New Roman"/>
                      <w:color w:val="0000C7"/>
                      <w:highlight w:val="none"/>
                      <w:shd w:val="clear" w:color="auto" w:fill="FFFFFF"/>
                      <w:lang w:val="en-US" w:eastAsia="zh-CN"/>
                    </w:rPr>
                    <w:t>1</w:t>
                  </w:r>
                  <w:r>
                    <w:rPr>
                      <w:rFonts w:hint="default" w:ascii="Times New Roman" w:hAnsi="Times New Roman" w:eastAsia="宋体" w:cs="Times New Roman"/>
                      <w:color w:val="0000C7"/>
                      <w:highlight w:val="none"/>
                      <w:shd w:val="clear" w:color="auto" w:fill="FFFFFF"/>
                      <w:lang w:val="en-US" w:eastAsia="zh-CN"/>
                    </w:rPr>
                    <w:t>：不涉及</w:t>
                  </w:r>
                </w:p>
              </w:tc>
              <w:tc>
                <w:tcPr>
                  <w:tcW w:w="533" w:type="dxa"/>
                  <w:vAlign w:val="center"/>
                </w:tcPr>
                <w:p w14:paraId="2996C9F0">
                  <w:pPr>
                    <w:pStyle w:val="111"/>
                    <w:keepNext w:val="0"/>
                    <w:keepLines w:val="0"/>
                    <w:suppressLineNumbers w:val="0"/>
                    <w:spacing w:before="0" w:beforeAutospacing="0" w:after="0" w:afterAutospacing="0"/>
                    <w:ind w:left="0" w:right="0"/>
                    <w:rPr>
                      <w:rFonts w:hint="default" w:ascii="Times New Roman" w:hAnsi="Times New Roman" w:eastAsia="宋体" w:cs="Times New Roman"/>
                      <w:color w:val="0000C7"/>
                      <w:highlight w:val="none"/>
                      <w:shd w:val="clear" w:color="auto" w:fill="FFFFFF"/>
                    </w:rPr>
                  </w:pPr>
                  <w:r>
                    <w:rPr>
                      <w:rFonts w:hint="default" w:ascii="Times New Roman" w:hAnsi="Times New Roman" w:eastAsia="宋体" w:cs="Times New Roman"/>
                      <w:color w:val="0000C7"/>
                      <w:highlight w:val="none"/>
                      <w:shd w:val="clear" w:color="auto" w:fill="FFFFFF"/>
                    </w:rPr>
                    <w:t>符合</w:t>
                  </w:r>
                </w:p>
              </w:tc>
            </w:tr>
          </w:tbl>
          <w:p w14:paraId="6894F082">
            <w:pPr>
              <w:pStyle w:val="99"/>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0000C7"/>
                <w:kern w:val="2"/>
                <w:sz w:val="24"/>
                <w:szCs w:val="24"/>
                <w:highlight w:val="none"/>
                <w:lang w:val="en-US" w:eastAsia="zh-CN" w:bidi="ar-SA"/>
              </w:rPr>
            </w:pPr>
          </w:p>
          <w:p w14:paraId="1D09A0F1">
            <w:pPr>
              <w:pStyle w:val="99"/>
              <w:keepNext w:val="0"/>
              <w:keepLines w:val="0"/>
              <w:suppressLineNumbers w:val="0"/>
              <w:spacing w:before="0" w:beforeAutospacing="0" w:after="0" w:afterAutospacing="0" w:line="360" w:lineRule="auto"/>
              <w:ind w:left="0" w:right="0" w:firstLine="480"/>
              <w:rPr>
                <w:rFonts w:hint="eastAsia" w:ascii="Times New Roman" w:hAnsi="Times New Roman" w:cs="Times New Roman"/>
                <w:b/>
                <w:color w:val="auto"/>
                <w:kern w:val="2"/>
                <w:sz w:val="24"/>
                <w:szCs w:val="24"/>
                <w:highlight w:val="none"/>
                <w:lang w:val="en-US" w:eastAsia="zh-CN" w:bidi="ar-SA"/>
              </w:rPr>
            </w:pPr>
            <w:r>
              <w:rPr>
                <w:rFonts w:hint="default" w:ascii="Times New Roman" w:hAnsi="Times New Roman" w:eastAsia="宋体" w:cs="Times New Roman"/>
                <w:color w:val="0000C7"/>
                <w:kern w:val="2"/>
                <w:sz w:val="24"/>
                <w:szCs w:val="24"/>
                <w:highlight w:val="none"/>
                <w:lang w:val="en-US" w:eastAsia="zh-CN" w:bidi="ar-SA"/>
              </w:rPr>
              <w:t>从上表可以看出，</w:t>
            </w:r>
            <w:r>
              <w:rPr>
                <w:rFonts w:hint="default" w:ascii="Times New Roman" w:hAnsi="Times New Roman" w:cs="Times New Roman"/>
                <w:color w:val="0000C7"/>
                <w:kern w:val="2"/>
                <w:sz w:val="24"/>
                <w:szCs w:val="24"/>
                <w:highlight w:val="none"/>
                <w:lang w:val="en-US" w:eastAsia="zh-CN" w:bidi="ar-SA"/>
              </w:rPr>
              <w:t>本项目</w:t>
            </w:r>
            <w:r>
              <w:rPr>
                <w:rFonts w:hint="default" w:ascii="Times New Roman" w:hAnsi="Times New Roman" w:eastAsia="宋体" w:cs="Times New Roman"/>
                <w:color w:val="0000C7"/>
                <w:kern w:val="2"/>
                <w:sz w:val="24"/>
                <w:szCs w:val="24"/>
                <w:highlight w:val="none"/>
                <w:lang w:val="en-US" w:eastAsia="zh-CN" w:bidi="ar-SA"/>
              </w:rPr>
              <w:t>建设</w:t>
            </w:r>
            <w:r>
              <w:rPr>
                <w:rFonts w:hint="default" w:ascii="Times New Roman" w:hAnsi="Times New Roman" w:cs="Times New Roman"/>
                <w:color w:val="0000C7"/>
                <w:kern w:val="2"/>
                <w:sz w:val="24"/>
                <w:szCs w:val="24"/>
                <w:highlight w:val="none"/>
                <w:lang w:val="en-US" w:eastAsia="zh-CN" w:bidi="ar-SA"/>
              </w:rPr>
              <w:t>符合</w:t>
            </w:r>
            <w:r>
              <w:rPr>
                <w:rFonts w:hint="default" w:ascii="Times New Roman" w:hAnsi="Times New Roman" w:eastAsia="宋体" w:cs="Times New Roman"/>
                <w:color w:val="0000C7"/>
                <w:kern w:val="2"/>
                <w:sz w:val="24"/>
                <w:szCs w:val="24"/>
                <w:highlight w:val="none"/>
                <w:lang w:val="en-US" w:eastAsia="zh-CN" w:bidi="ar-SA"/>
              </w:rPr>
              <w:t>《喀什地区</w:t>
            </w:r>
            <w:r>
              <w:rPr>
                <w:rFonts w:hint="eastAsia" w:ascii="Times New Roman" w:hAnsi="Times New Roman" w:eastAsia="宋体" w:cs="Times New Roman"/>
                <w:color w:val="0000C7"/>
                <w:kern w:val="2"/>
                <w:sz w:val="24"/>
                <w:szCs w:val="24"/>
                <w:highlight w:val="none"/>
                <w:lang w:val="en-US" w:eastAsia="zh-CN" w:bidi="ar-SA"/>
              </w:rPr>
              <w:t>“三线一单”</w:t>
            </w:r>
            <w:r>
              <w:rPr>
                <w:rFonts w:hint="default" w:ascii="Times New Roman" w:hAnsi="Times New Roman" w:eastAsia="宋体" w:cs="Times New Roman"/>
                <w:color w:val="0000C7"/>
                <w:kern w:val="2"/>
                <w:sz w:val="24"/>
                <w:szCs w:val="24"/>
                <w:highlight w:val="none"/>
                <w:lang w:val="en-US" w:eastAsia="zh-CN" w:bidi="ar-SA"/>
              </w:rPr>
              <w:t>生态环境分区管控方案》中生态环境分区管控要求。</w:t>
            </w:r>
          </w:p>
          <w:p w14:paraId="73B1A5FA">
            <w:pPr>
              <w:pStyle w:val="99"/>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color w:val="auto"/>
                <w:kern w:val="2"/>
                <w:sz w:val="24"/>
                <w:szCs w:val="24"/>
                <w:highlight w:val="none"/>
                <w:lang w:val="en-US" w:eastAsia="zh-CN" w:bidi="ar-SA"/>
              </w:rPr>
            </w:pPr>
            <w:r>
              <w:rPr>
                <w:rFonts w:hint="eastAsia" w:ascii="Times New Roman" w:hAnsi="Times New Roman" w:cs="Times New Roman"/>
                <w:b/>
                <w:color w:val="auto"/>
                <w:kern w:val="2"/>
                <w:sz w:val="24"/>
                <w:szCs w:val="24"/>
                <w:highlight w:val="none"/>
                <w:lang w:val="en-US" w:eastAsia="zh-CN" w:bidi="ar-SA"/>
              </w:rPr>
              <w:t>6</w:t>
            </w:r>
            <w:r>
              <w:rPr>
                <w:rFonts w:hint="default" w:ascii="Times New Roman" w:hAnsi="Times New Roman" w:eastAsia="宋体" w:cs="Times New Roman"/>
                <w:b/>
                <w:color w:val="auto"/>
                <w:kern w:val="2"/>
                <w:sz w:val="24"/>
                <w:szCs w:val="24"/>
                <w:highlight w:val="none"/>
                <w:lang w:val="en-US" w:eastAsia="zh-CN" w:bidi="ar-SA"/>
              </w:rPr>
              <w:t>与《新疆生态环境保护“十四五”规划》符合性分析</w:t>
            </w:r>
          </w:p>
          <w:p w14:paraId="221CD266">
            <w:pPr>
              <w:pStyle w:val="32"/>
              <w:spacing w:after="0" w:line="360" w:lineRule="auto"/>
              <w:ind w:left="0" w:leftChars="0"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《新疆生态环境保护“十四五”规划》中：</w:t>
            </w:r>
          </w:p>
          <w:p w14:paraId="04C9DF76">
            <w:pPr>
              <w:pStyle w:val="32"/>
              <w:spacing w:after="0" w:line="360" w:lineRule="auto"/>
              <w:ind w:left="0" w:leftChars="0"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第一节大力发展节水农业</w:t>
            </w:r>
          </w:p>
          <w:p w14:paraId="2DB6454C">
            <w:pPr>
              <w:pStyle w:val="32"/>
              <w:spacing w:after="0" w:line="360" w:lineRule="auto"/>
              <w:ind w:left="0" w:leftChars="0"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因地制宜调整农业结构和种植结构，改进耕作方式，减少高耗水作物种植规模，发展节水农业。推进以水定地、量水生产、适水种植，严控灌溉规模，稳妥有序推进退地减水工作。加强工程节水，推进耕地水利设施提档升级，加快大中型灌区续建配套与节水改造，在有条件的地方开展重点灌区现代化改造，发展农业高效节水灌溉，提高用水效率和效益。持续推进高标准耕地建设。</w:t>
            </w:r>
          </w:p>
          <w:p w14:paraId="794531ED">
            <w:pPr>
              <w:pStyle w:val="32"/>
              <w:spacing w:after="0" w:line="360" w:lineRule="auto"/>
              <w:ind w:left="0" w:leftChars="0"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本项目防渗渠道建设符合大力发展节水农业要求，符合《新疆生态环境保护“十四五”规划》。</w:t>
            </w:r>
          </w:p>
          <w:p w14:paraId="6F096B84">
            <w:pPr>
              <w:pStyle w:val="99"/>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color w:val="auto"/>
                <w:kern w:val="2"/>
                <w:sz w:val="24"/>
                <w:szCs w:val="24"/>
                <w:highlight w:val="none"/>
                <w:lang w:val="en-US" w:eastAsia="zh-CN" w:bidi="ar-SA"/>
              </w:rPr>
            </w:pPr>
            <w:r>
              <w:rPr>
                <w:rFonts w:hint="eastAsia" w:ascii="Times New Roman" w:hAnsi="Times New Roman" w:cs="Times New Roman"/>
                <w:b/>
                <w:color w:val="auto"/>
                <w:kern w:val="2"/>
                <w:sz w:val="24"/>
                <w:szCs w:val="24"/>
                <w:highlight w:val="none"/>
                <w:lang w:val="en-US" w:eastAsia="zh-CN" w:bidi="ar-SA"/>
              </w:rPr>
              <w:t>7</w:t>
            </w:r>
            <w:r>
              <w:rPr>
                <w:rFonts w:hint="default" w:ascii="Times New Roman" w:hAnsi="Times New Roman" w:eastAsia="宋体" w:cs="Times New Roman"/>
                <w:b/>
                <w:color w:val="auto"/>
                <w:kern w:val="2"/>
                <w:sz w:val="24"/>
                <w:szCs w:val="24"/>
                <w:highlight w:val="none"/>
                <w:lang w:val="en-US" w:eastAsia="zh-CN" w:bidi="ar-SA"/>
              </w:rPr>
              <w:t>与《喀什地区生态环境保护“十四五”规划》符合性分析</w:t>
            </w:r>
          </w:p>
          <w:p w14:paraId="25924904">
            <w:pPr>
              <w:pStyle w:val="32"/>
              <w:spacing w:after="0" w:line="360" w:lineRule="auto"/>
              <w:ind w:left="0" w:leftChars="0"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《喀什地区生态环境保护“十四五”规划》中：</w:t>
            </w:r>
          </w:p>
          <w:p w14:paraId="41573176">
            <w:pPr>
              <w:pStyle w:val="32"/>
              <w:spacing w:after="0" w:line="360" w:lineRule="auto"/>
              <w:ind w:left="0" w:leftChars="0"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因地制宜调整农业结构和种植结构，改进耕作方式，减少高耗水作物种植规模，发展节水农业。推进以水定地、量水生产、适水种植，严控灌溉规模，稳妥有序推进退地减水工作。加强工程节水，推进耕地水利设施提档升级，加快大中型灌区续建配套与节水改造，在有条件的地方开展重点灌区现代化改造，发展农业高效节水灌溉，提高用水效率和效益。持续推进高标准耕地建设。</w:t>
            </w:r>
          </w:p>
          <w:p w14:paraId="3330D2CC">
            <w:pPr>
              <w:pStyle w:val="32"/>
              <w:spacing w:after="0" w:line="360" w:lineRule="auto"/>
              <w:ind w:left="0" w:leftChars="0"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本项目防渗渠道建设符合大力发展节水农业要求，符合《喀什地区生态环境保护“十四五”规划》。</w:t>
            </w:r>
          </w:p>
          <w:p w14:paraId="47ACDEA6">
            <w:pPr>
              <w:pStyle w:val="99"/>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color w:val="auto"/>
                <w:kern w:val="2"/>
                <w:sz w:val="24"/>
                <w:szCs w:val="24"/>
                <w:highlight w:val="none"/>
                <w:lang w:val="en-US" w:eastAsia="zh-CN" w:bidi="ar-SA"/>
              </w:rPr>
            </w:pPr>
            <w:r>
              <w:rPr>
                <w:rFonts w:hint="eastAsia" w:ascii="Times New Roman" w:hAnsi="Times New Roman" w:cs="Times New Roman"/>
                <w:b/>
                <w:color w:val="auto"/>
                <w:kern w:val="2"/>
                <w:sz w:val="24"/>
                <w:szCs w:val="24"/>
                <w:highlight w:val="none"/>
                <w:lang w:val="en-US" w:eastAsia="zh-CN" w:bidi="ar-SA"/>
              </w:rPr>
              <w:t>8</w:t>
            </w:r>
            <w:r>
              <w:rPr>
                <w:rFonts w:hint="default" w:ascii="Times New Roman" w:hAnsi="Times New Roman" w:eastAsia="宋体" w:cs="Times New Roman"/>
                <w:b/>
                <w:color w:val="auto"/>
                <w:kern w:val="2"/>
                <w:sz w:val="24"/>
                <w:szCs w:val="24"/>
                <w:highlight w:val="none"/>
                <w:lang w:val="en-US" w:eastAsia="zh-CN" w:bidi="ar-SA"/>
              </w:rPr>
              <w:t>与《喀什地区国民经济和社会发展“十四五”规划及2035年远景目标》符合性分析</w:t>
            </w:r>
          </w:p>
          <w:p w14:paraId="655A526E">
            <w:pPr>
              <w:pStyle w:val="32"/>
              <w:spacing w:after="0" w:line="360" w:lineRule="auto"/>
              <w:ind w:left="0" w:leftChars="0"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根据《喀什地区国民经济和社会发展“十四五”规划及2035年远景目标》：</w:t>
            </w:r>
          </w:p>
          <w:p w14:paraId="5B27BA4A">
            <w:pPr>
              <w:pStyle w:val="32"/>
              <w:spacing w:after="0" w:line="360" w:lineRule="auto"/>
              <w:ind w:left="0" w:leftChars="0"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第二节  建设现代化水利基础设施</w:t>
            </w:r>
          </w:p>
          <w:p w14:paraId="0D359D4C">
            <w:pPr>
              <w:pStyle w:val="32"/>
              <w:spacing w:after="0" w:line="360" w:lineRule="auto"/>
              <w:ind w:left="0" w:leftChars="0"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紧贴经济社会发展用水需求，加快建设一批水利枢纽工程和大中型灌区配套与节水工程，构建以蓄水为基础、节水为关键、调水为补充的现代化水利综合保障体系。加快水利枢纽和骨干工程建设，融入库山河库尔干水利工程建设，推进大中型山区水库建设，有序推进小型水库建设，提高地区水资源调控能力。推动水源地保护规范化建设，建立完善城乡安全饮水保障体系。推进塔里木河综合治理二期叶尔羌河水利工程，加快大中型灌区现代化改造任务，加强渠系改造。加快叶尔羌河流域、喀什河流域防洪治理工程建设，推进抗旱工程建设，实施西克尔水库除险加固工程和大中型病险水闸加固工程。加大中小河流治理、山洪地质灾害防治、易灾地区生态环境综合治理，推进农村水系综合整治、水系连通及生态廊道建设。</w:t>
            </w:r>
          </w:p>
          <w:p w14:paraId="3C85702B">
            <w:pPr>
              <w:pStyle w:val="32"/>
              <w:spacing w:after="0" w:line="360" w:lineRule="auto"/>
              <w:ind w:left="0" w:leftChars="0"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节水工程：大型灌区续建配套与现代化改造工程344项，新增干渠防渗改造长度59</w:t>
            </w:r>
            <w:r>
              <w:rPr>
                <w:rFonts w:hint="eastAsia" w:ascii="Times New Roman" w:hAnsi="Times New Roman" w:cs="Times New Roman"/>
                <w:color w:val="auto"/>
                <w:kern w:val="2"/>
                <w:sz w:val="24"/>
                <w:szCs w:val="24"/>
                <w:highlight w:val="none"/>
                <w:lang w:val="en-US" w:eastAsia="zh-CN" w:bidi="ar-SA"/>
              </w:rPr>
              <w:t>6km</w:t>
            </w:r>
            <w:r>
              <w:rPr>
                <w:rFonts w:hint="default" w:ascii="Times New Roman" w:hAnsi="Times New Roman" w:eastAsia="宋体" w:cs="Times New Roman"/>
                <w:color w:val="auto"/>
                <w:kern w:val="2"/>
                <w:sz w:val="24"/>
                <w:szCs w:val="24"/>
                <w:highlight w:val="none"/>
                <w:lang w:val="en-US" w:eastAsia="zh-CN" w:bidi="ar-SA"/>
              </w:rPr>
              <w:t>、支渠防渗改造长度1707km；中型灌区续建配套与现代化改造工程9项，新增干渠防渗改造长度63km、支渠防渗改造长度557km。</w:t>
            </w:r>
          </w:p>
          <w:p w14:paraId="6B3DEE16">
            <w:pPr>
              <w:pStyle w:val="32"/>
              <w:spacing w:after="0" w:line="360" w:lineRule="auto"/>
              <w:ind w:left="0" w:leftChars="0"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本项目属于渠道防渗改造工程，属于节水工程，因此符合《喀什地区国民经济和社会发展“十四五”规划及2035年远景目标》要求。</w:t>
            </w:r>
          </w:p>
          <w:p w14:paraId="61FC3C1D">
            <w:pPr>
              <w:spacing w:line="360" w:lineRule="auto"/>
              <w:ind w:firstLine="482" w:firstLineChars="200"/>
              <w:jc w:val="left"/>
              <w:rPr>
                <w:rFonts w:hint="default" w:ascii="Times New Roman" w:hAnsi="Times New Roman" w:eastAsia="宋体" w:cs="Times New Roman"/>
                <w:color w:val="auto"/>
                <w:spacing w:val="-4"/>
                <w:sz w:val="24"/>
                <w:lang w:val="en-US" w:eastAsia="zh-CN"/>
              </w:rPr>
            </w:pPr>
            <w:r>
              <w:rPr>
                <w:rFonts w:hint="eastAsia" w:ascii="Times New Roman" w:hAnsi="Times New Roman" w:cs="Times New Roman"/>
                <w:b/>
                <w:color w:val="auto"/>
                <w:kern w:val="2"/>
                <w:sz w:val="24"/>
                <w:szCs w:val="24"/>
                <w:highlight w:val="none"/>
                <w:lang w:val="en-US" w:eastAsia="zh-CN" w:bidi="ar-SA"/>
              </w:rPr>
              <w:t>9</w:t>
            </w:r>
            <w:r>
              <w:rPr>
                <w:rFonts w:hint="default" w:ascii="Times New Roman" w:hAnsi="Times New Roman" w:eastAsia="宋体" w:cs="Times New Roman"/>
                <w:b/>
                <w:color w:val="auto"/>
                <w:kern w:val="2"/>
                <w:sz w:val="24"/>
                <w:szCs w:val="24"/>
                <w:highlight w:val="none"/>
                <w:lang w:val="en-US" w:eastAsia="zh-CN" w:bidi="ar-SA"/>
              </w:rPr>
              <w:t>、与《莎车县国民经济和社会发展第十四个五年规划和2035年远景目标纲要》符合性分析</w:t>
            </w:r>
          </w:p>
          <w:p w14:paraId="32A1277C">
            <w:pPr>
              <w:pStyle w:val="32"/>
              <w:spacing w:after="0" w:line="360" w:lineRule="auto"/>
              <w:ind w:left="0" w:leftChars="0"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根据《莎车县国民经济和社会发展第十四个五年规划和2035年远景目标纲要》：</w:t>
            </w:r>
          </w:p>
          <w:p w14:paraId="472D8A46">
            <w:pPr>
              <w:pStyle w:val="32"/>
              <w:spacing w:after="0" w:line="360" w:lineRule="auto"/>
              <w:ind w:left="0" w:leftChars="0"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农业基础设施。加快高标准农田、农田水利、土地整理等基础设施建设，推广化肥减量增效技术，加强70万亩冬小麦水肥管理，改善农业生产条件；以田间节水和工程节水为重点，推广高效节水技术，推进灌排渠系改造，改善农业灌溉条件。推动农业机械化，加快高端、特色农机装备推广应用。到2025年，高标准农田面积达到35万亩。</w:t>
            </w:r>
          </w:p>
          <w:p w14:paraId="498DE611">
            <w:pPr>
              <w:pStyle w:val="32"/>
              <w:spacing w:after="0" w:line="360" w:lineRule="auto"/>
              <w:ind w:left="0" w:leftChars="0"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实施高效节水工程。推进塔河综合治理二期叶河水利工程，加快大中型灌区现代化改造、渠系改造。推进叶河流域大型灌区、中型灌区续建配套和现代化改造，加快灌区干渠支渠改造。加快高效节水灌溉建设，推广喷灌、滴灌等节水和水肥一体化技术。到2025年，干支斗渠防渗率达到38.76%，灌溉水利用系数提高到0.53。</w:t>
            </w:r>
          </w:p>
          <w:p w14:paraId="71474084">
            <w:pPr>
              <w:pStyle w:val="32"/>
              <w:spacing w:after="0" w:line="360" w:lineRule="auto"/>
              <w:ind w:left="0" w:leftChars="0"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0000FF"/>
                <w:kern w:val="2"/>
                <w:sz w:val="24"/>
                <w:szCs w:val="24"/>
                <w:highlight w:val="none"/>
                <w:lang w:val="en-US" w:eastAsia="zh-CN" w:bidi="ar-SA"/>
              </w:rPr>
              <w:t>本项目属于渠道防渗改造工程，属于节水工程，</w:t>
            </w:r>
            <w:r>
              <w:rPr>
                <w:rFonts w:hint="eastAsia" w:ascii="Times New Roman" w:hAnsi="Times New Roman" w:cs="Times New Roman"/>
                <w:color w:val="0000FF"/>
                <w:kern w:val="2"/>
                <w:sz w:val="24"/>
                <w:szCs w:val="24"/>
                <w:highlight w:val="none"/>
                <w:lang w:val="en-US" w:eastAsia="zh-CN" w:bidi="ar-SA"/>
              </w:rPr>
              <w:t>提高了区域灌溉水利用系数，</w:t>
            </w:r>
            <w:r>
              <w:rPr>
                <w:rFonts w:hint="default" w:ascii="Times New Roman" w:hAnsi="Times New Roman" w:eastAsia="宋体" w:cs="Times New Roman"/>
                <w:color w:val="auto"/>
                <w:kern w:val="2"/>
                <w:sz w:val="24"/>
                <w:szCs w:val="24"/>
                <w:highlight w:val="none"/>
                <w:lang w:val="en-US" w:eastAsia="zh-CN" w:bidi="ar-SA"/>
              </w:rPr>
              <w:t>符合《莎车县国民经济和社会发展“十四五”规划及2035年远景目标》要求。</w:t>
            </w:r>
          </w:p>
          <w:p w14:paraId="062227C8">
            <w:pPr>
              <w:pStyle w:val="99"/>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color w:val="auto"/>
                <w:kern w:val="2"/>
                <w:sz w:val="24"/>
                <w:szCs w:val="24"/>
                <w:highlight w:val="none"/>
                <w:lang w:val="en-US" w:eastAsia="zh-CN" w:bidi="ar-SA"/>
              </w:rPr>
            </w:pPr>
            <w:r>
              <w:rPr>
                <w:rFonts w:hint="eastAsia" w:ascii="Times New Roman" w:hAnsi="Times New Roman" w:cs="Times New Roman"/>
                <w:b/>
                <w:color w:val="auto"/>
                <w:kern w:val="2"/>
                <w:sz w:val="24"/>
                <w:szCs w:val="24"/>
                <w:highlight w:val="none"/>
                <w:lang w:val="en-US" w:eastAsia="zh-CN" w:bidi="ar-SA"/>
              </w:rPr>
              <w:t>10</w:t>
            </w:r>
            <w:r>
              <w:rPr>
                <w:rFonts w:hint="default" w:ascii="Times New Roman" w:hAnsi="Times New Roman" w:eastAsia="宋体" w:cs="Times New Roman"/>
                <w:b/>
                <w:color w:val="auto"/>
                <w:kern w:val="2"/>
                <w:sz w:val="24"/>
                <w:szCs w:val="24"/>
                <w:highlight w:val="none"/>
                <w:lang w:val="en-US" w:eastAsia="zh-CN" w:bidi="ar-SA"/>
              </w:rPr>
              <w:t>与《水利建设项目（灌区工程）环境影响评价文件审批原则》符合性分析</w:t>
            </w:r>
          </w:p>
          <w:p w14:paraId="27C3C388">
            <w:pPr>
              <w:pStyle w:val="90"/>
              <w:keepNext w:val="0"/>
              <w:keepLines w:val="0"/>
              <w:numPr>
                <w:ilvl w:val="0"/>
                <w:numId w:val="0"/>
              </w:numPr>
              <w:suppressLineNumbers w:val="0"/>
              <w:spacing w:before="56" w:beforeAutospacing="0" w:after="0" w:afterAutospacing="0" w:line="364" w:lineRule="auto"/>
              <w:ind w:right="136" w:rightChars="0"/>
              <w:jc w:val="center"/>
              <w:rPr>
                <w:rFonts w:hint="default" w:ascii="Times New Roman" w:hAnsi="Times New Roman" w:eastAsia="宋体" w:cs="Times New Roman"/>
                <w:b/>
                <w:color w:val="auto"/>
                <w:sz w:val="21"/>
                <w:lang w:val="en-US" w:eastAsia="zh-CN"/>
              </w:rPr>
            </w:pPr>
            <w:r>
              <w:rPr>
                <w:rFonts w:hint="default" w:ascii="Times New Roman" w:hAnsi="Times New Roman" w:eastAsia="宋体" w:cs="Times New Roman"/>
                <w:b/>
                <w:color w:val="auto"/>
                <w:kern w:val="0"/>
                <w:sz w:val="21"/>
                <w:szCs w:val="21"/>
                <w:highlight w:val="none"/>
                <w:lang w:val="en-US" w:eastAsia="zh-CN" w:bidi="ar-SA"/>
              </w:rPr>
              <w:t>表1-</w:t>
            </w:r>
            <w:r>
              <w:rPr>
                <w:rFonts w:hint="eastAsia" w:eastAsia="宋体" w:cs="Times New Roman"/>
                <w:b/>
                <w:color w:val="auto"/>
                <w:kern w:val="0"/>
                <w:sz w:val="21"/>
                <w:szCs w:val="21"/>
                <w:highlight w:val="none"/>
                <w:lang w:val="en-US" w:eastAsia="zh-CN" w:bidi="ar-SA"/>
              </w:rPr>
              <w:t>9</w:t>
            </w:r>
            <w:r>
              <w:rPr>
                <w:rFonts w:hint="default" w:ascii="Times New Roman" w:hAnsi="Times New Roman" w:eastAsia="宋体" w:cs="Times New Roman"/>
                <w:b/>
                <w:color w:val="auto"/>
                <w:kern w:val="0"/>
                <w:sz w:val="21"/>
                <w:szCs w:val="21"/>
                <w:highlight w:val="none"/>
                <w:lang w:val="en-US" w:eastAsia="zh-CN" w:bidi="ar-SA"/>
              </w:rPr>
              <w:t xml:space="preserve"> 与《水利建设项目（灌区工程）环境影响评价文件审批原则》相符性</w:t>
            </w:r>
          </w:p>
          <w:tbl>
            <w:tblPr>
              <w:tblStyle w:val="34"/>
              <w:tblW w:w="47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4"/>
              <w:gridCol w:w="3297"/>
              <w:gridCol w:w="2731"/>
              <w:gridCol w:w="598"/>
            </w:tblGrid>
            <w:tr w14:paraId="307F6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4" w:type="dxa"/>
                  <w:vAlign w:val="center"/>
                </w:tcPr>
                <w:p w14:paraId="67CC0317">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类别</w:t>
                  </w:r>
                </w:p>
              </w:tc>
              <w:tc>
                <w:tcPr>
                  <w:tcW w:w="3297" w:type="dxa"/>
                  <w:vAlign w:val="center"/>
                </w:tcPr>
                <w:p w14:paraId="553FC312">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相关要求</w:t>
                  </w:r>
                </w:p>
              </w:tc>
              <w:tc>
                <w:tcPr>
                  <w:tcW w:w="2732" w:type="dxa"/>
                  <w:vAlign w:val="center"/>
                </w:tcPr>
                <w:p w14:paraId="6F865A54">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本项目情况</w:t>
                  </w:r>
                </w:p>
              </w:tc>
              <w:tc>
                <w:tcPr>
                  <w:tcW w:w="598" w:type="dxa"/>
                  <w:vAlign w:val="center"/>
                </w:tcPr>
                <w:p w14:paraId="540E574F">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相符性</w:t>
                  </w:r>
                </w:p>
              </w:tc>
            </w:tr>
            <w:tr w14:paraId="1DCB6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4" w:type="dxa"/>
                  <w:vAlign w:val="center"/>
                </w:tcPr>
                <w:p w14:paraId="336E779C">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第一条　</w:t>
                  </w:r>
                </w:p>
              </w:tc>
              <w:tc>
                <w:tcPr>
                  <w:tcW w:w="3297" w:type="dxa"/>
                  <w:vAlign w:val="center"/>
                </w:tcPr>
                <w:p w14:paraId="13324876">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原则适用于灌区工程环境影响评价文件的审批，其他包含灌溉任务的工程可参照执行。灌区工程建设内容主要包括取（蓄）水工程、输水工程、排水工程、田间工程及附属工程等，如灌区项目开发任务包括城乡供水或建设内容涉及水库枢纽，应同时参照执行水利建设项目（引调水工程）环境影响评价文件审批原则（试行）或水电建设项目环境影响评价文件审批原则（试行）。</w:t>
                  </w:r>
                </w:p>
              </w:tc>
              <w:tc>
                <w:tcPr>
                  <w:tcW w:w="2732" w:type="dxa"/>
                  <w:vAlign w:val="center"/>
                </w:tcPr>
                <w:p w14:paraId="02380774">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本项目属于渠道防渗工程，属于输水工程</w:t>
                  </w:r>
                </w:p>
              </w:tc>
              <w:tc>
                <w:tcPr>
                  <w:tcW w:w="598" w:type="dxa"/>
                  <w:vAlign w:val="center"/>
                </w:tcPr>
                <w:p w14:paraId="1B0410BF">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符合</w:t>
                  </w:r>
                </w:p>
              </w:tc>
            </w:tr>
            <w:tr w14:paraId="09867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14:paraId="5060E92E">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第二条</w:t>
                  </w:r>
                </w:p>
              </w:tc>
              <w:tc>
                <w:tcPr>
                  <w:tcW w:w="3297" w:type="dxa"/>
                  <w:vAlign w:val="center"/>
                </w:tcPr>
                <w:p w14:paraId="531F014D">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符合生态环境及资源相关法律法规和政策要求，与主体功能区规划、生态功能区划、水（环境）功能区划、水污染防治规划、生态环境保护规划等相协调，项目开发任务、供水量、供水范围和对象、灌区规模、种植结构等主要内容总体符合流域区域综合规划、水资源规划、灌区规划、农业生产规划、节水规划等相关规划及规划环评要求。</w:t>
                  </w:r>
                </w:p>
              </w:tc>
              <w:tc>
                <w:tcPr>
                  <w:tcW w:w="2732" w:type="dxa"/>
                  <w:vAlign w:val="center"/>
                </w:tcPr>
                <w:p w14:paraId="6EF6B536">
                  <w:pPr>
                    <w:pStyle w:val="11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lang w:val="en-US" w:eastAsia="zh-CN"/>
                    </w:rPr>
                    <w:t>本项目属于渠道防渗工程，项目符合生态环境及资源相关法律法规和政策要求，与主体功能区规划、生态功能区划、水（环境）功能区划、水污染防治规划、生态环境保护规划等相协调。</w:t>
                  </w:r>
                  <w:r>
                    <w:rPr>
                      <w:rFonts w:hint="default" w:ascii="Times New Roman" w:hAnsi="Times New Roman" w:cs="Times New Roman"/>
                      <w:color w:val="auto"/>
                      <w:lang w:val="en-US" w:eastAsia="zh-CN"/>
                    </w:rPr>
                    <w:t>项目用地批复见附件。</w:t>
                  </w:r>
                </w:p>
              </w:tc>
              <w:tc>
                <w:tcPr>
                  <w:tcW w:w="598" w:type="dxa"/>
                  <w:vAlign w:val="center"/>
                </w:tcPr>
                <w:p w14:paraId="713DDFBD">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符合</w:t>
                  </w:r>
                </w:p>
              </w:tc>
            </w:tr>
            <w:tr w14:paraId="28EED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4" w:type="dxa"/>
                  <w:vAlign w:val="center"/>
                </w:tcPr>
                <w:p w14:paraId="357A04B2">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第三条</w:t>
                  </w:r>
                </w:p>
              </w:tc>
              <w:tc>
                <w:tcPr>
                  <w:tcW w:w="3297" w:type="dxa"/>
                  <w:vAlign w:val="center"/>
                </w:tcPr>
                <w:p w14:paraId="3A072B85">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选址选线、取（蓄）水工程淹没、施工布置等不占用自然保护区、风景名胜区、世界文化和自然遗产地以及其他生态保护红线中法律法规禁止占用的区域，并与饮用水水源保护区、重要湿地等环境敏感区的保护要求相协调。</w:t>
                  </w:r>
                </w:p>
                <w:p w14:paraId="7C5774C1">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p>
              </w:tc>
              <w:tc>
                <w:tcPr>
                  <w:tcW w:w="2732" w:type="dxa"/>
                  <w:vAlign w:val="center"/>
                </w:tcPr>
                <w:p w14:paraId="6B91BEAC">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本项目属于渠道防渗工程，选址选线、施工布置等不占用自然保护区、风景名胜区、世界文化和自然遗产地以及其他生态保护红线中法律法规禁止占用的区域。</w:t>
                  </w:r>
                </w:p>
                <w:p w14:paraId="394E351B">
                  <w:pPr>
                    <w:pStyle w:val="11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p>
              </w:tc>
              <w:tc>
                <w:tcPr>
                  <w:tcW w:w="598" w:type="dxa"/>
                  <w:vAlign w:val="center"/>
                </w:tcPr>
                <w:p w14:paraId="1933A3FD">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p>
                <w:p w14:paraId="005C36E0">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符合</w:t>
                  </w:r>
                </w:p>
              </w:tc>
            </w:tr>
            <w:tr w14:paraId="7F444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4" w:type="dxa"/>
                  <w:vAlign w:val="center"/>
                </w:tcPr>
                <w:p w14:paraId="1BF7FD28">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第四条</w:t>
                  </w:r>
                </w:p>
              </w:tc>
              <w:tc>
                <w:tcPr>
                  <w:tcW w:w="3297" w:type="dxa"/>
                  <w:vAlign w:val="center"/>
                </w:tcPr>
                <w:p w14:paraId="2BE1308F">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取（蓄）水造成河、湖或水库水文情势改变且带来不利影响的，统筹考虑了上、下游河道水环境、水生生态、景观、湿地等生态用水及生产、生活用水需求，提出了优化取水方案、泄放生态流量、实施在线监控等措施。通过节水、置换等措施获得供水水量的，用水方式和规模具有环境合理性和可行性。采取上述措施后，未造成河道脱水，河道生态环境及生产、生活用水需求能够得到满足。</w:t>
                  </w:r>
                </w:p>
              </w:tc>
              <w:tc>
                <w:tcPr>
                  <w:tcW w:w="2732" w:type="dxa"/>
                  <w:vAlign w:val="center"/>
                </w:tcPr>
                <w:p w14:paraId="05EC5B23">
                  <w:pPr>
                    <w:pStyle w:val="11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lang w:val="en-US" w:eastAsia="zh-CN"/>
                    </w:rPr>
                    <w:t>本项目属于渠道防渗工程，不会造成河道脱水，河道生态环境及生产、生活用水需求能够得到满足。</w:t>
                  </w:r>
                </w:p>
              </w:tc>
              <w:tc>
                <w:tcPr>
                  <w:tcW w:w="598" w:type="dxa"/>
                  <w:vAlign w:val="center"/>
                </w:tcPr>
                <w:p w14:paraId="713AE3B0">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符合</w:t>
                  </w:r>
                </w:p>
              </w:tc>
            </w:tr>
            <w:tr w14:paraId="1626D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4" w:type="dxa"/>
                  <w:vAlign w:val="center"/>
                </w:tcPr>
                <w:p w14:paraId="7EA1F994">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第五条</w:t>
                  </w:r>
                </w:p>
              </w:tc>
              <w:tc>
                <w:tcPr>
                  <w:tcW w:w="3297" w:type="dxa"/>
                  <w:vAlign w:val="center"/>
                </w:tcPr>
                <w:p w14:paraId="2A1F8E2E">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取（蓄）水、输水或灌溉造成周边区域地下水位变化，引起土壤潜育化、沼泽化、盐碱化、沙化或植被退化演替等次生环境问题或造成居民水井、泉水位下降影响居民用水安全的，提出了优化取（蓄）水方案及灌溉方式、渠道防渗、截水导排、生态修复或保障居民供水等措施。灌区土壤存在重金属污染等威胁农产品质量安全问题的，按照土壤环境管理的有关要求，提出了农艺调控、种植结构优化、耕地污染修复、灌溉水源调整或休耕等措施。采取上述措施后，对地下水、土壤和植被的次生环境影响能够得到缓解和控制，居民用水和农产品质量安全能够得到保障。</w:t>
                  </w:r>
                </w:p>
              </w:tc>
              <w:tc>
                <w:tcPr>
                  <w:tcW w:w="2732" w:type="dxa"/>
                  <w:vAlign w:val="center"/>
                </w:tcPr>
                <w:p w14:paraId="2055800B">
                  <w:pPr>
                    <w:pStyle w:val="11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lang w:val="en-US" w:eastAsia="zh-CN"/>
                    </w:rPr>
                    <w:t>本项目属于渠道防渗工程，不会对地下水、土壤和植被产生次生环境影响，居民用水和农产品质量安全能够得到保障。</w:t>
                  </w:r>
                </w:p>
              </w:tc>
              <w:tc>
                <w:tcPr>
                  <w:tcW w:w="598" w:type="dxa"/>
                  <w:vAlign w:val="center"/>
                </w:tcPr>
                <w:p w14:paraId="08FDB308">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符合</w:t>
                  </w:r>
                </w:p>
              </w:tc>
            </w:tr>
            <w:tr w14:paraId="54B1B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4" w:type="dxa"/>
                  <w:vAlign w:val="center"/>
                </w:tcPr>
                <w:p w14:paraId="6335480F">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第五条</w:t>
                  </w:r>
                </w:p>
                <w:p w14:paraId="28A52BD2">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p>
              </w:tc>
              <w:tc>
                <w:tcPr>
                  <w:tcW w:w="3297" w:type="dxa"/>
                  <w:vAlign w:val="center"/>
                </w:tcPr>
                <w:p w14:paraId="46236F5C">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取（输）水水质、水温满足灌溉水质和农作物生长要求。项目灌区农药化肥施用以及灌溉退水等对水环境造成污染的，提出了测土配方施肥、水肥一体化、控制农药与化肥施用种类及数量，以及建设生态沟渠、人工湿地、污水净化塘等措施。</w:t>
                  </w:r>
                </w:p>
                <w:p w14:paraId="75894DCE">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采取上述措施后，对水环境造成的不利影响能够得到缓解和控制。</w:t>
                  </w:r>
                </w:p>
              </w:tc>
              <w:tc>
                <w:tcPr>
                  <w:tcW w:w="2732" w:type="dxa"/>
                  <w:vAlign w:val="center"/>
                </w:tcPr>
                <w:p w14:paraId="6B6FF18F">
                  <w:pPr>
                    <w:pStyle w:val="11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lang w:val="en-US" w:eastAsia="zh-CN"/>
                    </w:rPr>
                    <w:t>本项目属于渠道防渗工程，不会对水环境造成不利影响。</w:t>
                  </w:r>
                </w:p>
              </w:tc>
              <w:tc>
                <w:tcPr>
                  <w:tcW w:w="598" w:type="dxa"/>
                  <w:vAlign w:val="center"/>
                </w:tcPr>
                <w:p w14:paraId="6C096B58">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p>
              </w:tc>
            </w:tr>
            <w:tr w14:paraId="2886A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4" w:type="dxa"/>
                  <w:vAlign w:val="center"/>
                </w:tcPr>
                <w:p w14:paraId="0F23EB4D">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第九条</w:t>
                  </w:r>
                </w:p>
                <w:p w14:paraId="2744FE01">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p>
              </w:tc>
              <w:tc>
                <w:tcPr>
                  <w:tcW w:w="3297" w:type="dxa"/>
                  <w:vAlign w:val="center"/>
                </w:tcPr>
                <w:p w14:paraId="42BD7ADB">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hAnsi="Times New Roman" w:cs="Times New Roman"/>
                      <w:color w:val="auto"/>
                      <w:lang w:val="en-US" w:eastAsia="zh-CN"/>
                    </w:rPr>
                    <w:t>项目施工组织方案具有环境合理性，</w:t>
                  </w:r>
                  <w:r>
                    <w:rPr>
                      <w:rFonts w:hint="default" w:ascii="Times New Roman" w:hAnsi="Times New Roman" w:eastAsia="宋体" w:cs="Times New Roman"/>
                      <w:color w:val="auto"/>
                      <w:lang w:val="en-US" w:eastAsia="zh-CN"/>
                    </w:rPr>
                    <w:t>对主体工程区、料场、弃土（渣）场、施工道路等施工区域提出了水土流失防治、生态修复等措施。根据环境保护相关标准和要求，提出了施工期废（污）水、施工机械车辆尾气、扬尘、噪声、固体废物等防治措施。项目在采取上述措施后，施工期的不利环境影响能够得到缓解和控制，不会对周围环境和环境保护目标造成重大不利影响。</w:t>
                  </w:r>
                </w:p>
              </w:tc>
              <w:tc>
                <w:tcPr>
                  <w:tcW w:w="2732" w:type="dxa"/>
                  <w:vAlign w:val="center"/>
                </w:tcPr>
                <w:p w14:paraId="064F3808">
                  <w:pPr>
                    <w:pStyle w:val="11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lang w:val="en-US" w:eastAsia="zh-CN"/>
                    </w:rPr>
                    <w:t>本项目属于渠道防渗工程，</w:t>
                  </w:r>
                  <w:r>
                    <w:rPr>
                      <w:rFonts w:hint="eastAsia" w:hAnsi="Times New Roman" w:cs="Times New Roman"/>
                      <w:color w:val="auto"/>
                      <w:lang w:val="en-US" w:eastAsia="zh-CN"/>
                    </w:rPr>
                    <w:t>严格控制施工作业范围，禁止随意占压、扰动和破坏地表；施工结束后迹地进行清理平整和地表恢复；严禁随意砍伐和破坏非施工区域内的野生植被；施工机械采用低噪声设备，尽量减少施工噪声对野生动物及鸟类的正常栖息。因此项目施工组织方案具有环境合理性。本项目</w:t>
                  </w:r>
                  <w:r>
                    <w:rPr>
                      <w:rFonts w:hint="default" w:ascii="Times New Roman" w:hAnsi="Times New Roman" w:eastAsia="宋体" w:cs="Times New Roman"/>
                      <w:color w:val="auto"/>
                      <w:lang w:val="en-US" w:eastAsia="zh-CN"/>
                    </w:rPr>
                    <w:t>对主体工程区、料场、弃土（渣）场、施工道路等施工区域提出了水土流失防治、生态修复等措施。根据环境保护相关标准和要求，提出了施工期废（污）水、施工机械车辆尾气、扬尘、噪声、固体废物等防治措施。不会对周围环境和环境保护目标造成重大不利影响。</w:t>
                  </w:r>
                </w:p>
              </w:tc>
              <w:tc>
                <w:tcPr>
                  <w:tcW w:w="598" w:type="dxa"/>
                  <w:vAlign w:val="center"/>
                </w:tcPr>
                <w:p w14:paraId="0E6B9CAC">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符合</w:t>
                  </w:r>
                </w:p>
              </w:tc>
            </w:tr>
            <w:tr w14:paraId="3BD02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4" w:type="dxa"/>
                  <w:vAlign w:val="center"/>
                </w:tcPr>
                <w:p w14:paraId="4DF100C2">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第十一条</w:t>
                  </w:r>
                </w:p>
              </w:tc>
              <w:tc>
                <w:tcPr>
                  <w:tcW w:w="3297" w:type="dxa"/>
                  <w:vAlign w:val="center"/>
                </w:tcPr>
                <w:p w14:paraId="4AB9B3DF">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改、扩建或依托现有工程的项目，在全面梳理与项目有关的现有工程环境问题的基础上，提出了与项目相适应的“以新带老”措施。</w:t>
                  </w:r>
                </w:p>
              </w:tc>
              <w:tc>
                <w:tcPr>
                  <w:tcW w:w="2732" w:type="dxa"/>
                  <w:vAlign w:val="center"/>
                </w:tcPr>
                <w:p w14:paraId="3A646893">
                  <w:pPr>
                    <w:pStyle w:val="11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lang w:val="en-US" w:eastAsia="zh-CN"/>
                    </w:rPr>
                    <w:t>本项目属于渠道防渗工程，在全面梳理与项目有关的现有工程环境问题的基础上，提出了与项目相适应的“以新带老”措施。</w:t>
                  </w:r>
                </w:p>
              </w:tc>
              <w:tc>
                <w:tcPr>
                  <w:tcW w:w="598" w:type="dxa"/>
                  <w:vAlign w:val="center"/>
                </w:tcPr>
                <w:p w14:paraId="73453BDA">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p>
              </w:tc>
            </w:tr>
            <w:tr w14:paraId="76838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4" w:type="dxa"/>
                  <w:vAlign w:val="center"/>
                </w:tcPr>
                <w:p w14:paraId="743B1437">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第十三条</w:t>
                  </w:r>
                </w:p>
              </w:tc>
              <w:tc>
                <w:tcPr>
                  <w:tcW w:w="3297" w:type="dxa"/>
                  <w:vAlign w:val="center"/>
                </w:tcPr>
                <w:p w14:paraId="1BF4EC7C">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对生态环境保护措施进行了深入论证，建设单位主体责任、投资估算、时间节点、预期效果明确，确保科学有效、安全可行、绿色协调。</w:t>
                  </w:r>
                </w:p>
              </w:tc>
              <w:tc>
                <w:tcPr>
                  <w:tcW w:w="2732" w:type="dxa"/>
                  <w:vAlign w:val="center"/>
                </w:tcPr>
                <w:p w14:paraId="06C50AC8">
                  <w:pPr>
                    <w:pStyle w:val="11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lang w:val="en-US" w:eastAsia="zh-CN"/>
                    </w:rPr>
                    <w:t>本项目对生态环境保护措施进行了深入论证，建设单位主体责任、投资估算、时间节点、预期效果明确，确保科学有效、安全可行、绿色协调。</w:t>
                  </w:r>
                </w:p>
              </w:tc>
              <w:tc>
                <w:tcPr>
                  <w:tcW w:w="598" w:type="dxa"/>
                  <w:vAlign w:val="center"/>
                </w:tcPr>
                <w:p w14:paraId="608A3DBD">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符合</w:t>
                  </w:r>
                </w:p>
              </w:tc>
            </w:tr>
          </w:tbl>
          <w:p w14:paraId="774FA2DC">
            <w:pPr>
              <w:pStyle w:val="113"/>
              <w:ind w:firstLine="48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rPr>
              <w:t>本项目建设符合</w:t>
            </w:r>
            <w:r>
              <w:rPr>
                <w:rFonts w:hint="default" w:ascii="Times New Roman" w:hAnsi="Times New Roman" w:eastAsia="宋体" w:cs="Times New Roman"/>
                <w:color w:val="auto"/>
                <w:kern w:val="0"/>
                <w:sz w:val="24"/>
                <w:lang w:val="en-US" w:eastAsia="zh-CN"/>
              </w:rPr>
              <w:t>《水利建设项目（灌区工程）环境影响评价文件审批原则》</w:t>
            </w:r>
            <w:r>
              <w:rPr>
                <w:rFonts w:hint="default" w:ascii="Times New Roman" w:hAnsi="Times New Roman" w:eastAsia="宋体" w:cs="Times New Roman"/>
                <w:color w:val="auto"/>
                <w:kern w:val="0"/>
                <w:sz w:val="24"/>
              </w:rPr>
              <w:t>相关要求</w:t>
            </w:r>
            <w:r>
              <w:rPr>
                <w:rFonts w:hint="default" w:ascii="Times New Roman" w:hAnsi="Times New Roman" w:eastAsia="宋体" w:cs="Times New Roman"/>
                <w:color w:val="auto"/>
                <w:kern w:val="0"/>
                <w:sz w:val="24"/>
                <w:lang w:eastAsia="zh-CN"/>
              </w:rPr>
              <w:t>。</w:t>
            </w:r>
          </w:p>
          <w:p w14:paraId="5204C0CA">
            <w:pPr>
              <w:pStyle w:val="113"/>
              <w:ind w:firstLine="480"/>
              <w:rPr>
                <w:rFonts w:hint="default" w:ascii="Times New Roman" w:hAnsi="Times New Roman" w:eastAsia="宋体" w:cs="Times New Roman"/>
                <w:b/>
                <w:bCs w:val="0"/>
                <w:color w:val="auto"/>
                <w:kern w:val="0"/>
                <w:sz w:val="24"/>
                <w:lang w:val="en-US" w:eastAsia="zh-CN"/>
              </w:rPr>
            </w:pPr>
            <w:r>
              <w:rPr>
                <w:rFonts w:hint="default" w:ascii="Times New Roman" w:hAnsi="Times New Roman" w:cs="Times New Roman"/>
                <w:b/>
                <w:color w:val="auto"/>
                <w:kern w:val="2"/>
                <w:sz w:val="24"/>
                <w:szCs w:val="24"/>
                <w:highlight w:val="none"/>
                <w:lang w:val="en-US" w:eastAsia="zh-CN" w:bidi="ar-SA"/>
              </w:rPr>
              <w:t>1</w:t>
            </w:r>
            <w:r>
              <w:rPr>
                <w:rFonts w:hint="eastAsia" w:ascii="Times New Roman" w:hAnsi="Times New Roman" w:cs="Times New Roman"/>
                <w:b/>
                <w:color w:val="auto"/>
                <w:kern w:val="2"/>
                <w:sz w:val="24"/>
                <w:szCs w:val="24"/>
                <w:highlight w:val="none"/>
                <w:lang w:val="en-US" w:eastAsia="zh-CN" w:bidi="ar-SA"/>
              </w:rPr>
              <w:t>1</w:t>
            </w:r>
            <w:r>
              <w:rPr>
                <w:rFonts w:hint="default" w:ascii="Times New Roman" w:hAnsi="Times New Roman" w:eastAsia="宋体" w:cs="Times New Roman"/>
                <w:b/>
                <w:bCs w:val="0"/>
                <w:color w:val="auto"/>
                <w:kern w:val="2"/>
                <w:sz w:val="24"/>
                <w:szCs w:val="24"/>
                <w:highlight w:val="none"/>
                <w:lang w:val="en-US" w:eastAsia="zh-CN" w:bidi="ar-SA"/>
              </w:rPr>
              <w:t>与</w:t>
            </w:r>
            <w:r>
              <w:rPr>
                <w:rFonts w:hint="default" w:ascii="Times New Roman" w:hAnsi="Times New Roman" w:eastAsia="宋体" w:cs="Times New Roman"/>
                <w:b/>
                <w:bCs w:val="0"/>
                <w:color w:val="auto"/>
                <w:kern w:val="0"/>
                <w:sz w:val="24"/>
                <w:lang w:val="en-US" w:eastAsia="zh-CN"/>
              </w:rPr>
              <w:t>《</w:t>
            </w:r>
            <w:r>
              <w:rPr>
                <w:rFonts w:hint="default" w:ascii="Times New Roman" w:hAnsi="Times New Roman" w:eastAsia="宋体" w:cs="Times New Roman"/>
                <w:b/>
                <w:bCs w:val="0"/>
                <w:color w:val="auto"/>
                <w:kern w:val="0"/>
                <w:sz w:val="24"/>
              </w:rPr>
              <w:t>新疆维吾尔自治区主体功能区规划</w:t>
            </w:r>
            <w:r>
              <w:rPr>
                <w:rFonts w:hint="default" w:ascii="Times New Roman" w:hAnsi="Times New Roman" w:eastAsia="宋体" w:cs="Times New Roman"/>
                <w:b/>
                <w:bCs w:val="0"/>
                <w:color w:val="auto"/>
                <w:kern w:val="0"/>
                <w:sz w:val="24"/>
                <w:lang w:val="en-US" w:eastAsia="zh-CN"/>
              </w:rPr>
              <w:t>》符合性分析</w:t>
            </w:r>
          </w:p>
          <w:p w14:paraId="297A2607">
            <w:pPr>
              <w:pStyle w:val="90"/>
              <w:keepNext w:val="0"/>
              <w:keepLines w:val="0"/>
              <w:numPr>
                <w:ilvl w:val="0"/>
                <w:numId w:val="0"/>
              </w:numPr>
              <w:suppressLineNumbers w:val="0"/>
              <w:spacing w:before="56" w:beforeAutospacing="0" w:after="0" w:afterAutospacing="0" w:line="364" w:lineRule="auto"/>
              <w:ind w:right="136" w:rightChars="0"/>
              <w:jc w:val="center"/>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sz w:val="21"/>
                <w:szCs w:val="21"/>
                <w:highlight w:val="none"/>
                <w:lang w:val="en-US" w:eastAsia="zh-CN" w:bidi="ar-SA"/>
              </w:rPr>
              <w:t>　表1-</w:t>
            </w:r>
            <w:r>
              <w:rPr>
                <w:rFonts w:hint="eastAsia" w:eastAsia="宋体" w:cs="Times New Roman"/>
                <w:b/>
                <w:color w:val="auto"/>
                <w:kern w:val="0"/>
                <w:sz w:val="21"/>
                <w:szCs w:val="21"/>
                <w:highlight w:val="none"/>
                <w:lang w:val="en-US" w:eastAsia="zh-CN" w:bidi="ar-SA"/>
              </w:rPr>
              <w:t>10</w:t>
            </w:r>
            <w:r>
              <w:rPr>
                <w:rFonts w:hint="default" w:ascii="Times New Roman" w:hAnsi="Times New Roman" w:eastAsia="宋体" w:cs="Times New Roman"/>
                <w:b/>
                <w:color w:val="auto"/>
                <w:kern w:val="0"/>
                <w:sz w:val="21"/>
                <w:szCs w:val="21"/>
                <w:highlight w:val="none"/>
                <w:lang w:val="en-US" w:eastAsia="zh-CN" w:bidi="ar-SA"/>
              </w:rPr>
              <w:t xml:space="preserve"> 与《新疆维吾尔自治区主体功能区规划》相符性</w:t>
            </w:r>
          </w:p>
          <w:tbl>
            <w:tblPr>
              <w:tblStyle w:val="34"/>
              <w:tblW w:w="47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8"/>
              <w:gridCol w:w="1618"/>
              <w:gridCol w:w="871"/>
            </w:tblGrid>
            <w:tr w14:paraId="39596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7" w:type="dxa"/>
                  <w:vAlign w:val="center"/>
                </w:tcPr>
                <w:p w14:paraId="20A98D95">
                  <w:pPr>
                    <w:pStyle w:val="11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相关要求</w:t>
                  </w:r>
                </w:p>
              </w:tc>
              <w:tc>
                <w:tcPr>
                  <w:tcW w:w="1600" w:type="dxa"/>
                  <w:vAlign w:val="center"/>
                </w:tcPr>
                <w:p w14:paraId="0D00F054">
                  <w:pPr>
                    <w:pStyle w:val="11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本项目情况</w:t>
                  </w:r>
                </w:p>
              </w:tc>
              <w:tc>
                <w:tcPr>
                  <w:tcW w:w="861" w:type="dxa"/>
                  <w:vAlign w:val="center"/>
                </w:tcPr>
                <w:p w14:paraId="4E87EA0C">
                  <w:pPr>
                    <w:pStyle w:val="11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相符性</w:t>
                  </w:r>
                </w:p>
              </w:tc>
            </w:tr>
            <w:tr w14:paraId="7FB1A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7" w:type="dxa"/>
                  <w:vAlign w:val="center"/>
                </w:tcPr>
                <w:p w14:paraId="2BE4B929">
                  <w:pPr>
                    <w:pStyle w:val="11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加强基础设施建设。统筹规划建设水利、交通、能源、通信、环保、气象、防灾等基础设施，构建完善、高效、区域一体、城乡统筹的基础设施网络。</w:t>
                  </w:r>
                </w:p>
              </w:tc>
              <w:tc>
                <w:tcPr>
                  <w:tcW w:w="1600" w:type="dxa"/>
                  <w:vAlign w:val="center"/>
                </w:tcPr>
                <w:p w14:paraId="0D7D0F9F">
                  <w:pPr>
                    <w:pStyle w:val="11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本项目属于渠道防渗工程，属于水利基础设施建设。</w:t>
                  </w:r>
                </w:p>
              </w:tc>
              <w:tc>
                <w:tcPr>
                  <w:tcW w:w="861" w:type="dxa"/>
                  <w:vAlign w:val="center"/>
                </w:tcPr>
                <w:p w14:paraId="7104ED7D">
                  <w:pPr>
                    <w:pStyle w:val="11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符合</w:t>
                  </w:r>
                </w:p>
              </w:tc>
            </w:tr>
            <w:tr w14:paraId="12AB7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17" w:type="dxa"/>
                  <w:vAlign w:val="center"/>
                </w:tcPr>
                <w:p w14:paraId="1659C10B">
                  <w:pPr>
                    <w:pStyle w:val="11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高效利用水资源，保护水环境，提高水质量。根据水资源的承载能力，合理确定城市经济结构和产业布局。加强流域水资源的管理，合理配置和利用水资源，大力发展高效节水农业，降低农业用水定额。在缺水地区严禁建设高耗水、重污染的工业项目。加强企业节水技术改造，实现冷却水循环利用，并按照环境保护标准达标排放。加大城镇生活污水再生水回用设施建设力度，提高再生水利用率。</w:t>
                  </w:r>
                </w:p>
              </w:tc>
              <w:tc>
                <w:tcPr>
                  <w:tcW w:w="1600" w:type="dxa"/>
                  <w:vAlign w:val="center"/>
                </w:tcPr>
                <w:p w14:paraId="1338A321">
                  <w:pPr>
                    <w:pStyle w:val="11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本项目属于渠道防渗工程，提高了水资源利用率。</w:t>
                  </w:r>
                </w:p>
              </w:tc>
              <w:tc>
                <w:tcPr>
                  <w:tcW w:w="861" w:type="dxa"/>
                  <w:vAlign w:val="center"/>
                </w:tcPr>
                <w:p w14:paraId="20652A94">
                  <w:pPr>
                    <w:pStyle w:val="11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符合</w:t>
                  </w:r>
                </w:p>
              </w:tc>
            </w:tr>
            <w:tr w14:paraId="04DB3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7" w:type="dxa"/>
                  <w:vAlign w:val="center"/>
                </w:tcPr>
                <w:p w14:paraId="546DA2AC">
                  <w:pPr>
                    <w:pStyle w:val="11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加强水利设施建设，加快水源工程、大中型灌区配套和节水改造工程建设。加快高效节水农业建设，大力发展旱作节水农业，建立标准化、规范化高效节水示范区。结合高效节水，加快改革耕作制度，优化栽培模式，调整种植结构，大幅度提高土地产出率和资源利用率。</w:t>
                  </w:r>
                </w:p>
              </w:tc>
              <w:tc>
                <w:tcPr>
                  <w:tcW w:w="1600" w:type="dxa"/>
                  <w:vAlign w:val="center"/>
                </w:tcPr>
                <w:p w14:paraId="2C6ED21E">
                  <w:pPr>
                    <w:pStyle w:val="11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本项目属于渠道防渗工程，属于节水改造工程建设项目。</w:t>
                  </w:r>
                </w:p>
              </w:tc>
              <w:tc>
                <w:tcPr>
                  <w:tcW w:w="861" w:type="dxa"/>
                  <w:vAlign w:val="center"/>
                </w:tcPr>
                <w:p w14:paraId="17D5B04A">
                  <w:pPr>
                    <w:pStyle w:val="11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p>
                <w:p w14:paraId="1CE29087">
                  <w:pPr>
                    <w:pStyle w:val="11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符合</w:t>
                  </w:r>
                </w:p>
              </w:tc>
            </w:tr>
            <w:tr w14:paraId="6A6E3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7" w:type="dxa"/>
                  <w:vAlign w:val="center"/>
                </w:tcPr>
                <w:p w14:paraId="51E5566E">
                  <w:pPr>
                    <w:pStyle w:val="11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在水产种质资源保护区内从事修建水利工程、建闸筑坝、围湖造田、勘探和开采矿产资源等工程建设的，或者在水产种质资源保护区外从事可能损害保护区功能的工程建设活动的，应当按照国家有关规定编制建设项目对水产种质资源保护区的影响专题论证报告，并将其纳入环境影响评价报告书。</w:t>
                  </w:r>
                </w:p>
              </w:tc>
              <w:tc>
                <w:tcPr>
                  <w:tcW w:w="1600" w:type="dxa"/>
                  <w:vAlign w:val="center"/>
                </w:tcPr>
                <w:p w14:paraId="760CFC0A">
                  <w:pPr>
                    <w:pStyle w:val="11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本项目属于渠道防渗工程，不在水产种质资源保护区内。</w:t>
                  </w:r>
                </w:p>
              </w:tc>
              <w:tc>
                <w:tcPr>
                  <w:tcW w:w="861" w:type="dxa"/>
                  <w:vAlign w:val="center"/>
                </w:tcPr>
                <w:p w14:paraId="1557F6F6">
                  <w:pPr>
                    <w:pStyle w:val="11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符合</w:t>
                  </w:r>
                </w:p>
              </w:tc>
            </w:tr>
            <w:tr w14:paraId="1B781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7" w:type="dxa"/>
                  <w:vAlign w:val="center"/>
                </w:tcPr>
                <w:p w14:paraId="198CE835">
                  <w:pPr>
                    <w:pStyle w:val="11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按领域安排的投资，要符合各区域的主体功能区定位和发展方向。逐步加大政府投资用于农业、生态环境保护方面的比例。基础设施投资，要重点用于加强重点开发区域的交通、能源、水利、环保以及公共服务设施的建设。生态环境保护投资，要重点用于加强重点生态功能区生态产品生产能力建设。农业投资，要重点用于加强农产品主产区农业综合生产能力的建设。对重点生态功能区内国家支持的建设项目，逐步降低市县投资配套；对位于困难地区的重点生态功能区，国家支持的公益性建设项目，免除市县两级投资配套。</w:t>
                  </w:r>
                </w:p>
              </w:tc>
              <w:tc>
                <w:tcPr>
                  <w:tcW w:w="1600" w:type="dxa"/>
                  <w:vAlign w:val="center"/>
                </w:tcPr>
                <w:p w14:paraId="488F390F">
                  <w:pPr>
                    <w:pStyle w:val="11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本项目属于渠道防渗工程，符合区域的主体功能区定位和发展方向。</w:t>
                  </w:r>
                </w:p>
              </w:tc>
              <w:tc>
                <w:tcPr>
                  <w:tcW w:w="861" w:type="dxa"/>
                  <w:vAlign w:val="center"/>
                </w:tcPr>
                <w:p w14:paraId="20213BAF">
                  <w:pPr>
                    <w:pStyle w:val="11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符合</w:t>
                  </w:r>
                </w:p>
              </w:tc>
            </w:tr>
          </w:tbl>
          <w:p w14:paraId="0C87C132">
            <w:pPr>
              <w:pStyle w:val="113"/>
              <w:ind w:firstLine="480"/>
              <w:rPr>
                <w:rFonts w:hint="default" w:ascii="Times New Roman" w:hAnsi="Times New Roman" w:eastAsia="宋体" w:cs="Times New Roman"/>
                <w:color w:val="auto"/>
                <w:kern w:val="0"/>
                <w:sz w:val="24"/>
                <w:lang w:eastAsia="zh-CN"/>
              </w:rPr>
            </w:pPr>
            <w:r>
              <w:rPr>
                <w:rFonts w:hint="default" w:ascii="Times New Roman" w:hAnsi="Times New Roman" w:eastAsia="宋体" w:cs="Times New Roman"/>
                <w:color w:val="auto"/>
                <w:kern w:val="0"/>
                <w:sz w:val="24"/>
              </w:rPr>
              <w:t>本项目建设符合</w:t>
            </w:r>
            <w:r>
              <w:rPr>
                <w:rFonts w:hint="default" w:ascii="Times New Roman" w:hAnsi="Times New Roman" w:eastAsia="宋体" w:cs="Times New Roman"/>
                <w:color w:val="auto"/>
                <w:kern w:val="0"/>
                <w:sz w:val="24"/>
                <w:lang w:val="en-US" w:eastAsia="zh-CN"/>
              </w:rPr>
              <w:t>《</w:t>
            </w:r>
            <w:r>
              <w:rPr>
                <w:rFonts w:hint="default" w:ascii="Times New Roman" w:hAnsi="Times New Roman" w:eastAsia="宋体" w:cs="Times New Roman"/>
                <w:color w:val="auto"/>
                <w:kern w:val="0"/>
                <w:sz w:val="24"/>
              </w:rPr>
              <w:t>新疆维吾尔自治区主体功能区规划</w:t>
            </w:r>
            <w:r>
              <w:rPr>
                <w:rFonts w:hint="default" w:ascii="Times New Roman" w:hAnsi="Times New Roman" w:eastAsia="宋体" w:cs="Times New Roman"/>
                <w:color w:val="auto"/>
                <w:kern w:val="0"/>
                <w:sz w:val="24"/>
                <w:lang w:val="en-US" w:eastAsia="zh-CN"/>
              </w:rPr>
              <w:t>》</w:t>
            </w:r>
            <w:r>
              <w:rPr>
                <w:rFonts w:hint="default" w:ascii="Times New Roman" w:hAnsi="Times New Roman" w:eastAsia="宋体" w:cs="Times New Roman"/>
                <w:color w:val="auto"/>
                <w:kern w:val="0"/>
                <w:sz w:val="24"/>
              </w:rPr>
              <w:t>相关要求</w:t>
            </w:r>
            <w:r>
              <w:rPr>
                <w:rFonts w:hint="default" w:ascii="Times New Roman" w:hAnsi="Times New Roman" w:eastAsia="宋体" w:cs="Times New Roman"/>
                <w:color w:val="auto"/>
                <w:kern w:val="0"/>
                <w:sz w:val="24"/>
                <w:lang w:eastAsia="zh-CN"/>
              </w:rPr>
              <w:t>。</w:t>
            </w:r>
          </w:p>
          <w:p w14:paraId="07D63966">
            <w:pPr>
              <w:pStyle w:val="113"/>
              <w:numPr>
                <w:ilvl w:val="0"/>
                <w:numId w:val="0"/>
              </w:numPr>
              <w:ind w:left="630" w:leftChars="0"/>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cs="Times New Roman"/>
                <w:b/>
                <w:color w:val="auto"/>
                <w:kern w:val="2"/>
                <w:sz w:val="24"/>
                <w:szCs w:val="24"/>
                <w:highlight w:val="none"/>
                <w:lang w:val="en-US" w:eastAsia="zh-CN" w:bidi="ar-SA"/>
              </w:rPr>
              <w:t>1</w:t>
            </w:r>
            <w:r>
              <w:rPr>
                <w:rFonts w:hint="eastAsia" w:ascii="Times New Roman" w:hAnsi="Times New Roman" w:cs="Times New Roman"/>
                <w:b/>
                <w:color w:val="auto"/>
                <w:kern w:val="2"/>
                <w:sz w:val="24"/>
                <w:szCs w:val="24"/>
                <w:highlight w:val="none"/>
                <w:lang w:val="en-US" w:eastAsia="zh-CN" w:bidi="ar-SA"/>
              </w:rPr>
              <w:t>2</w:t>
            </w:r>
            <w:r>
              <w:rPr>
                <w:rFonts w:hint="default" w:ascii="Times New Roman" w:hAnsi="Times New Roman" w:eastAsia="宋体" w:cs="Times New Roman"/>
                <w:b/>
                <w:color w:val="auto"/>
                <w:kern w:val="2"/>
                <w:sz w:val="24"/>
                <w:szCs w:val="24"/>
                <w:highlight w:val="none"/>
                <w:lang w:val="en-US" w:eastAsia="zh-CN" w:bidi="ar-SA"/>
              </w:rPr>
              <w:t>与《新疆维吾尔自治区生态功能区划》符合性分析</w:t>
            </w:r>
          </w:p>
          <w:p w14:paraId="1FDC985B">
            <w:pPr>
              <w:pStyle w:val="113"/>
              <w:ind w:firstLine="480"/>
              <w:rPr>
                <w:rFonts w:hint="default" w:ascii="Times New Roman" w:hAnsi="Times New Roman" w:eastAsia="宋体" w:cs="Times New Roman"/>
                <w:color w:val="auto"/>
                <w:kern w:val="0"/>
                <w:sz w:val="24"/>
                <w:lang w:eastAsia="zh-CN"/>
              </w:rPr>
            </w:pPr>
            <w:r>
              <w:rPr>
                <w:rFonts w:hint="default" w:ascii="Times New Roman" w:hAnsi="Times New Roman" w:eastAsia="宋体" w:cs="Times New Roman"/>
                <w:color w:val="auto"/>
                <w:kern w:val="0"/>
                <w:sz w:val="24"/>
                <w:lang w:eastAsia="zh-CN"/>
              </w:rPr>
              <w:t>根据《新疆维吾尔自治区生态功能区划》，项目区位于Ⅳ塔里木盆地西部、北部荒漠及绿洲农业生态亚区，Ⅳ塔里木盆地暖温荒漠及绿洲农业生态区，该区主要保护目标为保护荒漠植被、保护荒漠河岸林、保护农田土壤环境质量。</w:t>
            </w:r>
          </w:p>
          <w:p w14:paraId="05785CE1">
            <w:pPr>
              <w:pStyle w:val="113"/>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lang w:eastAsia="zh-CN"/>
              </w:rPr>
              <w:t>本项目为渠道防渗改建工程，通过改造渠系建筑物，通过对原有渠道防渗，可提高灌区管理水平，减少灌溉用水浪费，与《新疆维吾尔自治区生态功能区划》环境保护目标相符</w:t>
            </w:r>
            <w:r>
              <w:rPr>
                <w:rFonts w:hint="default" w:ascii="Times New Roman" w:hAnsi="Times New Roman" w:eastAsia="宋体" w:cs="Times New Roman"/>
                <w:color w:val="auto"/>
                <w:sz w:val="24"/>
                <w:szCs w:val="24"/>
              </w:rPr>
              <w:t>。</w:t>
            </w:r>
          </w:p>
          <w:p w14:paraId="67F353C3">
            <w:pPr>
              <w:keepNext w:val="0"/>
              <w:keepLines w:val="0"/>
              <w:numPr>
                <w:ilvl w:val="0"/>
                <w:numId w:val="0"/>
              </w:numPr>
              <w:suppressLineNumbers w:val="0"/>
              <w:autoSpaceDE w:val="0"/>
              <w:autoSpaceDN w:val="0"/>
              <w:spacing w:before="0" w:beforeAutospacing="0" w:after="0" w:afterAutospacing="0" w:line="360" w:lineRule="auto"/>
              <w:ind w:left="0" w:right="0" w:rightChars="0" w:firstLine="482" w:firstLineChars="200"/>
              <w:rPr>
                <w:rFonts w:hint="default" w:ascii="Times New Roman" w:hAnsi="Times New Roman" w:eastAsia="宋体" w:cs="Times New Roman"/>
                <w:b/>
                <w:bCs/>
                <w:color w:val="auto"/>
                <w:kern w:val="0"/>
                <w:sz w:val="24"/>
                <w:highlight w:val="none"/>
                <w:lang w:val="en-US" w:eastAsia="zh-CN"/>
              </w:rPr>
            </w:pPr>
            <w:r>
              <w:rPr>
                <w:rFonts w:hint="default" w:ascii="Times New Roman" w:hAnsi="Times New Roman" w:eastAsia="宋体" w:cs="Times New Roman"/>
                <w:b/>
                <w:bCs/>
                <w:color w:val="auto"/>
                <w:kern w:val="0"/>
                <w:sz w:val="24"/>
                <w:highlight w:val="none"/>
                <w:lang w:val="en-US" w:eastAsia="zh-CN"/>
              </w:rPr>
              <w:t>1</w:t>
            </w:r>
            <w:r>
              <w:rPr>
                <w:rFonts w:hint="eastAsia" w:ascii="Times New Roman" w:hAnsi="Times New Roman" w:cs="Times New Roman"/>
                <w:b/>
                <w:bCs/>
                <w:color w:val="auto"/>
                <w:kern w:val="0"/>
                <w:sz w:val="24"/>
                <w:highlight w:val="none"/>
                <w:lang w:val="en-US" w:eastAsia="zh-CN"/>
              </w:rPr>
              <w:t>3</w:t>
            </w:r>
            <w:r>
              <w:rPr>
                <w:rFonts w:hint="default" w:ascii="Times New Roman" w:hAnsi="Times New Roman" w:eastAsia="宋体" w:cs="Times New Roman"/>
                <w:b/>
                <w:bCs/>
                <w:color w:val="auto"/>
                <w:kern w:val="0"/>
                <w:sz w:val="24"/>
                <w:highlight w:val="none"/>
              </w:rPr>
              <w:t>《</w:t>
            </w:r>
            <w:r>
              <w:rPr>
                <w:rFonts w:hint="default" w:ascii="Times New Roman" w:hAnsi="Times New Roman" w:eastAsia="宋体" w:cs="Times New Roman"/>
                <w:b/>
                <w:bCs/>
                <w:color w:val="auto"/>
                <w:kern w:val="0"/>
                <w:sz w:val="24"/>
                <w:highlight w:val="none"/>
                <w:lang w:eastAsia="zh-CN"/>
              </w:rPr>
              <w:t>工业料堆场扬尘整治规范</w:t>
            </w:r>
            <w:r>
              <w:rPr>
                <w:rFonts w:hint="default" w:ascii="Times New Roman" w:hAnsi="Times New Roman" w:eastAsia="宋体" w:cs="Times New Roman"/>
                <w:b/>
                <w:bCs/>
                <w:color w:val="auto"/>
                <w:kern w:val="0"/>
                <w:sz w:val="24"/>
                <w:highlight w:val="none"/>
              </w:rPr>
              <w:t>》</w:t>
            </w:r>
            <w:r>
              <w:rPr>
                <w:rFonts w:hint="default" w:ascii="Times New Roman" w:hAnsi="Times New Roman" w:eastAsia="宋体" w:cs="Times New Roman"/>
                <w:b/>
                <w:bCs/>
                <w:color w:val="auto"/>
                <w:kern w:val="0"/>
                <w:sz w:val="24"/>
                <w:highlight w:val="none"/>
                <w:lang w:eastAsia="zh-CN"/>
              </w:rPr>
              <w:t>（</w:t>
            </w:r>
            <w:r>
              <w:rPr>
                <w:rFonts w:hint="default" w:ascii="Times New Roman" w:hAnsi="Times New Roman" w:eastAsia="宋体" w:cs="Times New Roman"/>
                <w:b/>
                <w:bCs/>
                <w:color w:val="auto"/>
                <w:kern w:val="0"/>
                <w:sz w:val="24"/>
                <w:highlight w:val="none"/>
                <w:lang w:val="en-US" w:eastAsia="zh-CN"/>
              </w:rPr>
              <w:t>DB65/T4061-2017</w:t>
            </w:r>
            <w:r>
              <w:rPr>
                <w:rFonts w:hint="default" w:ascii="Times New Roman" w:hAnsi="Times New Roman" w:eastAsia="宋体" w:cs="Times New Roman"/>
                <w:b/>
                <w:bCs/>
                <w:color w:val="auto"/>
                <w:kern w:val="0"/>
                <w:sz w:val="24"/>
                <w:highlight w:val="none"/>
                <w:lang w:eastAsia="zh-CN"/>
              </w:rPr>
              <w:t>）</w:t>
            </w:r>
            <w:r>
              <w:rPr>
                <w:rFonts w:hint="default" w:ascii="Times New Roman" w:hAnsi="Times New Roman" w:eastAsia="宋体" w:cs="Times New Roman"/>
                <w:b/>
                <w:bCs/>
                <w:color w:val="auto"/>
                <w:kern w:val="0"/>
                <w:sz w:val="24"/>
                <w:highlight w:val="none"/>
                <w:lang w:val="en-US" w:eastAsia="zh-CN"/>
              </w:rPr>
              <w:t>符合性分析</w:t>
            </w:r>
          </w:p>
          <w:p w14:paraId="083A3888">
            <w:pPr>
              <w:keepNext w:val="0"/>
              <w:keepLines w:val="0"/>
              <w:numPr>
                <w:ilvl w:val="0"/>
                <w:numId w:val="0"/>
              </w:numPr>
              <w:suppressLineNumbers w:val="0"/>
              <w:autoSpaceDE w:val="0"/>
              <w:autoSpaceDN w:val="0"/>
              <w:spacing w:before="0" w:beforeAutospacing="0" w:after="0" w:afterAutospacing="0" w:line="360" w:lineRule="auto"/>
              <w:ind w:left="0" w:right="0" w:rightChars="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本项目</w:t>
            </w:r>
            <w:r>
              <w:rPr>
                <w:rFonts w:hint="default" w:ascii="Times New Roman" w:hAnsi="Times New Roman" w:eastAsia="宋体" w:cs="Times New Roman"/>
                <w:b w:val="0"/>
                <w:bCs/>
                <w:color w:val="auto"/>
                <w:kern w:val="0"/>
                <w:sz w:val="24"/>
                <w:szCs w:val="24"/>
                <w:highlight w:val="none"/>
                <w:lang w:eastAsia="zh-CN"/>
              </w:rPr>
              <w:t>工业料堆场扬尘整治规范</w:t>
            </w:r>
            <w:r>
              <w:rPr>
                <w:rFonts w:hint="default" w:ascii="Times New Roman" w:hAnsi="Times New Roman" w:eastAsia="宋体" w:cs="Times New Roman"/>
                <w:b w:val="0"/>
                <w:bCs/>
                <w:color w:val="auto"/>
                <w:kern w:val="0"/>
                <w:sz w:val="24"/>
                <w:szCs w:val="24"/>
                <w:highlight w:val="none"/>
              </w:rPr>
              <w:t>》</w:t>
            </w:r>
            <w:r>
              <w:rPr>
                <w:rFonts w:hint="default" w:ascii="Times New Roman" w:hAnsi="Times New Roman" w:eastAsia="宋体"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lang w:val="en-US" w:eastAsia="zh-CN"/>
              </w:rPr>
              <w:t>DB65/T4061-2017</w:t>
            </w:r>
            <w:r>
              <w:rPr>
                <w:rFonts w:hint="default" w:ascii="Times New Roman" w:hAnsi="Times New Roman" w:eastAsia="宋体"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lang w:val="en-US" w:eastAsia="zh-CN"/>
              </w:rPr>
              <w:t>符合性分析见下表。</w:t>
            </w:r>
          </w:p>
          <w:p w14:paraId="66863F0E">
            <w:pPr>
              <w:pStyle w:val="90"/>
              <w:keepNext w:val="0"/>
              <w:keepLines w:val="0"/>
              <w:numPr>
                <w:ilvl w:val="0"/>
                <w:numId w:val="0"/>
              </w:numPr>
              <w:suppressLineNumbers w:val="0"/>
              <w:spacing w:before="56" w:beforeAutospacing="0" w:after="0" w:afterAutospacing="0" w:line="364" w:lineRule="auto"/>
              <w:ind w:left="523" w:leftChars="0" w:right="136" w:rightChars="0"/>
              <w:rPr>
                <w:rFonts w:hint="default" w:ascii="Times New Roman" w:hAnsi="Times New Roman" w:eastAsia="宋体" w:cs="Times New Roman"/>
                <w:b/>
                <w:color w:val="auto"/>
                <w:sz w:val="21"/>
                <w:highlight w:val="none"/>
                <w:lang w:val="en-US" w:eastAsia="zh-CN"/>
              </w:rPr>
            </w:pPr>
            <w:r>
              <w:rPr>
                <w:rFonts w:hint="default" w:ascii="Times New Roman" w:hAnsi="Times New Roman" w:eastAsia="宋体" w:cs="Times New Roman"/>
                <w:b/>
                <w:color w:val="auto"/>
                <w:sz w:val="21"/>
                <w:highlight w:val="none"/>
              </w:rPr>
              <w:t>表 1-</w:t>
            </w:r>
            <w:r>
              <w:rPr>
                <w:rFonts w:hint="eastAsia" w:eastAsia="宋体" w:cs="Times New Roman"/>
                <w:b/>
                <w:color w:val="auto"/>
                <w:sz w:val="21"/>
                <w:highlight w:val="none"/>
                <w:lang w:val="en-US" w:eastAsia="zh-CN"/>
              </w:rPr>
              <w:t>11</w:t>
            </w:r>
            <w:r>
              <w:rPr>
                <w:rFonts w:hint="default" w:ascii="Times New Roman" w:hAnsi="Times New Roman" w:eastAsia="宋体" w:cs="Times New Roman"/>
                <w:b/>
                <w:color w:val="auto"/>
                <w:sz w:val="21"/>
                <w:highlight w:val="none"/>
              </w:rPr>
              <w:t xml:space="preserve"> 与《</w:t>
            </w:r>
            <w:r>
              <w:rPr>
                <w:rFonts w:hint="default" w:ascii="Times New Roman" w:hAnsi="Times New Roman" w:eastAsia="宋体" w:cs="Times New Roman"/>
                <w:b/>
                <w:color w:val="auto"/>
                <w:sz w:val="21"/>
                <w:highlight w:val="none"/>
                <w:lang w:eastAsia="zh-CN"/>
              </w:rPr>
              <w:t>工业料堆场扬尘整治规范</w:t>
            </w:r>
            <w:r>
              <w:rPr>
                <w:rFonts w:hint="default" w:ascii="Times New Roman" w:hAnsi="Times New Roman" w:eastAsia="宋体" w:cs="Times New Roman"/>
                <w:b/>
                <w:color w:val="auto"/>
                <w:sz w:val="21"/>
                <w:highlight w:val="none"/>
              </w:rPr>
              <w:t>》</w:t>
            </w:r>
            <w:r>
              <w:rPr>
                <w:rFonts w:hint="default" w:ascii="Times New Roman" w:hAnsi="Times New Roman" w:eastAsia="宋体" w:cs="Times New Roman"/>
                <w:b/>
                <w:color w:val="auto"/>
                <w:sz w:val="21"/>
                <w:highlight w:val="none"/>
                <w:lang w:eastAsia="zh-CN"/>
              </w:rPr>
              <w:t>（</w:t>
            </w:r>
            <w:r>
              <w:rPr>
                <w:rFonts w:hint="default" w:ascii="Times New Roman" w:hAnsi="Times New Roman" w:eastAsia="宋体" w:cs="Times New Roman"/>
                <w:b/>
                <w:color w:val="auto"/>
                <w:sz w:val="21"/>
                <w:highlight w:val="none"/>
                <w:lang w:val="en-US" w:eastAsia="zh-CN"/>
              </w:rPr>
              <w:t>DB65/T4061-2017</w:t>
            </w:r>
            <w:r>
              <w:rPr>
                <w:rFonts w:hint="default" w:ascii="Times New Roman" w:hAnsi="Times New Roman" w:eastAsia="宋体" w:cs="Times New Roman"/>
                <w:b/>
                <w:color w:val="auto"/>
                <w:sz w:val="21"/>
                <w:highlight w:val="none"/>
                <w:lang w:eastAsia="zh-CN"/>
              </w:rPr>
              <w:t>）</w:t>
            </w:r>
            <w:r>
              <w:rPr>
                <w:rFonts w:hint="default" w:ascii="Times New Roman" w:hAnsi="Times New Roman" w:eastAsia="宋体" w:cs="Times New Roman"/>
                <w:b/>
                <w:color w:val="auto"/>
                <w:sz w:val="21"/>
                <w:highlight w:val="none"/>
              </w:rPr>
              <w:t>相符性</w:t>
            </w:r>
            <w:r>
              <w:rPr>
                <w:rFonts w:hint="default" w:ascii="Times New Roman" w:hAnsi="Times New Roman" w:eastAsia="宋体" w:cs="Times New Roman"/>
                <w:b/>
                <w:color w:val="auto"/>
                <w:sz w:val="21"/>
                <w:highlight w:val="none"/>
                <w:lang w:val="en-US" w:eastAsia="zh-CN"/>
              </w:rPr>
              <w:t>分析</w:t>
            </w:r>
          </w:p>
          <w:tbl>
            <w:tblPr>
              <w:tblStyle w:val="34"/>
              <w:tblW w:w="73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2951"/>
              <w:gridCol w:w="2681"/>
              <w:gridCol w:w="1004"/>
            </w:tblGrid>
            <w:tr w14:paraId="553B7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14:paraId="49998215">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类别</w:t>
                  </w:r>
                </w:p>
              </w:tc>
              <w:tc>
                <w:tcPr>
                  <w:tcW w:w="2951" w:type="dxa"/>
                  <w:vAlign w:val="center"/>
                </w:tcPr>
                <w:p w14:paraId="3C9B9014">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相关要求</w:t>
                  </w:r>
                </w:p>
              </w:tc>
              <w:tc>
                <w:tcPr>
                  <w:tcW w:w="2681" w:type="dxa"/>
                  <w:vAlign w:val="center"/>
                </w:tcPr>
                <w:p w14:paraId="14511993">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本项目或场地情况</w:t>
                  </w:r>
                </w:p>
              </w:tc>
              <w:tc>
                <w:tcPr>
                  <w:tcW w:w="1004" w:type="dxa"/>
                  <w:vAlign w:val="center"/>
                </w:tcPr>
                <w:p w14:paraId="069D19B0">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相符性</w:t>
                  </w:r>
                </w:p>
              </w:tc>
            </w:tr>
            <w:tr w14:paraId="2B372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14:paraId="2604CC6E">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5.1 </w:t>
                  </w:r>
                </w:p>
              </w:tc>
              <w:tc>
                <w:tcPr>
                  <w:tcW w:w="2951" w:type="dxa"/>
                  <w:vAlign w:val="center"/>
                </w:tcPr>
                <w:p w14:paraId="3601EE85">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各企业应建立工业料堆场扬尘污染控制管理制度和工业料堆场作业相关操作规程，落实专人负责本单位的工业料堆场扬尘污染控制工作。</w:t>
                  </w:r>
                </w:p>
              </w:tc>
              <w:tc>
                <w:tcPr>
                  <w:tcW w:w="2681" w:type="dxa"/>
                  <w:vAlign w:val="center"/>
                </w:tcPr>
                <w:p w14:paraId="5DC56B8A">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本项目</w:t>
                  </w:r>
                  <w:r>
                    <w:rPr>
                      <w:rFonts w:hint="default" w:ascii="Times New Roman" w:hAnsi="Times New Roman" w:eastAsia="宋体" w:cs="Times New Roman"/>
                      <w:color w:val="auto"/>
                      <w:highlight w:val="none"/>
                      <w:lang w:val="en-US" w:eastAsia="zh-CN"/>
                    </w:rPr>
                    <w:t>建立工业料堆场扬尘污染控制管理制度和工业料堆场作业相关操作规程，由专人负责工业料堆场扬尘污染控制工作。</w:t>
                  </w:r>
                </w:p>
              </w:tc>
              <w:tc>
                <w:tcPr>
                  <w:tcW w:w="1004" w:type="dxa"/>
                  <w:vAlign w:val="center"/>
                </w:tcPr>
                <w:p w14:paraId="3630E73D">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p w14:paraId="00378479">
                  <w:pPr>
                    <w:pStyle w:val="111"/>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符合</w:t>
                  </w:r>
                </w:p>
              </w:tc>
            </w:tr>
            <w:tr w14:paraId="41A11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14:paraId="5DB4348E">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5.2</w:t>
                  </w:r>
                </w:p>
              </w:tc>
              <w:tc>
                <w:tcPr>
                  <w:tcW w:w="2951" w:type="dxa"/>
                  <w:vAlign w:val="center"/>
                </w:tcPr>
                <w:p w14:paraId="198ED5F6">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工业料堆场及其扬尘污染防治工程的设计应符合相关规定要求。</w:t>
                  </w:r>
                </w:p>
              </w:tc>
              <w:tc>
                <w:tcPr>
                  <w:tcW w:w="2681" w:type="dxa"/>
                  <w:vAlign w:val="center"/>
                </w:tcPr>
                <w:p w14:paraId="11457FBF">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本项目工业料</w:t>
                  </w:r>
                  <w:r>
                    <w:rPr>
                      <w:rFonts w:hint="default" w:ascii="Times New Roman" w:hAnsi="Times New Roman" w:eastAsia="宋体" w:cs="Times New Roman"/>
                      <w:color w:val="auto"/>
                      <w:highlight w:val="none"/>
                      <w:lang w:val="en-US" w:eastAsia="zh-CN"/>
                    </w:rPr>
                    <w:t>堆场周围设置不低于物料堆放物高度的围挡，并采用防尘网进行覆盖</w:t>
                  </w:r>
                </w:p>
              </w:tc>
              <w:tc>
                <w:tcPr>
                  <w:tcW w:w="1004" w:type="dxa"/>
                  <w:vAlign w:val="center"/>
                </w:tcPr>
                <w:p w14:paraId="5BDAA82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符合</w:t>
                  </w:r>
                </w:p>
              </w:tc>
            </w:tr>
            <w:tr w14:paraId="4D731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14:paraId="5B0F2CAD">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5.3</w:t>
                  </w:r>
                </w:p>
              </w:tc>
              <w:tc>
                <w:tcPr>
                  <w:tcW w:w="2951" w:type="dxa"/>
                  <w:vAlign w:val="center"/>
                </w:tcPr>
                <w:p w14:paraId="7B4BE648">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 选择工业料堆场位置应结合当地的自然环境、气象条件及水文地质条件。</w:t>
                  </w:r>
                </w:p>
              </w:tc>
              <w:tc>
                <w:tcPr>
                  <w:tcW w:w="2681" w:type="dxa"/>
                  <w:vAlign w:val="center"/>
                </w:tcPr>
                <w:p w14:paraId="6957022E">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本项目工业料</w:t>
                  </w:r>
                  <w:r>
                    <w:rPr>
                      <w:rFonts w:hint="default" w:ascii="Times New Roman" w:hAnsi="Times New Roman" w:eastAsia="宋体" w:cs="Times New Roman"/>
                      <w:color w:val="auto"/>
                      <w:highlight w:val="none"/>
                      <w:lang w:val="en-US" w:eastAsia="zh-CN"/>
                    </w:rPr>
                    <w:t>堆场地质稳定，</w:t>
                  </w:r>
                  <w:r>
                    <w:rPr>
                      <w:rFonts w:hint="eastAsia" w:ascii="Times New Roman" w:hAnsi="Times New Roman" w:cs="Times New Roman"/>
                      <w:color w:val="auto"/>
                      <w:highlight w:val="none"/>
                      <w:lang w:val="en-US" w:eastAsia="zh-CN"/>
                    </w:rPr>
                    <w:t>不</w:t>
                  </w:r>
                  <w:r>
                    <w:rPr>
                      <w:rFonts w:hint="default" w:ascii="Times New Roman" w:hAnsi="Times New Roman" w:eastAsia="宋体" w:cs="Times New Roman"/>
                      <w:color w:val="auto"/>
                      <w:highlight w:val="none"/>
                      <w:lang w:val="en-US" w:eastAsia="zh-CN"/>
                    </w:rPr>
                    <w:t>位于</w:t>
                  </w:r>
                  <w:r>
                    <w:rPr>
                      <w:rFonts w:hint="eastAsia" w:ascii="Times New Roman" w:hAnsi="Times New Roman" w:cs="Times New Roman"/>
                      <w:color w:val="auto"/>
                      <w:highlight w:val="none"/>
                      <w:lang w:val="en-US" w:eastAsia="zh-CN"/>
                    </w:rPr>
                    <w:t>敏感点</w:t>
                  </w:r>
                  <w:r>
                    <w:rPr>
                      <w:rFonts w:hint="default" w:ascii="Times New Roman" w:hAnsi="Times New Roman" w:eastAsia="宋体" w:cs="Times New Roman"/>
                      <w:color w:val="auto"/>
                      <w:highlight w:val="none"/>
                      <w:lang w:val="en-US" w:eastAsia="zh-CN"/>
                    </w:rPr>
                    <w:t>上风向。</w:t>
                  </w:r>
                </w:p>
              </w:tc>
              <w:tc>
                <w:tcPr>
                  <w:tcW w:w="1004" w:type="dxa"/>
                  <w:vAlign w:val="center"/>
                </w:tcPr>
                <w:p w14:paraId="1DC88C7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符合</w:t>
                  </w:r>
                </w:p>
              </w:tc>
            </w:tr>
            <w:tr w14:paraId="4000A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14:paraId="79F2AF9D">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5.5</w:t>
                  </w:r>
                </w:p>
              </w:tc>
              <w:tc>
                <w:tcPr>
                  <w:tcW w:w="2951" w:type="dxa"/>
                  <w:vAlign w:val="center"/>
                </w:tcPr>
                <w:p w14:paraId="665B32A2">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工业料堆场应布置在厂区的最小风频方向上，其长边应平行于厂区的主导风向。</w:t>
                  </w:r>
                </w:p>
              </w:tc>
              <w:tc>
                <w:tcPr>
                  <w:tcW w:w="2681" w:type="dxa"/>
                  <w:vAlign w:val="center"/>
                </w:tcPr>
                <w:p w14:paraId="3DDF91EC">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本项目工业料</w:t>
                  </w:r>
                  <w:r>
                    <w:rPr>
                      <w:rFonts w:hint="default" w:ascii="Times New Roman" w:hAnsi="Times New Roman" w:eastAsia="宋体" w:cs="Times New Roman"/>
                      <w:color w:val="auto"/>
                      <w:highlight w:val="none"/>
                      <w:lang w:val="en-US" w:eastAsia="zh-CN"/>
                    </w:rPr>
                    <w:t>堆场，位于</w:t>
                  </w:r>
                  <w:r>
                    <w:rPr>
                      <w:rFonts w:hint="eastAsia" w:ascii="Times New Roman" w:hAnsi="Times New Roman" w:cs="Times New Roman"/>
                      <w:color w:val="auto"/>
                      <w:highlight w:val="none"/>
                      <w:lang w:val="en-US" w:eastAsia="zh-CN"/>
                    </w:rPr>
                    <w:t>敏感点</w:t>
                  </w:r>
                  <w:r>
                    <w:rPr>
                      <w:rFonts w:hint="default" w:ascii="Times New Roman" w:hAnsi="Times New Roman" w:eastAsia="宋体" w:cs="Times New Roman"/>
                      <w:color w:val="auto"/>
                      <w:highlight w:val="none"/>
                      <w:lang w:val="en-US" w:eastAsia="zh-CN"/>
                    </w:rPr>
                    <w:t>最小风频方向上</w:t>
                  </w:r>
                </w:p>
              </w:tc>
              <w:tc>
                <w:tcPr>
                  <w:tcW w:w="1004" w:type="dxa"/>
                  <w:vAlign w:val="center"/>
                </w:tcPr>
                <w:p w14:paraId="2990E6F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符合</w:t>
                  </w:r>
                </w:p>
              </w:tc>
            </w:tr>
            <w:tr w14:paraId="306CE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14:paraId="2B53432C">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5.6</w:t>
                  </w:r>
                </w:p>
              </w:tc>
              <w:tc>
                <w:tcPr>
                  <w:tcW w:w="2951" w:type="dxa"/>
                  <w:vAlign w:val="center"/>
                </w:tcPr>
                <w:p w14:paraId="20C75533">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工业料堆场的污染防治应从源头控制，减少堆存量，通过优化生产原料配置、厂区布置，提高管 理水平、改善污染防治技术工艺、加强综合利用等措施减少环境污染，各工业大气污染物排放应符合相关规定。</w:t>
                  </w:r>
                </w:p>
              </w:tc>
              <w:tc>
                <w:tcPr>
                  <w:tcW w:w="2681" w:type="dxa"/>
                  <w:vAlign w:val="center"/>
                </w:tcPr>
                <w:p w14:paraId="1AC339FF">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本项目通过增加周转次数，减少堆存量，提高管理水平，加强污染防治技术工艺，加强综合利用等措施减少环境污染，工业大气污染物排放符合排放标准要求规定。</w:t>
                  </w:r>
                </w:p>
              </w:tc>
              <w:tc>
                <w:tcPr>
                  <w:tcW w:w="1004" w:type="dxa"/>
                  <w:vAlign w:val="center"/>
                </w:tcPr>
                <w:p w14:paraId="530221C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符合</w:t>
                  </w:r>
                </w:p>
              </w:tc>
            </w:tr>
            <w:tr w14:paraId="29165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14:paraId="44BCAB53">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5.8</w:t>
                  </w:r>
                </w:p>
              </w:tc>
              <w:tc>
                <w:tcPr>
                  <w:tcW w:w="2951" w:type="dxa"/>
                  <w:vAlign w:val="center"/>
                </w:tcPr>
                <w:p w14:paraId="7F933A26">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对工业料堆场内装卸、运输等作业过程中，易产生扬尘污染的物料必须采取封闭、遮盖、洒水降尘措施，密闭输送物料必须在装料、卸料处配备吸尘、喷淋防尘措施。</w:t>
                  </w:r>
                </w:p>
              </w:tc>
              <w:tc>
                <w:tcPr>
                  <w:tcW w:w="2681" w:type="dxa"/>
                  <w:vAlign w:val="center"/>
                </w:tcPr>
                <w:p w14:paraId="57984622">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w:t>
                  </w:r>
                  <w:r>
                    <w:rPr>
                      <w:rFonts w:hint="default" w:ascii="Times New Roman" w:hAnsi="Times New Roman" w:eastAsia="宋体" w:cs="Times New Roman"/>
                      <w:color w:val="auto"/>
                      <w:highlight w:val="none"/>
                      <w:lang w:val="en-US" w:eastAsia="zh-CN"/>
                    </w:rPr>
                    <w:t>易产生扬尘污染的物料采遮盖、洒水降尘措施。</w:t>
                  </w:r>
                </w:p>
              </w:tc>
              <w:tc>
                <w:tcPr>
                  <w:tcW w:w="1004" w:type="dxa"/>
                  <w:vAlign w:val="center"/>
                </w:tcPr>
                <w:p w14:paraId="70D4942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eastAsia" w:ascii="Times New Roman" w:hAnsi="Times New Roman" w:cs="Times New Roman"/>
                      <w:color w:val="auto"/>
                      <w:highlight w:val="none"/>
                      <w:lang w:val="en-US" w:eastAsia="zh-CN"/>
                    </w:rPr>
                    <w:t>符合</w:t>
                  </w:r>
                </w:p>
              </w:tc>
            </w:tr>
            <w:tr w14:paraId="4CFD7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14:paraId="7EA8FB59">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5.9</w:t>
                  </w:r>
                </w:p>
              </w:tc>
              <w:tc>
                <w:tcPr>
                  <w:tcW w:w="2951" w:type="dxa"/>
                  <w:vAlign w:val="center"/>
                </w:tcPr>
                <w:p w14:paraId="579CCCB4">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露天工业料堆场存放袋装、桶装及箱装件物品时，应加盖篷布遮护。</w:t>
                  </w:r>
                </w:p>
              </w:tc>
              <w:tc>
                <w:tcPr>
                  <w:tcW w:w="2681" w:type="dxa"/>
                  <w:vAlign w:val="center"/>
                </w:tcPr>
                <w:p w14:paraId="5B2A5398">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本项目露天工业料堆场存放袋装物品，加盖篷布遮护。</w:t>
                  </w:r>
                </w:p>
              </w:tc>
              <w:tc>
                <w:tcPr>
                  <w:tcW w:w="1004" w:type="dxa"/>
                  <w:vAlign w:val="center"/>
                </w:tcPr>
                <w:p w14:paraId="4CE0442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eastAsia" w:ascii="Times New Roman" w:hAnsi="Times New Roman" w:cs="Times New Roman"/>
                      <w:color w:val="auto"/>
                      <w:highlight w:val="none"/>
                      <w:lang w:val="en-US" w:eastAsia="zh-CN"/>
                    </w:rPr>
                    <w:t>符合</w:t>
                  </w:r>
                </w:p>
              </w:tc>
            </w:tr>
            <w:tr w14:paraId="3F1FA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14:paraId="046CE45B">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5.13</w:t>
                  </w:r>
                </w:p>
              </w:tc>
              <w:tc>
                <w:tcPr>
                  <w:tcW w:w="2951" w:type="dxa"/>
                  <w:vAlign w:val="center"/>
                </w:tcPr>
                <w:p w14:paraId="4899BA61">
                  <w:pPr>
                    <w:pStyle w:val="1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应管理和维护好料堆场堆存、装卸、输送和扬尘污染防治的设施、设备和场所，保证其正常运行和使用，并设立图形标志牌。</w:t>
                  </w:r>
                </w:p>
              </w:tc>
              <w:tc>
                <w:tcPr>
                  <w:tcW w:w="2681" w:type="dxa"/>
                  <w:vAlign w:val="center"/>
                </w:tcPr>
                <w:p w14:paraId="6A6AB886">
                  <w:pPr>
                    <w:pStyle w:val="11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w:t>
                  </w:r>
                  <w:r>
                    <w:rPr>
                      <w:rFonts w:hint="eastAsia" w:ascii="Times New Roman" w:hAnsi="Times New Roman" w:cs="Times New Roman"/>
                      <w:color w:val="auto"/>
                      <w:highlight w:val="none"/>
                      <w:lang w:val="en-US" w:eastAsia="zh-CN"/>
                    </w:rPr>
                    <w:t>对</w:t>
                  </w:r>
                  <w:r>
                    <w:rPr>
                      <w:rFonts w:hint="default" w:ascii="Times New Roman" w:hAnsi="Times New Roman" w:eastAsia="宋体" w:cs="Times New Roman"/>
                      <w:color w:val="auto"/>
                      <w:highlight w:val="none"/>
                      <w:lang w:val="en-US" w:eastAsia="zh-CN"/>
                    </w:rPr>
                    <w:t>原料堆存、装卸、输送和扬尘污染防治的设施、设备和场所及时进行维护，保证其正常运行和使用。</w:t>
                  </w:r>
                </w:p>
              </w:tc>
              <w:tc>
                <w:tcPr>
                  <w:tcW w:w="1004" w:type="dxa"/>
                  <w:vAlign w:val="center"/>
                </w:tcPr>
                <w:p w14:paraId="46EA0A1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eastAsia" w:ascii="Times New Roman" w:hAnsi="Times New Roman" w:cs="Times New Roman"/>
                      <w:color w:val="auto"/>
                      <w:highlight w:val="none"/>
                      <w:lang w:val="en-US" w:eastAsia="zh-CN"/>
                    </w:rPr>
                    <w:t>符合</w:t>
                  </w:r>
                </w:p>
              </w:tc>
            </w:tr>
          </w:tbl>
          <w:p w14:paraId="63A93B8B">
            <w:pPr>
              <w:keepNext w:val="0"/>
              <w:keepLines w:val="0"/>
              <w:numPr>
                <w:ilvl w:val="0"/>
                <w:numId w:val="0"/>
              </w:numPr>
              <w:suppressLineNumbers w:val="0"/>
              <w:autoSpaceDE w:val="0"/>
              <w:autoSpaceDN w:val="0"/>
              <w:spacing w:before="0" w:beforeAutospacing="0" w:after="0" w:afterAutospacing="0" w:line="360" w:lineRule="auto"/>
              <w:ind w:left="0" w:right="0" w:rightChars="0" w:firstLine="482" w:firstLineChars="200"/>
              <w:rPr>
                <w:rFonts w:hint="default" w:ascii="Times New Roman" w:hAnsi="Times New Roman" w:eastAsia="宋体" w:cs="Times New Roman"/>
                <w:b/>
                <w:bCs/>
                <w:color w:val="auto"/>
                <w:kern w:val="0"/>
                <w:sz w:val="24"/>
                <w:highlight w:val="none"/>
                <w:lang w:val="en-US" w:eastAsia="zh-CN"/>
              </w:rPr>
            </w:pPr>
            <w:r>
              <w:rPr>
                <w:rFonts w:hint="eastAsia" w:ascii="Times New Roman" w:hAnsi="Times New Roman" w:eastAsia="宋体" w:cs="Times New Roman"/>
                <w:b/>
                <w:bCs/>
                <w:color w:val="auto"/>
                <w:kern w:val="0"/>
                <w:sz w:val="24"/>
                <w:highlight w:val="none"/>
                <w:lang w:val="en-US" w:eastAsia="zh-CN"/>
              </w:rPr>
              <w:t>1</w:t>
            </w:r>
            <w:r>
              <w:rPr>
                <w:rFonts w:hint="eastAsia" w:ascii="Times New Roman" w:hAnsi="Times New Roman" w:cs="Times New Roman"/>
                <w:b/>
                <w:bCs/>
                <w:color w:val="auto"/>
                <w:kern w:val="0"/>
                <w:sz w:val="24"/>
                <w:highlight w:val="none"/>
                <w:lang w:val="en-US" w:eastAsia="zh-CN"/>
              </w:rPr>
              <w:t>4</w:t>
            </w:r>
            <w:r>
              <w:rPr>
                <w:rFonts w:hint="default" w:ascii="Times New Roman" w:hAnsi="Times New Roman" w:eastAsia="宋体" w:cs="Times New Roman"/>
                <w:b/>
                <w:bCs/>
                <w:color w:val="auto"/>
                <w:kern w:val="0"/>
                <w:sz w:val="24"/>
                <w:highlight w:val="none"/>
                <w:lang w:val="en-US" w:eastAsia="zh-CN"/>
              </w:rPr>
              <w:t>与《新疆维吾尔自治区大气污染防治条例》符合性</w:t>
            </w:r>
          </w:p>
          <w:p w14:paraId="280667C1">
            <w:pPr>
              <w:pStyle w:val="110"/>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第四十三条 贮存易产生扬尘的煤炭、煤矸石、煤渣、煤灰、水泥、石灰、石膏、砂土等物料的堆场应当密闭；不能密闭的，贮存单位或者个人应当采取下列防尘措施：</w:t>
            </w:r>
          </w:p>
          <w:p w14:paraId="5FC489BA">
            <w:pPr>
              <w:pStyle w:val="110"/>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（一）堆场的场坪、路面应当进行硬化处理，并保持路面整洁；</w:t>
            </w:r>
          </w:p>
          <w:p w14:paraId="2C50B734">
            <w:pPr>
              <w:pStyle w:val="110"/>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（二）堆场周边应当配备高于堆存物料的围挡、防风抑尘网等设施；</w:t>
            </w:r>
          </w:p>
          <w:p w14:paraId="1A955AC1">
            <w:pPr>
              <w:pStyle w:val="110"/>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（三）按照物料类别采取相应的覆盖、喷淋和围挡等防风抑尘措施。</w:t>
            </w:r>
          </w:p>
          <w:p w14:paraId="4468D15C">
            <w:pPr>
              <w:pStyle w:val="110"/>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露天装卸物料应当采取密闭或者喷淋等抑尘措施；输送的物料应当在装料、卸料处配备吸尘、喷淋等防尘设施。</w:t>
            </w:r>
          </w:p>
          <w:p w14:paraId="4B6B13A8">
            <w:pPr>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u w:val="none"/>
              </w:rPr>
            </w:pPr>
            <w:r>
              <w:rPr>
                <w:rFonts w:hint="default" w:ascii="Times New Roman" w:hAnsi="Times New Roman" w:eastAsia="宋体" w:cs="Times New Roman"/>
                <w:color w:val="auto"/>
                <w:kern w:val="0"/>
                <w:sz w:val="24"/>
                <w:highlight w:val="none"/>
                <w:u w:val="none"/>
              </w:rPr>
              <w:t>本项</w:t>
            </w:r>
            <w:r>
              <w:rPr>
                <w:rFonts w:hint="default" w:ascii="Times New Roman" w:hAnsi="Times New Roman" w:eastAsia="宋体" w:cs="Times New Roman"/>
                <w:color w:val="auto"/>
                <w:kern w:val="0"/>
                <w:sz w:val="24"/>
                <w:highlight w:val="none"/>
                <w:u w:val="none"/>
                <w:lang w:eastAsia="zh-CN"/>
              </w:rPr>
              <w:t>目</w:t>
            </w:r>
            <w:r>
              <w:rPr>
                <w:rFonts w:hint="default" w:ascii="Times New Roman" w:hAnsi="Times New Roman" w:eastAsia="宋体" w:cs="Times New Roman"/>
                <w:color w:val="auto"/>
                <w:kern w:val="0"/>
                <w:sz w:val="24"/>
                <w:highlight w:val="none"/>
                <w:u w:val="none"/>
              </w:rPr>
              <w:t>物料采取覆盖、喷淋和围挡</w:t>
            </w:r>
            <w:r>
              <w:rPr>
                <w:rFonts w:hint="default" w:ascii="Times New Roman" w:hAnsi="Times New Roman" w:eastAsia="宋体" w:cs="Times New Roman"/>
                <w:color w:val="auto"/>
                <w:kern w:val="0"/>
                <w:sz w:val="24"/>
                <w:highlight w:val="none"/>
                <w:u w:val="none"/>
                <w:lang w:eastAsia="zh-CN"/>
              </w:rPr>
              <w:t>措施来降尘，</w:t>
            </w:r>
            <w:r>
              <w:rPr>
                <w:rFonts w:hint="default" w:ascii="Times New Roman" w:hAnsi="Times New Roman" w:eastAsia="宋体" w:cs="Times New Roman"/>
                <w:color w:val="auto"/>
                <w:kern w:val="0"/>
                <w:sz w:val="24"/>
                <w:highlight w:val="none"/>
                <w:u w:val="none"/>
              </w:rPr>
              <w:t>符合《新疆维吾尔自治区大气污染防治条例》相关要求。</w:t>
            </w:r>
          </w:p>
          <w:p w14:paraId="0785A1AD">
            <w:pPr>
              <w:keepNext w:val="0"/>
              <w:keepLines w:val="0"/>
              <w:numPr>
                <w:ilvl w:val="0"/>
                <w:numId w:val="0"/>
              </w:numPr>
              <w:suppressLineNumbers w:val="0"/>
              <w:autoSpaceDE w:val="0"/>
              <w:autoSpaceDN w:val="0"/>
              <w:spacing w:before="0" w:beforeAutospacing="0" w:after="0" w:afterAutospacing="0" w:line="360" w:lineRule="auto"/>
              <w:ind w:left="0" w:right="0" w:rightChars="0" w:firstLine="482" w:firstLineChars="200"/>
              <w:rPr>
                <w:rFonts w:hint="default" w:ascii="Times New Roman" w:hAnsi="Times New Roman" w:eastAsia="宋体" w:cs="Times New Roman"/>
                <w:b/>
                <w:bCs/>
                <w:color w:val="0000FF"/>
                <w:kern w:val="0"/>
                <w:sz w:val="24"/>
                <w:highlight w:val="none"/>
                <w:lang w:val="en-US" w:eastAsia="zh-CN"/>
              </w:rPr>
            </w:pPr>
            <w:r>
              <w:rPr>
                <w:rFonts w:hint="eastAsia" w:ascii="Times New Roman" w:hAnsi="Times New Roman" w:eastAsia="宋体" w:cs="Times New Roman"/>
                <w:b/>
                <w:bCs/>
                <w:color w:val="0000FF"/>
                <w:kern w:val="0"/>
                <w:sz w:val="24"/>
                <w:highlight w:val="none"/>
                <w:lang w:val="en-US" w:eastAsia="zh-CN"/>
              </w:rPr>
              <w:t>1</w:t>
            </w:r>
            <w:r>
              <w:rPr>
                <w:rFonts w:hint="eastAsia" w:ascii="Times New Roman" w:hAnsi="Times New Roman" w:cs="Times New Roman"/>
                <w:b/>
                <w:bCs/>
                <w:color w:val="0000FF"/>
                <w:kern w:val="0"/>
                <w:sz w:val="24"/>
                <w:highlight w:val="none"/>
                <w:lang w:val="en-US" w:eastAsia="zh-CN"/>
              </w:rPr>
              <w:t>5</w:t>
            </w:r>
            <w:r>
              <w:rPr>
                <w:rFonts w:hint="default" w:ascii="Times New Roman" w:hAnsi="Times New Roman" w:eastAsia="宋体" w:cs="Times New Roman"/>
                <w:b/>
                <w:bCs/>
                <w:color w:val="0000FF"/>
                <w:kern w:val="0"/>
                <w:sz w:val="24"/>
                <w:highlight w:val="none"/>
                <w:lang w:val="en-US" w:eastAsia="zh-CN"/>
              </w:rPr>
              <w:t>与《</w:t>
            </w:r>
            <w:r>
              <w:rPr>
                <w:rFonts w:hint="eastAsia" w:ascii="Times New Roman" w:hAnsi="Times New Roman" w:eastAsia="宋体" w:cs="Times New Roman"/>
                <w:b/>
                <w:bCs/>
                <w:color w:val="0000FF"/>
                <w:kern w:val="0"/>
                <w:sz w:val="24"/>
                <w:highlight w:val="none"/>
                <w:lang w:val="en-US" w:eastAsia="zh-CN"/>
              </w:rPr>
              <w:t>自然资源部 生态环境部 国家林业和草原局关于加强生态保护红线管理的通知（试行）</w:t>
            </w:r>
            <w:r>
              <w:rPr>
                <w:rFonts w:hint="default" w:ascii="Times New Roman" w:hAnsi="Times New Roman" w:eastAsia="宋体" w:cs="Times New Roman"/>
                <w:b/>
                <w:bCs/>
                <w:color w:val="0000FF"/>
                <w:kern w:val="0"/>
                <w:sz w:val="24"/>
                <w:highlight w:val="none"/>
                <w:lang w:val="en-US" w:eastAsia="zh-CN"/>
              </w:rPr>
              <w:t>》符合性</w:t>
            </w:r>
          </w:p>
          <w:p w14:paraId="7073014D">
            <w:pPr>
              <w:pStyle w:val="110"/>
              <w:keepNext w:val="0"/>
              <w:keepLines w:val="0"/>
              <w:suppressLineNumbers w:val="0"/>
              <w:spacing w:before="0" w:beforeAutospacing="0" w:after="0" w:afterAutospacing="0"/>
              <w:ind w:left="0" w:right="0" w:firstLine="480"/>
              <w:rPr>
                <w:rFonts w:hint="default" w:ascii="Times New Roman" w:hAnsi="Times New Roman" w:eastAsia="宋体" w:cs="Times New Roman"/>
                <w:color w:val="0000FF"/>
                <w:highlight w:val="none"/>
                <w:u w:val="none"/>
              </w:rPr>
            </w:pPr>
            <w:r>
              <w:rPr>
                <w:rFonts w:hint="eastAsia" w:ascii="Times New Roman" w:hAnsi="Times New Roman" w:eastAsia="宋体" w:cs="Times New Roman"/>
                <w:color w:val="0000FF"/>
                <w:highlight w:val="none"/>
                <w:u w:val="none"/>
              </w:rPr>
              <w:t>（一）规范管控对生态功能不造成破坏的有限人为活动。生态保护红线是国土空间规划中的重要管控边界，生态保护红线内自然保护地核心保护区外，禁止开发性、生产性建设活动，在符合法律法规的前提下，仅允许以下对生态功能不造成破坏的有限人为活动。生态保护红线内自然保护区、风景名胜区、饮用水水源保护区等区域，依照法律法规执行</w:t>
            </w:r>
            <w:r>
              <w:rPr>
                <w:rFonts w:hint="eastAsia" w:ascii="Times New Roman" w:eastAsia="宋体" w:cs="Times New Roman"/>
                <w:color w:val="0000FF"/>
                <w:highlight w:val="none"/>
                <w:u w:val="none"/>
                <w:lang w:eastAsia="zh-CN"/>
              </w:rPr>
              <w:t>（</w:t>
            </w:r>
            <w:r>
              <w:rPr>
                <w:rFonts w:hint="eastAsia" w:ascii="Times New Roman" w:eastAsia="宋体" w:cs="Times New Roman"/>
                <w:color w:val="0000FF"/>
                <w:highlight w:val="none"/>
                <w:u w:val="none"/>
                <w:lang w:val="en-US" w:eastAsia="zh-CN"/>
              </w:rPr>
              <w:t>仅列出与项目相关条目</w:t>
            </w:r>
            <w:r>
              <w:rPr>
                <w:rFonts w:hint="eastAsia" w:ascii="Times New Roman" w:eastAsia="宋体" w:cs="Times New Roman"/>
                <w:color w:val="0000FF"/>
                <w:highlight w:val="none"/>
                <w:u w:val="none"/>
                <w:lang w:eastAsia="zh-CN"/>
              </w:rPr>
              <w:t>）</w:t>
            </w:r>
            <w:r>
              <w:rPr>
                <w:rFonts w:hint="eastAsia" w:ascii="Times New Roman" w:hAnsi="Times New Roman" w:eastAsia="宋体" w:cs="Times New Roman"/>
                <w:color w:val="0000FF"/>
                <w:highlight w:val="none"/>
                <w:u w:val="none"/>
              </w:rPr>
              <w:t>。</w:t>
            </w:r>
          </w:p>
          <w:p w14:paraId="3C79F5DA">
            <w:pPr>
              <w:pStyle w:val="110"/>
              <w:keepNext w:val="0"/>
              <w:keepLines w:val="0"/>
              <w:suppressLineNumbers w:val="0"/>
              <w:spacing w:before="0" w:beforeAutospacing="0" w:after="0" w:afterAutospacing="0"/>
              <w:ind w:left="0" w:right="0" w:firstLine="480"/>
              <w:rPr>
                <w:rFonts w:hint="eastAsia" w:ascii="Times New Roman" w:hAnsi="Times New Roman" w:eastAsia="宋体" w:cs="Times New Roman"/>
                <w:color w:val="0000FF"/>
                <w:highlight w:val="none"/>
                <w:u w:val="none"/>
              </w:rPr>
            </w:pPr>
            <w:r>
              <w:rPr>
                <w:rFonts w:hint="eastAsia" w:ascii="Times New Roman" w:hAnsi="Times New Roman" w:eastAsia="宋体" w:cs="Times New Roman"/>
                <w:color w:val="0000FF"/>
                <w:highlight w:val="none"/>
                <w:u w:val="none"/>
              </w:rPr>
              <w:t>6.必须且无法避让、符合县级以上国土空间规划的线性基础设施、通讯和防洪、供水设施建设和船舶航行、航道疏浚清淤等活动；</w:t>
            </w:r>
            <w:r>
              <w:rPr>
                <w:rFonts w:hint="eastAsia" w:ascii="Times New Roman" w:hAnsi="Times New Roman" w:eastAsia="宋体" w:cs="Times New Roman"/>
                <w:b/>
                <w:bCs/>
                <w:color w:val="0000FF"/>
                <w:highlight w:val="none"/>
                <w:u w:val="none"/>
              </w:rPr>
              <w:t>已有的合法水利、交通运输等设施运行维护改造。</w:t>
            </w:r>
          </w:p>
          <w:p w14:paraId="1D1A29E5">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0000FF"/>
                <w:kern w:val="0"/>
                <w:sz w:val="24"/>
                <w:szCs w:val="24"/>
                <w:highlight w:val="none"/>
                <w:u w:val="none"/>
                <w:lang w:val="en-US" w:eastAsia="zh-CN" w:bidi="ar-SA"/>
              </w:rPr>
            </w:pPr>
            <w:r>
              <w:rPr>
                <w:rFonts w:hint="eastAsia" w:ascii="Times New Roman" w:hAnsi="Times New Roman" w:eastAsia="宋体" w:cs="Times New Roman"/>
                <w:color w:val="0000FF"/>
                <w:highlight w:val="none"/>
                <w:u w:val="none"/>
              </w:rPr>
              <w:t>（</w:t>
            </w:r>
            <w:r>
              <w:rPr>
                <w:rFonts w:hint="eastAsia" w:ascii="Times New Roman" w:hAnsi="Times New Roman" w:eastAsia="宋体" w:cs="Times New Roman"/>
                <w:color w:val="0000FF"/>
                <w:kern w:val="0"/>
                <w:sz w:val="24"/>
                <w:szCs w:val="24"/>
                <w:highlight w:val="none"/>
                <w:u w:val="none"/>
                <w:lang w:val="en-US" w:eastAsia="zh-CN" w:bidi="ar-SA"/>
              </w:rPr>
              <w:t>二）加强有限人为活动管理。上述生态保护红线管控范围内有限人为活动，涉及新增建设用地、用海用岛审批的，在报批农用地转用、土地征收、海域使用权、无居民海岛开发利用时，附省级人民政府出具符合生态保护红线内允许有限人为活动的认定意见；</w:t>
            </w:r>
            <w:r>
              <w:rPr>
                <w:rFonts w:hint="eastAsia" w:ascii="Times New Roman" w:hAnsi="Times New Roman" w:eastAsia="宋体" w:cs="Times New Roman"/>
                <w:b/>
                <w:bCs/>
                <w:color w:val="0000FF"/>
                <w:kern w:val="0"/>
                <w:sz w:val="24"/>
                <w:szCs w:val="24"/>
                <w:highlight w:val="none"/>
                <w:u w:val="none"/>
                <w:lang w:val="en-US" w:eastAsia="zh-CN" w:bidi="ar-SA"/>
              </w:rPr>
              <w:t>不涉及新增建设用地</w:t>
            </w:r>
            <w:r>
              <w:rPr>
                <w:rFonts w:hint="eastAsia" w:ascii="Times New Roman" w:hAnsi="Times New Roman" w:eastAsia="宋体" w:cs="Times New Roman"/>
                <w:color w:val="0000FF"/>
                <w:kern w:val="0"/>
                <w:sz w:val="24"/>
                <w:szCs w:val="24"/>
                <w:highlight w:val="none"/>
                <w:u w:val="none"/>
                <w:lang w:val="en-US" w:eastAsia="zh-CN" w:bidi="ar-SA"/>
              </w:rPr>
              <w:t>、用海用岛审批的，按有关规定进行管理，无明确规定的由省级人民政府制定具体监管办法。上述活动涉及自然保护地的，应征求林业和草原主管部门或自然保护地管理机构意见。</w:t>
            </w:r>
          </w:p>
          <w:p w14:paraId="519BF5B6">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FF"/>
                <w:kern w:val="0"/>
                <w:sz w:val="24"/>
                <w:szCs w:val="24"/>
                <w:highlight w:val="none"/>
                <w:u w:val="none"/>
                <w:lang w:val="en-US" w:eastAsia="zh-CN" w:bidi="ar-SA"/>
              </w:rPr>
            </w:pPr>
            <w:r>
              <w:rPr>
                <w:rFonts w:hint="eastAsia" w:ascii="Times New Roman" w:hAnsi="Times New Roman" w:eastAsia="宋体" w:cs="Times New Roman"/>
                <w:color w:val="0000FF"/>
                <w:kern w:val="0"/>
                <w:sz w:val="24"/>
                <w:szCs w:val="24"/>
                <w:highlight w:val="none"/>
                <w:u w:val="none"/>
                <w:lang w:val="en-US" w:eastAsia="zh-CN" w:bidi="ar-SA"/>
              </w:rPr>
              <w:t>本项目不新增建设用地，属于已有的合法水利设施运行维护改造，符合</w:t>
            </w:r>
            <w:r>
              <w:rPr>
                <w:rFonts w:hint="default" w:ascii="Times New Roman" w:hAnsi="Times New Roman" w:eastAsia="宋体" w:cs="Times New Roman"/>
                <w:color w:val="0000FF"/>
                <w:kern w:val="0"/>
                <w:sz w:val="24"/>
                <w:szCs w:val="24"/>
                <w:highlight w:val="none"/>
                <w:u w:val="none"/>
                <w:lang w:val="en-US" w:eastAsia="zh-CN" w:bidi="ar-SA"/>
              </w:rPr>
              <w:t>《</w:t>
            </w:r>
            <w:r>
              <w:rPr>
                <w:rFonts w:hint="eastAsia" w:ascii="Times New Roman" w:hAnsi="Times New Roman" w:eastAsia="宋体" w:cs="Times New Roman"/>
                <w:color w:val="0000FF"/>
                <w:kern w:val="0"/>
                <w:sz w:val="24"/>
                <w:szCs w:val="24"/>
                <w:highlight w:val="none"/>
                <w:u w:val="none"/>
                <w:lang w:val="en-US" w:eastAsia="zh-CN" w:bidi="ar-SA"/>
              </w:rPr>
              <w:t>自然资源部 生态环境部 国家林业和草原局关于加强生态保护红线管理的通知（试行）</w:t>
            </w:r>
            <w:r>
              <w:rPr>
                <w:rFonts w:hint="default" w:ascii="Times New Roman" w:hAnsi="Times New Roman" w:eastAsia="宋体" w:cs="Times New Roman"/>
                <w:color w:val="0000FF"/>
                <w:kern w:val="0"/>
                <w:sz w:val="24"/>
                <w:szCs w:val="24"/>
                <w:highlight w:val="none"/>
                <w:u w:val="none"/>
                <w:lang w:val="en-US" w:eastAsia="zh-CN" w:bidi="ar-SA"/>
              </w:rPr>
              <w:t>》</w:t>
            </w:r>
            <w:r>
              <w:rPr>
                <w:rFonts w:hint="eastAsia" w:ascii="Times New Roman" w:hAnsi="Times New Roman" w:cs="Times New Roman"/>
                <w:color w:val="0000FF"/>
                <w:kern w:val="0"/>
                <w:sz w:val="24"/>
                <w:szCs w:val="24"/>
                <w:highlight w:val="none"/>
                <w:u w:val="none"/>
                <w:lang w:val="en-US" w:eastAsia="zh-CN" w:bidi="ar-SA"/>
              </w:rPr>
              <w:t>文件要求</w:t>
            </w:r>
            <w:r>
              <w:rPr>
                <w:rFonts w:hint="eastAsia" w:ascii="Times New Roman" w:hAnsi="Times New Roman" w:eastAsia="宋体" w:cs="Times New Roman"/>
                <w:color w:val="0000FF"/>
                <w:kern w:val="0"/>
                <w:sz w:val="24"/>
                <w:szCs w:val="24"/>
                <w:highlight w:val="none"/>
                <w:u w:val="none"/>
                <w:lang w:val="en-US" w:eastAsia="zh-CN" w:bidi="ar-SA"/>
              </w:rPr>
              <w:t>。</w:t>
            </w:r>
          </w:p>
          <w:p w14:paraId="4D5EFE17">
            <w:pPr>
              <w:keepNext w:val="0"/>
              <w:keepLines w:val="0"/>
              <w:numPr>
                <w:ilvl w:val="0"/>
                <w:numId w:val="0"/>
              </w:numPr>
              <w:suppressLineNumbers w:val="0"/>
              <w:autoSpaceDE w:val="0"/>
              <w:autoSpaceDN w:val="0"/>
              <w:spacing w:before="0" w:beforeAutospacing="0" w:after="0" w:afterAutospacing="0" w:line="360" w:lineRule="auto"/>
              <w:ind w:left="0" w:right="0" w:rightChars="0" w:firstLine="482" w:firstLineChars="200"/>
              <w:rPr>
                <w:rFonts w:hint="eastAsia" w:ascii="Times New Roman" w:hAnsi="Times New Roman" w:cs="Times New Roman"/>
                <w:b/>
                <w:bCs/>
                <w:color w:val="0000FF"/>
                <w:kern w:val="0"/>
                <w:sz w:val="24"/>
                <w:highlight w:val="none"/>
                <w:lang w:val="en-US" w:eastAsia="zh-CN"/>
              </w:rPr>
            </w:pPr>
            <w:r>
              <w:rPr>
                <w:rFonts w:hint="eastAsia" w:ascii="Times New Roman" w:hAnsi="Times New Roman" w:cs="Times New Roman"/>
                <w:b/>
                <w:bCs/>
                <w:color w:val="0000FF"/>
                <w:kern w:val="0"/>
                <w:sz w:val="24"/>
                <w:highlight w:val="none"/>
                <w:lang w:val="en-US" w:eastAsia="zh-CN"/>
              </w:rPr>
              <w:t>16与</w:t>
            </w:r>
            <w:r>
              <w:rPr>
                <w:rFonts w:hint="eastAsia" w:ascii="Times New Roman" w:hAnsi="Times New Roman" w:eastAsia="宋体" w:cs="Times New Roman"/>
                <w:b/>
                <w:bCs/>
                <w:color w:val="0000FF"/>
                <w:kern w:val="0"/>
                <w:sz w:val="24"/>
                <w:highlight w:val="none"/>
                <w:lang w:val="en-US" w:eastAsia="zh-CN"/>
              </w:rPr>
              <w:t>自治区自然资源厅、生态环境厅、林业和草原局联合印发《关于加强自治区生态保护红线管理的通知（试行）》</w:t>
            </w:r>
            <w:r>
              <w:rPr>
                <w:rFonts w:hint="eastAsia" w:ascii="Times New Roman" w:hAnsi="Times New Roman" w:cs="Times New Roman"/>
                <w:b/>
                <w:bCs/>
                <w:color w:val="0000FF"/>
                <w:kern w:val="0"/>
                <w:sz w:val="24"/>
                <w:highlight w:val="none"/>
                <w:lang w:val="en-US" w:eastAsia="zh-CN"/>
              </w:rPr>
              <w:t>符合性</w:t>
            </w:r>
          </w:p>
          <w:p w14:paraId="7C8B62FA">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0000FF"/>
                <w:highlight w:val="none"/>
                <w:u w:val="none"/>
              </w:rPr>
            </w:pPr>
            <w:r>
              <w:rPr>
                <w:rFonts w:hint="eastAsia" w:ascii="Times New Roman" w:hAnsi="Times New Roman" w:eastAsia="宋体" w:cs="Times New Roman"/>
                <w:color w:val="0000FF"/>
                <w:highlight w:val="none"/>
                <w:u w:val="none"/>
              </w:rPr>
              <w:t>(一)生态保护红线内，自然保护地核心保护区原则上禁止人为活动;自然保护地核心保护区外禁止开发性、生产性建设活动，在符合法律法规的前提下，仅允许对生态功能不造成破坏的有限人为活动。生态保护红线内自然保护区、风景名胜区、饮用水水源保护区等区域，依照法律法规执行</w:t>
            </w:r>
            <w:r>
              <w:rPr>
                <w:rFonts w:hint="eastAsia" w:ascii="Times New Roman" w:hAnsi="Times New Roman" w:eastAsia="宋体" w:cs="Times New Roman"/>
                <w:color w:val="0000FF"/>
                <w:highlight w:val="none"/>
                <w:u w:val="none"/>
                <w:lang w:eastAsia="zh-CN"/>
              </w:rPr>
              <w:t>（</w:t>
            </w:r>
            <w:r>
              <w:rPr>
                <w:rFonts w:hint="eastAsia" w:ascii="Times New Roman" w:hAnsi="Times New Roman" w:eastAsia="宋体" w:cs="Times New Roman"/>
                <w:color w:val="0000FF"/>
                <w:highlight w:val="none"/>
                <w:u w:val="none"/>
                <w:lang w:val="en-US" w:eastAsia="zh-CN"/>
              </w:rPr>
              <w:t>仅列出与项目相关条目）</w:t>
            </w:r>
            <w:r>
              <w:rPr>
                <w:rFonts w:hint="eastAsia" w:ascii="Times New Roman" w:hAnsi="Times New Roman" w:eastAsia="宋体" w:cs="Times New Roman"/>
                <w:color w:val="0000FF"/>
                <w:highlight w:val="none"/>
                <w:u w:val="none"/>
              </w:rPr>
              <w:t>。</w:t>
            </w:r>
          </w:p>
          <w:p w14:paraId="04CF717E">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0000FF"/>
                <w:highlight w:val="none"/>
                <w:u w:val="none"/>
                <w:lang w:eastAsia="zh-CN"/>
              </w:rPr>
            </w:pPr>
            <w:r>
              <w:rPr>
                <w:rFonts w:hint="eastAsia" w:ascii="Times New Roman" w:hAnsi="Times New Roman" w:eastAsia="宋体" w:cs="Times New Roman"/>
                <w:color w:val="0000FF"/>
                <w:highlight w:val="none"/>
                <w:u w:val="none"/>
              </w:rPr>
              <w:t>6.必须且无法避让、符合县级及以上国土空间规划的线性基础设施、通讯、防洪、供水设施建设和船舶航行、航道疏浚清淤等活动</w:t>
            </w:r>
            <w:r>
              <w:rPr>
                <w:rFonts w:hint="eastAsia" w:ascii="Times New Roman" w:hAnsi="Times New Roman" w:cs="Times New Roman"/>
                <w:color w:val="0000FF"/>
                <w:highlight w:val="none"/>
                <w:u w:val="none"/>
                <w:lang w:eastAsia="zh-CN"/>
              </w:rPr>
              <w:t>；</w:t>
            </w:r>
            <w:r>
              <w:rPr>
                <w:rFonts w:hint="eastAsia" w:ascii="Times New Roman" w:hAnsi="Times New Roman" w:eastAsia="宋体" w:cs="Times New Roman"/>
                <w:b/>
                <w:bCs/>
                <w:color w:val="0000FF"/>
                <w:highlight w:val="none"/>
                <w:u w:val="none"/>
              </w:rPr>
              <w:t>已有的合法水利、交通运输等设施运行维护改造</w:t>
            </w:r>
            <w:r>
              <w:rPr>
                <w:rFonts w:hint="eastAsia" w:ascii="Times New Roman" w:hAnsi="Times New Roman" w:eastAsia="宋体" w:cs="Times New Roman"/>
                <w:color w:val="0000FF"/>
                <w:highlight w:val="none"/>
                <w:u w:val="none"/>
              </w:rPr>
              <w:t>。主要包括:公路、铁路、桥梁、隧道、电缆、油气、供热、防洪、供水等基础设施;输变电、通信基站、广电发射台等附属设施</w:t>
            </w:r>
            <w:r>
              <w:rPr>
                <w:rFonts w:hint="eastAsia" w:ascii="Times New Roman" w:hAnsi="Times New Roman" w:cs="Times New Roman"/>
                <w:color w:val="0000FF"/>
                <w:highlight w:val="none"/>
                <w:u w:val="none"/>
                <w:lang w:eastAsia="zh-CN"/>
              </w:rPr>
              <w:t>；</w:t>
            </w:r>
            <w:r>
              <w:rPr>
                <w:rFonts w:hint="eastAsia" w:ascii="Times New Roman" w:hAnsi="Times New Roman" w:eastAsia="宋体" w:cs="Times New Roman"/>
                <w:color w:val="0000FF"/>
                <w:highlight w:val="none"/>
                <w:u w:val="none"/>
              </w:rPr>
              <w:t>河道、湖泊治理及其堤坝、岸坡加固，水库除险加固、清淤扩容及维修养护等工程。</w:t>
            </w:r>
          </w:p>
          <w:p w14:paraId="37064AEC">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0000FF"/>
                <w:highlight w:val="none"/>
                <w:u w:val="none"/>
              </w:rPr>
            </w:pPr>
            <w:r>
              <w:rPr>
                <w:rFonts w:hint="eastAsia" w:ascii="Times New Roman" w:hAnsi="Times New Roman" w:eastAsia="宋体" w:cs="Times New Roman"/>
                <w:color w:val="0000FF"/>
                <w:highlight w:val="none"/>
                <w:u w:val="none"/>
              </w:rPr>
              <w:t>（二）</w:t>
            </w:r>
            <w:r>
              <w:rPr>
                <w:rFonts w:hint="eastAsia" w:ascii="Times New Roman" w:hAnsi="Times New Roman" w:eastAsia="宋体" w:cs="Times New Roman"/>
                <w:b/>
                <w:bCs/>
                <w:color w:val="0000FF"/>
                <w:highlight w:val="none"/>
                <w:u w:val="none"/>
              </w:rPr>
              <w:t>有限人为活动不涉及新增用地审批的，应严格控制活动强度和规模，避免对生态功能造成破坏。</w:t>
            </w:r>
            <w:r>
              <w:rPr>
                <w:rFonts w:hint="eastAsia" w:ascii="Times New Roman" w:hAnsi="Times New Roman" w:eastAsia="宋体" w:cs="Times New Roman"/>
                <w:color w:val="0000FF"/>
                <w:highlight w:val="none"/>
                <w:u w:val="none"/>
              </w:rPr>
              <w:t>其中，无具体建设活动的，由主管部门按规定做好管理；有具体建设活动的，由建设活动所在县（市）人民政府组织自然资源、生态环境、林业和草原等主管部门进行审查，对符合要求的，形成认定意见，明确建设活动符合生态保护红线内允许有限人为活动要求，作为有关部门开展建设活动管理的依据和办理相关手续的依据。原住居民在不扩大现有建设用地范围和规模前提下修筑生产生活设施的，可免于审查。</w:t>
            </w:r>
          </w:p>
          <w:p w14:paraId="167BA9AB">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FF"/>
                <w:highlight w:val="none"/>
                <w:u w:val="none"/>
                <w:lang w:val="en-US" w:eastAsia="zh-CN"/>
              </w:rPr>
            </w:pPr>
            <w:r>
              <w:rPr>
                <w:rFonts w:hint="eastAsia" w:ascii="Times New Roman" w:hAnsi="Times New Roman" w:eastAsia="宋体" w:cs="Times New Roman"/>
                <w:color w:val="0000FF"/>
                <w:kern w:val="0"/>
                <w:sz w:val="24"/>
                <w:szCs w:val="24"/>
                <w:highlight w:val="none"/>
                <w:u w:val="none"/>
                <w:lang w:val="en-US" w:eastAsia="zh-CN" w:bidi="ar-SA"/>
              </w:rPr>
              <w:t>本项目不新增建设用地，属于已有的合法水利设施运行维护改造，符合自治区自然资源厅、生态环境厅、林业和草原局联合印发《关于加强自治区生态保护红线管理的通知（试行）》文件要求。</w:t>
            </w:r>
          </w:p>
        </w:tc>
      </w:tr>
    </w:tbl>
    <w:p w14:paraId="7D6AF148">
      <w:pPr>
        <w:pStyle w:val="2"/>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rPr>
        <w:br w:type="page"/>
      </w:r>
    </w:p>
    <w:p w14:paraId="76A94E9D">
      <w:pPr>
        <w:pStyle w:val="28"/>
        <w:jc w:val="center"/>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sz w:val="30"/>
          <w:szCs w:val="30"/>
        </w:rPr>
        <w:t>二、建设内容</w:t>
      </w:r>
    </w:p>
    <w:tbl>
      <w:tblPr>
        <w:tblStyle w:val="33"/>
        <w:tblW w:w="90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8"/>
        <w:gridCol w:w="8362"/>
      </w:tblGrid>
      <w:tr w14:paraId="52091D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728" w:type="dxa"/>
            <w:vAlign w:val="center"/>
          </w:tcPr>
          <w:p w14:paraId="49A23EFB">
            <w:pPr>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地理位置</w:t>
            </w:r>
          </w:p>
        </w:tc>
        <w:tc>
          <w:tcPr>
            <w:tcW w:w="8362" w:type="dxa"/>
            <w:vAlign w:val="center"/>
          </w:tcPr>
          <w:p w14:paraId="102005AF">
            <w:pPr>
              <w:pStyle w:val="10"/>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eastAsia="宋体" w:cs="Times New Roman"/>
                <w:color w:val="0000FF"/>
                <w:kern w:val="2"/>
                <w:sz w:val="24"/>
                <w:szCs w:val="24"/>
                <w:lang w:val="en-US" w:eastAsia="zh-CN" w:bidi="ar-SA"/>
              </w:rPr>
            </w:pPr>
            <w:r>
              <w:rPr>
                <w:rFonts w:hint="default" w:ascii="Times New Roman" w:hAnsi="Times New Roman" w:eastAsia="宋体" w:cs="Times New Roman"/>
                <w:color w:val="0000FF"/>
                <w:kern w:val="2"/>
                <w:sz w:val="24"/>
                <w:szCs w:val="24"/>
                <w:lang w:val="en-US" w:eastAsia="zh-CN" w:bidi="ar-SA"/>
              </w:rPr>
              <w:t>为落实中共中央、国务院和自治区、自治区政府关于全面推进社会主义新农村建设的文件精神，全面推进泽普县社会主义新农村建设，加大乡村振兴建设力度，改善基本生产生活条件，促进优势产业发展，对农村小型公益性基础设施、农村产业发展配套基础设施等的配套，实现区域产业扶持和提升，为经济社会的全面提升创造基础条件，通过实施本项目，有效促进当地农民就业增收，为促进当地社会经济发展起到了良好的带头作用。</w:t>
            </w:r>
          </w:p>
          <w:p w14:paraId="26A6CB92">
            <w:pPr>
              <w:pStyle w:val="10"/>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eastAsia="宋体" w:cs="Times New Roman"/>
                <w:color w:val="0000FF"/>
                <w:kern w:val="2"/>
                <w:sz w:val="24"/>
                <w:szCs w:val="24"/>
                <w:lang w:val="en-US" w:eastAsia="zh-CN" w:bidi="ar-SA"/>
              </w:rPr>
            </w:pPr>
            <w:r>
              <w:rPr>
                <w:rFonts w:hint="default" w:ascii="Times New Roman" w:hAnsi="Times New Roman" w:eastAsia="宋体" w:cs="Times New Roman"/>
                <w:color w:val="0000FF"/>
                <w:kern w:val="2"/>
                <w:sz w:val="24"/>
                <w:szCs w:val="24"/>
                <w:lang w:val="en-US" w:eastAsia="zh-CN" w:bidi="ar-SA"/>
              </w:rPr>
              <w:t>项目区内渠线失修淤积严重，渠道未防渗、闸桥涵等配套建筑物不配套、渠道输水损失大、渠道输水和灌溉效率低等问题，建筑物破损老化严重、不配套，水流缓慢，不能满足适时灌溉的需求，农业灌溉用水渗、漏、跑等现象严重，部分耕地存在难以灌溉现象，土地经营效益较差，现状因灌溉引发的矛盾显得尤为突出。项目区内水利基础设施十分薄弱，水资源的利用率极低，水利设施亟待改善。通过防渗渠道改造，可减少渠道水的渗漏损失，提高渠道水有效利用系数，增加有效水量，还能通过支付劳务报酬增加农民收入，促进该项目区经济发展、提高人们生活水平。</w:t>
            </w:r>
          </w:p>
          <w:p w14:paraId="0BD2E886">
            <w:pPr>
              <w:pStyle w:val="10"/>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本项目位于</w:t>
            </w:r>
            <w:r>
              <w:rPr>
                <w:rFonts w:hint="eastAsia" w:ascii="Times New Roman" w:hAnsi="Times New Roman" w:cs="Times New Roman"/>
                <w:color w:val="auto"/>
                <w:kern w:val="2"/>
                <w:sz w:val="24"/>
                <w:szCs w:val="24"/>
                <w:lang w:val="en-US" w:eastAsia="zh-CN" w:bidi="ar-SA"/>
              </w:rPr>
              <w:t>莎车县霍什拉甫乡阿热塔什(4)村，</w:t>
            </w:r>
            <w:r>
              <w:rPr>
                <w:rFonts w:hint="eastAsia" w:ascii="宋体" w:hAnsi="宋体" w:cs="宋体"/>
                <w:color w:val="auto"/>
                <w:spacing w:val="-3"/>
                <w:sz w:val="24"/>
                <w:szCs w:val="24"/>
                <w:lang w:val="en-US" w:eastAsia="zh-CN"/>
              </w:rPr>
              <w:t>改建</w:t>
            </w:r>
            <w:r>
              <w:rPr>
                <w:rFonts w:ascii="Times New Roman" w:hAnsi="Times New Roman" w:eastAsia="Times New Roman" w:cs="Times New Roman"/>
                <w:color w:val="auto"/>
                <w:spacing w:val="-3"/>
                <w:sz w:val="24"/>
                <w:szCs w:val="24"/>
              </w:rPr>
              <w:t>0.</w:t>
            </w:r>
            <w:r>
              <w:rPr>
                <w:rFonts w:hint="eastAsia" w:ascii="Times New Roman" w:hAnsi="Times New Roman" w:eastAsia="宋体" w:cs="Times New Roman"/>
                <w:color w:val="auto"/>
                <w:spacing w:val="-3"/>
                <w:sz w:val="24"/>
                <w:szCs w:val="24"/>
                <w:lang w:val="en-US" w:eastAsia="zh-CN"/>
              </w:rPr>
              <w:t>2</w:t>
            </w:r>
            <w:r>
              <w:rPr>
                <w:rFonts w:ascii="Times New Roman" w:hAnsi="Times New Roman" w:eastAsia="Times New Roman" w:cs="Times New Roman"/>
                <w:color w:val="auto"/>
                <w:spacing w:val="-4"/>
                <w:sz w:val="24"/>
                <w:szCs w:val="24"/>
              </w:rPr>
              <w:t>-0.</w:t>
            </w:r>
            <w:r>
              <w:rPr>
                <w:rFonts w:hint="eastAsia" w:ascii="Times New Roman" w:hAnsi="Times New Roman" w:cs="Times New Roman"/>
                <w:color w:val="auto"/>
                <w:spacing w:val="-4"/>
                <w:sz w:val="24"/>
                <w:szCs w:val="24"/>
                <w:lang w:val="en-US" w:eastAsia="zh-CN"/>
              </w:rPr>
              <w:t>5</w:t>
            </w:r>
            <w:r>
              <w:rPr>
                <w:rFonts w:ascii="Times New Roman" w:hAnsi="Times New Roman" w:eastAsia="Times New Roman" w:cs="Times New Roman"/>
                <w:color w:val="auto"/>
                <w:spacing w:val="-4"/>
                <w:sz w:val="24"/>
                <w:szCs w:val="24"/>
              </w:rPr>
              <w:t>m</w:t>
            </w:r>
            <w:r>
              <w:rPr>
                <w:rFonts w:ascii="宋体" w:hAnsi="宋体" w:eastAsia="宋体" w:cs="宋体"/>
                <w:color w:val="auto"/>
                <w:spacing w:val="-4"/>
                <w:sz w:val="24"/>
                <w:szCs w:val="24"/>
              </w:rPr>
              <w:t>³</w:t>
            </w:r>
            <w:r>
              <w:rPr>
                <w:rFonts w:ascii="Times New Roman" w:hAnsi="Times New Roman" w:eastAsia="Times New Roman" w:cs="Times New Roman"/>
                <w:color w:val="auto"/>
                <w:spacing w:val="-4"/>
                <w:sz w:val="24"/>
                <w:szCs w:val="24"/>
              </w:rPr>
              <w:t>/s</w:t>
            </w:r>
            <w:r>
              <w:rPr>
                <w:rFonts w:ascii="宋体" w:hAnsi="宋体" w:eastAsia="宋体" w:cs="宋体"/>
                <w:color w:val="auto"/>
                <w:spacing w:val="-4"/>
                <w:sz w:val="24"/>
                <w:szCs w:val="24"/>
              </w:rPr>
              <w:t>防渗渠</w:t>
            </w:r>
            <w:r>
              <w:rPr>
                <w:rFonts w:hint="eastAsia" w:ascii="Times New Roman" w:hAnsi="Times New Roman" w:cs="Times New Roman"/>
                <w:color w:val="auto"/>
                <w:spacing w:val="-4"/>
                <w:sz w:val="24"/>
                <w:szCs w:val="24"/>
                <w:lang w:eastAsia="zh-CN"/>
              </w:rPr>
              <w:t>9.88</w:t>
            </w:r>
            <w:r>
              <w:rPr>
                <w:rFonts w:ascii="Times New Roman" w:hAnsi="Times New Roman" w:eastAsia="Times New Roman" w:cs="Times New Roman"/>
                <w:color w:val="auto"/>
                <w:spacing w:val="-4"/>
                <w:sz w:val="24"/>
                <w:szCs w:val="24"/>
              </w:rPr>
              <w:t>km</w:t>
            </w:r>
            <w:r>
              <w:rPr>
                <w:rFonts w:hint="eastAsia" w:ascii="宋体" w:hAnsi="宋体" w:cs="宋体"/>
                <w:color w:val="auto"/>
                <w:spacing w:val="-4"/>
                <w:sz w:val="24"/>
                <w:szCs w:val="24"/>
                <w:lang w:eastAsia="zh-CN"/>
              </w:rPr>
              <w:t>，</w:t>
            </w:r>
            <w:r>
              <w:rPr>
                <w:rFonts w:hint="eastAsia" w:ascii="宋体" w:hAnsi="宋体" w:cs="宋体"/>
                <w:color w:val="auto"/>
                <w:spacing w:val="-4"/>
                <w:sz w:val="24"/>
                <w:szCs w:val="24"/>
                <w:lang w:val="en-US" w:eastAsia="zh-CN"/>
              </w:rPr>
              <w:t>配套渠系建筑物57座，其中水闸38座，纳共盖板5座，涵桥8座，渡槽4座，纳洪口1座，跌水1座。</w:t>
            </w:r>
            <w:r>
              <w:rPr>
                <w:rFonts w:hint="eastAsia" w:ascii="Times New Roman" w:hAnsi="Times New Roman" w:cs="Times New Roman"/>
                <w:color w:val="auto"/>
                <w:kern w:val="2"/>
                <w:sz w:val="24"/>
                <w:szCs w:val="24"/>
                <w:lang w:val="en-US" w:eastAsia="zh-CN" w:bidi="ar-SA"/>
              </w:rPr>
              <w:t>各渠道地理坐标如下。</w:t>
            </w:r>
          </w:p>
          <w:tbl>
            <w:tblPr>
              <w:tblStyle w:val="97"/>
              <w:tblW w:w="4914"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4"/>
              <w:gridCol w:w="1689"/>
              <w:gridCol w:w="1463"/>
              <w:gridCol w:w="1414"/>
              <w:gridCol w:w="1512"/>
              <w:gridCol w:w="1390"/>
            </w:tblGrid>
            <w:tr w14:paraId="31CC0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jc w:val="center"/>
              </w:trPr>
              <w:tc>
                <w:tcPr>
                  <w:tcW w:w="534" w:type="dxa"/>
                  <w:noWrap w:val="0"/>
                  <w:vAlign w:val="center"/>
                </w:tcPr>
                <w:p w14:paraId="5401B85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序号</w:t>
                  </w:r>
                </w:p>
              </w:tc>
              <w:tc>
                <w:tcPr>
                  <w:tcW w:w="1689" w:type="dxa"/>
                  <w:noWrap w:val="0"/>
                  <w:vAlign w:val="center"/>
                </w:tcPr>
                <w:p w14:paraId="6A2C0CA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渠道名称</w:t>
                  </w:r>
                </w:p>
              </w:tc>
              <w:tc>
                <w:tcPr>
                  <w:tcW w:w="1463" w:type="dxa"/>
                  <w:tcBorders>
                    <w:right w:val="single" w:color="auto" w:sz="4" w:space="0"/>
                  </w:tcBorders>
                  <w:noWrap w:val="0"/>
                  <w:vAlign w:val="center"/>
                </w:tcPr>
                <w:p w14:paraId="059DB8B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起点经度</w:t>
                  </w:r>
                </w:p>
              </w:tc>
              <w:tc>
                <w:tcPr>
                  <w:tcW w:w="1414" w:type="dxa"/>
                  <w:tcBorders>
                    <w:left w:val="single" w:color="auto" w:sz="4" w:space="0"/>
                  </w:tcBorders>
                  <w:noWrap w:val="0"/>
                  <w:vAlign w:val="center"/>
                </w:tcPr>
                <w:p w14:paraId="27222F0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起点纬度</w:t>
                  </w:r>
                </w:p>
              </w:tc>
              <w:tc>
                <w:tcPr>
                  <w:tcW w:w="1512" w:type="dxa"/>
                  <w:tcBorders>
                    <w:right w:val="single" w:color="auto" w:sz="4" w:space="0"/>
                  </w:tcBorders>
                  <w:noWrap w:val="0"/>
                  <w:vAlign w:val="center"/>
                </w:tcPr>
                <w:p w14:paraId="016B2EB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终点经度</w:t>
                  </w:r>
                </w:p>
              </w:tc>
              <w:tc>
                <w:tcPr>
                  <w:tcW w:w="1390" w:type="dxa"/>
                  <w:tcBorders>
                    <w:left w:val="single" w:color="auto" w:sz="4" w:space="0"/>
                  </w:tcBorders>
                  <w:noWrap w:val="0"/>
                  <w:vAlign w:val="center"/>
                </w:tcPr>
                <w:p w14:paraId="381B96A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终点纬度</w:t>
                  </w:r>
                </w:p>
              </w:tc>
            </w:tr>
            <w:tr w14:paraId="6142BE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jc w:val="center"/>
              </w:trPr>
              <w:tc>
                <w:tcPr>
                  <w:tcW w:w="534" w:type="dxa"/>
                  <w:noWrap w:val="0"/>
                  <w:vAlign w:val="center"/>
                </w:tcPr>
                <w:p w14:paraId="580B664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1</w:t>
                  </w:r>
                </w:p>
              </w:tc>
              <w:tc>
                <w:tcPr>
                  <w:tcW w:w="1689" w:type="dxa"/>
                  <w:noWrap w:val="0"/>
                  <w:vAlign w:val="center"/>
                </w:tcPr>
                <w:p w14:paraId="78E96DF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4村1斗渠</w:t>
                  </w:r>
                </w:p>
              </w:tc>
              <w:tc>
                <w:tcPr>
                  <w:tcW w:w="1463" w:type="dxa"/>
                  <w:tcBorders>
                    <w:right w:val="single" w:color="auto" w:sz="4" w:space="0"/>
                  </w:tcBorders>
                  <w:noWrap w:val="0"/>
                  <w:vAlign w:val="bottom"/>
                </w:tcPr>
                <w:p w14:paraId="3996578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76°28'29.353"</w:t>
                  </w:r>
                </w:p>
              </w:tc>
              <w:tc>
                <w:tcPr>
                  <w:tcW w:w="1414" w:type="dxa"/>
                  <w:tcBorders>
                    <w:left w:val="single" w:color="auto" w:sz="4" w:space="0"/>
                  </w:tcBorders>
                  <w:noWrap w:val="0"/>
                  <w:vAlign w:val="bottom"/>
                </w:tcPr>
                <w:p w14:paraId="3E6BE64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37°58'47.068"</w:t>
                  </w:r>
                </w:p>
              </w:tc>
              <w:tc>
                <w:tcPr>
                  <w:tcW w:w="1512" w:type="dxa"/>
                  <w:tcBorders>
                    <w:right w:val="single" w:color="auto" w:sz="4" w:space="0"/>
                  </w:tcBorders>
                  <w:noWrap w:val="0"/>
                  <w:vAlign w:val="bottom"/>
                </w:tcPr>
                <w:p w14:paraId="4793FB3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76°31'39.169"</w:t>
                  </w:r>
                </w:p>
              </w:tc>
              <w:tc>
                <w:tcPr>
                  <w:tcW w:w="1390" w:type="dxa"/>
                  <w:tcBorders>
                    <w:left w:val="single" w:color="auto" w:sz="4" w:space="0"/>
                  </w:tcBorders>
                  <w:noWrap w:val="0"/>
                  <w:vAlign w:val="bottom"/>
                </w:tcPr>
                <w:p w14:paraId="4E31C99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37°59'16.017"</w:t>
                  </w:r>
                </w:p>
              </w:tc>
            </w:tr>
            <w:tr w14:paraId="1C93E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jc w:val="center"/>
              </w:trPr>
              <w:tc>
                <w:tcPr>
                  <w:tcW w:w="534" w:type="dxa"/>
                  <w:noWrap w:val="0"/>
                  <w:vAlign w:val="center"/>
                </w:tcPr>
                <w:p w14:paraId="486E247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2</w:t>
                  </w:r>
                </w:p>
              </w:tc>
              <w:tc>
                <w:tcPr>
                  <w:tcW w:w="1689" w:type="dxa"/>
                  <w:noWrap w:val="0"/>
                  <w:vAlign w:val="center"/>
                </w:tcPr>
                <w:p w14:paraId="7B53023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4村2斗渠</w:t>
                  </w:r>
                </w:p>
              </w:tc>
              <w:tc>
                <w:tcPr>
                  <w:tcW w:w="1463" w:type="dxa"/>
                  <w:tcBorders>
                    <w:right w:val="single" w:color="auto" w:sz="4" w:space="0"/>
                  </w:tcBorders>
                  <w:noWrap w:val="0"/>
                  <w:vAlign w:val="bottom"/>
                </w:tcPr>
                <w:p w14:paraId="0186967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76°31'39.169"</w:t>
                  </w:r>
                </w:p>
              </w:tc>
              <w:tc>
                <w:tcPr>
                  <w:tcW w:w="1414" w:type="dxa"/>
                  <w:tcBorders>
                    <w:left w:val="single" w:color="auto" w:sz="4" w:space="0"/>
                  </w:tcBorders>
                  <w:noWrap w:val="0"/>
                  <w:vAlign w:val="bottom"/>
                </w:tcPr>
                <w:p w14:paraId="46613CA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37°59'16.017"</w:t>
                  </w:r>
                </w:p>
              </w:tc>
              <w:tc>
                <w:tcPr>
                  <w:tcW w:w="1512" w:type="dxa"/>
                  <w:tcBorders>
                    <w:right w:val="single" w:color="auto" w:sz="4" w:space="0"/>
                  </w:tcBorders>
                  <w:noWrap w:val="0"/>
                  <w:vAlign w:val="bottom"/>
                </w:tcPr>
                <w:p w14:paraId="551A6D3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76°32'55.799"</w:t>
                  </w:r>
                </w:p>
              </w:tc>
              <w:tc>
                <w:tcPr>
                  <w:tcW w:w="1390" w:type="dxa"/>
                  <w:tcBorders>
                    <w:left w:val="single" w:color="auto" w:sz="4" w:space="0"/>
                  </w:tcBorders>
                  <w:noWrap w:val="0"/>
                  <w:vAlign w:val="bottom"/>
                </w:tcPr>
                <w:p w14:paraId="56CC44C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37°58'45.485"</w:t>
                  </w:r>
                </w:p>
              </w:tc>
            </w:tr>
            <w:tr w14:paraId="515627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jc w:val="center"/>
              </w:trPr>
              <w:tc>
                <w:tcPr>
                  <w:tcW w:w="534" w:type="dxa"/>
                  <w:noWrap w:val="0"/>
                  <w:vAlign w:val="center"/>
                </w:tcPr>
                <w:p w14:paraId="25BEFCC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3</w:t>
                  </w:r>
                </w:p>
              </w:tc>
              <w:tc>
                <w:tcPr>
                  <w:tcW w:w="1689" w:type="dxa"/>
                  <w:noWrap w:val="0"/>
                  <w:vAlign w:val="center"/>
                </w:tcPr>
                <w:p w14:paraId="38E759E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4村3斗渠</w:t>
                  </w:r>
                </w:p>
              </w:tc>
              <w:tc>
                <w:tcPr>
                  <w:tcW w:w="1463" w:type="dxa"/>
                  <w:tcBorders>
                    <w:right w:val="single" w:color="auto" w:sz="4" w:space="0"/>
                  </w:tcBorders>
                  <w:shd w:val="clear" w:color="auto" w:fill="auto"/>
                  <w:noWrap w:val="0"/>
                  <w:vAlign w:val="bottom"/>
                </w:tcPr>
                <w:p w14:paraId="63B5365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76°30'41.118"</w:t>
                  </w:r>
                </w:p>
              </w:tc>
              <w:tc>
                <w:tcPr>
                  <w:tcW w:w="1414" w:type="dxa"/>
                  <w:tcBorders>
                    <w:left w:val="single" w:color="auto" w:sz="4" w:space="0"/>
                  </w:tcBorders>
                  <w:shd w:val="clear" w:color="auto" w:fill="auto"/>
                  <w:noWrap w:val="0"/>
                  <w:vAlign w:val="bottom"/>
                </w:tcPr>
                <w:p w14:paraId="497C46E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37°59'05.685"</w:t>
                  </w:r>
                </w:p>
              </w:tc>
              <w:tc>
                <w:tcPr>
                  <w:tcW w:w="1512" w:type="dxa"/>
                  <w:tcBorders>
                    <w:right w:val="single" w:color="auto" w:sz="4" w:space="0"/>
                  </w:tcBorders>
                  <w:shd w:val="clear" w:color="auto" w:fill="auto"/>
                  <w:noWrap w:val="0"/>
                  <w:vAlign w:val="bottom"/>
                </w:tcPr>
                <w:p w14:paraId="411E972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76°31'35.539"</w:t>
                  </w:r>
                </w:p>
              </w:tc>
              <w:tc>
                <w:tcPr>
                  <w:tcW w:w="1390" w:type="dxa"/>
                  <w:tcBorders>
                    <w:left w:val="single" w:color="auto" w:sz="4" w:space="0"/>
                  </w:tcBorders>
                  <w:shd w:val="clear" w:color="auto" w:fill="auto"/>
                  <w:noWrap w:val="0"/>
                  <w:vAlign w:val="bottom"/>
                </w:tcPr>
                <w:p w14:paraId="2741B78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37°59'15.070"</w:t>
                  </w:r>
                </w:p>
              </w:tc>
            </w:tr>
            <w:tr w14:paraId="2B3A4B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jc w:val="center"/>
              </w:trPr>
              <w:tc>
                <w:tcPr>
                  <w:tcW w:w="534" w:type="dxa"/>
                  <w:noWrap w:val="0"/>
                  <w:vAlign w:val="center"/>
                </w:tcPr>
                <w:p w14:paraId="36CED8E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4</w:t>
                  </w:r>
                </w:p>
              </w:tc>
              <w:tc>
                <w:tcPr>
                  <w:tcW w:w="1689" w:type="dxa"/>
                  <w:noWrap w:val="0"/>
                  <w:vAlign w:val="center"/>
                </w:tcPr>
                <w:p w14:paraId="18DDC99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4村4斗渠</w:t>
                  </w:r>
                </w:p>
              </w:tc>
              <w:tc>
                <w:tcPr>
                  <w:tcW w:w="1463" w:type="dxa"/>
                  <w:tcBorders>
                    <w:right w:val="single" w:color="auto" w:sz="4" w:space="0"/>
                  </w:tcBorders>
                  <w:shd w:val="clear" w:color="auto" w:fill="auto"/>
                  <w:noWrap w:val="0"/>
                  <w:vAlign w:val="bottom"/>
                </w:tcPr>
                <w:p w14:paraId="2A4CB2A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76°32'16.325"</w:t>
                  </w:r>
                </w:p>
              </w:tc>
              <w:tc>
                <w:tcPr>
                  <w:tcW w:w="1414" w:type="dxa"/>
                  <w:tcBorders>
                    <w:left w:val="single" w:color="auto" w:sz="4" w:space="0"/>
                  </w:tcBorders>
                  <w:shd w:val="clear" w:color="auto" w:fill="auto"/>
                  <w:noWrap w:val="0"/>
                  <w:vAlign w:val="bottom"/>
                </w:tcPr>
                <w:p w14:paraId="10C6E7A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37°59'06.844"</w:t>
                  </w:r>
                </w:p>
              </w:tc>
              <w:tc>
                <w:tcPr>
                  <w:tcW w:w="1512" w:type="dxa"/>
                  <w:tcBorders>
                    <w:right w:val="single" w:color="auto" w:sz="4" w:space="0"/>
                  </w:tcBorders>
                  <w:shd w:val="clear" w:color="auto" w:fill="auto"/>
                  <w:noWrap w:val="0"/>
                  <w:vAlign w:val="bottom"/>
                </w:tcPr>
                <w:p w14:paraId="2A5645E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76°32'18.237"</w:t>
                  </w:r>
                </w:p>
              </w:tc>
              <w:tc>
                <w:tcPr>
                  <w:tcW w:w="1390" w:type="dxa"/>
                  <w:tcBorders>
                    <w:left w:val="single" w:color="auto" w:sz="4" w:space="0"/>
                  </w:tcBorders>
                  <w:shd w:val="clear" w:color="auto" w:fill="auto"/>
                  <w:noWrap w:val="0"/>
                  <w:vAlign w:val="bottom"/>
                </w:tcPr>
                <w:p w14:paraId="5459803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37°59'12.367"</w:t>
                  </w:r>
                </w:p>
              </w:tc>
            </w:tr>
            <w:tr w14:paraId="6CB0F7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jc w:val="center"/>
              </w:trPr>
              <w:tc>
                <w:tcPr>
                  <w:tcW w:w="534" w:type="dxa"/>
                  <w:noWrap w:val="0"/>
                  <w:vAlign w:val="center"/>
                </w:tcPr>
                <w:p w14:paraId="4F3CD04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5</w:t>
                  </w:r>
                </w:p>
              </w:tc>
              <w:tc>
                <w:tcPr>
                  <w:tcW w:w="1689" w:type="dxa"/>
                  <w:noWrap w:val="0"/>
                  <w:vAlign w:val="center"/>
                </w:tcPr>
                <w:p w14:paraId="2C5B703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4村5斗渠</w:t>
                  </w:r>
                </w:p>
              </w:tc>
              <w:tc>
                <w:tcPr>
                  <w:tcW w:w="1463" w:type="dxa"/>
                  <w:tcBorders>
                    <w:right w:val="single" w:color="auto" w:sz="4" w:space="0"/>
                  </w:tcBorders>
                  <w:shd w:val="clear" w:color="auto" w:fill="auto"/>
                  <w:noWrap w:val="0"/>
                  <w:vAlign w:val="bottom"/>
                </w:tcPr>
                <w:p w14:paraId="728841B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76°32'17.136"</w:t>
                  </w:r>
                </w:p>
              </w:tc>
              <w:tc>
                <w:tcPr>
                  <w:tcW w:w="1414" w:type="dxa"/>
                  <w:tcBorders>
                    <w:left w:val="single" w:color="auto" w:sz="4" w:space="0"/>
                  </w:tcBorders>
                  <w:shd w:val="clear" w:color="auto" w:fill="auto"/>
                  <w:noWrap w:val="0"/>
                  <w:vAlign w:val="bottom"/>
                </w:tcPr>
                <w:p w14:paraId="5B52284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37°59'06.612"</w:t>
                  </w:r>
                </w:p>
              </w:tc>
              <w:tc>
                <w:tcPr>
                  <w:tcW w:w="1512" w:type="dxa"/>
                  <w:tcBorders>
                    <w:right w:val="single" w:color="auto" w:sz="4" w:space="0"/>
                  </w:tcBorders>
                  <w:shd w:val="clear" w:color="auto" w:fill="auto"/>
                  <w:noWrap w:val="0"/>
                  <w:vAlign w:val="bottom"/>
                </w:tcPr>
                <w:p w14:paraId="7EED2D1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76°32'19.106"</w:t>
                  </w:r>
                </w:p>
              </w:tc>
              <w:tc>
                <w:tcPr>
                  <w:tcW w:w="1390" w:type="dxa"/>
                  <w:tcBorders>
                    <w:left w:val="single" w:color="auto" w:sz="4" w:space="0"/>
                  </w:tcBorders>
                  <w:shd w:val="clear" w:color="auto" w:fill="auto"/>
                  <w:noWrap w:val="0"/>
                  <w:vAlign w:val="bottom"/>
                </w:tcPr>
                <w:p w14:paraId="54239D8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37°59'12.212"</w:t>
                  </w:r>
                </w:p>
              </w:tc>
            </w:tr>
            <w:tr w14:paraId="3ED242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jc w:val="center"/>
              </w:trPr>
              <w:tc>
                <w:tcPr>
                  <w:tcW w:w="534" w:type="dxa"/>
                  <w:noWrap w:val="0"/>
                  <w:vAlign w:val="center"/>
                </w:tcPr>
                <w:p w14:paraId="7F53BBA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6</w:t>
                  </w:r>
                </w:p>
              </w:tc>
              <w:tc>
                <w:tcPr>
                  <w:tcW w:w="1689" w:type="dxa"/>
                  <w:noWrap w:val="0"/>
                  <w:vAlign w:val="center"/>
                </w:tcPr>
                <w:p w14:paraId="68582D6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4村6斗渠</w:t>
                  </w:r>
                </w:p>
              </w:tc>
              <w:tc>
                <w:tcPr>
                  <w:tcW w:w="1463" w:type="dxa"/>
                  <w:tcBorders>
                    <w:right w:val="single" w:color="auto" w:sz="4" w:space="0"/>
                  </w:tcBorders>
                  <w:shd w:val="clear" w:color="auto" w:fill="auto"/>
                  <w:noWrap w:val="0"/>
                  <w:vAlign w:val="bottom"/>
                </w:tcPr>
                <w:p w14:paraId="5807367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76°32'34.768"</w:t>
                  </w:r>
                </w:p>
              </w:tc>
              <w:tc>
                <w:tcPr>
                  <w:tcW w:w="1414" w:type="dxa"/>
                  <w:tcBorders>
                    <w:left w:val="single" w:color="auto" w:sz="4" w:space="0"/>
                  </w:tcBorders>
                  <w:shd w:val="clear" w:color="auto" w:fill="auto"/>
                  <w:noWrap w:val="0"/>
                  <w:vAlign w:val="bottom"/>
                </w:tcPr>
                <w:p w14:paraId="3C6EB13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37°58'55.488"</w:t>
                  </w:r>
                </w:p>
              </w:tc>
              <w:tc>
                <w:tcPr>
                  <w:tcW w:w="1512" w:type="dxa"/>
                  <w:tcBorders>
                    <w:right w:val="single" w:color="auto" w:sz="4" w:space="0"/>
                  </w:tcBorders>
                  <w:shd w:val="clear" w:color="auto" w:fill="auto"/>
                  <w:noWrap w:val="0"/>
                  <w:vAlign w:val="bottom"/>
                </w:tcPr>
                <w:p w14:paraId="50466DC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76°32'42.377"</w:t>
                  </w:r>
                </w:p>
              </w:tc>
              <w:tc>
                <w:tcPr>
                  <w:tcW w:w="1390" w:type="dxa"/>
                  <w:tcBorders>
                    <w:left w:val="single" w:color="auto" w:sz="4" w:space="0"/>
                  </w:tcBorders>
                  <w:shd w:val="clear" w:color="auto" w:fill="auto"/>
                  <w:noWrap w:val="0"/>
                  <w:vAlign w:val="bottom"/>
                </w:tcPr>
                <w:p w14:paraId="7D2862C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37°59'03.078"</w:t>
                  </w:r>
                </w:p>
              </w:tc>
            </w:tr>
            <w:tr w14:paraId="6F03AC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jc w:val="center"/>
              </w:trPr>
              <w:tc>
                <w:tcPr>
                  <w:tcW w:w="534" w:type="dxa"/>
                  <w:noWrap w:val="0"/>
                  <w:vAlign w:val="center"/>
                </w:tcPr>
                <w:p w14:paraId="5A27A18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7</w:t>
                  </w:r>
                </w:p>
              </w:tc>
              <w:tc>
                <w:tcPr>
                  <w:tcW w:w="1689" w:type="dxa"/>
                  <w:noWrap w:val="0"/>
                  <w:vAlign w:val="center"/>
                </w:tcPr>
                <w:p w14:paraId="4BC4484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4村7斗渠</w:t>
                  </w:r>
                </w:p>
              </w:tc>
              <w:tc>
                <w:tcPr>
                  <w:tcW w:w="1463" w:type="dxa"/>
                  <w:tcBorders>
                    <w:right w:val="single" w:color="auto" w:sz="4" w:space="0"/>
                  </w:tcBorders>
                  <w:shd w:val="clear" w:color="auto" w:fill="auto"/>
                  <w:noWrap w:val="0"/>
                  <w:vAlign w:val="bottom"/>
                </w:tcPr>
                <w:p w14:paraId="5A1BB08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76°32'35.541"</w:t>
                  </w:r>
                </w:p>
              </w:tc>
              <w:tc>
                <w:tcPr>
                  <w:tcW w:w="1414" w:type="dxa"/>
                  <w:tcBorders>
                    <w:left w:val="single" w:color="auto" w:sz="4" w:space="0"/>
                  </w:tcBorders>
                  <w:shd w:val="clear" w:color="auto" w:fill="auto"/>
                  <w:noWrap w:val="0"/>
                  <w:vAlign w:val="bottom"/>
                </w:tcPr>
                <w:p w14:paraId="38299BD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37°58'55.102"</w:t>
                  </w:r>
                </w:p>
              </w:tc>
              <w:tc>
                <w:tcPr>
                  <w:tcW w:w="1512" w:type="dxa"/>
                  <w:tcBorders>
                    <w:right w:val="single" w:color="auto" w:sz="4" w:space="0"/>
                  </w:tcBorders>
                  <w:shd w:val="clear" w:color="auto" w:fill="auto"/>
                  <w:noWrap w:val="0"/>
                  <w:vAlign w:val="bottom"/>
                </w:tcPr>
                <w:p w14:paraId="26D6A3F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76°32'43.034"</w:t>
                  </w:r>
                </w:p>
              </w:tc>
              <w:tc>
                <w:tcPr>
                  <w:tcW w:w="1390" w:type="dxa"/>
                  <w:tcBorders>
                    <w:left w:val="single" w:color="auto" w:sz="4" w:space="0"/>
                  </w:tcBorders>
                  <w:shd w:val="clear" w:color="auto" w:fill="auto"/>
                  <w:noWrap w:val="0"/>
                  <w:vAlign w:val="bottom"/>
                </w:tcPr>
                <w:p w14:paraId="3D5BEF3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37°59'02.711"</w:t>
                  </w:r>
                </w:p>
              </w:tc>
            </w:tr>
          </w:tbl>
          <w:p w14:paraId="65524E39">
            <w:pPr>
              <w:pStyle w:val="113"/>
              <w:spacing w:line="360" w:lineRule="auto"/>
              <w:rPr>
                <w:rFonts w:hint="default" w:ascii="Times New Roman" w:hAnsi="Times New Roman" w:eastAsia="宋体" w:cs="Times New Roman"/>
                <w:color w:val="auto"/>
                <w:kern w:val="2"/>
                <w:sz w:val="24"/>
                <w:szCs w:val="24"/>
                <w:lang w:val="en-US" w:eastAsia="zh-CN" w:bidi="ar-SA"/>
              </w:rPr>
            </w:pPr>
          </w:p>
          <w:p w14:paraId="200FB1A7">
            <w:pPr>
              <w:pStyle w:val="113"/>
              <w:spacing w:line="360" w:lineRule="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根据《中华人民共和国环境影响评价法》等相关要求，防渗渠道建设项目应进行环境影响评价。对照2020年11月30日公布的《建设项目环境影响评价分类管理名录（2021年版）》，防渗渠道属于“五十一、水利125灌区工程（不含水源工程的）中</w:t>
            </w:r>
            <w:r>
              <w:rPr>
                <w:rFonts w:hint="default" w:ascii="Times New Roman" w:hAnsi="Times New Roman" w:eastAsia="宋体" w:cs="Times New Roman"/>
                <w:color w:val="auto"/>
                <w:kern w:val="2"/>
                <w:sz w:val="24"/>
                <w:szCs w:val="24"/>
                <w:u w:val="single"/>
                <w:lang w:val="en-US" w:eastAsia="zh-CN" w:bidi="ar-SA"/>
              </w:rPr>
              <w:t>其他（不含高标准耕地、滴灌等节水改造工程）</w:t>
            </w:r>
            <w:r>
              <w:rPr>
                <w:rFonts w:hint="default" w:ascii="Times New Roman" w:hAnsi="Times New Roman" w:eastAsia="宋体" w:cs="Times New Roman"/>
                <w:color w:val="auto"/>
                <w:kern w:val="2"/>
                <w:sz w:val="24"/>
                <w:szCs w:val="24"/>
                <w:lang w:val="en-US" w:eastAsia="zh-CN" w:bidi="ar-SA"/>
              </w:rPr>
              <w:t>”，应当编制环境影响报告表。</w:t>
            </w:r>
          </w:p>
        </w:tc>
      </w:tr>
      <w:tr w14:paraId="659442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28" w:type="dxa"/>
            <w:vAlign w:val="center"/>
          </w:tcPr>
          <w:p w14:paraId="398157D5">
            <w:pPr>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项目组成及规模</w:t>
            </w:r>
          </w:p>
        </w:tc>
        <w:tc>
          <w:tcPr>
            <w:tcW w:w="8362" w:type="dxa"/>
            <w:vAlign w:val="center"/>
          </w:tcPr>
          <w:p w14:paraId="1426AA39">
            <w:pPr>
              <w:pStyle w:val="96"/>
              <w:numPr>
                <w:ilvl w:val="0"/>
                <w:numId w:val="0"/>
              </w:numPr>
              <w:ind w:left="420" w:leftChars="0"/>
              <w:rPr>
                <w:rFonts w:hint="default" w:ascii="Times New Roman" w:hAnsi="Times New Roman" w:eastAsia="宋体" w:cs="Times New Roman"/>
                <w:b/>
                <w:color w:val="auto"/>
                <w:lang w:val="en-US" w:eastAsia="zh-CN"/>
              </w:rPr>
            </w:pPr>
            <w:r>
              <w:rPr>
                <w:rFonts w:hint="default" w:ascii="Times New Roman" w:hAnsi="Times New Roman" w:eastAsia="宋体" w:cs="Times New Roman"/>
                <w:b/>
                <w:color w:val="auto"/>
                <w:lang w:val="en-US" w:eastAsia="zh-CN"/>
              </w:rPr>
              <w:t>1、项目建设内容</w:t>
            </w:r>
          </w:p>
          <w:p w14:paraId="67C1309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color w:val="auto"/>
                <w:kern w:val="2"/>
                <w:sz w:val="24"/>
                <w:szCs w:val="24"/>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本项目防渗渠道工程任务为：</w:t>
            </w:r>
            <w:r>
              <w:rPr>
                <w:rFonts w:hint="default" w:ascii="Times New Roman" w:hAnsi="Times New Roman" w:eastAsia="宋体" w:cs="Times New Roman"/>
                <w:b w:val="0"/>
                <w:color w:val="auto"/>
                <w:kern w:val="2"/>
                <w:sz w:val="24"/>
                <w:szCs w:val="24"/>
                <w:lang w:val="en-US" w:eastAsia="zh-CN" w:bidi="ar-SA"/>
              </w:rPr>
              <w:t>保证</w:t>
            </w:r>
            <w:r>
              <w:rPr>
                <w:rFonts w:hint="eastAsia" w:ascii="Times New Roman" w:hAnsi="Times New Roman" w:cs="Times New Roman"/>
                <w:b w:val="0"/>
                <w:color w:val="auto"/>
                <w:kern w:val="2"/>
                <w:sz w:val="24"/>
                <w:szCs w:val="24"/>
                <w:lang w:val="en-US" w:eastAsia="zh-CN" w:bidi="ar-SA"/>
              </w:rPr>
              <w:t>霍什拉甫乡</w:t>
            </w:r>
            <w:r>
              <w:rPr>
                <w:rFonts w:hint="default" w:ascii="Times New Roman" w:hAnsi="Times New Roman" w:eastAsia="宋体" w:cs="Times New Roman"/>
                <w:b w:val="0"/>
                <w:color w:val="auto"/>
                <w:kern w:val="2"/>
                <w:sz w:val="24"/>
                <w:szCs w:val="24"/>
                <w:lang w:val="en-US" w:eastAsia="zh-CN" w:bidi="ar-SA"/>
              </w:rPr>
              <w:t>灌区耕地灌溉用水。</w:t>
            </w:r>
            <w:r>
              <w:rPr>
                <w:rFonts w:hint="default" w:ascii="Times New Roman" w:hAnsi="Times New Roman" w:eastAsia="宋体" w:cs="Times New Roman"/>
                <w:b w:val="0"/>
                <w:color w:val="0000FF"/>
                <w:kern w:val="2"/>
                <w:sz w:val="24"/>
                <w:szCs w:val="24"/>
                <w:lang w:val="en-US" w:eastAsia="zh-CN" w:bidi="ar-SA"/>
              </w:rPr>
              <w:t>防渗渠道工程灌溉渠道引水水源为叶尔羌河河水，</w:t>
            </w:r>
            <w:r>
              <w:rPr>
                <w:rFonts w:hint="eastAsia" w:ascii="宋体" w:hAnsi="宋体" w:eastAsia="宋体"/>
                <w:color w:val="0000FF"/>
                <w:sz w:val="24"/>
                <w:szCs w:val="24"/>
              </w:rPr>
              <w:t>工程仅为现有渠系的改建，不涉及增引水量和扩大灌区面积</w:t>
            </w:r>
            <w:r>
              <w:rPr>
                <w:rFonts w:hint="eastAsia" w:ascii="Times New Roman" w:hAnsi="Times New Roman" w:eastAsia="宋体" w:cs="Times New Roman"/>
                <w:b w:val="0"/>
                <w:color w:val="auto"/>
                <w:kern w:val="2"/>
                <w:sz w:val="24"/>
                <w:szCs w:val="24"/>
                <w:lang w:val="en-US" w:eastAsia="zh-CN" w:bidi="ar-SA"/>
              </w:rPr>
              <w:t>。</w:t>
            </w:r>
            <w:r>
              <w:rPr>
                <w:rFonts w:hint="default" w:ascii="Times New Roman" w:hAnsi="Times New Roman" w:eastAsia="宋体" w:cs="Times New Roman"/>
                <w:b w:val="0"/>
                <w:color w:val="auto"/>
                <w:kern w:val="2"/>
                <w:sz w:val="24"/>
                <w:szCs w:val="24"/>
                <w:lang w:val="en-US" w:eastAsia="zh-CN" w:bidi="ar-SA"/>
              </w:rPr>
              <w:t>引水工程不在本次评价范围内</w:t>
            </w:r>
            <w:r>
              <w:rPr>
                <w:rFonts w:hint="eastAsia" w:ascii="Times New Roman" w:hAnsi="Times New Roman" w:cs="Times New Roman"/>
                <w:b w:val="0"/>
                <w:color w:val="auto"/>
                <w:kern w:val="2"/>
                <w:sz w:val="24"/>
                <w:szCs w:val="24"/>
                <w:lang w:val="en-US" w:eastAsia="zh-CN" w:bidi="ar-SA"/>
              </w:rPr>
              <w:t>，</w:t>
            </w:r>
            <w:r>
              <w:rPr>
                <w:rFonts w:hint="default" w:ascii="Times New Roman" w:hAnsi="Times New Roman" w:eastAsia="宋体" w:cs="Times New Roman"/>
                <w:b w:val="0"/>
                <w:color w:val="auto"/>
                <w:kern w:val="2"/>
                <w:sz w:val="24"/>
                <w:szCs w:val="24"/>
                <w:lang w:val="en-US" w:eastAsia="zh-CN" w:bidi="ar-SA"/>
              </w:rPr>
              <w:t>现有渠道建设时间较早，无环保手续。项目组成一览表见表2-1。</w:t>
            </w:r>
          </w:p>
          <w:p w14:paraId="77DDC397">
            <w:pPr>
              <w:pStyle w:val="111"/>
              <w:rPr>
                <w:rStyle w:val="79"/>
                <w:rFonts w:hint="default" w:ascii="Times New Roman" w:hAnsi="Times New Roman" w:eastAsia="宋体" w:cs="Times New Roman"/>
                <w:b/>
                <w:bCs/>
                <w:color w:val="auto"/>
                <w:sz w:val="21"/>
                <w:szCs w:val="21"/>
              </w:rPr>
            </w:pPr>
            <w:r>
              <w:rPr>
                <w:rStyle w:val="79"/>
                <w:rFonts w:hint="default" w:ascii="Times New Roman" w:hAnsi="Times New Roman" w:eastAsia="宋体" w:cs="Times New Roman"/>
                <w:b/>
                <w:bCs/>
                <w:color w:val="auto"/>
                <w:sz w:val="21"/>
                <w:szCs w:val="21"/>
              </w:rPr>
              <w:t>表</w:t>
            </w:r>
            <w:r>
              <w:rPr>
                <w:rStyle w:val="79"/>
                <w:rFonts w:hint="default" w:ascii="Times New Roman" w:hAnsi="Times New Roman" w:eastAsia="宋体" w:cs="Times New Roman"/>
                <w:b/>
                <w:bCs/>
                <w:color w:val="auto"/>
                <w:sz w:val="21"/>
                <w:szCs w:val="21"/>
                <w:lang w:val="en-US" w:eastAsia="zh-CN"/>
              </w:rPr>
              <w:t>2-1</w:t>
            </w:r>
            <w:r>
              <w:rPr>
                <w:rStyle w:val="79"/>
                <w:rFonts w:hint="default" w:ascii="Times New Roman" w:hAnsi="Times New Roman" w:eastAsia="宋体" w:cs="Times New Roman"/>
                <w:b/>
                <w:bCs/>
                <w:color w:val="auto"/>
                <w:sz w:val="21"/>
                <w:szCs w:val="21"/>
              </w:rPr>
              <w:t>项目组成表</w:t>
            </w:r>
          </w:p>
          <w:tbl>
            <w:tblPr>
              <w:tblStyle w:val="33"/>
              <w:tblW w:w="806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5"/>
              <w:gridCol w:w="1220"/>
              <w:gridCol w:w="4321"/>
              <w:gridCol w:w="1300"/>
            </w:tblGrid>
            <w:tr w14:paraId="593C73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25" w:type="dxa"/>
                  <w:tcBorders>
                    <w:top w:val="single" w:color="auto" w:sz="6" w:space="0"/>
                    <w:left w:val="single" w:color="auto" w:sz="6" w:space="0"/>
                    <w:bottom w:val="single" w:color="auto" w:sz="6" w:space="0"/>
                    <w:right w:val="single" w:color="auto" w:sz="6" w:space="0"/>
                  </w:tcBorders>
                  <w:vAlign w:val="center"/>
                </w:tcPr>
                <w:p w14:paraId="6A7FE98F">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序号</w:t>
                  </w:r>
                </w:p>
              </w:tc>
              <w:tc>
                <w:tcPr>
                  <w:tcW w:w="1220" w:type="dxa"/>
                  <w:tcBorders>
                    <w:top w:val="single" w:color="auto" w:sz="6" w:space="0"/>
                    <w:left w:val="nil"/>
                    <w:bottom w:val="single" w:color="auto" w:sz="6" w:space="0"/>
                    <w:right w:val="single" w:color="auto" w:sz="6" w:space="0"/>
                  </w:tcBorders>
                  <w:vAlign w:val="center"/>
                </w:tcPr>
                <w:p w14:paraId="4FF78E96">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建设内容</w:t>
                  </w:r>
                </w:p>
              </w:tc>
              <w:tc>
                <w:tcPr>
                  <w:tcW w:w="4321" w:type="dxa"/>
                  <w:tcBorders>
                    <w:top w:val="single" w:color="auto" w:sz="6" w:space="0"/>
                    <w:left w:val="nil"/>
                    <w:bottom w:val="single" w:color="auto" w:sz="6" w:space="0"/>
                    <w:right w:val="single" w:color="auto" w:sz="4" w:space="0"/>
                  </w:tcBorders>
                  <w:vAlign w:val="center"/>
                </w:tcPr>
                <w:p w14:paraId="304E13EE">
                  <w:pPr>
                    <w:pStyle w:val="111"/>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建设详情</w:t>
                  </w:r>
                </w:p>
              </w:tc>
              <w:tc>
                <w:tcPr>
                  <w:tcW w:w="1300" w:type="dxa"/>
                  <w:tcBorders>
                    <w:top w:val="single" w:color="auto" w:sz="6" w:space="0"/>
                    <w:left w:val="single" w:color="auto" w:sz="4" w:space="0"/>
                    <w:bottom w:val="single" w:color="auto" w:sz="6" w:space="0"/>
                    <w:right w:val="single" w:color="auto" w:sz="6" w:space="0"/>
                  </w:tcBorders>
                  <w:vAlign w:val="center"/>
                </w:tcPr>
                <w:p w14:paraId="44B2AA58">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备注</w:t>
                  </w:r>
                </w:p>
              </w:tc>
            </w:tr>
            <w:tr w14:paraId="670B21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25" w:type="dxa"/>
                  <w:vMerge w:val="restart"/>
                  <w:tcBorders>
                    <w:top w:val="single" w:color="auto" w:sz="6" w:space="0"/>
                    <w:left w:val="single" w:color="auto" w:sz="6" w:space="0"/>
                    <w:right w:val="single" w:color="auto" w:sz="6" w:space="0"/>
                  </w:tcBorders>
                  <w:vAlign w:val="center"/>
                </w:tcPr>
                <w:p w14:paraId="5F01A6C6">
                  <w:pPr>
                    <w:pStyle w:val="11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主体工程</w:t>
                  </w:r>
                </w:p>
              </w:tc>
              <w:tc>
                <w:tcPr>
                  <w:tcW w:w="1220" w:type="dxa"/>
                  <w:tcBorders>
                    <w:top w:val="single" w:color="auto" w:sz="6" w:space="0"/>
                    <w:left w:val="nil"/>
                    <w:bottom w:val="single" w:color="auto" w:sz="6" w:space="0"/>
                    <w:right w:val="single" w:color="auto" w:sz="6" w:space="0"/>
                  </w:tcBorders>
                  <w:vAlign w:val="center"/>
                </w:tcPr>
                <w:p w14:paraId="4CA9DB50">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渠道改造</w:t>
                  </w:r>
                </w:p>
              </w:tc>
              <w:tc>
                <w:tcPr>
                  <w:tcW w:w="4321" w:type="dxa"/>
                  <w:tcBorders>
                    <w:top w:val="single" w:color="auto" w:sz="6" w:space="0"/>
                    <w:left w:val="nil"/>
                    <w:bottom w:val="single" w:color="auto" w:sz="6" w:space="0"/>
                    <w:right w:val="single" w:color="auto" w:sz="4" w:space="0"/>
                  </w:tcBorders>
                  <w:vAlign w:val="center"/>
                </w:tcPr>
                <w:p w14:paraId="632EEF9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0"/>
                      <w:sz w:val="21"/>
                      <w:szCs w:val="21"/>
                      <w:lang w:val="en-US" w:eastAsia="zh-CN" w:bidi="ar-SA"/>
                    </w:rPr>
                    <w:t>本工程防渗渠道</w:t>
                  </w:r>
                  <w:r>
                    <w:rPr>
                      <w:rFonts w:hint="eastAsia" w:ascii="Times New Roman" w:hAnsi="Times New Roman" w:cs="Times New Roman"/>
                      <w:color w:val="auto"/>
                      <w:kern w:val="0"/>
                      <w:sz w:val="21"/>
                      <w:szCs w:val="21"/>
                      <w:lang w:val="en-US" w:eastAsia="zh-CN" w:bidi="ar-SA"/>
                    </w:rPr>
                    <w:t>7条</w:t>
                  </w:r>
                  <w:r>
                    <w:rPr>
                      <w:rFonts w:hint="default" w:ascii="Times New Roman" w:hAnsi="Times New Roman" w:eastAsia="宋体" w:cs="Times New Roman"/>
                      <w:color w:val="auto"/>
                      <w:kern w:val="0"/>
                      <w:sz w:val="21"/>
                      <w:szCs w:val="21"/>
                      <w:lang w:val="en-US" w:eastAsia="zh-CN" w:bidi="ar-SA"/>
                    </w:rPr>
                    <w:t>，防渗长度为</w:t>
                  </w:r>
                  <w:r>
                    <w:rPr>
                      <w:rFonts w:hint="eastAsia" w:ascii="Times New Roman" w:hAnsi="Times New Roman" w:cs="Times New Roman"/>
                      <w:color w:val="auto"/>
                      <w:kern w:val="0"/>
                      <w:sz w:val="21"/>
                      <w:szCs w:val="21"/>
                      <w:lang w:val="en-US" w:eastAsia="zh-CN" w:bidi="ar-SA"/>
                    </w:rPr>
                    <w:t>9.88km</w:t>
                  </w:r>
                  <w:r>
                    <w:rPr>
                      <w:rFonts w:hint="default" w:ascii="Times New Roman" w:hAnsi="Times New Roman" w:eastAsia="宋体" w:cs="Times New Roman"/>
                      <w:color w:val="auto"/>
                      <w:kern w:val="0"/>
                      <w:sz w:val="21"/>
                      <w:szCs w:val="21"/>
                      <w:lang w:val="en-US" w:eastAsia="zh-CN" w:bidi="ar-SA"/>
                    </w:rPr>
                    <w:t>，为轮灌渠道，设计流量</w:t>
                  </w:r>
                  <w:r>
                    <w:rPr>
                      <w:rFonts w:hint="eastAsia" w:ascii="Times New Roman" w:hAnsi="Times New Roman" w:cs="Times New Roman"/>
                      <w:color w:val="auto"/>
                      <w:kern w:val="0"/>
                      <w:sz w:val="21"/>
                      <w:szCs w:val="21"/>
                      <w:lang w:val="en-US" w:eastAsia="zh-CN" w:bidi="ar-SA"/>
                    </w:rPr>
                    <w:t>0.2-0.5</w:t>
                  </w:r>
                  <w:r>
                    <w:rPr>
                      <w:rFonts w:hint="default" w:ascii="Times New Roman" w:hAnsi="Times New Roman" w:eastAsia="宋体" w:cs="Times New Roman"/>
                      <w:color w:val="auto"/>
                      <w:kern w:val="0"/>
                      <w:sz w:val="21"/>
                      <w:szCs w:val="21"/>
                      <w:lang w:val="en-US" w:eastAsia="zh-CN" w:bidi="ar-SA"/>
                    </w:rPr>
                    <w:t>m</w:t>
                  </w:r>
                  <w:r>
                    <w:rPr>
                      <w:rFonts w:hint="default" w:ascii="Times New Roman" w:hAnsi="Times New Roman" w:eastAsia="宋体" w:cs="Times New Roman"/>
                      <w:color w:val="auto"/>
                      <w:kern w:val="0"/>
                      <w:sz w:val="21"/>
                      <w:szCs w:val="21"/>
                      <w:vertAlign w:val="superscript"/>
                      <w:lang w:val="en-US" w:eastAsia="zh-CN" w:bidi="ar-SA"/>
                    </w:rPr>
                    <w:t>3</w:t>
                  </w:r>
                  <w:r>
                    <w:rPr>
                      <w:rFonts w:hint="default" w:ascii="Times New Roman" w:hAnsi="Times New Roman" w:eastAsia="宋体" w:cs="Times New Roman"/>
                      <w:color w:val="auto"/>
                      <w:kern w:val="0"/>
                      <w:sz w:val="21"/>
                      <w:szCs w:val="21"/>
                      <w:lang w:val="en-US" w:eastAsia="zh-CN" w:bidi="ar-SA"/>
                    </w:rPr>
                    <w:t>/s。根据《渠道防渗衬砌工程技术标准》（GB/T50600-2020），本工程属于5级工程。</w:t>
                  </w:r>
                </w:p>
              </w:tc>
              <w:tc>
                <w:tcPr>
                  <w:tcW w:w="1300" w:type="dxa"/>
                  <w:vMerge w:val="restart"/>
                  <w:tcBorders>
                    <w:top w:val="single" w:color="auto" w:sz="6" w:space="0"/>
                    <w:left w:val="single" w:color="auto" w:sz="4" w:space="0"/>
                    <w:right w:val="single" w:color="auto" w:sz="6" w:space="0"/>
                  </w:tcBorders>
                  <w:vAlign w:val="center"/>
                </w:tcPr>
                <w:p w14:paraId="6CED490E">
                  <w:pPr>
                    <w:pStyle w:val="11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0000FF"/>
                      <w:kern w:val="0"/>
                      <w:sz w:val="21"/>
                      <w:szCs w:val="21"/>
                      <w:lang w:val="en-US" w:eastAsia="zh-CN" w:bidi="ar-SA"/>
                    </w:rPr>
                    <w:t>改建</w:t>
                  </w:r>
                  <w:r>
                    <w:rPr>
                      <w:rFonts w:hint="eastAsia" w:ascii="Times New Roman" w:hAnsi="Times New Roman" w:eastAsia="宋体" w:cs="Times New Roman"/>
                      <w:color w:val="0000FF"/>
                      <w:kern w:val="0"/>
                      <w:sz w:val="21"/>
                      <w:szCs w:val="21"/>
                      <w:lang w:val="en-US" w:eastAsia="zh-CN" w:bidi="ar-SA"/>
                    </w:rPr>
                    <w:t>，永久占地面积为2.15hm</w:t>
                  </w:r>
                  <w:r>
                    <w:rPr>
                      <w:rFonts w:hint="default" w:ascii="Times New Roman" w:hAnsi="Times New Roman" w:eastAsia="宋体" w:cs="Times New Roman"/>
                      <w:color w:val="0000FF"/>
                      <w:kern w:val="0"/>
                      <w:sz w:val="21"/>
                      <w:szCs w:val="21"/>
                      <w:vertAlign w:val="superscript"/>
                      <w:lang w:val="en-US" w:eastAsia="zh-CN" w:bidi="ar-SA"/>
                    </w:rPr>
                    <w:t>2</w:t>
                  </w:r>
                  <w:r>
                    <w:rPr>
                      <w:rFonts w:hint="eastAsia" w:hAnsi="Times New Roman" w:cs="Times New Roman"/>
                      <w:color w:val="0000FF"/>
                      <w:kern w:val="0"/>
                      <w:sz w:val="21"/>
                      <w:szCs w:val="21"/>
                      <w:vertAlign w:val="baseline"/>
                      <w:lang w:val="en-US" w:eastAsia="zh-CN" w:bidi="ar-SA"/>
                    </w:rPr>
                    <w:t>（</w:t>
                  </w:r>
                  <w:r>
                    <w:rPr>
                      <w:rFonts w:hint="default" w:ascii="Times New Roman" w:hAnsi="Times New Roman" w:eastAsia="宋体" w:cs="Times New Roman"/>
                      <w:color w:val="0000FF"/>
                      <w:sz w:val="21"/>
                      <w:szCs w:val="21"/>
                      <w:lang w:val="en-US" w:eastAsia="zh-CN"/>
                    </w:rPr>
                    <w:t>耕地、沟渠、林地、园地</w:t>
                  </w:r>
                  <w:r>
                    <w:rPr>
                      <w:rFonts w:hint="eastAsia" w:hAnsi="Times New Roman" w:cs="Times New Roman"/>
                      <w:color w:val="0000FF"/>
                      <w:kern w:val="0"/>
                      <w:sz w:val="21"/>
                      <w:szCs w:val="21"/>
                      <w:vertAlign w:val="baseline"/>
                      <w:lang w:val="en-US" w:eastAsia="zh-CN" w:bidi="ar-SA"/>
                    </w:rPr>
                    <w:t>）</w:t>
                  </w:r>
                </w:p>
              </w:tc>
            </w:tr>
            <w:tr w14:paraId="0FAD27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25" w:type="dxa"/>
                  <w:vMerge w:val="continue"/>
                  <w:tcBorders>
                    <w:left w:val="single" w:color="auto" w:sz="6" w:space="0"/>
                    <w:bottom w:val="single" w:color="auto" w:sz="6" w:space="0"/>
                    <w:right w:val="single" w:color="auto" w:sz="6" w:space="0"/>
                  </w:tcBorders>
                  <w:vAlign w:val="center"/>
                </w:tcPr>
                <w:p w14:paraId="76A555D5">
                  <w:pPr>
                    <w:pStyle w:val="111"/>
                    <w:rPr>
                      <w:rFonts w:hint="default" w:ascii="Times New Roman" w:hAnsi="Times New Roman" w:eastAsia="宋体" w:cs="Times New Roman"/>
                      <w:color w:val="auto"/>
                      <w:lang w:val="en-US" w:eastAsia="zh-CN"/>
                    </w:rPr>
                  </w:pPr>
                </w:p>
              </w:tc>
              <w:tc>
                <w:tcPr>
                  <w:tcW w:w="1220" w:type="dxa"/>
                  <w:tcBorders>
                    <w:top w:val="single" w:color="auto" w:sz="6" w:space="0"/>
                    <w:left w:val="nil"/>
                    <w:bottom w:val="single" w:color="auto" w:sz="6" w:space="0"/>
                    <w:right w:val="single" w:color="auto" w:sz="6" w:space="0"/>
                  </w:tcBorders>
                  <w:vAlign w:val="center"/>
                </w:tcPr>
                <w:p w14:paraId="3B228DD7">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建筑物</w:t>
                  </w:r>
                </w:p>
              </w:tc>
              <w:tc>
                <w:tcPr>
                  <w:tcW w:w="4321" w:type="dxa"/>
                  <w:tcBorders>
                    <w:top w:val="single" w:color="auto" w:sz="6" w:space="0"/>
                    <w:left w:val="nil"/>
                    <w:bottom w:val="single" w:color="auto" w:sz="6" w:space="0"/>
                    <w:right w:val="single" w:color="auto" w:sz="4" w:space="0"/>
                  </w:tcBorders>
                  <w:vAlign w:val="center"/>
                </w:tcPr>
                <w:p w14:paraId="6CF7144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rPr>
                  </w:pPr>
                  <w:r>
                    <w:rPr>
                      <w:rFonts w:hint="eastAsia" w:ascii="Times New Roman" w:hAnsi="Times New Roman" w:cs="Times New Roman"/>
                      <w:color w:val="auto"/>
                      <w:kern w:val="0"/>
                      <w:sz w:val="21"/>
                      <w:szCs w:val="21"/>
                      <w:lang w:val="en-US" w:eastAsia="zh-CN" w:bidi="ar-SA"/>
                    </w:rPr>
                    <w:t>配套渠系建筑物57座，其中水闸38座，纳共盖板5座，涵桥8座，渡槽4座，纳洪口1座，跌水1座。</w:t>
                  </w:r>
                </w:p>
              </w:tc>
              <w:tc>
                <w:tcPr>
                  <w:tcW w:w="1300" w:type="dxa"/>
                  <w:vMerge w:val="continue"/>
                  <w:tcBorders>
                    <w:left w:val="single" w:color="auto" w:sz="4" w:space="0"/>
                    <w:bottom w:val="single" w:color="auto" w:sz="6" w:space="0"/>
                    <w:right w:val="single" w:color="auto" w:sz="6" w:space="0"/>
                  </w:tcBorders>
                  <w:vAlign w:val="center"/>
                </w:tcPr>
                <w:p w14:paraId="03ABEB7E">
                  <w:pPr>
                    <w:pStyle w:val="111"/>
                    <w:rPr>
                      <w:rFonts w:hint="default" w:ascii="Times New Roman" w:hAnsi="Times New Roman" w:eastAsia="宋体" w:cs="Times New Roman"/>
                      <w:color w:val="auto"/>
                      <w:lang w:eastAsia="zh-CN"/>
                    </w:rPr>
                  </w:pPr>
                </w:p>
              </w:tc>
            </w:tr>
            <w:tr w14:paraId="57ECAE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25" w:type="dxa"/>
                  <w:vMerge w:val="restart"/>
                  <w:tcBorders>
                    <w:top w:val="nil"/>
                    <w:left w:val="single" w:color="auto" w:sz="6" w:space="0"/>
                    <w:right w:val="single" w:color="auto" w:sz="6" w:space="0"/>
                  </w:tcBorders>
                  <w:vAlign w:val="center"/>
                </w:tcPr>
                <w:p w14:paraId="77931038">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辅助工程</w:t>
                  </w:r>
                </w:p>
              </w:tc>
              <w:tc>
                <w:tcPr>
                  <w:tcW w:w="1220" w:type="dxa"/>
                  <w:tcBorders>
                    <w:top w:val="single" w:color="auto" w:sz="6" w:space="0"/>
                    <w:left w:val="nil"/>
                    <w:bottom w:val="single" w:color="auto" w:sz="6" w:space="0"/>
                    <w:right w:val="single" w:color="auto" w:sz="6" w:space="0"/>
                  </w:tcBorders>
                  <w:vAlign w:val="center"/>
                </w:tcPr>
                <w:p w14:paraId="171F69B4">
                  <w:pPr>
                    <w:pStyle w:val="111"/>
                    <w:rPr>
                      <w:rFonts w:hint="default" w:ascii="Times New Roman" w:hAnsi="Times New Roman" w:eastAsia="宋体" w:cs="Times New Roman"/>
                      <w:color w:val="0000FF"/>
                    </w:rPr>
                  </w:pPr>
                  <w:r>
                    <w:rPr>
                      <w:rFonts w:hint="default" w:ascii="Times New Roman" w:hAnsi="Times New Roman" w:eastAsia="宋体" w:cs="Times New Roman"/>
                      <w:color w:val="0000FF"/>
                    </w:rPr>
                    <w:t>施工作业区</w:t>
                  </w:r>
                </w:p>
              </w:tc>
              <w:tc>
                <w:tcPr>
                  <w:tcW w:w="4321" w:type="dxa"/>
                  <w:tcBorders>
                    <w:top w:val="single" w:color="auto" w:sz="6" w:space="0"/>
                    <w:left w:val="nil"/>
                    <w:bottom w:val="single" w:color="auto" w:sz="6" w:space="0"/>
                    <w:right w:val="single" w:color="auto" w:sz="4" w:space="0"/>
                  </w:tcBorders>
                  <w:vAlign w:val="center"/>
                </w:tcPr>
                <w:p w14:paraId="799BB60A">
                  <w:pPr>
                    <w:pStyle w:val="111"/>
                    <w:rPr>
                      <w:rFonts w:hint="default" w:ascii="Times New Roman" w:hAnsi="Times New Roman" w:eastAsia="宋体" w:cs="Times New Roman"/>
                      <w:color w:val="0000FF"/>
                    </w:rPr>
                  </w:pPr>
                  <w:r>
                    <w:rPr>
                      <w:rFonts w:hint="default" w:ascii="Times New Roman" w:hAnsi="Times New Roman" w:eastAsia="宋体" w:cs="Times New Roman"/>
                      <w:color w:val="0000FF"/>
                    </w:rPr>
                    <w:t>施工作业区</w:t>
                  </w:r>
                  <w:r>
                    <w:rPr>
                      <w:rFonts w:hint="default" w:ascii="Times New Roman" w:hAnsi="Times New Roman" w:eastAsia="宋体" w:cs="Times New Roman"/>
                      <w:color w:val="0000FF"/>
                      <w:lang w:val="en-US" w:eastAsia="zh-CN"/>
                    </w:rPr>
                    <w:t>设置</w:t>
                  </w:r>
                  <w:r>
                    <w:rPr>
                      <w:rFonts w:hint="eastAsia" w:hAnsi="Times New Roman" w:cs="Times New Roman"/>
                      <w:color w:val="0000FF"/>
                      <w:lang w:val="en-US" w:eastAsia="zh-CN"/>
                    </w:rPr>
                    <w:t>2处</w:t>
                  </w:r>
                  <w:r>
                    <w:rPr>
                      <w:rFonts w:hint="default" w:ascii="Times New Roman" w:hAnsi="Times New Roman" w:eastAsia="宋体" w:cs="Times New Roman"/>
                      <w:color w:val="0000FF"/>
                    </w:rPr>
                    <w:t>，主要布置混凝土拌和系统</w:t>
                  </w:r>
                  <w:r>
                    <w:rPr>
                      <w:rFonts w:hint="default" w:ascii="Times New Roman" w:hAnsi="Times New Roman" w:cs="Times New Roman"/>
                      <w:color w:val="0000FF"/>
                      <w:lang w:eastAsia="zh-CN"/>
                    </w:rPr>
                    <w:t>（</w:t>
                  </w:r>
                  <w:r>
                    <w:rPr>
                      <w:rFonts w:hint="default" w:ascii="Times New Roman" w:hAnsi="Times New Roman" w:cs="Times New Roman"/>
                      <w:color w:val="0000FF"/>
                      <w:lang w:val="en-US" w:eastAsia="zh-CN"/>
                    </w:rPr>
                    <w:t>现场拌合</w:t>
                  </w:r>
                  <w:r>
                    <w:rPr>
                      <w:rFonts w:hint="default" w:ascii="Times New Roman" w:hAnsi="Times New Roman" w:cs="Times New Roman"/>
                      <w:color w:val="0000FF"/>
                      <w:lang w:eastAsia="zh-CN"/>
                    </w:rPr>
                    <w:t>）</w:t>
                  </w:r>
                  <w:r>
                    <w:rPr>
                      <w:rFonts w:hint="default" w:ascii="Times New Roman" w:hAnsi="Times New Roman" w:eastAsia="宋体" w:cs="Times New Roman"/>
                      <w:color w:val="0000FF"/>
                    </w:rPr>
                    <w:t>、钢筋加工场、机械维修保养场和</w:t>
                  </w:r>
                  <w:r>
                    <w:rPr>
                      <w:rFonts w:hint="eastAsia" w:ascii="Times New Roman" w:hAnsi="Times New Roman" w:eastAsia="宋体" w:cs="Times New Roman"/>
                      <w:color w:val="0000FF"/>
                      <w:lang w:eastAsia="zh-CN"/>
                    </w:rPr>
                    <w:t>料场</w:t>
                  </w:r>
                  <w:r>
                    <w:rPr>
                      <w:rFonts w:hint="eastAsia" w:hAnsi="Times New Roman" w:cs="Times New Roman"/>
                      <w:color w:val="0000FF"/>
                      <w:lang w:eastAsia="zh-CN"/>
                    </w:rPr>
                    <w:t>（</w:t>
                  </w:r>
                  <w:r>
                    <w:rPr>
                      <w:rFonts w:hint="eastAsia" w:hAnsi="Times New Roman" w:cs="Times New Roman"/>
                      <w:color w:val="0000FF"/>
                      <w:lang w:val="en-US" w:eastAsia="zh-CN"/>
                    </w:rPr>
                    <w:t>600m</w:t>
                  </w:r>
                  <w:r>
                    <w:rPr>
                      <w:rFonts w:hint="eastAsia" w:hAnsi="Times New Roman" w:cs="Times New Roman"/>
                      <w:color w:val="0000FF"/>
                      <w:vertAlign w:val="superscript"/>
                      <w:lang w:val="en-US" w:eastAsia="zh-CN"/>
                    </w:rPr>
                    <w:t>2</w:t>
                  </w:r>
                  <w:r>
                    <w:rPr>
                      <w:rFonts w:hint="eastAsia" w:hAnsi="Times New Roman" w:cs="Times New Roman"/>
                      <w:color w:val="0000FF"/>
                      <w:lang w:eastAsia="zh-CN"/>
                    </w:rPr>
                    <w:t>）</w:t>
                  </w:r>
                  <w:r>
                    <w:rPr>
                      <w:rFonts w:hint="default" w:ascii="Times New Roman" w:hAnsi="Times New Roman" w:eastAsia="宋体" w:cs="Times New Roman"/>
                      <w:color w:val="0000FF"/>
                    </w:rPr>
                    <w:t>等</w:t>
                  </w:r>
                  <w:r>
                    <w:rPr>
                      <w:rFonts w:hint="default" w:ascii="Times New Roman" w:hAnsi="Times New Roman" w:eastAsia="宋体" w:cs="Times New Roman"/>
                      <w:color w:val="0000FF"/>
                      <w:lang w:eastAsia="zh-CN"/>
                    </w:rPr>
                    <w:t>，</w:t>
                  </w:r>
                  <w:r>
                    <w:rPr>
                      <w:rFonts w:hint="eastAsia" w:hAnsi="Times New Roman" w:cs="Times New Roman"/>
                      <w:color w:val="0000FF"/>
                      <w:lang w:val="en-US" w:eastAsia="zh-CN"/>
                    </w:rPr>
                    <w:t>不设置油料储存区，</w:t>
                  </w:r>
                  <w:r>
                    <w:rPr>
                      <w:rFonts w:hint="default" w:ascii="Times New Roman" w:hAnsi="Times New Roman" w:eastAsia="宋体" w:cs="Times New Roman"/>
                      <w:color w:val="0000FF"/>
                      <w:lang w:val="en-US" w:eastAsia="zh-CN"/>
                    </w:rPr>
                    <w:t>见附图3</w:t>
                  </w:r>
                  <w:r>
                    <w:rPr>
                      <w:rFonts w:hint="default" w:ascii="Times New Roman" w:hAnsi="Times New Roman" w:eastAsia="宋体" w:cs="Times New Roman"/>
                      <w:color w:val="0000FF"/>
                    </w:rPr>
                    <w:t>。</w:t>
                  </w:r>
                </w:p>
              </w:tc>
              <w:tc>
                <w:tcPr>
                  <w:tcW w:w="1300" w:type="dxa"/>
                  <w:vMerge w:val="restart"/>
                  <w:tcBorders>
                    <w:top w:val="single" w:color="auto" w:sz="6" w:space="0"/>
                    <w:left w:val="single" w:color="auto" w:sz="4" w:space="0"/>
                    <w:right w:val="single" w:color="auto" w:sz="6" w:space="0"/>
                  </w:tcBorders>
                  <w:vAlign w:val="center"/>
                </w:tcPr>
                <w:p w14:paraId="11CF8547">
                  <w:pPr>
                    <w:pStyle w:val="111"/>
                    <w:rPr>
                      <w:rFonts w:hint="default" w:ascii="Times New Roman" w:hAnsi="Times New Roman" w:eastAsia="宋体" w:cs="Times New Roman"/>
                      <w:color w:val="auto"/>
                      <w:lang w:val="en-US" w:eastAsia="zh-CN"/>
                    </w:rPr>
                  </w:pPr>
                  <w:r>
                    <w:rPr>
                      <w:rFonts w:hint="eastAsia" w:hAnsi="Times New Roman" w:cs="Times New Roman"/>
                      <w:color w:val="0000FF"/>
                      <w:kern w:val="0"/>
                      <w:sz w:val="21"/>
                      <w:szCs w:val="21"/>
                      <w:lang w:val="en-US" w:eastAsia="zh-CN" w:bidi="ar-SA"/>
                    </w:rPr>
                    <w:t>新</w:t>
                  </w:r>
                  <w:r>
                    <w:rPr>
                      <w:rFonts w:hint="default" w:ascii="Times New Roman" w:hAnsi="Times New Roman" w:eastAsia="宋体" w:cs="Times New Roman"/>
                      <w:color w:val="0000FF"/>
                      <w:kern w:val="0"/>
                      <w:sz w:val="21"/>
                      <w:szCs w:val="21"/>
                      <w:lang w:val="en-US" w:eastAsia="zh-CN" w:bidi="ar-SA"/>
                    </w:rPr>
                    <w:t>建</w:t>
                  </w:r>
                  <w:r>
                    <w:rPr>
                      <w:rFonts w:hint="eastAsia" w:ascii="Times New Roman" w:hAnsi="Times New Roman" w:eastAsia="宋体" w:cs="Times New Roman"/>
                      <w:color w:val="0000FF"/>
                      <w:kern w:val="0"/>
                      <w:sz w:val="21"/>
                      <w:szCs w:val="21"/>
                      <w:lang w:val="en-US" w:eastAsia="zh-CN" w:bidi="ar-SA"/>
                    </w:rPr>
                    <w:t>，</w:t>
                  </w:r>
                  <w:r>
                    <w:rPr>
                      <w:rFonts w:ascii="宋体" w:hAnsi="宋体" w:eastAsia="宋体" w:cs="宋体"/>
                      <w:color w:val="0000FF"/>
                      <w:spacing w:val="-5"/>
                      <w:sz w:val="21"/>
                      <w:szCs w:val="21"/>
                    </w:rPr>
                    <w:t>工程临时占地面积为</w:t>
                  </w:r>
                  <w:r>
                    <w:rPr>
                      <w:rFonts w:hint="eastAsia" w:ascii="Times New Roman" w:hAnsi="Times New Roman" w:cs="Times New Roman"/>
                      <w:color w:val="0000FF"/>
                      <w:spacing w:val="-5"/>
                      <w:sz w:val="21"/>
                      <w:szCs w:val="21"/>
                      <w:lang w:val="en-US" w:eastAsia="zh-CN"/>
                    </w:rPr>
                    <w:t>0.31</w:t>
                  </w:r>
                  <w:r>
                    <w:rPr>
                      <w:rFonts w:hint="eastAsia" w:ascii="Times New Roman" w:hAnsi="Times New Roman" w:cs="Times New Roman"/>
                      <w:color w:val="0000FF"/>
                      <w:sz w:val="21"/>
                      <w:szCs w:val="21"/>
                      <w:lang w:val="en-US" w:eastAsia="zh-CN"/>
                    </w:rPr>
                    <w:t>hm</w:t>
                  </w:r>
                  <w:r>
                    <w:rPr>
                      <w:rFonts w:hint="default" w:ascii="Times New Roman" w:hAnsi="Times New Roman" w:eastAsia="宋体" w:cs="Times New Roman"/>
                      <w:color w:val="0000FF"/>
                      <w:sz w:val="21"/>
                      <w:szCs w:val="21"/>
                      <w:vertAlign w:val="superscript"/>
                      <w:lang w:val="en-US" w:eastAsia="zh-CN"/>
                    </w:rPr>
                    <w:t>2</w:t>
                  </w:r>
                  <w:r>
                    <w:rPr>
                      <w:rFonts w:hint="eastAsia" w:hAnsi="Times New Roman" w:cs="Times New Roman"/>
                      <w:color w:val="0000FF"/>
                      <w:kern w:val="0"/>
                      <w:sz w:val="21"/>
                      <w:szCs w:val="21"/>
                      <w:vertAlign w:val="baseline"/>
                      <w:lang w:val="en-US" w:eastAsia="zh-CN" w:bidi="ar-SA"/>
                    </w:rPr>
                    <w:t>（</w:t>
                  </w:r>
                  <w:r>
                    <w:rPr>
                      <w:rFonts w:hint="eastAsia" w:ascii="Times New Roman" w:hAnsi="Times New Roman" w:eastAsia="宋体" w:cs="Times New Roman"/>
                      <w:color w:val="0000FF"/>
                      <w:sz w:val="21"/>
                      <w:szCs w:val="21"/>
                      <w:lang w:val="en-US" w:eastAsia="zh-CN"/>
                    </w:rPr>
                    <w:t>未利用地</w:t>
                  </w:r>
                  <w:r>
                    <w:rPr>
                      <w:rFonts w:hint="eastAsia" w:hAnsi="Times New Roman" w:cs="Times New Roman"/>
                      <w:color w:val="0000FF"/>
                      <w:kern w:val="0"/>
                      <w:sz w:val="21"/>
                      <w:szCs w:val="21"/>
                      <w:vertAlign w:val="baseline"/>
                      <w:lang w:val="en-US" w:eastAsia="zh-CN" w:bidi="ar-SA"/>
                    </w:rPr>
                    <w:t>）</w:t>
                  </w:r>
                </w:p>
              </w:tc>
            </w:tr>
            <w:tr w14:paraId="2EDCFE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25" w:type="dxa"/>
                  <w:vMerge w:val="continue"/>
                  <w:tcBorders>
                    <w:left w:val="single" w:color="auto" w:sz="6" w:space="0"/>
                    <w:right w:val="single" w:color="auto" w:sz="6" w:space="0"/>
                  </w:tcBorders>
                  <w:vAlign w:val="center"/>
                </w:tcPr>
                <w:p w14:paraId="3E72D86D">
                  <w:pPr>
                    <w:pStyle w:val="111"/>
                    <w:rPr>
                      <w:rFonts w:hint="default" w:ascii="Times New Roman" w:hAnsi="Times New Roman" w:eastAsia="宋体" w:cs="Times New Roman"/>
                      <w:color w:val="auto"/>
                    </w:rPr>
                  </w:pPr>
                </w:p>
              </w:tc>
              <w:tc>
                <w:tcPr>
                  <w:tcW w:w="1220" w:type="dxa"/>
                  <w:tcBorders>
                    <w:top w:val="single" w:color="auto" w:sz="6" w:space="0"/>
                    <w:left w:val="nil"/>
                    <w:bottom w:val="single" w:color="auto" w:sz="6" w:space="0"/>
                    <w:right w:val="single" w:color="auto" w:sz="6" w:space="0"/>
                  </w:tcBorders>
                  <w:vAlign w:val="center"/>
                </w:tcPr>
                <w:p w14:paraId="424B53EE">
                  <w:pPr>
                    <w:pStyle w:val="111"/>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原料采购</w:t>
                  </w:r>
                </w:p>
              </w:tc>
              <w:tc>
                <w:tcPr>
                  <w:tcW w:w="4321" w:type="dxa"/>
                  <w:tcBorders>
                    <w:top w:val="single" w:color="auto" w:sz="6" w:space="0"/>
                    <w:left w:val="nil"/>
                    <w:bottom w:val="single" w:color="auto" w:sz="6" w:space="0"/>
                    <w:right w:val="single" w:color="auto" w:sz="4" w:space="0"/>
                  </w:tcBorders>
                  <w:vAlign w:val="center"/>
                </w:tcPr>
                <w:p w14:paraId="525714EF">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根据工程布置和料场的选择与</w:t>
                  </w:r>
                  <w:r>
                    <w:rPr>
                      <w:rFonts w:hint="default" w:ascii="Times New Roman" w:hAnsi="Times New Roman" w:eastAsia="宋体" w:cs="Times New Roman"/>
                      <w:color w:val="auto"/>
                      <w:lang w:val="en-US" w:eastAsia="zh-CN"/>
                    </w:rPr>
                    <w:t>采购</w:t>
                  </w:r>
                  <w:r>
                    <w:rPr>
                      <w:rFonts w:hint="default" w:ascii="Times New Roman" w:hAnsi="Times New Roman" w:eastAsia="宋体" w:cs="Times New Roman"/>
                      <w:color w:val="auto"/>
                    </w:rPr>
                    <w:t>规划，混凝土粗、细骨料由</w:t>
                  </w:r>
                  <w:r>
                    <w:rPr>
                      <w:rFonts w:hint="default" w:ascii="Times New Roman" w:hAnsi="Times New Roman" w:eastAsia="宋体" w:cs="Times New Roman"/>
                      <w:color w:val="auto"/>
                      <w:lang w:val="en-US" w:eastAsia="zh-CN"/>
                    </w:rPr>
                    <w:t>当地</w:t>
                  </w:r>
                  <w:r>
                    <w:rPr>
                      <w:rFonts w:hint="default" w:ascii="Times New Roman" w:hAnsi="Times New Roman" w:eastAsia="宋体" w:cs="Times New Roman"/>
                      <w:color w:val="auto"/>
                      <w:lang w:eastAsia="zh-CN"/>
                    </w:rPr>
                    <w:t>砂石料场</w:t>
                  </w:r>
                  <w:r>
                    <w:rPr>
                      <w:rFonts w:hint="default" w:ascii="Times New Roman" w:hAnsi="Times New Roman" w:eastAsia="宋体" w:cs="Times New Roman"/>
                      <w:color w:val="auto"/>
                    </w:rPr>
                    <w:t>购运，工程所需要的土料，</w:t>
                  </w:r>
                  <w:r>
                    <w:rPr>
                      <w:rFonts w:hint="default" w:ascii="Times New Roman" w:hAnsi="Times New Roman" w:eastAsia="宋体" w:cs="Times New Roman"/>
                      <w:color w:val="auto"/>
                      <w:lang w:val="en-US" w:eastAsia="zh-CN"/>
                    </w:rPr>
                    <w:t>采用渠道施工产生的弃土</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不设置取土场</w:t>
                  </w:r>
                  <w:r>
                    <w:rPr>
                      <w:rFonts w:hint="default" w:ascii="Times New Roman" w:hAnsi="Times New Roman" w:eastAsia="宋体" w:cs="Times New Roman"/>
                      <w:color w:val="auto"/>
                    </w:rPr>
                    <w:t>。</w:t>
                  </w:r>
                </w:p>
              </w:tc>
              <w:tc>
                <w:tcPr>
                  <w:tcW w:w="1300" w:type="dxa"/>
                  <w:vMerge w:val="continue"/>
                  <w:tcBorders>
                    <w:left w:val="single" w:color="auto" w:sz="4" w:space="0"/>
                    <w:right w:val="single" w:color="auto" w:sz="6" w:space="0"/>
                  </w:tcBorders>
                  <w:vAlign w:val="center"/>
                </w:tcPr>
                <w:p w14:paraId="60022ECE">
                  <w:pPr>
                    <w:pStyle w:val="111"/>
                    <w:rPr>
                      <w:rFonts w:hint="default" w:ascii="Times New Roman" w:hAnsi="Times New Roman" w:eastAsia="宋体" w:cs="Times New Roman"/>
                      <w:color w:val="auto"/>
                    </w:rPr>
                  </w:pPr>
                </w:p>
              </w:tc>
            </w:tr>
            <w:tr w14:paraId="35C3F8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25" w:type="dxa"/>
                  <w:vMerge w:val="continue"/>
                  <w:tcBorders>
                    <w:left w:val="single" w:color="auto" w:sz="6" w:space="0"/>
                    <w:bottom w:val="single" w:color="auto" w:sz="6" w:space="0"/>
                    <w:right w:val="single" w:color="auto" w:sz="6" w:space="0"/>
                  </w:tcBorders>
                  <w:vAlign w:val="center"/>
                </w:tcPr>
                <w:p w14:paraId="3A49D766">
                  <w:pPr>
                    <w:pStyle w:val="111"/>
                    <w:rPr>
                      <w:rFonts w:hint="default" w:ascii="Times New Roman" w:hAnsi="Times New Roman" w:eastAsia="宋体" w:cs="Times New Roman"/>
                      <w:color w:val="auto"/>
                    </w:rPr>
                  </w:pPr>
                </w:p>
              </w:tc>
              <w:tc>
                <w:tcPr>
                  <w:tcW w:w="1220" w:type="dxa"/>
                  <w:tcBorders>
                    <w:top w:val="single" w:color="auto" w:sz="6" w:space="0"/>
                    <w:left w:val="nil"/>
                    <w:bottom w:val="single" w:color="auto" w:sz="6" w:space="0"/>
                    <w:right w:val="single" w:color="auto" w:sz="6" w:space="0"/>
                  </w:tcBorders>
                  <w:vAlign w:val="center"/>
                </w:tcPr>
                <w:p w14:paraId="3859D18E">
                  <w:pPr>
                    <w:pStyle w:val="111"/>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生活区</w:t>
                  </w:r>
                </w:p>
              </w:tc>
              <w:tc>
                <w:tcPr>
                  <w:tcW w:w="4321" w:type="dxa"/>
                  <w:tcBorders>
                    <w:top w:val="single" w:color="auto" w:sz="6" w:space="0"/>
                    <w:left w:val="nil"/>
                    <w:bottom w:val="single" w:color="auto" w:sz="6" w:space="0"/>
                    <w:right w:val="single" w:color="auto" w:sz="4" w:space="0"/>
                  </w:tcBorders>
                  <w:vAlign w:val="center"/>
                </w:tcPr>
                <w:p w14:paraId="47F66BEF">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为便于施工管理，</w:t>
                  </w:r>
                  <w:r>
                    <w:rPr>
                      <w:rFonts w:hint="default" w:ascii="Times New Roman" w:hAnsi="Times New Roman" w:eastAsia="宋体" w:cs="Times New Roman"/>
                      <w:color w:val="auto"/>
                      <w:lang w:val="en-US" w:eastAsia="zh-CN"/>
                    </w:rPr>
                    <w:t>设置生活区</w:t>
                  </w:r>
                  <w:r>
                    <w:rPr>
                      <w:rFonts w:hint="eastAsia" w:hAnsi="Times New Roman" w:cs="Times New Roman"/>
                      <w:color w:val="auto"/>
                      <w:lang w:val="en-US" w:eastAsia="zh-CN"/>
                    </w:rPr>
                    <w:t>2</w:t>
                  </w:r>
                  <w:r>
                    <w:rPr>
                      <w:rFonts w:hint="default" w:ascii="Times New Roman" w:hAnsi="Times New Roman" w:eastAsia="宋体" w:cs="Times New Roman"/>
                      <w:color w:val="auto"/>
                      <w:lang w:val="en-US" w:eastAsia="zh-CN"/>
                    </w:rPr>
                    <w:t>处，</w:t>
                  </w:r>
                  <w:r>
                    <w:rPr>
                      <w:rFonts w:hint="eastAsia" w:hAnsi="Times New Roman" w:cs="Times New Roman"/>
                      <w:color w:val="auto"/>
                      <w:lang w:val="en-US" w:eastAsia="zh-CN"/>
                    </w:rPr>
                    <w:t>租用附近村庄民房</w:t>
                  </w:r>
                  <w:r>
                    <w:rPr>
                      <w:rFonts w:hint="default" w:ascii="Times New Roman" w:hAnsi="Times New Roman" w:eastAsia="宋体" w:cs="Times New Roman"/>
                      <w:color w:val="auto"/>
                    </w:rPr>
                    <w:t>。</w:t>
                  </w:r>
                </w:p>
              </w:tc>
              <w:tc>
                <w:tcPr>
                  <w:tcW w:w="1300" w:type="dxa"/>
                  <w:vMerge w:val="continue"/>
                  <w:tcBorders>
                    <w:left w:val="single" w:color="auto" w:sz="4" w:space="0"/>
                    <w:right w:val="single" w:color="auto" w:sz="6" w:space="0"/>
                  </w:tcBorders>
                  <w:vAlign w:val="center"/>
                </w:tcPr>
                <w:p w14:paraId="6908CF31">
                  <w:pPr>
                    <w:pStyle w:val="111"/>
                    <w:rPr>
                      <w:rFonts w:hint="default" w:ascii="Times New Roman" w:hAnsi="Times New Roman" w:eastAsia="宋体" w:cs="Times New Roman"/>
                      <w:color w:val="auto"/>
                    </w:rPr>
                  </w:pPr>
                </w:p>
              </w:tc>
            </w:tr>
            <w:tr w14:paraId="55EC7B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25" w:type="dxa"/>
                  <w:vMerge w:val="restart"/>
                  <w:tcBorders>
                    <w:top w:val="nil"/>
                    <w:left w:val="single" w:color="auto" w:sz="6" w:space="0"/>
                    <w:bottom w:val="single" w:color="auto" w:sz="6" w:space="0"/>
                    <w:right w:val="single" w:color="auto" w:sz="6" w:space="0"/>
                  </w:tcBorders>
                  <w:vAlign w:val="center"/>
                </w:tcPr>
                <w:p w14:paraId="5D67BAA3">
                  <w:pPr>
                    <w:pStyle w:val="111"/>
                    <w:rPr>
                      <w:rFonts w:hint="default" w:ascii="Times New Roman" w:hAnsi="Times New Roman" w:eastAsia="宋体" w:cs="Times New Roman"/>
                      <w:color w:val="auto"/>
                    </w:rPr>
                  </w:pPr>
                  <w:r>
                    <w:rPr>
                      <w:rFonts w:hint="eastAsia" w:hAnsi="Times New Roman" w:cs="Times New Roman"/>
                      <w:color w:val="auto"/>
                      <w:lang w:val="en-US" w:eastAsia="zh-CN"/>
                    </w:rPr>
                    <w:t>临时</w:t>
                  </w:r>
                  <w:r>
                    <w:rPr>
                      <w:rFonts w:hint="default" w:ascii="Times New Roman" w:hAnsi="Times New Roman" w:eastAsia="宋体" w:cs="Times New Roman"/>
                      <w:color w:val="auto"/>
                    </w:rPr>
                    <w:t>工程</w:t>
                  </w:r>
                </w:p>
              </w:tc>
              <w:tc>
                <w:tcPr>
                  <w:tcW w:w="1220" w:type="dxa"/>
                  <w:tcBorders>
                    <w:top w:val="single" w:color="auto" w:sz="6" w:space="0"/>
                    <w:left w:val="nil"/>
                    <w:bottom w:val="single" w:color="auto" w:sz="6" w:space="0"/>
                    <w:right w:val="single" w:color="auto" w:sz="6" w:space="0"/>
                  </w:tcBorders>
                  <w:vAlign w:val="center"/>
                </w:tcPr>
                <w:p w14:paraId="56CFA033">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道路</w:t>
                  </w:r>
                </w:p>
              </w:tc>
              <w:tc>
                <w:tcPr>
                  <w:tcW w:w="4321" w:type="dxa"/>
                  <w:tcBorders>
                    <w:top w:val="single" w:color="auto" w:sz="6" w:space="0"/>
                    <w:left w:val="nil"/>
                    <w:bottom w:val="single" w:color="auto" w:sz="6" w:space="0"/>
                    <w:right w:val="single" w:color="auto" w:sz="4" w:space="0"/>
                  </w:tcBorders>
                  <w:vAlign w:val="center"/>
                </w:tcPr>
                <w:p w14:paraId="73A7B784">
                  <w:pPr>
                    <w:pStyle w:val="113"/>
                    <w:spacing w:line="240" w:lineRule="auto"/>
                    <w:ind w:left="0" w:leftChars="0" w:firstLine="0" w:firstLineChars="0"/>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sz w:val="21"/>
                      <w:szCs w:val="21"/>
                      <w:lang w:val="en-US" w:eastAsia="zh-CN" w:bidi="ar-SA"/>
                    </w:rPr>
                    <w:t>工程项目所在地交通十分便利，灌区内均有柏油路面或砂石路面相通，交通方便；各公路均可通过乡村道路通达工程项目区。本次渠道多临机耕道或乡村路而建，场内交通便利</w:t>
                  </w:r>
                  <w:r>
                    <w:rPr>
                      <w:rFonts w:hint="default" w:ascii="Times New Roman" w:hAnsi="Times New Roman" w:eastAsia="宋体" w:cs="Times New Roman"/>
                      <w:color w:val="auto"/>
                    </w:rPr>
                    <w:t>。</w:t>
                  </w:r>
                </w:p>
              </w:tc>
              <w:tc>
                <w:tcPr>
                  <w:tcW w:w="1300" w:type="dxa"/>
                  <w:vMerge w:val="continue"/>
                  <w:tcBorders>
                    <w:left w:val="single" w:color="auto" w:sz="4" w:space="0"/>
                    <w:right w:val="single" w:color="auto" w:sz="6" w:space="0"/>
                  </w:tcBorders>
                  <w:vAlign w:val="center"/>
                </w:tcPr>
                <w:p w14:paraId="50A8DDC1">
                  <w:pPr>
                    <w:pStyle w:val="111"/>
                    <w:rPr>
                      <w:rFonts w:hint="default" w:ascii="Times New Roman" w:hAnsi="Times New Roman" w:eastAsia="宋体" w:cs="Times New Roman"/>
                      <w:color w:val="auto"/>
                    </w:rPr>
                  </w:pPr>
                </w:p>
              </w:tc>
            </w:tr>
            <w:tr w14:paraId="294A39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25" w:type="dxa"/>
                  <w:vMerge w:val="continue"/>
                  <w:tcBorders>
                    <w:top w:val="nil"/>
                    <w:left w:val="single" w:color="auto" w:sz="6" w:space="0"/>
                    <w:bottom w:val="single" w:color="auto" w:sz="6" w:space="0"/>
                    <w:right w:val="single" w:color="auto" w:sz="6" w:space="0"/>
                  </w:tcBorders>
                  <w:vAlign w:val="center"/>
                </w:tcPr>
                <w:p w14:paraId="1A2547DA">
                  <w:pPr>
                    <w:pStyle w:val="111"/>
                    <w:rPr>
                      <w:rFonts w:hint="default" w:ascii="Times New Roman" w:hAnsi="Times New Roman" w:eastAsia="宋体" w:cs="Times New Roman"/>
                      <w:color w:val="auto"/>
                    </w:rPr>
                  </w:pPr>
                </w:p>
              </w:tc>
              <w:tc>
                <w:tcPr>
                  <w:tcW w:w="1220" w:type="dxa"/>
                  <w:tcBorders>
                    <w:top w:val="single" w:color="auto" w:sz="6" w:space="0"/>
                    <w:left w:val="nil"/>
                    <w:bottom w:val="single" w:color="auto" w:sz="6" w:space="0"/>
                    <w:right w:val="single" w:color="auto" w:sz="6" w:space="0"/>
                  </w:tcBorders>
                  <w:vAlign w:val="center"/>
                </w:tcPr>
                <w:p w14:paraId="1A0265CC">
                  <w:pPr>
                    <w:pStyle w:val="111"/>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弃土弃渣场</w:t>
                  </w:r>
                </w:p>
              </w:tc>
              <w:tc>
                <w:tcPr>
                  <w:tcW w:w="4321" w:type="dxa"/>
                  <w:tcBorders>
                    <w:top w:val="single" w:color="auto" w:sz="6" w:space="0"/>
                    <w:left w:val="nil"/>
                    <w:bottom w:val="single" w:color="auto" w:sz="6" w:space="0"/>
                    <w:right w:val="single" w:color="auto" w:sz="4" w:space="0"/>
                  </w:tcBorders>
                  <w:vAlign w:val="center"/>
                </w:tcPr>
                <w:p w14:paraId="654DFD6B">
                  <w:pPr>
                    <w:keepNext w:val="0"/>
                    <w:keepLines w:val="0"/>
                    <w:widowControl/>
                    <w:suppressLineNumbers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弃土弃渣</w:t>
                  </w:r>
                  <w:r>
                    <w:rPr>
                      <w:rFonts w:hint="eastAsia" w:ascii="Times New Roman" w:hAnsi="Times New Roman" w:cs="Times New Roman"/>
                      <w:color w:val="auto"/>
                      <w:lang w:val="en-US" w:eastAsia="zh-CN"/>
                    </w:rPr>
                    <w:t>区</w:t>
                  </w:r>
                  <w:r>
                    <w:rPr>
                      <w:rFonts w:hint="default" w:ascii="Times New Roman" w:hAnsi="Times New Roman" w:eastAsia="宋体" w:cs="Times New Roman"/>
                      <w:color w:val="auto"/>
                      <w:lang w:val="en-US" w:eastAsia="zh-CN"/>
                    </w:rPr>
                    <w:t>设置</w:t>
                  </w:r>
                  <w:r>
                    <w:rPr>
                      <w:rFonts w:hint="eastAsia" w:hAnsi="Times New Roman" w:cs="Times New Roman"/>
                      <w:color w:val="auto"/>
                      <w:lang w:val="en-US" w:eastAsia="zh-CN"/>
                    </w:rPr>
                    <w:t>2处</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弃土弃渣</w:t>
                  </w:r>
                  <w:r>
                    <w:rPr>
                      <w:rFonts w:hint="eastAsia" w:ascii="Times New Roman" w:hAnsi="Times New Roman" w:cs="Times New Roman"/>
                      <w:color w:val="auto"/>
                      <w:lang w:val="en-US" w:eastAsia="zh-CN"/>
                    </w:rPr>
                    <w:t>堆放于渠道两侧</w:t>
                  </w:r>
                  <w:r>
                    <w:rPr>
                      <w:rFonts w:hint="default" w:ascii="Times New Roman" w:hAnsi="Times New Roman" w:eastAsia="宋体" w:cs="Times New Roman"/>
                      <w:color w:val="auto"/>
                      <w:lang w:val="en-US" w:eastAsia="zh-CN"/>
                    </w:rPr>
                    <w:t>，用于临时弃土弃渣堆放，施工结束后平整并恢复植被</w:t>
                  </w:r>
                </w:p>
              </w:tc>
              <w:tc>
                <w:tcPr>
                  <w:tcW w:w="1300" w:type="dxa"/>
                  <w:vMerge w:val="continue"/>
                  <w:tcBorders>
                    <w:left w:val="single" w:color="auto" w:sz="4" w:space="0"/>
                    <w:bottom w:val="single" w:color="auto" w:sz="6" w:space="0"/>
                    <w:right w:val="single" w:color="auto" w:sz="6" w:space="0"/>
                  </w:tcBorders>
                  <w:vAlign w:val="center"/>
                </w:tcPr>
                <w:p w14:paraId="57E6361A">
                  <w:pPr>
                    <w:pStyle w:val="111"/>
                    <w:rPr>
                      <w:rFonts w:hint="default" w:ascii="Times New Roman" w:hAnsi="Times New Roman" w:eastAsia="宋体" w:cs="Times New Roman"/>
                      <w:color w:val="auto"/>
                    </w:rPr>
                  </w:pPr>
                </w:p>
              </w:tc>
            </w:tr>
            <w:tr w14:paraId="52FB97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1225" w:type="dxa"/>
                  <w:vMerge w:val="restart"/>
                  <w:tcBorders>
                    <w:top w:val="nil"/>
                    <w:left w:val="single" w:color="auto" w:sz="6" w:space="0"/>
                    <w:bottom w:val="single" w:color="auto" w:sz="6" w:space="0"/>
                    <w:right w:val="single" w:color="auto" w:sz="6" w:space="0"/>
                  </w:tcBorders>
                  <w:vAlign w:val="center"/>
                </w:tcPr>
                <w:p w14:paraId="0C96E04C">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公用工程</w:t>
                  </w:r>
                </w:p>
              </w:tc>
              <w:tc>
                <w:tcPr>
                  <w:tcW w:w="1220" w:type="dxa"/>
                  <w:tcBorders>
                    <w:top w:val="single" w:color="auto" w:sz="6" w:space="0"/>
                    <w:left w:val="nil"/>
                    <w:bottom w:val="single" w:color="auto" w:sz="6" w:space="0"/>
                    <w:right w:val="single" w:color="auto" w:sz="6" w:space="0"/>
                  </w:tcBorders>
                  <w:vAlign w:val="center"/>
                </w:tcPr>
                <w:p w14:paraId="70BD29C6">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供水工程</w:t>
                  </w:r>
                </w:p>
              </w:tc>
              <w:tc>
                <w:tcPr>
                  <w:tcW w:w="4321" w:type="dxa"/>
                  <w:tcBorders>
                    <w:top w:val="single" w:color="auto" w:sz="6" w:space="0"/>
                    <w:left w:val="nil"/>
                    <w:bottom w:val="single" w:color="auto" w:sz="6" w:space="0"/>
                    <w:right w:val="single" w:color="auto" w:sz="4" w:space="0"/>
                  </w:tcBorders>
                  <w:vAlign w:val="center"/>
                </w:tcPr>
                <w:p w14:paraId="63A2A254">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用水从附近的居民点拉运</w:t>
                  </w:r>
                </w:p>
              </w:tc>
              <w:tc>
                <w:tcPr>
                  <w:tcW w:w="1300" w:type="dxa"/>
                  <w:tcBorders>
                    <w:top w:val="single" w:color="auto" w:sz="6" w:space="0"/>
                    <w:left w:val="single" w:color="auto" w:sz="4" w:space="0"/>
                    <w:bottom w:val="single" w:color="auto" w:sz="6" w:space="0"/>
                    <w:right w:val="single" w:color="auto" w:sz="6" w:space="0"/>
                  </w:tcBorders>
                  <w:vAlign w:val="center"/>
                </w:tcPr>
                <w:p w14:paraId="67D42B8E">
                  <w:pPr>
                    <w:pStyle w:val="111"/>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新建</w:t>
                  </w:r>
                </w:p>
              </w:tc>
            </w:tr>
            <w:tr w14:paraId="117E58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1225" w:type="dxa"/>
                  <w:vMerge w:val="continue"/>
                  <w:tcBorders>
                    <w:top w:val="nil"/>
                    <w:left w:val="single" w:color="auto" w:sz="6" w:space="0"/>
                    <w:bottom w:val="single" w:color="auto" w:sz="6" w:space="0"/>
                    <w:right w:val="single" w:color="auto" w:sz="6" w:space="0"/>
                  </w:tcBorders>
                  <w:vAlign w:val="center"/>
                </w:tcPr>
                <w:p w14:paraId="6055A4AF">
                  <w:pPr>
                    <w:pStyle w:val="111"/>
                    <w:rPr>
                      <w:rFonts w:hint="default" w:ascii="Times New Roman" w:hAnsi="Times New Roman" w:eastAsia="宋体" w:cs="Times New Roman"/>
                      <w:color w:val="auto"/>
                    </w:rPr>
                  </w:pPr>
                </w:p>
              </w:tc>
              <w:tc>
                <w:tcPr>
                  <w:tcW w:w="1220" w:type="dxa"/>
                  <w:tcBorders>
                    <w:top w:val="single" w:color="auto" w:sz="6" w:space="0"/>
                    <w:left w:val="nil"/>
                    <w:bottom w:val="single" w:color="auto" w:sz="6" w:space="0"/>
                    <w:right w:val="single" w:color="auto" w:sz="6" w:space="0"/>
                  </w:tcBorders>
                  <w:vAlign w:val="center"/>
                </w:tcPr>
                <w:p w14:paraId="58D5F2CA">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供电工程</w:t>
                  </w:r>
                </w:p>
              </w:tc>
              <w:tc>
                <w:tcPr>
                  <w:tcW w:w="4321" w:type="dxa"/>
                  <w:tcBorders>
                    <w:top w:val="single" w:color="auto" w:sz="6" w:space="0"/>
                    <w:left w:val="nil"/>
                    <w:bottom w:val="single" w:color="auto" w:sz="6" w:space="0"/>
                    <w:right w:val="single" w:color="auto" w:sz="4" w:space="0"/>
                  </w:tcBorders>
                  <w:vAlign w:val="center"/>
                </w:tcPr>
                <w:p w14:paraId="0CEF184D">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来自市政供电线路</w:t>
                  </w:r>
                </w:p>
              </w:tc>
              <w:tc>
                <w:tcPr>
                  <w:tcW w:w="1300" w:type="dxa"/>
                  <w:tcBorders>
                    <w:top w:val="single" w:color="auto" w:sz="6" w:space="0"/>
                    <w:left w:val="single" w:color="auto" w:sz="4" w:space="0"/>
                    <w:bottom w:val="single" w:color="auto" w:sz="6" w:space="0"/>
                    <w:right w:val="single" w:color="auto" w:sz="6" w:space="0"/>
                  </w:tcBorders>
                  <w:vAlign w:val="center"/>
                </w:tcPr>
                <w:p w14:paraId="58D2E3C0">
                  <w:pPr>
                    <w:pStyle w:val="111"/>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新建</w:t>
                  </w:r>
                </w:p>
              </w:tc>
            </w:tr>
            <w:tr w14:paraId="6A1314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25" w:type="dxa"/>
                  <w:vMerge w:val="continue"/>
                  <w:tcBorders>
                    <w:top w:val="nil"/>
                    <w:left w:val="single" w:color="auto" w:sz="6" w:space="0"/>
                    <w:bottom w:val="single" w:color="auto" w:sz="6" w:space="0"/>
                    <w:right w:val="single" w:color="auto" w:sz="6" w:space="0"/>
                  </w:tcBorders>
                  <w:vAlign w:val="center"/>
                </w:tcPr>
                <w:p w14:paraId="59F2F5AD">
                  <w:pPr>
                    <w:pStyle w:val="111"/>
                    <w:rPr>
                      <w:rFonts w:hint="default" w:ascii="Times New Roman" w:hAnsi="Times New Roman" w:eastAsia="宋体" w:cs="Times New Roman"/>
                      <w:color w:val="auto"/>
                    </w:rPr>
                  </w:pPr>
                </w:p>
              </w:tc>
              <w:tc>
                <w:tcPr>
                  <w:tcW w:w="1220" w:type="dxa"/>
                  <w:tcBorders>
                    <w:top w:val="single" w:color="auto" w:sz="6" w:space="0"/>
                    <w:left w:val="nil"/>
                    <w:bottom w:val="single" w:color="auto" w:sz="6" w:space="0"/>
                    <w:right w:val="single" w:color="auto" w:sz="6" w:space="0"/>
                  </w:tcBorders>
                  <w:vAlign w:val="center"/>
                </w:tcPr>
                <w:p w14:paraId="439BA260">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供热</w:t>
                  </w:r>
                </w:p>
              </w:tc>
              <w:tc>
                <w:tcPr>
                  <w:tcW w:w="4321" w:type="dxa"/>
                  <w:tcBorders>
                    <w:top w:val="single" w:color="auto" w:sz="6" w:space="0"/>
                    <w:left w:val="nil"/>
                    <w:bottom w:val="single" w:color="auto" w:sz="6" w:space="0"/>
                    <w:right w:val="single" w:color="auto" w:sz="4" w:space="0"/>
                  </w:tcBorders>
                  <w:vAlign w:val="center"/>
                </w:tcPr>
                <w:p w14:paraId="14332043">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生产不用热</w:t>
                  </w:r>
                </w:p>
              </w:tc>
              <w:tc>
                <w:tcPr>
                  <w:tcW w:w="1300" w:type="dxa"/>
                  <w:tcBorders>
                    <w:top w:val="single" w:color="auto" w:sz="6" w:space="0"/>
                    <w:left w:val="single" w:color="auto" w:sz="4" w:space="0"/>
                    <w:bottom w:val="single" w:color="auto" w:sz="6" w:space="0"/>
                    <w:right w:val="single" w:color="auto" w:sz="6" w:space="0"/>
                  </w:tcBorders>
                  <w:vAlign w:val="center"/>
                </w:tcPr>
                <w:p w14:paraId="7E303DBC">
                  <w:pPr>
                    <w:pStyle w:val="111"/>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新建</w:t>
                  </w:r>
                </w:p>
              </w:tc>
            </w:tr>
            <w:tr w14:paraId="3900B6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25" w:type="dxa"/>
                  <w:tcBorders>
                    <w:top w:val="nil"/>
                    <w:left w:val="single" w:color="auto" w:sz="6" w:space="0"/>
                    <w:bottom w:val="single" w:color="auto" w:sz="6" w:space="0"/>
                    <w:right w:val="single" w:color="auto" w:sz="6" w:space="0"/>
                  </w:tcBorders>
                  <w:shd w:val="clear" w:color="auto" w:fill="auto"/>
                  <w:vAlign w:val="center"/>
                </w:tcPr>
                <w:p w14:paraId="6F512600">
                  <w:pPr>
                    <w:pStyle w:val="111"/>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eastAsia="宋体" w:cs="Times New Roman"/>
                      <w:color w:val="auto"/>
                      <w:kern w:val="0"/>
                      <w:sz w:val="20"/>
                      <w:szCs w:val="20"/>
                      <w:lang w:val="en-US" w:eastAsia="zh-CN" w:bidi="ar"/>
                    </w:rPr>
                    <w:t>拆除工程</w:t>
                  </w:r>
                </w:p>
              </w:tc>
              <w:tc>
                <w:tcPr>
                  <w:tcW w:w="1220" w:type="dxa"/>
                  <w:tcBorders>
                    <w:top w:val="single" w:color="auto" w:sz="6" w:space="0"/>
                    <w:left w:val="nil"/>
                    <w:bottom w:val="single" w:color="auto" w:sz="6" w:space="0"/>
                    <w:right w:val="single" w:color="auto" w:sz="6" w:space="0"/>
                  </w:tcBorders>
                  <w:shd w:val="clear" w:color="auto" w:fill="auto"/>
                  <w:vAlign w:val="center"/>
                </w:tcPr>
                <w:p w14:paraId="09458AB5">
                  <w:pPr>
                    <w:pStyle w:val="111"/>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eastAsia="宋体" w:cs="Times New Roman"/>
                      <w:color w:val="auto"/>
                      <w:kern w:val="0"/>
                      <w:sz w:val="20"/>
                      <w:szCs w:val="20"/>
                      <w:lang w:val="en-US" w:eastAsia="zh-CN" w:bidi="ar"/>
                    </w:rPr>
                    <w:t>拆除现有构筑物</w:t>
                  </w:r>
                </w:p>
              </w:tc>
              <w:tc>
                <w:tcPr>
                  <w:tcW w:w="4321" w:type="dxa"/>
                  <w:tcBorders>
                    <w:top w:val="single" w:color="auto" w:sz="6" w:space="0"/>
                    <w:left w:val="nil"/>
                    <w:bottom w:val="single" w:color="auto" w:sz="6" w:space="0"/>
                    <w:right w:val="single" w:color="auto" w:sz="4" w:space="0"/>
                  </w:tcBorders>
                  <w:shd w:val="clear" w:color="auto" w:fill="auto"/>
                  <w:vAlign w:val="center"/>
                </w:tcPr>
                <w:p w14:paraId="20702E66">
                  <w:pPr>
                    <w:pStyle w:val="111"/>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在渠道改造前，现有工程临时构筑物需要进行拆除</w:t>
                  </w:r>
                </w:p>
              </w:tc>
              <w:tc>
                <w:tcPr>
                  <w:tcW w:w="1300" w:type="dxa"/>
                  <w:tcBorders>
                    <w:top w:val="single" w:color="auto" w:sz="6" w:space="0"/>
                    <w:left w:val="single" w:color="auto" w:sz="4" w:space="0"/>
                    <w:bottom w:val="single" w:color="auto" w:sz="6" w:space="0"/>
                    <w:right w:val="single" w:color="auto" w:sz="6" w:space="0"/>
                  </w:tcBorders>
                  <w:shd w:val="clear" w:color="auto" w:fill="auto"/>
                  <w:vAlign w:val="center"/>
                </w:tcPr>
                <w:p w14:paraId="6CB96822">
                  <w:pPr>
                    <w:pStyle w:val="111"/>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改建</w:t>
                  </w:r>
                </w:p>
              </w:tc>
            </w:tr>
            <w:tr w14:paraId="32BF92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225" w:type="dxa"/>
                  <w:vMerge w:val="restart"/>
                  <w:tcBorders>
                    <w:top w:val="nil"/>
                    <w:left w:val="single" w:color="auto" w:sz="6" w:space="0"/>
                    <w:bottom w:val="single" w:color="auto" w:sz="6" w:space="0"/>
                    <w:right w:val="single" w:color="auto" w:sz="6" w:space="0"/>
                  </w:tcBorders>
                  <w:vAlign w:val="center"/>
                </w:tcPr>
                <w:p w14:paraId="2A1CC680">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环保工程</w:t>
                  </w:r>
                </w:p>
              </w:tc>
              <w:tc>
                <w:tcPr>
                  <w:tcW w:w="1220" w:type="dxa"/>
                  <w:tcBorders>
                    <w:top w:val="single" w:color="auto" w:sz="6" w:space="0"/>
                    <w:left w:val="nil"/>
                    <w:bottom w:val="single" w:color="auto" w:sz="6" w:space="0"/>
                    <w:right w:val="single" w:color="auto" w:sz="6" w:space="0"/>
                  </w:tcBorders>
                  <w:vAlign w:val="center"/>
                </w:tcPr>
                <w:p w14:paraId="6067AF4C">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废气</w:t>
                  </w:r>
                </w:p>
              </w:tc>
              <w:tc>
                <w:tcPr>
                  <w:tcW w:w="4321" w:type="dxa"/>
                  <w:tcBorders>
                    <w:top w:val="single" w:color="auto" w:sz="6" w:space="0"/>
                    <w:left w:val="nil"/>
                    <w:bottom w:val="single" w:color="auto" w:sz="6" w:space="0"/>
                    <w:right w:val="single" w:color="auto" w:sz="4" w:space="0"/>
                  </w:tcBorders>
                  <w:vAlign w:val="center"/>
                </w:tcPr>
                <w:p w14:paraId="30E3019E">
                  <w:pPr>
                    <w:pStyle w:val="111"/>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加强车辆保养和维护，减少超载，减少停车怠速时间，以减少燃油废气排放；施工期间加强环境管理，加强对施工现场管理，露土覆盖，加强出入车辆冲洗，控制车辆驶入驶出速度；料场四周设置围挡防风阻尘，堆垛配备篷布遮盖并定期洒水保持湿润，有效减少原料堆存过程扬尘排放</w:t>
                  </w:r>
                </w:p>
              </w:tc>
              <w:tc>
                <w:tcPr>
                  <w:tcW w:w="1300" w:type="dxa"/>
                  <w:tcBorders>
                    <w:top w:val="single" w:color="auto" w:sz="6" w:space="0"/>
                    <w:left w:val="single" w:color="auto" w:sz="4" w:space="0"/>
                    <w:bottom w:val="single" w:color="auto" w:sz="6" w:space="0"/>
                    <w:right w:val="single" w:color="auto" w:sz="6" w:space="0"/>
                  </w:tcBorders>
                  <w:vAlign w:val="center"/>
                </w:tcPr>
                <w:p w14:paraId="12B0D36C">
                  <w:pPr>
                    <w:pStyle w:val="111"/>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新建</w:t>
                  </w:r>
                </w:p>
              </w:tc>
            </w:tr>
            <w:tr w14:paraId="788944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7" w:hRule="atLeast"/>
                <w:jc w:val="center"/>
              </w:trPr>
              <w:tc>
                <w:tcPr>
                  <w:tcW w:w="1225" w:type="dxa"/>
                  <w:vMerge w:val="continue"/>
                  <w:tcBorders>
                    <w:top w:val="nil"/>
                    <w:left w:val="single" w:color="auto" w:sz="6" w:space="0"/>
                    <w:bottom w:val="single" w:color="auto" w:sz="6" w:space="0"/>
                    <w:right w:val="single" w:color="auto" w:sz="6" w:space="0"/>
                  </w:tcBorders>
                  <w:vAlign w:val="center"/>
                </w:tcPr>
                <w:p w14:paraId="0EDDCFB8">
                  <w:pPr>
                    <w:pStyle w:val="111"/>
                    <w:rPr>
                      <w:rFonts w:hint="default" w:ascii="Times New Roman" w:hAnsi="Times New Roman" w:eastAsia="宋体" w:cs="Times New Roman"/>
                      <w:color w:val="auto"/>
                    </w:rPr>
                  </w:pPr>
                </w:p>
              </w:tc>
              <w:tc>
                <w:tcPr>
                  <w:tcW w:w="1220" w:type="dxa"/>
                  <w:tcBorders>
                    <w:top w:val="single" w:color="auto" w:sz="6" w:space="0"/>
                    <w:left w:val="nil"/>
                    <w:bottom w:val="single" w:color="auto" w:sz="6" w:space="0"/>
                    <w:right w:val="single" w:color="auto" w:sz="6" w:space="0"/>
                  </w:tcBorders>
                  <w:vAlign w:val="center"/>
                </w:tcPr>
                <w:p w14:paraId="2606A792">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废水</w:t>
                  </w:r>
                </w:p>
              </w:tc>
              <w:tc>
                <w:tcPr>
                  <w:tcW w:w="4321" w:type="dxa"/>
                  <w:tcBorders>
                    <w:top w:val="single" w:color="auto" w:sz="6" w:space="0"/>
                    <w:left w:val="nil"/>
                    <w:bottom w:val="single" w:color="auto" w:sz="6" w:space="0"/>
                    <w:right w:val="single" w:color="auto" w:sz="4" w:space="0"/>
                  </w:tcBorders>
                  <w:vAlign w:val="center"/>
                </w:tcPr>
                <w:p w14:paraId="43994131">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施工场地</w:t>
                  </w:r>
                  <w:r>
                    <w:rPr>
                      <w:rFonts w:hint="default" w:ascii="Times New Roman" w:hAnsi="Times New Roman" w:eastAsia="宋体" w:cs="Times New Roman"/>
                      <w:color w:val="auto"/>
                      <w:lang w:eastAsia="zh-CN"/>
                    </w:rPr>
                    <w:t>设置临时化粪池，</w:t>
                  </w:r>
                  <w:r>
                    <w:rPr>
                      <w:rFonts w:hint="eastAsia" w:hAnsi="Times New Roman" w:cs="Times New Roman"/>
                      <w:color w:val="auto"/>
                      <w:lang w:eastAsia="zh-CN"/>
                    </w:rPr>
                    <w:t>环卫部门</w:t>
                  </w:r>
                  <w:r>
                    <w:rPr>
                      <w:rFonts w:hint="eastAsia" w:cs="Times New Roman"/>
                      <w:color w:val="auto"/>
                      <w:lang w:eastAsia="zh-CN"/>
                    </w:rPr>
                    <w:t>定期清运</w:t>
                  </w:r>
                  <w:r>
                    <w:rPr>
                      <w:rFonts w:hint="default" w:ascii="Times New Roman" w:hAnsi="Times New Roman" w:eastAsia="宋体" w:cs="Times New Roman"/>
                      <w:color w:val="auto"/>
                    </w:rPr>
                    <w:t>；车辆、机械设备冲洗废水自流入</w:t>
                  </w:r>
                  <w:r>
                    <w:rPr>
                      <w:rFonts w:hint="eastAsia" w:hAnsi="Times New Roman" w:cs="Times New Roman"/>
                      <w:color w:val="auto"/>
                      <w:lang w:eastAsia="zh-CN"/>
                    </w:rPr>
                    <w:t>隔油沉淀</w:t>
                  </w:r>
                  <w:r>
                    <w:rPr>
                      <w:rFonts w:hint="default" w:ascii="Times New Roman" w:hAnsi="Times New Roman" w:eastAsia="宋体" w:cs="Times New Roman"/>
                      <w:color w:val="auto"/>
                    </w:rPr>
                    <w:t>池，处理后</w:t>
                  </w:r>
                  <w:r>
                    <w:rPr>
                      <w:rFonts w:hint="default" w:ascii="Times New Roman" w:hAnsi="Times New Roman" w:eastAsia="宋体" w:cs="Times New Roman"/>
                      <w:color w:val="auto"/>
                      <w:lang w:eastAsia="zh-CN"/>
                    </w:rPr>
                    <w:t>回用于砼拌和养护用水</w:t>
                  </w:r>
                </w:p>
              </w:tc>
              <w:tc>
                <w:tcPr>
                  <w:tcW w:w="1300" w:type="dxa"/>
                  <w:tcBorders>
                    <w:top w:val="single" w:color="auto" w:sz="6" w:space="0"/>
                    <w:left w:val="single" w:color="auto" w:sz="4" w:space="0"/>
                    <w:bottom w:val="single" w:color="auto" w:sz="6" w:space="0"/>
                    <w:right w:val="single" w:color="auto" w:sz="6" w:space="0"/>
                  </w:tcBorders>
                  <w:vAlign w:val="center"/>
                </w:tcPr>
                <w:p w14:paraId="3ACABC97">
                  <w:pPr>
                    <w:pStyle w:val="111"/>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新建</w:t>
                  </w:r>
                </w:p>
              </w:tc>
            </w:tr>
            <w:tr w14:paraId="7AC515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25" w:type="dxa"/>
                  <w:vMerge w:val="continue"/>
                  <w:tcBorders>
                    <w:top w:val="nil"/>
                    <w:left w:val="single" w:color="auto" w:sz="6" w:space="0"/>
                    <w:bottom w:val="single" w:color="auto" w:sz="6" w:space="0"/>
                    <w:right w:val="single" w:color="auto" w:sz="6" w:space="0"/>
                  </w:tcBorders>
                  <w:vAlign w:val="center"/>
                </w:tcPr>
                <w:p w14:paraId="02EE969C">
                  <w:pPr>
                    <w:pStyle w:val="111"/>
                    <w:rPr>
                      <w:rFonts w:hint="default" w:ascii="Times New Roman" w:hAnsi="Times New Roman" w:eastAsia="宋体" w:cs="Times New Roman"/>
                      <w:color w:val="auto"/>
                    </w:rPr>
                  </w:pPr>
                </w:p>
              </w:tc>
              <w:tc>
                <w:tcPr>
                  <w:tcW w:w="1220" w:type="dxa"/>
                  <w:tcBorders>
                    <w:top w:val="single" w:color="auto" w:sz="6" w:space="0"/>
                    <w:left w:val="nil"/>
                    <w:bottom w:val="single" w:color="auto" w:sz="6" w:space="0"/>
                    <w:right w:val="single" w:color="auto" w:sz="6" w:space="0"/>
                  </w:tcBorders>
                  <w:vAlign w:val="center"/>
                </w:tcPr>
                <w:p w14:paraId="13B4D332">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噪声</w:t>
                  </w:r>
                </w:p>
              </w:tc>
              <w:tc>
                <w:tcPr>
                  <w:tcW w:w="4321" w:type="dxa"/>
                  <w:tcBorders>
                    <w:top w:val="single" w:color="auto" w:sz="6" w:space="0"/>
                    <w:left w:val="nil"/>
                    <w:bottom w:val="single" w:color="auto" w:sz="6" w:space="0"/>
                    <w:right w:val="single" w:color="auto" w:sz="4" w:space="0"/>
                  </w:tcBorders>
                  <w:vAlign w:val="center"/>
                </w:tcPr>
                <w:p w14:paraId="3C345DB1">
                  <w:pPr>
                    <w:pStyle w:val="111"/>
                    <w:jc w:val="left"/>
                    <w:rPr>
                      <w:rFonts w:hint="default" w:ascii="Times New Roman" w:hAnsi="Times New Roman" w:eastAsia="宋体" w:cs="Times New Roman"/>
                      <w:b/>
                      <w:color w:val="auto"/>
                    </w:rPr>
                  </w:pPr>
                  <w:r>
                    <w:rPr>
                      <w:rFonts w:hint="default" w:ascii="Times New Roman" w:hAnsi="Times New Roman" w:eastAsia="宋体" w:cs="Times New Roman"/>
                      <w:color w:val="auto"/>
                    </w:rPr>
                    <w:t>施工期：使用低噪声设备；合理安排施工时间和施工布局；高噪声设备远离敏感点布置；运输车辆减速慢行，禁止鸣笛</w:t>
                  </w:r>
                  <w:r>
                    <w:rPr>
                      <w:rFonts w:hint="default" w:ascii="Times New Roman" w:hAnsi="Times New Roman" w:eastAsia="宋体" w:cs="Times New Roman"/>
                      <w:color w:val="auto"/>
                      <w:lang w:eastAsia="zh-CN"/>
                    </w:rPr>
                    <w:t>。</w:t>
                  </w:r>
                </w:p>
              </w:tc>
              <w:tc>
                <w:tcPr>
                  <w:tcW w:w="1300" w:type="dxa"/>
                  <w:tcBorders>
                    <w:top w:val="single" w:color="auto" w:sz="6" w:space="0"/>
                    <w:left w:val="single" w:color="auto" w:sz="4" w:space="0"/>
                    <w:bottom w:val="single" w:color="auto" w:sz="6" w:space="0"/>
                    <w:right w:val="single" w:color="auto" w:sz="6" w:space="0"/>
                  </w:tcBorders>
                  <w:vAlign w:val="center"/>
                </w:tcPr>
                <w:p w14:paraId="3504974B">
                  <w:pPr>
                    <w:pStyle w:val="111"/>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新建</w:t>
                  </w:r>
                </w:p>
              </w:tc>
            </w:tr>
            <w:tr w14:paraId="043818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3" w:hRule="atLeast"/>
                <w:jc w:val="center"/>
              </w:trPr>
              <w:tc>
                <w:tcPr>
                  <w:tcW w:w="1225" w:type="dxa"/>
                  <w:vMerge w:val="continue"/>
                  <w:tcBorders>
                    <w:top w:val="nil"/>
                    <w:left w:val="single" w:color="auto" w:sz="6" w:space="0"/>
                    <w:bottom w:val="single" w:color="auto" w:sz="6" w:space="0"/>
                    <w:right w:val="single" w:color="auto" w:sz="6" w:space="0"/>
                  </w:tcBorders>
                  <w:vAlign w:val="center"/>
                </w:tcPr>
                <w:p w14:paraId="577A3899">
                  <w:pPr>
                    <w:pStyle w:val="111"/>
                    <w:rPr>
                      <w:rFonts w:hint="default" w:ascii="Times New Roman" w:hAnsi="Times New Roman" w:eastAsia="宋体" w:cs="Times New Roman"/>
                      <w:color w:val="auto"/>
                    </w:rPr>
                  </w:pPr>
                </w:p>
              </w:tc>
              <w:tc>
                <w:tcPr>
                  <w:tcW w:w="1220" w:type="dxa"/>
                  <w:tcBorders>
                    <w:top w:val="single" w:color="auto" w:sz="6" w:space="0"/>
                    <w:left w:val="nil"/>
                    <w:bottom w:val="single" w:color="auto" w:sz="6" w:space="0"/>
                    <w:right w:val="single" w:color="auto" w:sz="6" w:space="0"/>
                  </w:tcBorders>
                  <w:vAlign w:val="center"/>
                </w:tcPr>
                <w:p w14:paraId="3EFC4B27">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固废</w:t>
                  </w:r>
                </w:p>
              </w:tc>
              <w:tc>
                <w:tcPr>
                  <w:tcW w:w="4321" w:type="dxa"/>
                  <w:tcBorders>
                    <w:top w:val="single" w:color="auto" w:sz="6" w:space="0"/>
                    <w:left w:val="nil"/>
                    <w:bottom w:val="single" w:color="auto" w:sz="6" w:space="0"/>
                    <w:right w:val="single" w:color="auto" w:sz="4" w:space="0"/>
                  </w:tcBorders>
                  <w:vAlign w:val="center"/>
                </w:tcPr>
                <w:p w14:paraId="7250D730">
                  <w:pPr>
                    <w:pStyle w:val="111"/>
                    <w:rPr>
                      <w:rFonts w:hint="default" w:ascii="Times New Roman" w:hAnsi="Times New Roman" w:eastAsia="宋体" w:cs="Times New Roman"/>
                      <w:color w:val="auto"/>
                    </w:rPr>
                  </w:pPr>
                  <w:r>
                    <w:rPr>
                      <w:rFonts w:hint="default" w:ascii="Times New Roman" w:hAnsi="Times New Roman" w:eastAsia="宋体" w:cs="Times New Roman"/>
                      <w:color w:val="auto"/>
                      <w:kern w:val="2"/>
                    </w:rPr>
                    <w:t>施工弃土用于施工作业带区域进行平整；</w:t>
                  </w:r>
                  <w:r>
                    <w:rPr>
                      <w:rFonts w:hint="default" w:ascii="Times New Roman" w:hAnsi="Times New Roman" w:eastAsia="宋体" w:cs="Times New Roman"/>
                      <w:color w:val="auto"/>
                      <w:kern w:val="2"/>
                      <w:lang w:eastAsia="zh-CN"/>
                    </w:rPr>
                    <w:t>建筑垃圾回收利用，无法利用的集中收集后运至</w:t>
                  </w:r>
                  <w:r>
                    <w:rPr>
                      <w:rFonts w:hint="eastAsia" w:hAnsi="Times New Roman" w:cs="Times New Roman"/>
                      <w:color w:val="auto"/>
                      <w:kern w:val="2"/>
                      <w:lang w:eastAsia="zh-CN"/>
                    </w:rPr>
                    <w:t>莎车县城市管理部门指定的建筑垃圾存放点</w:t>
                  </w:r>
                  <w:r>
                    <w:rPr>
                      <w:rFonts w:hint="default" w:ascii="Times New Roman" w:hAnsi="Times New Roman" w:eastAsia="宋体" w:cs="Times New Roman"/>
                      <w:color w:val="auto"/>
                      <w:kern w:val="2"/>
                      <w:lang w:eastAsia="zh-CN"/>
                    </w:rPr>
                    <w:t>处理</w:t>
                  </w:r>
                  <w:r>
                    <w:rPr>
                      <w:rFonts w:hint="default" w:ascii="Times New Roman" w:hAnsi="Times New Roman" w:eastAsia="宋体" w:cs="Times New Roman"/>
                      <w:color w:val="auto"/>
                      <w:kern w:val="2"/>
                    </w:rPr>
                    <w:t>；施工人员生活垃圾每天收集，</w:t>
                  </w:r>
                  <w:r>
                    <w:rPr>
                      <w:rFonts w:hint="eastAsia" w:hAnsi="Times New Roman" w:cs="Times New Roman"/>
                      <w:color w:val="auto"/>
                      <w:lang w:eastAsia="zh-CN"/>
                    </w:rPr>
                    <w:t>环卫部门</w:t>
                  </w:r>
                  <w:r>
                    <w:rPr>
                      <w:rFonts w:hint="eastAsia" w:cs="Times New Roman"/>
                      <w:color w:val="auto"/>
                      <w:lang w:eastAsia="zh-CN"/>
                    </w:rPr>
                    <w:t>定期清运</w:t>
                  </w:r>
                </w:p>
              </w:tc>
              <w:tc>
                <w:tcPr>
                  <w:tcW w:w="1300" w:type="dxa"/>
                  <w:tcBorders>
                    <w:top w:val="single" w:color="auto" w:sz="6" w:space="0"/>
                    <w:left w:val="single" w:color="auto" w:sz="4" w:space="0"/>
                    <w:bottom w:val="single" w:color="auto" w:sz="6" w:space="0"/>
                    <w:right w:val="single" w:color="auto" w:sz="6" w:space="0"/>
                  </w:tcBorders>
                  <w:vAlign w:val="center"/>
                </w:tcPr>
                <w:p w14:paraId="63B6487E">
                  <w:pPr>
                    <w:pStyle w:val="111"/>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新建</w:t>
                  </w:r>
                </w:p>
              </w:tc>
            </w:tr>
            <w:tr w14:paraId="20B537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25" w:type="dxa"/>
                  <w:vMerge w:val="continue"/>
                  <w:tcBorders>
                    <w:top w:val="nil"/>
                    <w:left w:val="single" w:color="auto" w:sz="6" w:space="0"/>
                    <w:bottom w:val="single" w:color="auto" w:sz="6" w:space="0"/>
                    <w:right w:val="single" w:color="auto" w:sz="6" w:space="0"/>
                  </w:tcBorders>
                  <w:vAlign w:val="center"/>
                </w:tcPr>
                <w:p w14:paraId="356DB6A8">
                  <w:pPr>
                    <w:pStyle w:val="111"/>
                    <w:rPr>
                      <w:rFonts w:hint="default" w:ascii="Times New Roman" w:hAnsi="Times New Roman" w:eastAsia="宋体" w:cs="Times New Roman"/>
                      <w:color w:val="auto"/>
                    </w:rPr>
                  </w:pPr>
                </w:p>
              </w:tc>
              <w:tc>
                <w:tcPr>
                  <w:tcW w:w="1220" w:type="dxa"/>
                  <w:tcBorders>
                    <w:top w:val="single" w:color="auto" w:sz="6" w:space="0"/>
                    <w:left w:val="nil"/>
                    <w:bottom w:val="single" w:color="auto" w:sz="6" w:space="0"/>
                    <w:right w:val="single" w:color="auto" w:sz="6" w:space="0"/>
                  </w:tcBorders>
                  <w:vAlign w:val="center"/>
                </w:tcPr>
                <w:p w14:paraId="7C295002">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生态治理</w:t>
                  </w:r>
                </w:p>
              </w:tc>
              <w:tc>
                <w:tcPr>
                  <w:tcW w:w="4321" w:type="dxa"/>
                  <w:tcBorders>
                    <w:top w:val="single" w:color="auto" w:sz="6" w:space="0"/>
                    <w:left w:val="nil"/>
                    <w:bottom w:val="single" w:color="auto" w:sz="6" w:space="0"/>
                    <w:right w:val="single" w:color="auto" w:sz="4" w:space="0"/>
                  </w:tcBorders>
                  <w:vAlign w:val="center"/>
                </w:tcPr>
                <w:p w14:paraId="3EAA1634">
                  <w:pPr>
                    <w:pStyle w:val="111"/>
                    <w:jc w:val="left"/>
                    <w:rPr>
                      <w:rFonts w:hint="default" w:ascii="Times New Roman" w:hAnsi="Times New Roman" w:eastAsia="宋体" w:cs="Times New Roman"/>
                      <w:color w:val="auto"/>
                    </w:rPr>
                  </w:pPr>
                  <w:r>
                    <w:rPr>
                      <w:rFonts w:hint="default" w:ascii="Times New Roman" w:hAnsi="Times New Roman" w:eastAsia="宋体" w:cs="Times New Roman"/>
                      <w:color w:val="auto"/>
                    </w:rPr>
                    <w:t>（1）</w:t>
                  </w:r>
                  <w:r>
                    <w:rPr>
                      <w:rFonts w:hint="default" w:ascii="Times New Roman" w:hAnsi="Times New Roman" w:eastAsia="宋体" w:cs="Times New Roman"/>
                      <w:color w:val="auto"/>
                      <w:lang w:val="en-US" w:eastAsia="zh-CN"/>
                    </w:rPr>
                    <w:t>严格控制施工作业范围</w:t>
                  </w:r>
                  <w:r>
                    <w:rPr>
                      <w:rFonts w:hint="default" w:ascii="Times New Roman" w:hAnsi="Times New Roman" w:eastAsia="宋体" w:cs="Times New Roman"/>
                      <w:color w:val="auto"/>
                    </w:rPr>
                    <w:t>，禁止随意占压、扰动和破坏地表；施工结束后迹地进行清理平整和地表恢复；严禁随意砍伐和破坏非施工区域内的野生植被；施工机械采用低噪声设备，尽量减少施工噪声对野生动物及鸟类的正常栖息。</w:t>
                  </w:r>
                </w:p>
                <w:p w14:paraId="32E56A50">
                  <w:pPr>
                    <w:pStyle w:val="111"/>
                    <w:jc w:val="left"/>
                    <w:rPr>
                      <w:rFonts w:hint="default" w:ascii="Times New Roman" w:hAnsi="Times New Roman" w:eastAsia="宋体" w:cs="Times New Roman"/>
                      <w:color w:val="auto"/>
                    </w:rPr>
                  </w:pPr>
                  <w:r>
                    <w:rPr>
                      <w:rFonts w:hint="default" w:ascii="Times New Roman" w:hAnsi="Times New Roman" w:eastAsia="宋体" w:cs="Times New Roman"/>
                      <w:color w:val="auto"/>
                    </w:rPr>
                    <w:t>（2）</w:t>
                  </w:r>
                  <w:r>
                    <w:rPr>
                      <w:rFonts w:hint="default" w:ascii="Times New Roman" w:hAnsi="Times New Roman" w:eastAsia="宋体" w:cs="Times New Roman"/>
                      <w:color w:val="auto"/>
                      <w:lang w:eastAsia="zh-CN"/>
                    </w:rPr>
                    <w:t>水土流失防治</w:t>
                  </w:r>
                  <w:r>
                    <w:rPr>
                      <w:rFonts w:hint="default" w:ascii="Times New Roman" w:hAnsi="Times New Roman" w:eastAsia="宋体" w:cs="Times New Roman"/>
                      <w:color w:val="auto"/>
                    </w:rPr>
                    <w:t>措施</w:t>
                  </w:r>
                </w:p>
                <w:p w14:paraId="0FF0FB83">
                  <w:pPr>
                    <w:pStyle w:val="111"/>
                    <w:jc w:val="left"/>
                    <w:rPr>
                      <w:rFonts w:hint="default" w:ascii="Times New Roman" w:hAnsi="Times New Roman" w:eastAsia="宋体" w:cs="Times New Roman"/>
                      <w:color w:val="auto"/>
                    </w:rPr>
                  </w:pPr>
                  <w:r>
                    <w:rPr>
                      <w:rFonts w:hint="default" w:ascii="Times New Roman" w:hAnsi="Times New Roman" w:eastAsia="宋体" w:cs="Times New Roman"/>
                      <w:color w:val="auto"/>
                    </w:rPr>
                    <w:t>1）渠</w:t>
                  </w:r>
                  <w:r>
                    <w:rPr>
                      <w:rFonts w:hint="default" w:ascii="Times New Roman" w:hAnsi="Times New Roman" w:eastAsia="宋体" w:cs="Times New Roman"/>
                      <w:color w:val="auto"/>
                      <w:lang w:val="en-US" w:eastAsia="zh-CN"/>
                    </w:rPr>
                    <w:t>道</w:t>
                  </w:r>
                  <w:r>
                    <w:rPr>
                      <w:rFonts w:hint="default" w:ascii="Times New Roman" w:hAnsi="Times New Roman" w:eastAsia="宋体" w:cs="Times New Roman"/>
                      <w:color w:val="auto"/>
                    </w:rPr>
                    <w:t>项目区水土保持措施</w:t>
                  </w:r>
                </w:p>
                <w:p w14:paraId="3960DC60">
                  <w:pPr>
                    <w:pStyle w:val="111"/>
                    <w:jc w:val="left"/>
                    <w:rPr>
                      <w:rFonts w:hint="default" w:ascii="Times New Roman" w:hAnsi="Times New Roman" w:eastAsia="宋体" w:cs="Times New Roman"/>
                      <w:color w:val="auto"/>
                    </w:rPr>
                  </w:pPr>
                  <w:r>
                    <w:rPr>
                      <w:rFonts w:hint="default" w:ascii="Times New Roman" w:hAnsi="Times New Roman" w:eastAsia="宋体" w:cs="Times New Roman"/>
                      <w:color w:val="auto"/>
                    </w:rPr>
                    <w:t>施工期间应规划施工活动范围，严禁施工材料乱堆乱放，划定适宜的堆料场和弃方堆放场所，以防对植被土壤破坏范围的扩大，安排好现有交通车辆的通行，由专人负责严格控制和管理运输车辆及重型机械的运行范围，以防止破坏土壤和植被，引发水土流失。施工完毕后，对渠道两侧进行土地平整，使其自然恢复地表植被，并建设</w:t>
                  </w:r>
                  <w:r>
                    <w:rPr>
                      <w:rFonts w:hint="default" w:ascii="Times New Roman" w:hAnsi="Times New Roman" w:eastAsia="宋体" w:cs="Times New Roman"/>
                      <w:color w:val="auto"/>
                      <w:lang w:eastAsia="zh-CN"/>
                    </w:rPr>
                    <w:t>林地</w:t>
                  </w:r>
                  <w:r>
                    <w:rPr>
                      <w:rFonts w:hint="default" w:ascii="Times New Roman" w:hAnsi="Times New Roman" w:eastAsia="宋体" w:cs="Times New Roman"/>
                      <w:color w:val="auto"/>
                    </w:rPr>
                    <w:t>。</w:t>
                  </w:r>
                </w:p>
                <w:p w14:paraId="4E7CE793">
                  <w:pPr>
                    <w:pStyle w:val="111"/>
                    <w:jc w:val="left"/>
                    <w:rPr>
                      <w:rFonts w:hint="default" w:ascii="Times New Roman" w:hAnsi="Times New Roman" w:eastAsia="宋体" w:cs="Times New Roman"/>
                      <w:color w:val="auto"/>
                    </w:rPr>
                  </w:pPr>
                  <w:r>
                    <w:rPr>
                      <w:rFonts w:hint="default" w:ascii="Times New Roman" w:hAnsi="Times New Roman" w:eastAsia="宋体" w:cs="Times New Roman"/>
                      <w:color w:val="auto"/>
                    </w:rPr>
                    <w:t>2）临时生产区水土保持措施</w:t>
                  </w:r>
                </w:p>
                <w:p w14:paraId="5AAF5838">
                  <w:pPr>
                    <w:pStyle w:val="111"/>
                    <w:jc w:val="left"/>
                    <w:rPr>
                      <w:rFonts w:hint="default" w:ascii="Times New Roman" w:hAnsi="Times New Roman" w:eastAsia="宋体" w:cs="Times New Roman"/>
                      <w:color w:val="auto"/>
                    </w:rPr>
                  </w:pPr>
                  <w:r>
                    <w:rPr>
                      <w:rFonts w:hint="default" w:ascii="Times New Roman" w:hAnsi="Times New Roman" w:eastAsia="宋体" w:cs="Times New Roman"/>
                      <w:color w:val="auto"/>
                    </w:rPr>
                    <w:t>施工期间应严格划定施工临时生产区域，以避免对防治区以外场地的占压和扰动，并在临时生产区设置水土保持宣传警示牌，加强对施工人员的水土保持教育。施工完成后，主要采取土地平整措施，自然恢复地表植被的措施。</w:t>
                  </w:r>
                </w:p>
                <w:p w14:paraId="5152B2BE">
                  <w:pPr>
                    <w:pStyle w:val="111"/>
                    <w:jc w:val="left"/>
                    <w:rPr>
                      <w:rFonts w:hint="default" w:ascii="Times New Roman" w:hAnsi="Times New Roman" w:eastAsia="宋体" w:cs="Times New Roman"/>
                      <w:color w:val="auto"/>
                    </w:rPr>
                  </w:pPr>
                  <w:r>
                    <w:rPr>
                      <w:rFonts w:hint="default" w:ascii="Times New Roman" w:hAnsi="Times New Roman" w:eastAsia="宋体" w:cs="Times New Roman"/>
                      <w:color w:val="auto"/>
                    </w:rPr>
                    <w:t>3）临时</w:t>
                  </w:r>
                  <w:r>
                    <w:rPr>
                      <w:rFonts w:hint="default" w:ascii="Times New Roman" w:hAnsi="Times New Roman" w:eastAsia="宋体" w:cs="Times New Roman"/>
                      <w:color w:val="auto"/>
                      <w:lang w:val="en-US" w:eastAsia="zh-CN"/>
                    </w:rPr>
                    <w:t>弃土场</w:t>
                  </w:r>
                  <w:r>
                    <w:rPr>
                      <w:rFonts w:hint="default" w:ascii="Times New Roman" w:hAnsi="Times New Roman" w:eastAsia="宋体" w:cs="Times New Roman"/>
                      <w:color w:val="auto"/>
                    </w:rPr>
                    <w:t>水土保持措施</w:t>
                  </w:r>
                </w:p>
                <w:p w14:paraId="397BCC3F">
                  <w:pPr>
                    <w:pStyle w:val="111"/>
                    <w:ind w:firstLine="42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rPr>
                    <w:t>施工期弃渣需临时就近堆放在项目区，以方便施工时的回填利用。堆渣均按照自然稳定边坡堆放，堆放形式设计为梯形台体状，以苫布遮盖，以防发生水蚀。临时弃土、弃渣的堆放应避开植被良好区，不能随处堆放。施工完成后，将弃渣、弃土</w:t>
                  </w:r>
                  <w:r>
                    <w:rPr>
                      <w:rFonts w:hint="default" w:ascii="Times New Roman" w:hAnsi="Times New Roman" w:eastAsia="宋体" w:cs="Times New Roman"/>
                      <w:color w:val="auto"/>
                      <w:lang w:val="en-US" w:eastAsia="zh-CN"/>
                    </w:rPr>
                    <w:t>集中收集到临时弃土场</w:t>
                  </w:r>
                  <w:r>
                    <w:rPr>
                      <w:rFonts w:hint="default" w:ascii="Times New Roman" w:hAnsi="Times New Roman" w:eastAsia="宋体" w:cs="Times New Roman"/>
                      <w:color w:val="auto"/>
                    </w:rPr>
                    <w:t>并恢复、平整场地，自然恢复植被。</w:t>
                  </w:r>
                </w:p>
              </w:tc>
              <w:tc>
                <w:tcPr>
                  <w:tcW w:w="1300" w:type="dxa"/>
                  <w:tcBorders>
                    <w:top w:val="single" w:color="auto" w:sz="6" w:space="0"/>
                    <w:left w:val="single" w:color="auto" w:sz="4" w:space="0"/>
                    <w:bottom w:val="single" w:color="auto" w:sz="6" w:space="0"/>
                    <w:right w:val="single" w:color="auto" w:sz="6" w:space="0"/>
                  </w:tcBorders>
                  <w:vAlign w:val="center"/>
                </w:tcPr>
                <w:p w14:paraId="3C0B71CA">
                  <w:pPr>
                    <w:pStyle w:val="111"/>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新建</w:t>
                  </w:r>
                </w:p>
              </w:tc>
            </w:tr>
          </w:tbl>
          <w:p w14:paraId="15FFBB08">
            <w:pPr>
              <w:pStyle w:val="96"/>
              <w:numPr>
                <w:ilvl w:val="0"/>
                <w:numId w:val="2"/>
              </w:numPr>
              <w:ind w:left="-62" w:leftChars="0" w:firstLine="482" w:firstLineChars="0"/>
              <w:rPr>
                <w:rFonts w:hint="default" w:ascii="Times New Roman" w:hAnsi="Times New Roman" w:eastAsia="宋体" w:cs="Times New Roman"/>
                <w:b/>
                <w:color w:val="auto"/>
                <w:highlight w:val="none"/>
                <w:lang w:val="en-US" w:eastAsia="zh-CN"/>
              </w:rPr>
            </w:pPr>
            <w:r>
              <w:rPr>
                <w:rFonts w:hint="default" w:ascii="Times New Roman" w:hAnsi="Times New Roman" w:eastAsia="宋体" w:cs="Times New Roman"/>
                <w:b/>
                <w:color w:val="auto"/>
                <w:highlight w:val="none"/>
                <w:lang w:val="en-US" w:eastAsia="zh-CN"/>
              </w:rPr>
              <w:t>工程规模</w:t>
            </w:r>
          </w:p>
          <w:p w14:paraId="7A88D9E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防渗渠道工程渠道控灌面积</w:t>
            </w:r>
            <w:r>
              <w:rPr>
                <w:rFonts w:hint="eastAsia" w:ascii="Times New Roman" w:hAnsi="Times New Roman" w:cs="Times New Roman"/>
                <w:color w:val="auto"/>
                <w:sz w:val="24"/>
                <w:szCs w:val="24"/>
                <w:lang w:val="en-US" w:eastAsia="zh-CN"/>
              </w:rPr>
              <w:t>0.92万亩，</w:t>
            </w:r>
            <w:r>
              <w:rPr>
                <w:rFonts w:hint="eastAsia" w:ascii="宋体" w:hAnsi="宋体" w:cs="宋体"/>
                <w:color w:val="auto"/>
                <w:spacing w:val="-4"/>
                <w:sz w:val="24"/>
                <w:szCs w:val="24"/>
                <w:lang w:val="en-US" w:eastAsia="zh-CN"/>
              </w:rPr>
              <w:t>改建</w:t>
            </w:r>
            <w:r>
              <w:rPr>
                <w:rFonts w:ascii="Times New Roman" w:hAnsi="Times New Roman" w:eastAsia="Times New Roman" w:cs="Times New Roman"/>
                <w:color w:val="auto"/>
                <w:spacing w:val="-4"/>
                <w:sz w:val="24"/>
                <w:szCs w:val="24"/>
              </w:rPr>
              <w:t>0.</w:t>
            </w:r>
            <w:r>
              <w:rPr>
                <w:rFonts w:hint="eastAsia" w:ascii="Times New Roman" w:hAnsi="Times New Roman" w:cs="Times New Roman"/>
                <w:color w:val="auto"/>
                <w:spacing w:val="-4"/>
                <w:sz w:val="24"/>
                <w:szCs w:val="24"/>
                <w:lang w:val="en-US" w:eastAsia="zh-CN"/>
              </w:rPr>
              <w:t>2</w:t>
            </w:r>
            <w:r>
              <w:rPr>
                <w:rFonts w:ascii="Times New Roman" w:hAnsi="Times New Roman" w:eastAsia="Times New Roman" w:cs="Times New Roman"/>
                <w:color w:val="auto"/>
                <w:spacing w:val="-4"/>
                <w:sz w:val="24"/>
                <w:szCs w:val="24"/>
              </w:rPr>
              <w:t>-0.</w:t>
            </w:r>
            <w:r>
              <w:rPr>
                <w:rFonts w:hint="eastAsia" w:ascii="Times New Roman" w:hAnsi="Times New Roman" w:cs="Times New Roman"/>
                <w:color w:val="auto"/>
                <w:spacing w:val="-4"/>
                <w:sz w:val="24"/>
                <w:szCs w:val="24"/>
                <w:lang w:val="en-US" w:eastAsia="zh-CN"/>
              </w:rPr>
              <w:t>5</w:t>
            </w:r>
            <w:r>
              <w:rPr>
                <w:rFonts w:ascii="Times New Roman" w:hAnsi="Times New Roman" w:eastAsia="Times New Roman" w:cs="Times New Roman"/>
                <w:color w:val="auto"/>
                <w:spacing w:val="-4"/>
                <w:sz w:val="24"/>
                <w:szCs w:val="24"/>
              </w:rPr>
              <w:t>m</w:t>
            </w:r>
            <w:r>
              <w:rPr>
                <w:rFonts w:ascii="Times New Roman" w:hAnsi="Times New Roman" w:eastAsia="Times New Roman" w:cs="Times New Roman"/>
                <w:color w:val="auto"/>
                <w:spacing w:val="-4"/>
                <w:sz w:val="24"/>
                <w:szCs w:val="24"/>
                <w:vertAlign w:val="superscript"/>
              </w:rPr>
              <w:t>3</w:t>
            </w:r>
            <w:r>
              <w:rPr>
                <w:rFonts w:ascii="Times New Roman" w:hAnsi="Times New Roman" w:eastAsia="Times New Roman" w:cs="Times New Roman"/>
                <w:color w:val="auto"/>
                <w:spacing w:val="-4"/>
                <w:sz w:val="24"/>
                <w:szCs w:val="24"/>
              </w:rPr>
              <w:t>/s</w:t>
            </w:r>
            <w:r>
              <w:rPr>
                <w:rFonts w:ascii="宋体" w:hAnsi="宋体" w:eastAsia="宋体" w:cs="宋体"/>
                <w:color w:val="auto"/>
                <w:spacing w:val="-4"/>
                <w:sz w:val="24"/>
                <w:szCs w:val="24"/>
              </w:rPr>
              <w:t>防渗渠</w:t>
            </w:r>
            <w:r>
              <w:rPr>
                <w:rFonts w:hint="eastAsia" w:ascii="Times New Roman" w:hAnsi="Times New Roman" w:cs="Times New Roman"/>
                <w:color w:val="auto"/>
                <w:spacing w:val="-4"/>
                <w:sz w:val="24"/>
                <w:szCs w:val="24"/>
                <w:lang w:val="en-US" w:eastAsia="zh-CN"/>
              </w:rPr>
              <w:t>7条</w:t>
            </w:r>
            <w:r>
              <w:rPr>
                <w:rFonts w:ascii="宋体" w:hAnsi="宋体" w:eastAsia="宋体" w:cs="宋体"/>
                <w:color w:val="auto"/>
                <w:spacing w:val="-4"/>
                <w:sz w:val="24"/>
                <w:szCs w:val="24"/>
              </w:rPr>
              <w:t>，共计</w:t>
            </w:r>
            <w:r>
              <w:rPr>
                <w:rFonts w:hint="eastAsia" w:ascii="Times New Roman" w:hAnsi="Times New Roman" w:cs="Times New Roman"/>
                <w:color w:val="auto"/>
                <w:spacing w:val="-4"/>
                <w:sz w:val="24"/>
                <w:szCs w:val="24"/>
                <w:lang w:eastAsia="zh-CN"/>
              </w:rPr>
              <w:t>9.88</w:t>
            </w:r>
            <w:r>
              <w:rPr>
                <w:rFonts w:hint="eastAsia" w:ascii="Times New Roman" w:hAnsi="Times New Roman" w:eastAsia="宋体" w:cs="Times New Roman"/>
                <w:color w:val="auto"/>
                <w:spacing w:val="-4"/>
                <w:sz w:val="24"/>
                <w:szCs w:val="24"/>
                <w:lang w:eastAsia="zh-CN"/>
              </w:rPr>
              <w:t>km</w:t>
            </w:r>
            <w:r>
              <w:rPr>
                <w:rFonts w:ascii="宋体" w:hAnsi="宋体" w:eastAsia="宋体" w:cs="宋体"/>
                <w:color w:val="auto"/>
                <w:spacing w:val="-4"/>
                <w:sz w:val="24"/>
                <w:szCs w:val="24"/>
              </w:rPr>
              <w:t>。</w:t>
            </w:r>
            <w:r>
              <w:rPr>
                <w:rFonts w:hint="eastAsia" w:ascii="宋体" w:hAnsi="宋体" w:cs="宋体"/>
                <w:color w:val="auto"/>
                <w:spacing w:val="-4"/>
                <w:sz w:val="24"/>
                <w:szCs w:val="24"/>
                <w:lang w:eastAsia="zh-CN"/>
              </w:rPr>
              <w:t>配套渠系建筑物57座，其中水闸38座，纳共盖板5座，涵桥8座，渡槽4座，纳洪口1座，跌水1座。</w:t>
            </w:r>
            <w:r>
              <w:rPr>
                <w:rFonts w:hint="default" w:ascii="Times New Roman" w:hAnsi="Times New Roman" w:eastAsia="宋体" w:cs="Times New Roman"/>
                <w:b w:val="0"/>
                <w:color w:val="auto"/>
                <w:kern w:val="2"/>
                <w:sz w:val="24"/>
                <w:szCs w:val="24"/>
                <w:lang w:val="en-US" w:eastAsia="zh-CN" w:bidi="ar-SA"/>
              </w:rPr>
              <w:t>根据《渠道防渗衬砌工程技术标准》（GB/T50600-2020），本工程属于5级工程，主要建筑物为5级，次要建筑物为5级。根据《水利水电工程合理使用年限及耐久性设计规范》（SL654-2014），渠道设计使用年限为20年，渠系建筑物设计使用年限30年。</w:t>
            </w:r>
          </w:p>
          <w:p w14:paraId="662B7770">
            <w:pPr>
              <w:pStyle w:val="96"/>
              <w:numPr>
                <w:ilvl w:val="0"/>
                <w:numId w:val="2"/>
              </w:numPr>
              <w:ind w:left="-62" w:leftChars="0" w:firstLine="482" w:firstLineChars="0"/>
              <w:rPr>
                <w:rFonts w:hint="default" w:ascii="Times New Roman" w:hAnsi="Times New Roman" w:eastAsia="宋体" w:cs="Times New Roman"/>
                <w:b/>
                <w:color w:val="auto"/>
                <w:lang w:val="en-US" w:eastAsia="zh-CN"/>
              </w:rPr>
            </w:pPr>
            <w:r>
              <w:rPr>
                <w:rFonts w:hint="default" w:ascii="Times New Roman" w:hAnsi="Times New Roman" w:eastAsia="宋体" w:cs="Times New Roman"/>
                <w:b/>
                <w:color w:val="auto"/>
                <w:lang w:val="en-US" w:eastAsia="zh-CN"/>
              </w:rPr>
              <w:t>设计方案</w:t>
            </w:r>
          </w:p>
          <w:p w14:paraId="31C4B5C2">
            <w:pPr>
              <w:pStyle w:val="111"/>
              <w:rPr>
                <w:rStyle w:val="79"/>
                <w:rFonts w:hint="default" w:ascii="Times New Roman" w:hAnsi="Times New Roman" w:eastAsia="宋体" w:cs="Times New Roman"/>
                <w:b/>
                <w:bCs/>
                <w:color w:val="auto"/>
                <w:sz w:val="21"/>
                <w:szCs w:val="21"/>
                <w:lang w:val="en-US" w:eastAsia="zh-CN"/>
              </w:rPr>
            </w:pPr>
            <w:r>
              <w:rPr>
                <w:rStyle w:val="79"/>
                <w:rFonts w:hint="default" w:ascii="Times New Roman" w:hAnsi="Times New Roman" w:eastAsia="宋体" w:cs="Times New Roman"/>
                <w:b/>
                <w:bCs/>
                <w:color w:val="auto"/>
                <w:sz w:val="21"/>
                <w:szCs w:val="21"/>
              </w:rPr>
              <w:t>表</w:t>
            </w:r>
            <w:r>
              <w:rPr>
                <w:rStyle w:val="79"/>
                <w:rFonts w:hint="default" w:ascii="Times New Roman" w:hAnsi="Times New Roman" w:eastAsia="宋体" w:cs="Times New Roman"/>
                <w:b/>
                <w:bCs/>
                <w:color w:val="auto"/>
                <w:sz w:val="21"/>
                <w:szCs w:val="21"/>
                <w:lang w:val="en-US" w:eastAsia="zh-CN"/>
              </w:rPr>
              <w:t>2-2渠道设计方案一览表</w:t>
            </w:r>
          </w:p>
          <w:tbl>
            <w:tblPr>
              <w:tblStyle w:val="97"/>
              <w:tblW w:w="499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7"/>
              <w:gridCol w:w="1179"/>
              <w:gridCol w:w="624"/>
              <w:gridCol w:w="635"/>
              <w:gridCol w:w="646"/>
              <w:gridCol w:w="569"/>
              <w:gridCol w:w="569"/>
              <w:gridCol w:w="547"/>
              <w:gridCol w:w="558"/>
              <w:gridCol w:w="569"/>
              <w:gridCol w:w="492"/>
              <w:gridCol w:w="449"/>
              <w:gridCol w:w="493"/>
              <w:gridCol w:w="395"/>
            </w:tblGrid>
            <w:tr w14:paraId="40DFE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 w:hRule="atLeast"/>
                <w:jc w:val="center"/>
              </w:trPr>
              <w:tc>
                <w:tcPr>
                  <w:tcW w:w="397" w:type="dxa"/>
                  <w:vMerge w:val="restart"/>
                  <w:tcBorders>
                    <w:tl2br w:val="nil"/>
                    <w:tr2bl w:val="nil"/>
                  </w:tcBorders>
                  <w:vAlign w:val="center"/>
                </w:tcPr>
                <w:p w14:paraId="7A508FB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序号</w:t>
                  </w:r>
                </w:p>
              </w:tc>
              <w:tc>
                <w:tcPr>
                  <w:tcW w:w="1179" w:type="dxa"/>
                  <w:vMerge w:val="restart"/>
                  <w:tcBorders>
                    <w:tl2br w:val="nil"/>
                    <w:tr2bl w:val="nil"/>
                  </w:tcBorders>
                  <w:vAlign w:val="center"/>
                </w:tcPr>
                <w:p w14:paraId="7021025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渠道名称</w:t>
                  </w:r>
                </w:p>
              </w:tc>
              <w:tc>
                <w:tcPr>
                  <w:tcW w:w="624" w:type="dxa"/>
                  <w:vMerge w:val="restart"/>
                  <w:tcBorders>
                    <w:tl2br w:val="nil"/>
                    <w:tr2bl w:val="nil"/>
                  </w:tcBorders>
                  <w:vAlign w:val="center"/>
                </w:tcPr>
                <w:p w14:paraId="1C3BA54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渠道长度</w:t>
                  </w:r>
                </w:p>
                <w:p w14:paraId="09D09BA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(m)</w:t>
                  </w:r>
                </w:p>
              </w:tc>
              <w:tc>
                <w:tcPr>
                  <w:tcW w:w="5922" w:type="dxa"/>
                  <w:gridSpan w:val="11"/>
                  <w:tcBorders>
                    <w:tl2br w:val="nil"/>
                    <w:tr2bl w:val="nil"/>
                  </w:tcBorders>
                  <w:vAlign w:val="center"/>
                </w:tcPr>
                <w:p w14:paraId="248CB37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建筑物类型</w:t>
                  </w:r>
                </w:p>
              </w:tc>
            </w:tr>
            <w:tr w14:paraId="69E32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 w:hRule="atLeast"/>
                <w:jc w:val="center"/>
              </w:trPr>
              <w:tc>
                <w:tcPr>
                  <w:tcW w:w="397" w:type="dxa"/>
                  <w:vMerge w:val="continue"/>
                  <w:tcBorders>
                    <w:tl2br w:val="nil"/>
                    <w:tr2bl w:val="nil"/>
                  </w:tcBorders>
                  <w:vAlign w:val="center"/>
                </w:tcPr>
                <w:p w14:paraId="23ACD7D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p>
              </w:tc>
              <w:tc>
                <w:tcPr>
                  <w:tcW w:w="1179" w:type="dxa"/>
                  <w:vMerge w:val="continue"/>
                  <w:tcBorders>
                    <w:tl2br w:val="nil"/>
                    <w:tr2bl w:val="nil"/>
                  </w:tcBorders>
                  <w:vAlign w:val="center"/>
                </w:tcPr>
                <w:p w14:paraId="0DC4B07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p>
              </w:tc>
              <w:tc>
                <w:tcPr>
                  <w:tcW w:w="624" w:type="dxa"/>
                  <w:vMerge w:val="continue"/>
                  <w:tcBorders>
                    <w:tl2br w:val="nil"/>
                    <w:tr2bl w:val="nil"/>
                  </w:tcBorders>
                  <w:vAlign w:val="center"/>
                </w:tcPr>
                <w:p w14:paraId="6270737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p>
              </w:tc>
              <w:tc>
                <w:tcPr>
                  <w:tcW w:w="3524" w:type="dxa"/>
                  <w:gridSpan w:val="6"/>
                  <w:tcBorders>
                    <w:tl2br w:val="nil"/>
                    <w:tr2bl w:val="nil"/>
                  </w:tcBorders>
                  <w:vAlign w:val="center"/>
                </w:tcPr>
                <w:p w14:paraId="252FD39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水闸(座)</w:t>
                  </w:r>
                </w:p>
              </w:tc>
              <w:tc>
                <w:tcPr>
                  <w:tcW w:w="569" w:type="dxa"/>
                  <w:vMerge w:val="restart"/>
                  <w:tcBorders>
                    <w:tl2br w:val="nil"/>
                    <w:tr2bl w:val="nil"/>
                  </w:tcBorders>
                  <w:vAlign w:val="center"/>
                </w:tcPr>
                <w:p w14:paraId="28618E4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纳洪盖板</w:t>
                  </w:r>
                </w:p>
                <w:p w14:paraId="661B29A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(座)</w:t>
                  </w:r>
                </w:p>
              </w:tc>
              <w:tc>
                <w:tcPr>
                  <w:tcW w:w="492" w:type="dxa"/>
                  <w:vMerge w:val="restart"/>
                  <w:tcBorders>
                    <w:tl2br w:val="nil"/>
                    <w:tr2bl w:val="nil"/>
                  </w:tcBorders>
                  <w:vAlign w:val="center"/>
                </w:tcPr>
                <w:p w14:paraId="6EE7164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涵桥</w:t>
                  </w:r>
                </w:p>
                <w:p w14:paraId="29F079C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(座)</w:t>
                  </w:r>
                </w:p>
              </w:tc>
              <w:tc>
                <w:tcPr>
                  <w:tcW w:w="449" w:type="dxa"/>
                  <w:vMerge w:val="restart"/>
                  <w:tcBorders>
                    <w:tl2br w:val="nil"/>
                    <w:tr2bl w:val="nil"/>
                  </w:tcBorders>
                  <w:vAlign w:val="center"/>
                </w:tcPr>
                <w:p w14:paraId="33A5C81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渡槽</w:t>
                  </w:r>
                </w:p>
                <w:p w14:paraId="112EF05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(座)</w:t>
                  </w:r>
                </w:p>
              </w:tc>
              <w:tc>
                <w:tcPr>
                  <w:tcW w:w="493" w:type="dxa"/>
                  <w:vMerge w:val="restart"/>
                  <w:tcBorders>
                    <w:tl2br w:val="nil"/>
                    <w:tr2bl w:val="nil"/>
                  </w:tcBorders>
                  <w:vAlign w:val="center"/>
                </w:tcPr>
                <w:p w14:paraId="7A982BE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纳洪口(座)</w:t>
                  </w:r>
                </w:p>
              </w:tc>
              <w:tc>
                <w:tcPr>
                  <w:tcW w:w="395" w:type="dxa"/>
                  <w:vMerge w:val="restart"/>
                  <w:tcBorders>
                    <w:tl2br w:val="nil"/>
                    <w:tr2bl w:val="nil"/>
                  </w:tcBorders>
                  <w:vAlign w:val="center"/>
                </w:tcPr>
                <w:p w14:paraId="14969AA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跌水</w:t>
                  </w:r>
                </w:p>
                <w:p w14:paraId="75F036D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(座)</w:t>
                  </w:r>
                </w:p>
              </w:tc>
            </w:tr>
            <w:tr w14:paraId="3AC0FE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397" w:type="dxa"/>
                  <w:vMerge w:val="continue"/>
                  <w:tcBorders>
                    <w:tl2br w:val="nil"/>
                    <w:tr2bl w:val="nil"/>
                  </w:tcBorders>
                  <w:vAlign w:val="center"/>
                </w:tcPr>
                <w:p w14:paraId="394632B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p>
              </w:tc>
              <w:tc>
                <w:tcPr>
                  <w:tcW w:w="1179" w:type="dxa"/>
                  <w:vMerge w:val="continue"/>
                  <w:tcBorders>
                    <w:tl2br w:val="nil"/>
                    <w:tr2bl w:val="nil"/>
                  </w:tcBorders>
                  <w:vAlign w:val="center"/>
                </w:tcPr>
                <w:p w14:paraId="0FD3AF5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p>
              </w:tc>
              <w:tc>
                <w:tcPr>
                  <w:tcW w:w="624" w:type="dxa"/>
                  <w:vMerge w:val="continue"/>
                  <w:tcBorders>
                    <w:tl2br w:val="nil"/>
                    <w:tr2bl w:val="nil"/>
                  </w:tcBorders>
                  <w:vAlign w:val="center"/>
                </w:tcPr>
                <w:p w14:paraId="7F6A51C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p>
              </w:tc>
              <w:tc>
                <w:tcPr>
                  <w:tcW w:w="635" w:type="dxa"/>
                  <w:tcBorders>
                    <w:tl2br w:val="nil"/>
                    <w:tr2bl w:val="nil"/>
                  </w:tcBorders>
                  <w:vAlign w:val="center"/>
                </w:tcPr>
                <w:p w14:paraId="63D94A2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节制左分水闸</w:t>
                  </w:r>
                </w:p>
              </w:tc>
              <w:tc>
                <w:tcPr>
                  <w:tcW w:w="646" w:type="dxa"/>
                  <w:tcBorders>
                    <w:tl2br w:val="nil"/>
                    <w:tr2bl w:val="nil"/>
                  </w:tcBorders>
                  <w:vAlign w:val="center"/>
                </w:tcPr>
                <w:p w14:paraId="53D448D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节制右分水闸</w:t>
                  </w:r>
                </w:p>
              </w:tc>
              <w:tc>
                <w:tcPr>
                  <w:tcW w:w="569" w:type="dxa"/>
                  <w:tcBorders>
                    <w:tl2br w:val="nil"/>
                    <w:tr2bl w:val="nil"/>
                  </w:tcBorders>
                  <w:vAlign w:val="center"/>
                </w:tcPr>
                <w:p w14:paraId="74BDF78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左分水闸</w:t>
                  </w:r>
                </w:p>
              </w:tc>
              <w:tc>
                <w:tcPr>
                  <w:tcW w:w="569" w:type="dxa"/>
                  <w:tcBorders>
                    <w:tl2br w:val="nil"/>
                    <w:tr2bl w:val="nil"/>
                  </w:tcBorders>
                  <w:vAlign w:val="center"/>
                </w:tcPr>
                <w:p w14:paraId="3582E13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右分水闸</w:t>
                  </w:r>
                </w:p>
              </w:tc>
              <w:tc>
                <w:tcPr>
                  <w:tcW w:w="547" w:type="dxa"/>
                  <w:tcBorders>
                    <w:tl2br w:val="nil"/>
                    <w:tr2bl w:val="nil"/>
                  </w:tcBorders>
                  <w:vAlign w:val="center"/>
                </w:tcPr>
                <w:p w14:paraId="1E7D90C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节制闸</w:t>
                  </w:r>
                </w:p>
              </w:tc>
              <w:tc>
                <w:tcPr>
                  <w:tcW w:w="558" w:type="dxa"/>
                  <w:tcBorders>
                    <w:tl2br w:val="nil"/>
                    <w:tr2bl w:val="nil"/>
                  </w:tcBorders>
                  <w:vAlign w:val="center"/>
                </w:tcPr>
                <w:p w14:paraId="59168B7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引水闸</w:t>
                  </w:r>
                </w:p>
              </w:tc>
              <w:tc>
                <w:tcPr>
                  <w:tcW w:w="569" w:type="dxa"/>
                  <w:vMerge w:val="continue"/>
                  <w:tcBorders>
                    <w:tl2br w:val="nil"/>
                    <w:tr2bl w:val="nil"/>
                  </w:tcBorders>
                  <w:vAlign w:val="center"/>
                </w:tcPr>
                <w:p w14:paraId="6FB551A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p>
              </w:tc>
              <w:tc>
                <w:tcPr>
                  <w:tcW w:w="492" w:type="dxa"/>
                  <w:vMerge w:val="continue"/>
                  <w:tcBorders>
                    <w:tl2br w:val="nil"/>
                    <w:tr2bl w:val="nil"/>
                  </w:tcBorders>
                  <w:vAlign w:val="center"/>
                </w:tcPr>
                <w:p w14:paraId="52AAAF0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p>
              </w:tc>
              <w:tc>
                <w:tcPr>
                  <w:tcW w:w="449" w:type="dxa"/>
                  <w:vMerge w:val="continue"/>
                  <w:tcBorders>
                    <w:tl2br w:val="nil"/>
                    <w:tr2bl w:val="nil"/>
                  </w:tcBorders>
                  <w:vAlign w:val="center"/>
                </w:tcPr>
                <w:p w14:paraId="0DC6313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p>
              </w:tc>
              <w:tc>
                <w:tcPr>
                  <w:tcW w:w="493" w:type="dxa"/>
                  <w:vMerge w:val="continue"/>
                  <w:tcBorders>
                    <w:tl2br w:val="nil"/>
                    <w:tr2bl w:val="nil"/>
                  </w:tcBorders>
                  <w:vAlign w:val="center"/>
                </w:tcPr>
                <w:p w14:paraId="59DB9ED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p>
              </w:tc>
              <w:tc>
                <w:tcPr>
                  <w:tcW w:w="395" w:type="dxa"/>
                  <w:vMerge w:val="continue"/>
                  <w:tcBorders>
                    <w:tl2br w:val="nil"/>
                    <w:tr2bl w:val="nil"/>
                  </w:tcBorders>
                  <w:vAlign w:val="center"/>
                </w:tcPr>
                <w:p w14:paraId="31AD59C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p>
              </w:tc>
            </w:tr>
            <w:tr w14:paraId="50D94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jc w:val="center"/>
              </w:trPr>
              <w:tc>
                <w:tcPr>
                  <w:tcW w:w="397" w:type="dxa"/>
                  <w:tcBorders>
                    <w:tl2br w:val="nil"/>
                    <w:tr2bl w:val="nil"/>
                  </w:tcBorders>
                  <w:vAlign w:val="center"/>
                </w:tcPr>
                <w:p w14:paraId="43C3BEB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1</w:t>
                  </w:r>
                </w:p>
              </w:tc>
              <w:tc>
                <w:tcPr>
                  <w:tcW w:w="1179" w:type="dxa"/>
                  <w:tcBorders>
                    <w:tl2br w:val="nil"/>
                    <w:tr2bl w:val="nil"/>
                  </w:tcBorders>
                  <w:vAlign w:val="center"/>
                </w:tcPr>
                <w:p w14:paraId="4D16CE5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4村1斗渠</w:t>
                  </w:r>
                </w:p>
              </w:tc>
              <w:tc>
                <w:tcPr>
                  <w:tcW w:w="624" w:type="dxa"/>
                  <w:tcBorders>
                    <w:tl2br w:val="nil"/>
                    <w:tr2bl w:val="nil"/>
                  </w:tcBorders>
                  <w:vAlign w:val="center"/>
                </w:tcPr>
                <w:p w14:paraId="55051BD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5057</w:t>
                  </w:r>
                </w:p>
              </w:tc>
              <w:tc>
                <w:tcPr>
                  <w:tcW w:w="635" w:type="dxa"/>
                  <w:tcBorders>
                    <w:tl2br w:val="nil"/>
                    <w:tr2bl w:val="nil"/>
                  </w:tcBorders>
                  <w:vAlign w:val="center"/>
                </w:tcPr>
                <w:p w14:paraId="3BCF26A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c>
                <w:tcPr>
                  <w:tcW w:w="646" w:type="dxa"/>
                  <w:tcBorders>
                    <w:tl2br w:val="nil"/>
                    <w:tr2bl w:val="nil"/>
                  </w:tcBorders>
                  <w:vAlign w:val="center"/>
                </w:tcPr>
                <w:p w14:paraId="1634327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1</w:t>
                  </w:r>
                </w:p>
              </w:tc>
              <w:tc>
                <w:tcPr>
                  <w:tcW w:w="569" w:type="dxa"/>
                  <w:tcBorders>
                    <w:tl2br w:val="nil"/>
                    <w:tr2bl w:val="nil"/>
                  </w:tcBorders>
                  <w:vAlign w:val="center"/>
                </w:tcPr>
                <w:p w14:paraId="08F88EC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1</w:t>
                  </w:r>
                </w:p>
              </w:tc>
              <w:tc>
                <w:tcPr>
                  <w:tcW w:w="569" w:type="dxa"/>
                  <w:tcBorders>
                    <w:tl2br w:val="nil"/>
                    <w:tr2bl w:val="nil"/>
                  </w:tcBorders>
                  <w:vAlign w:val="center"/>
                </w:tcPr>
                <w:p w14:paraId="4391583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3</w:t>
                  </w:r>
                </w:p>
              </w:tc>
              <w:tc>
                <w:tcPr>
                  <w:tcW w:w="547" w:type="dxa"/>
                  <w:tcBorders>
                    <w:tl2br w:val="nil"/>
                    <w:tr2bl w:val="nil"/>
                  </w:tcBorders>
                  <w:vAlign w:val="center"/>
                </w:tcPr>
                <w:p w14:paraId="57728AC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c>
                <w:tcPr>
                  <w:tcW w:w="558" w:type="dxa"/>
                  <w:tcBorders>
                    <w:tl2br w:val="nil"/>
                    <w:tr2bl w:val="nil"/>
                  </w:tcBorders>
                  <w:vAlign w:val="center"/>
                </w:tcPr>
                <w:p w14:paraId="41C3E28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1</w:t>
                  </w:r>
                </w:p>
              </w:tc>
              <w:tc>
                <w:tcPr>
                  <w:tcW w:w="569" w:type="dxa"/>
                  <w:tcBorders>
                    <w:tl2br w:val="nil"/>
                    <w:tr2bl w:val="nil"/>
                  </w:tcBorders>
                  <w:vAlign w:val="center"/>
                </w:tcPr>
                <w:p w14:paraId="464A90A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2</w:t>
                  </w:r>
                </w:p>
              </w:tc>
              <w:tc>
                <w:tcPr>
                  <w:tcW w:w="492" w:type="dxa"/>
                  <w:tcBorders>
                    <w:tl2br w:val="nil"/>
                    <w:tr2bl w:val="nil"/>
                  </w:tcBorders>
                  <w:vAlign w:val="center"/>
                </w:tcPr>
                <w:p w14:paraId="0BA9C77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c>
                <w:tcPr>
                  <w:tcW w:w="449" w:type="dxa"/>
                  <w:tcBorders>
                    <w:tl2br w:val="nil"/>
                    <w:tr2bl w:val="nil"/>
                  </w:tcBorders>
                  <w:vAlign w:val="center"/>
                </w:tcPr>
                <w:p w14:paraId="6A35455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c>
                <w:tcPr>
                  <w:tcW w:w="493" w:type="dxa"/>
                  <w:tcBorders>
                    <w:tl2br w:val="nil"/>
                    <w:tr2bl w:val="nil"/>
                  </w:tcBorders>
                  <w:vAlign w:val="center"/>
                </w:tcPr>
                <w:p w14:paraId="61540F3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1</w:t>
                  </w:r>
                </w:p>
              </w:tc>
              <w:tc>
                <w:tcPr>
                  <w:tcW w:w="395" w:type="dxa"/>
                  <w:tcBorders>
                    <w:tl2br w:val="nil"/>
                    <w:tr2bl w:val="nil"/>
                  </w:tcBorders>
                  <w:vAlign w:val="center"/>
                </w:tcPr>
                <w:p w14:paraId="76BFED8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r>
            <w:tr w14:paraId="1A12A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jc w:val="center"/>
              </w:trPr>
              <w:tc>
                <w:tcPr>
                  <w:tcW w:w="397" w:type="dxa"/>
                  <w:tcBorders>
                    <w:tl2br w:val="nil"/>
                    <w:tr2bl w:val="nil"/>
                  </w:tcBorders>
                  <w:vAlign w:val="center"/>
                </w:tcPr>
                <w:p w14:paraId="39FE4AB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2</w:t>
                  </w:r>
                </w:p>
              </w:tc>
              <w:tc>
                <w:tcPr>
                  <w:tcW w:w="1179" w:type="dxa"/>
                  <w:tcBorders>
                    <w:tl2br w:val="nil"/>
                    <w:tr2bl w:val="nil"/>
                  </w:tcBorders>
                  <w:vAlign w:val="center"/>
                </w:tcPr>
                <w:p w14:paraId="3E79B8E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4村2斗渠</w:t>
                  </w:r>
                </w:p>
              </w:tc>
              <w:tc>
                <w:tcPr>
                  <w:tcW w:w="624" w:type="dxa"/>
                  <w:tcBorders>
                    <w:tl2br w:val="nil"/>
                    <w:tr2bl w:val="nil"/>
                  </w:tcBorders>
                  <w:vAlign w:val="center"/>
                </w:tcPr>
                <w:p w14:paraId="4A4CFC8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2463</w:t>
                  </w:r>
                </w:p>
              </w:tc>
              <w:tc>
                <w:tcPr>
                  <w:tcW w:w="635" w:type="dxa"/>
                  <w:tcBorders>
                    <w:tl2br w:val="nil"/>
                    <w:tr2bl w:val="nil"/>
                  </w:tcBorders>
                  <w:vAlign w:val="center"/>
                </w:tcPr>
                <w:p w14:paraId="0816CED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c>
                <w:tcPr>
                  <w:tcW w:w="646" w:type="dxa"/>
                  <w:tcBorders>
                    <w:tl2br w:val="nil"/>
                    <w:tr2bl w:val="nil"/>
                  </w:tcBorders>
                  <w:vAlign w:val="center"/>
                </w:tcPr>
                <w:p w14:paraId="076FE39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2</w:t>
                  </w:r>
                </w:p>
              </w:tc>
              <w:tc>
                <w:tcPr>
                  <w:tcW w:w="569" w:type="dxa"/>
                  <w:tcBorders>
                    <w:tl2br w:val="nil"/>
                    <w:tr2bl w:val="nil"/>
                  </w:tcBorders>
                  <w:vAlign w:val="center"/>
                </w:tcPr>
                <w:p w14:paraId="3020BF1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2</w:t>
                  </w:r>
                </w:p>
              </w:tc>
              <w:tc>
                <w:tcPr>
                  <w:tcW w:w="569" w:type="dxa"/>
                  <w:tcBorders>
                    <w:tl2br w:val="nil"/>
                    <w:tr2bl w:val="nil"/>
                  </w:tcBorders>
                  <w:vAlign w:val="center"/>
                </w:tcPr>
                <w:p w14:paraId="26403E2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13</w:t>
                  </w:r>
                </w:p>
              </w:tc>
              <w:tc>
                <w:tcPr>
                  <w:tcW w:w="547" w:type="dxa"/>
                  <w:tcBorders>
                    <w:tl2br w:val="nil"/>
                    <w:tr2bl w:val="nil"/>
                  </w:tcBorders>
                  <w:vAlign w:val="center"/>
                </w:tcPr>
                <w:p w14:paraId="0E84D5C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1</w:t>
                  </w:r>
                </w:p>
              </w:tc>
              <w:tc>
                <w:tcPr>
                  <w:tcW w:w="558" w:type="dxa"/>
                  <w:tcBorders>
                    <w:tl2br w:val="nil"/>
                    <w:tr2bl w:val="nil"/>
                  </w:tcBorders>
                  <w:vAlign w:val="center"/>
                </w:tcPr>
                <w:p w14:paraId="56464CE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c>
                <w:tcPr>
                  <w:tcW w:w="569" w:type="dxa"/>
                  <w:tcBorders>
                    <w:tl2br w:val="nil"/>
                    <w:tr2bl w:val="nil"/>
                  </w:tcBorders>
                  <w:vAlign w:val="center"/>
                </w:tcPr>
                <w:p w14:paraId="40A2F71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2</w:t>
                  </w:r>
                </w:p>
              </w:tc>
              <w:tc>
                <w:tcPr>
                  <w:tcW w:w="492" w:type="dxa"/>
                  <w:tcBorders>
                    <w:tl2br w:val="nil"/>
                    <w:tr2bl w:val="nil"/>
                  </w:tcBorders>
                  <w:vAlign w:val="center"/>
                </w:tcPr>
                <w:p w14:paraId="0DF9A2E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3</w:t>
                  </w:r>
                </w:p>
              </w:tc>
              <w:tc>
                <w:tcPr>
                  <w:tcW w:w="449" w:type="dxa"/>
                  <w:tcBorders>
                    <w:tl2br w:val="nil"/>
                    <w:tr2bl w:val="nil"/>
                  </w:tcBorders>
                  <w:vAlign w:val="center"/>
                </w:tcPr>
                <w:p w14:paraId="64FC774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4</w:t>
                  </w:r>
                </w:p>
              </w:tc>
              <w:tc>
                <w:tcPr>
                  <w:tcW w:w="493" w:type="dxa"/>
                  <w:tcBorders>
                    <w:tl2br w:val="nil"/>
                    <w:tr2bl w:val="nil"/>
                  </w:tcBorders>
                  <w:vAlign w:val="center"/>
                </w:tcPr>
                <w:p w14:paraId="39D46EB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c>
                <w:tcPr>
                  <w:tcW w:w="395" w:type="dxa"/>
                  <w:tcBorders>
                    <w:tl2br w:val="nil"/>
                    <w:tr2bl w:val="nil"/>
                  </w:tcBorders>
                  <w:vAlign w:val="center"/>
                </w:tcPr>
                <w:p w14:paraId="768EE9D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1</w:t>
                  </w:r>
                </w:p>
              </w:tc>
            </w:tr>
            <w:tr w14:paraId="5C6FD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397" w:type="dxa"/>
                  <w:tcBorders>
                    <w:tl2br w:val="nil"/>
                    <w:tr2bl w:val="nil"/>
                  </w:tcBorders>
                  <w:vAlign w:val="center"/>
                </w:tcPr>
                <w:p w14:paraId="71D8F25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3</w:t>
                  </w:r>
                </w:p>
              </w:tc>
              <w:tc>
                <w:tcPr>
                  <w:tcW w:w="1179" w:type="dxa"/>
                  <w:tcBorders>
                    <w:tl2br w:val="nil"/>
                    <w:tr2bl w:val="nil"/>
                  </w:tcBorders>
                  <w:vAlign w:val="center"/>
                </w:tcPr>
                <w:p w14:paraId="4E6A9BC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4村3斗渠</w:t>
                  </w:r>
                </w:p>
              </w:tc>
              <w:tc>
                <w:tcPr>
                  <w:tcW w:w="624" w:type="dxa"/>
                  <w:tcBorders>
                    <w:tl2br w:val="nil"/>
                    <w:tr2bl w:val="nil"/>
                  </w:tcBorders>
                  <w:vAlign w:val="center"/>
                </w:tcPr>
                <w:p w14:paraId="49881AF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1400</w:t>
                  </w:r>
                </w:p>
              </w:tc>
              <w:tc>
                <w:tcPr>
                  <w:tcW w:w="635" w:type="dxa"/>
                  <w:tcBorders>
                    <w:tl2br w:val="nil"/>
                    <w:tr2bl w:val="nil"/>
                  </w:tcBorders>
                  <w:vAlign w:val="center"/>
                </w:tcPr>
                <w:p w14:paraId="7312FCB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c>
                <w:tcPr>
                  <w:tcW w:w="646" w:type="dxa"/>
                  <w:tcBorders>
                    <w:tl2br w:val="nil"/>
                    <w:tr2bl w:val="nil"/>
                  </w:tcBorders>
                  <w:vAlign w:val="center"/>
                </w:tcPr>
                <w:p w14:paraId="315EBE1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1</w:t>
                  </w:r>
                </w:p>
              </w:tc>
              <w:tc>
                <w:tcPr>
                  <w:tcW w:w="569" w:type="dxa"/>
                  <w:tcBorders>
                    <w:tl2br w:val="nil"/>
                    <w:tr2bl w:val="nil"/>
                  </w:tcBorders>
                  <w:vAlign w:val="center"/>
                </w:tcPr>
                <w:p w14:paraId="017FEBB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c>
                <w:tcPr>
                  <w:tcW w:w="569" w:type="dxa"/>
                  <w:tcBorders>
                    <w:tl2br w:val="nil"/>
                    <w:tr2bl w:val="nil"/>
                  </w:tcBorders>
                  <w:vAlign w:val="center"/>
                </w:tcPr>
                <w:p w14:paraId="1D886F9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3</w:t>
                  </w:r>
                </w:p>
              </w:tc>
              <w:tc>
                <w:tcPr>
                  <w:tcW w:w="547" w:type="dxa"/>
                  <w:tcBorders>
                    <w:tl2br w:val="nil"/>
                    <w:tr2bl w:val="nil"/>
                  </w:tcBorders>
                  <w:vAlign w:val="center"/>
                </w:tcPr>
                <w:p w14:paraId="6062703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c>
                <w:tcPr>
                  <w:tcW w:w="558" w:type="dxa"/>
                  <w:tcBorders>
                    <w:tl2br w:val="nil"/>
                    <w:tr2bl w:val="nil"/>
                  </w:tcBorders>
                  <w:vAlign w:val="center"/>
                </w:tcPr>
                <w:p w14:paraId="75234C7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c>
                <w:tcPr>
                  <w:tcW w:w="569" w:type="dxa"/>
                  <w:tcBorders>
                    <w:tl2br w:val="nil"/>
                    <w:tr2bl w:val="nil"/>
                  </w:tcBorders>
                  <w:vAlign w:val="center"/>
                </w:tcPr>
                <w:p w14:paraId="7DEF7AD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1</w:t>
                  </w:r>
                </w:p>
              </w:tc>
              <w:tc>
                <w:tcPr>
                  <w:tcW w:w="492" w:type="dxa"/>
                  <w:tcBorders>
                    <w:tl2br w:val="nil"/>
                    <w:tr2bl w:val="nil"/>
                  </w:tcBorders>
                  <w:vAlign w:val="center"/>
                </w:tcPr>
                <w:p w14:paraId="424BDC5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1</w:t>
                  </w:r>
                </w:p>
              </w:tc>
              <w:tc>
                <w:tcPr>
                  <w:tcW w:w="449" w:type="dxa"/>
                  <w:tcBorders>
                    <w:tl2br w:val="nil"/>
                    <w:tr2bl w:val="nil"/>
                  </w:tcBorders>
                  <w:vAlign w:val="center"/>
                </w:tcPr>
                <w:p w14:paraId="745EB2E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c>
                <w:tcPr>
                  <w:tcW w:w="493" w:type="dxa"/>
                  <w:tcBorders>
                    <w:tl2br w:val="nil"/>
                    <w:tr2bl w:val="nil"/>
                  </w:tcBorders>
                  <w:vAlign w:val="center"/>
                </w:tcPr>
                <w:p w14:paraId="3490EF3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c>
                <w:tcPr>
                  <w:tcW w:w="395" w:type="dxa"/>
                  <w:tcBorders>
                    <w:tl2br w:val="nil"/>
                    <w:tr2bl w:val="nil"/>
                  </w:tcBorders>
                  <w:vAlign w:val="center"/>
                </w:tcPr>
                <w:p w14:paraId="5F10551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r>
            <w:tr w14:paraId="53FB0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397" w:type="dxa"/>
                  <w:tcBorders>
                    <w:tl2br w:val="nil"/>
                    <w:tr2bl w:val="nil"/>
                  </w:tcBorders>
                  <w:vAlign w:val="center"/>
                </w:tcPr>
                <w:p w14:paraId="703B797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4</w:t>
                  </w:r>
                </w:p>
              </w:tc>
              <w:tc>
                <w:tcPr>
                  <w:tcW w:w="1179" w:type="dxa"/>
                  <w:tcBorders>
                    <w:tl2br w:val="nil"/>
                    <w:tr2bl w:val="nil"/>
                  </w:tcBorders>
                  <w:vAlign w:val="center"/>
                </w:tcPr>
                <w:p w14:paraId="0AD4B37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4村4斗渠</w:t>
                  </w:r>
                </w:p>
              </w:tc>
              <w:tc>
                <w:tcPr>
                  <w:tcW w:w="624" w:type="dxa"/>
                  <w:tcBorders>
                    <w:tl2br w:val="nil"/>
                    <w:tr2bl w:val="nil"/>
                  </w:tcBorders>
                  <w:vAlign w:val="center"/>
                </w:tcPr>
                <w:p w14:paraId="03D2B1E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180</w:t>
                  </w:r>
                </w:p>
              </w:tc>
              <w:tc>
                <w:tcPr>
                  <w:tcW w:w="635" w:type="dxa"/>
                  <w:tcBorders>
                    <w:tl2br w:val="nil"/>
                    <w:tr2bl w:val="nil"/>
                  </w:tcBorders>
                  <w:vAlign w:val="center"/>
                </w:tcPr>
                <w:p w14:paraId="0C71F31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c>
                <w:tcPr>
                  <w:tcW w:w="646" w:type="dxa"/>
                  <w:tcBorders>
                    <w:tl2br w:val="nil"/>
                    <w:tr2bl w:val="nil"/>
                  </w:tcBorders>
                  <w:vAlign w:val="center"/>
                </w:tcPr>
                <w:p w14:paraId="4D060A7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1</w:t>
                  </w:r>
                </w:p>
              </w:tc>
              <w:tc>
                <w:tcPr>
                  <w:tcW w:w="569" w:type="dxa"/>
                  <w:tcBorders>
                    <w:tl2br w:val="nil"/>
                    <w:tr2bl w:val="nil"/>
                  </w:tcBorders>
                  <w:vAlign w:val="center"/>
                </w:tcPr>
                <w:p w14:paraId="6EC74F2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c>
                <w:tcPr>
                  <w:tcW w:w="569" w:type="dxa"/>
                  <w:tcBorders>
                    <w:tl2br w:val="nil"/>
                    <w:tr2bl w:val="nil"/>
                  </w:tcBorders>
                  <w:vAlign w:val="center"/>
                </w:tcPr>
                <w:p w14:paraId="157414B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2</w:t>
                  </w:r>
                </w:p>
              </w:tc>
              <w:tc>
                <w:tcPr>
                  <w:tcW w:w="547" w:type="dxa"/>
                  <w:tcBorders>
                    <w:tl2br w:val="nil"/>
                    <w:tr2bl w:val="nil"/>
                  </w:tcBorders>
                  <w:vAlign w:val="center"/>
                </w:tcPr>
                <w:p w14:paraId="0DDF18F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c>
                <w:tcPr>
                  <w:tcW w:w="558" w:type="dxa"/>
                  <w:tcBorders>
                    <w:tl2br w:val="nil"/>
                    <w:tr2bl w:val="nil"/>
                  </w:tcBorders>
                  <w:vAlign w:val="center"/>
                </w:tcPr>
                <w:p w14:paraId="4CA1081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c>
                <w:tcPr>
                  <w:tcW w:w="569" w:type="dxa"/>
                  <w:tcBorders>
                    <w:tl2br w:val="nil"/>
                    <w:tr2bl w:val="nil"/>
                  </w:tcBorders>
                  <w:vAlign w:val="center"/>
                </w:tcPr>
                <w:p w14:paraId="467C1FC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c>
                <w:tcPr>
                  <w:tcW w:w="492" w:type="dxa"/>
                  <w:tcBorders>
                    <w:tl2br w:val="nil"/>
                    <w:tr2bl w:val="nil"/>
                  </w:tcBorders>
                  <w:vAlign w:val="center"/>
                </w:tcPr>
                <w:p w14:paraId="2004A8B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1</w:t>
                  </w:r>
                </w:p>
              </w:tc>
              <w:tc>
                <w:tcPr>
                  <w:tcW w:w="449" w:type="dxa"/>
                  <w:tcBorders>
                    <w:tl2br w:val="nil"/>
                    <w:tr2bl w:val="nil"/>
                  </w:tcBorders>
                  <w:vAlign w:val="center"/>
                </w:tcPr>
                <w:p w14:paraId="337B9A2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c>
                <w:tcPr>
                  <w:tcW w:w="493" w:type="dxa"/>
                  <w:tcBorders>
                    <w:tl2br w:val="nil"/>
                    <w:tr2bl w:val="nil"/>
                  </w:tcBorders>
                  <w:vAlign w:val="center"/>
                </w:tcPr>
                <w:p w14:paraId="0FE7B10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c>
                <w:tcPr>
                  <w:tcW w:w="395" w:type="dxa"/>
                  <w:tcBorders>
                    <w:tl2br w:val="nil"/>
                    <w:tr2bl w:val="nil"/>
                  </w:tcBorders>
                  <w:vAlign w:val="center"/>
                </w:tcPr>
                <w:p w14:paraId="17B1BF2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r>
            <w:tr w14:paraId="1249B8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jc w:val="center"/>
              </w:trPr>
              <w:tc>
                <w:tcPr>
                  <w:tcW w:w="397" w:type="dxa"/>
                  <w:tcBorders>
                    <w:tl2br w:val="nil"/>
                    <w:tr2bl w:val="nil"/>
                  </w:tcBorders>
                  <w:vAlign w:val="center"/>
                </w:tcPr>
                <w:p w14:paraId="0DBF09F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5</w:t>
                  </w:r>
                </w:p>
              </w:tc>
              <w:tc>
                <w:tcPr>
                  <w:tcW w:w="1179" w:type="dxa"/>
                  <w:tcBorders>
                    <w:tl2br w:val="nil"/>
                    <w:tr2bl w:val="nil"/>
                  </w:tcBorders>
                  <w:vAlign w:val="center"/>
                </w:tcPr>
                <w:p w14:paraId="4A9463C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4村5斗渠</w:t>
                  </w:r>
                </w:p>
              </w:tc>
              <w:tc>
                <w:tcPr>
                  <w:tcW w:w="624" w:type="dxa"/>
                  <w:tcBorders>
                    <w:tl2br w:val="nil"/>
                    <w:tr2bl w:val="nil"/>
                  </w:tcBorders>
                  <w:vAlign w:val="center"/>
                </w:tcPr>
                <w:p w14:paraId="1D296C9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180</w:t>
                  </w:r>
                </w:p>
              </w:tc>
              <w:tc>
                <w:tcPr>
                  <w:tcW w:w="635" w:type="dxa"/>
                  <w:tcBorders>
                    <w:tl2br w:val="nil"/>
                    <w:tr2bl w:val="nil"/>
                  </w:tcBorders>
                  <w:vAlign w:val="center"/>
                </w:tcPr>
                <w:p w14:paraId="29EE9EF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1</w:t>
                  </w:r>
                </w:p>
              </w:tc>
              <w:tc>
                <w:tcPr>
                  <w:tcW w:w="646" w:type="dxa"/>
                  <w:tcBorders>
                    <w:tl2br w:val="nil"/>
                    <w:tr2bl w:val="nil"/>
                  </w:tcBorders>
                  <w:vAlign w:val="center"/>
                </w:tcPr>
                <w:p w14:paraId="49FC0D6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c>
                <w:tcPr>
                  <w:tcW w:w="569" w:type="dxa"/>
                  <w:tcBorders>
                    <w:tl2br w:val="nil"/>
                    <w:tr2bl w:val="nil"/>
                  </w:tcBorders>
                  <w:vAlign w:val="center"/>
                </w:tcPr>
                <w:p w14:paraId="47553AA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2</w:t>
                  </w:r>
                </w:p>
              </w:tc>
              <w:tc>
                <w:tcPr>
                  <w:tcW w:w="569" w:type="dxa"/>
                  <w:tcBorders>
                    <w:tl2br w:val="nil"/>
                    <w:tr2bl w:val="nil"/>
                  </w:tcBorders>
                  <w:vAlign w:val="center"/>
                </w:tcPr>
                <w:p w14:paraId="37A4195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c>
                <w:tcPr>
                  <w:tcW w:w="547" w:type="dxa"/>
                  <w:tcBorders>
                    <w:tl2br w:val="nil"/>
                    <w:tr2bl w:val="nil"/>
                  </w:tcBorders>
                  <w:vAlign w:val="center"/>
                </w:tcPr>
                <w:p w14:paraId="766A276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c>
                <w:tcPr>
                  <w:tcW w:w="558" w:type="dxa"/>
                  <w:tcBorders>
                    <w:tl2br w:val="nil"/>
                    <w:tr2bl w:val="nil"/>
                  </w:tcBorders>
                  <w:vAlign w:val="center"/>
                </w:tcPr>
                <w:p w14:paraId="3CBDE27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c>
                <w:tcPr>
                  <w:tcW w:w="569" w:type="dxa"/>
                  <w:tcBorders>
                    <w:tl2br w:val="nil"/>
                    <w:tr2bl w:val="nil"/>
                  </w:tcBorders>
                  <w:vAlign w:val="center"/>
                </w:tcPr>
                <w:p w14:paraId="6738C7D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c>
                <w:tcPr>
                  <w:tcW w:w="492" w:type="dxa"/>
                  <w:tcBorders>
                    <w:tl2br w:val="nil"/>
                    <w:tr2bl w:val="nil"/>
                  </w:tcBorders>
                  <w:vAlign w:val="center"/>
                </w:tcPr>
                <w:p w14:paraId="38BF87B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1</w:t>
                  </w:r>
                </w:p>
              </w:tc>
              <w:tc>
                <w:tcPr>
                  <w:tcW w:w="449" w:type="dxa"/>
                  <w:tcBorders>
                    <w:tl2br w:val="nil"/>
                    <w:tr2bl w:val="nil"/>
                  </w:tcBorders>
                  <w:vAlign w:val="center"/>
                </w:tcPr>
                <w:p w14:paraId="72119EB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c>
                <w:tcPr>
                  <w:tcW w:w="493" w:type="dxa"/>
                  <w:tcBorders>
                    <w:tl2br w:val="nil"/>
                    <w:tr2bl w:val="nil"/>
                  </w:tcBorders>
                  <w:vAlign w:val="center"/>
                </w:tcPr>
                <w:p w14:paraId="0147511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c>
                <w:tcPr>
                  <w:tcW w:w="395" w:type="dxa"/>
                  <w:tcBorders>
                    <w:tl2br w:val="nil"/>
                    <w:tr2bl w:val="nil"/>
                  </w:tcBorders>
                  <w:vAlign w:val="center"/>
                </w:tcPr>
                <w:p w14:paraId="3E5C74E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r>
            <w:tr w14:paraId="08398B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397" w:type="dxa"/>
                  <w:tcBorders>
                    <w:tl2br w:val="nil"/>
                    <w:tr2bl w:val="nil"/>
                  </w:tcBorders>
                  <w:vAlign w:val="center"/>
                </w:tcPr>
                <w:p w14:paraId="2DBFA93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6</w:t>
                  </w:r>
                </w:p>
              </w:tc>
              <w:tc>
                <w:tcPr>
                  <w:tcW w:w="1179" w:type="dxa"/>
                  <w:tcBorders>
                    <w:tl2br w:val="nil"/>
                    <w:tr2bl w:val="nil"/>
                  </w:tcBorders>
                  <w:vAlign w:val="center"/>
                </w:tcPr>
                <w:p w14:paraId="05FC4E9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4村6斗渠</w:t>
                  </w:r>
                </w:p>
              </w:tc>
              <w:tc>
                <w:tcPr>
                  <w:tcW w:w="624" w:type="dxa"/>
                  <w:tcBorders>
                    <w:tl2br w:val="nil"/>
                    <w:tr2bl w:val="nil"/>
                  </w:tcBorders>
                  <w:vAlign w:val="center"/>
                </w:tcPr>
                <w:p w14:paraId="29B7422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300</w:t>
                  </w:r>
                </w:p>
              </w:tc>
              <w:tc>
                <w:tcPr>
                  <w:tcW w:w="635" w:type="dxa"/>
                  <w:tcBorders>
                    <w:tl2br w:val="nil"/>
                    <w:tr2bl w:val="nil"/>
                  </w:tcBorders>
                  <w:vAlign w:val="center"/>
                </w:tcPr>
                <w:p w14:paraId="7BB1E95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c>
                <w:tcPr>
                  <w:tcW w:w="646" w:type="dxa"/>
                  <w:tcBorders>
                    <w:tl2br w:val="nil"/>
                    <w:tr2bl w:val="nil"/>
                  </w:tcBorders>
                  <w:vAlign w:val="center"/>
                </w:tcPr>
                <w:p w14:paraId="34A7A80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1</w:t>
                  </w:r>
                </w:p>
              </w:tc>
              <w:tc>
                <w:tcPr>
                  <w:tcW w:w="569" w:type="dxa"/>
                  <w:tcBorders>
                    <w:tl2br w:val="nil"/>
                    <w:tr2bl w:val="nil"/>
                  </w:tcBorders>
                  <w:vAlign w:val="center"/>
                </w:tcPr>
                <w:p w14:paraId="5D9FC3A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c>
                <w:tcPr>
                  <w:tcW w:w="569" w:type="dxa"/>
                  <w:tcBorders>
                    <w:tl2br w:val="nil"/>
                    <w:tr2bl w:val="nil"/>
                  </w:tcBorders>
                  <w:vAlign w:val="center"/>
                </w:tcPr>
                <w:p w14:paraId="3FB8B49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1</w:t>
                  </w:r>
                </w:p>
              </w:tc>
              <w:tc>
                <w:tcPr>
                  <w:tcW w:w="547" w:type="dxa"/>
                  <w:tcBorders>
                    <w:tl2br w:val="nil"/>
                    <w:tr2bl w:val="nil"/>
                  </w:tcBorders>
                  <w:vAlign w:val="center"/>
                </w:tcPr>
                <w:p w14:paraId="4702006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c>
                <w:tcPr>
                  <w:tcW w:w="558" w:type="dxa"/>
                  <w:tcBorders>
                    <w:tl2br w:val="nil"/>
                    <w:tr2bl w:val="nil"/>
                  </w:tcBorders>
                  <w:vAlign w:val="center"/>
                </w:tcPr>
                <w:p w14:paraId="602818C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c>
                <w:tcPr>
                  <w:tcW w:w="569" w:type="dxa"/>
                  <w:tcBorders>
                    <w:tl2br w:val="nil"/>
                    <w:tr2bl w:val="nil"/>
                  </w:tcBorders>
                  <w:vAlign w:val="center"/>
                </w:tcPr>
                <w:p w14:paraId="44556FD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c>
                <w:tcPr>
                  <w:tcW w:w="492" w:type="dxa"/>
                  <w:tcBorders>
                    <w:tl2br w:val="nil"/>
                    <w:tr2bl w:val="nil"/>
                  </w:tcBorders>
                  <w:vAlign w:val="center"/>
                </w:tcPr>
                <w:p w14:paraId="34AEE4C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1</w:t>
                  </w:r>
                </w:p>
              </w:tc>
              <w:tc>
                <w:tcPr>
                  <w:tcW w:w="449" w:type="dxa"/>
                  <w:tcBorders>
                    <w:tl2br w:val="nil"/>
                    <w:tr2bl w:val="nil"/>
                  </w:tcBorders>
                  <w:vAlign w:val="center"/>
                </w:tcPr>
                <w:p w14:paraId="3400C1F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c>
                <w:tcPr>
                  <w:tcW w:w="493" w:type="dxa"/>
                  <w:tcBorders>
                    <w:tl2br w:val="nil"/>
                    <w:tr2bl w:val="nil"/>
                  </w:tcBorders>
                  <w:vAlign w:val="center"/>
                </w:tcPr>
                <w:p w14:paraId="5ADB592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c>
                <w:tcPr>
                  <w:tcW w:w="395" w:type="dxa"/>
                  <w:tcBorders>
                    <w:tl2br w:val="nil"/>
                    <w:tr2bl w:val="nil"/>
                  </w:tcBorders>
                  <w:vAlign w:val="center"/>
                </w:tcPr>
                <w:p w14:paraId="21AC488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r>
            <w:tr w14:paraId="2483D1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397" w:type="dxa"/>
                  <w:tcBorders>
                    <w:tl2br w:val="nil"/>
                    <w:tr2bl w:val="nil"/>
                  </w:tcBorders>
                  <w:vAlign w:val="center"/>
                </w:tcPr>
                <w:p w14:paraId="4715FBC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7</w:t>
                  </w:r>
                </w:p>
              </w:tc>
              <w:tc>
                <w:tcPr>
                  <w:tcW w:w="1179" w:type="dxa"/>
                  <w:tcBorders>
                    <w:tl2br w:val="nil"/>
                    <w:tr2bl w:val="nil"/>
                  </w:tcBorders>
                  <w:vAlign w:val="center"/>
                </w:tcPr>
                <w:p w14:paraId="52B1285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4村7斗渠</w:t>
                  </w:r>
                </w:p>
              </w:tc>
              <w:tc>
                <w:tcPr>
                  <w:tcW w:w="624" w:type="dxa"/>
                  <w:tcBorders>
                    <w:tl2br w:val="nil"/>
                    <w:tr2bl w:val="nil"/>
                  </w:tcBorders>
                  <w:vAlign w:val="center"/>
                </w:tcPr>
                <w:p w14:paraId="453B25F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300</w:t>
                  </w:r>
                </w:p>
              </w:tc>
              <w:tc>
                <w:tcPr>
                  <w:tcW w:w="635" w:type="dxa"/>
                  <w:tcBorders>
                    <w:tl2br w:val="nil"/>
                    <w:tr2bl w:val="nil"/>
                  </w:tcBorders>
                  <w:vAlign w:val="center"/>
                </w:tcPr>
                <w:p w14:paraId="50E2F46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1</w:t>
                  </w:r>
                </w:p>
              </w:tc>
              <w:tc>
                <w:tcPr>
                  <w:tcW w:w="646" w:type="dxa"/>
                  <w:tcBorders>
                    <w:tl2br w:val="nil"/>
                    <w:tr2bl w:val="nil"/>
                  </w:tcBorders>
                  <w:vAlign w:val="center"/>
                </w:tcPr>
                <w:p w14:paraId="358CC4C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c>
                <w:tcPr>
                  <w:tcW w:w="569" w:type="dxa"/>
                  <w:tcBorders>
                    <w:tl2br w:val="nil"/>
                    <w:tr2bl w:val="nil"/>
                  </w:tcBorders>
                  <w:vAlign w:val="center"/>
                </w:tcPr>
                <w:p w14:paraId="7147FD4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1</w:t>
                  </w:r>
                </w:p>
              </w:tc>
              <w:tc>
                <w:tcPr>
                  <w:tcW w:w="569" w:type="dxa"/>
                  <w:tcBorders>
                    <w:tl2br w:val="nil"/>
                    <w:tr2bl w:val="nil"/>
                  </w:tcBorders>
                  <w:vAlign w:val="center"/>
                </w:tcPr>
                <w:p w14:paraId="5494055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c>
                <w:tcPr>
                  <w:tcW w:w="547" w:type="dxa"/>
                  <w:tcBorders>
                    <w:tl2br w:val="nil"/>
                    <w:tr2bl w:val="nil"/>
                  </w:tcBorders>
                  <w:vAlign w:val="center"/>
                </w:tcPr>
                <w:p w14:paraId="4E00592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c>
                <w:tcPr>
                  <w:tcW w:w="558" w:type="dxa"/>
                  <w:tcBorders>
                    <w:tl2br w:val="nil"/>
                    <w:tr2bl w:val="nil"/>
                  </w:tcBorders>
                  <w:vAlign w:val="center"/>
                </w:tcPr>
                <w:p w14:paraId="07A4BDD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c>
                <w:tcPr>
                  <w:tcW w:w="569" w:type="dxa"/>
                  <w:tcBorders>
                    <w:tl2br w:val="nil"/>
                    <w:tr2bl w:val="nil"/>
                  </w:tcBorders>
                  <w:vAlign w:val="center"/>
                </w:tcPr>
                <w:p w14:paraId="3DFFD17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c>
                <w:tcPr>
                  <w:tcW w:w="492" w:type="dxa"/>
                  <w:tcBorders>
                    <w:tl2br w:val="nil"/>
                    <w:tr2bl w:val="nil"/>
                  </w:tcBorders>
                  <w:vAlign w:val="center"/>
                </w:tcPr>
                <w:p w14:paraId="3A7F846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1</w:t>
                  </w:r>
                </w:p>
              </w:tc>
              <w:tc>
                <w:tcPr>
                  <w:tcW w:w="449" w:type="dxa"/>
                  <w:tcBorders>
                    <w:tl2br w:val="nil"/>
                    <w:tr2bl w:val="nil"/>
                  </w:tcBorders>
                  <w:vAlign w:val="center"/>
                </w:tcPr>
                <w:p w14:paraId="6CCB705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c>
                <w:tcPr>
                  <w:tcW w:w="493" w:type="dxa"/>
                  <w:tcBorders>
                    <w:tl2br w:val="nil"/>
                    <w:tr2bl w:val="nil"/>
                  </w:tcBorders>
                  <w:vAlign w:val="center"/>
                </w:tcPr>
                <w:p w14:paraId="3B099A2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c>
                <w:tcPr>
                  <w:tcW w:w="395" w:type="dxa"/>
                  <w:tcBorders>
                    <w:tl2br w:val="nil"/>
                    <w:tr2bl w:val="nil"/>
                  </w:tcBorders>
                  <w:vAlign w:val="center"/>
                </w:tcPr>
                <w:p w14:paraId="0EB2F11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0</w:t>
                  </w:r>
                </w:p>
              </w:tc>
            </w:tr>
            <w:tr w14:paraId="0964D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 w:hRule="atLeast"/>
                <w:jc w:val="center"/>
              </w:trPr>
              <w:tc>
                <w:tcPr>
                  <w:tcW w:w="397" w:type="dxa"/>
                  <w:tcBorders>
                    <w:tl2br w:val="nil"/>
                    <w:tr2bl w:val="nil"/>
                  </w:tcBorders>
                  <w:vAlign w:val="center"/>
                </w:tcPr>
                <w:p w14:paraId="181AE44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8</w:t>
                  </w:r>
                </w:p>
              </w:tc>
              <w:tc>
                <w:tcPr>
                  <w:tcW w:w="1179" w:type="dxa"/>
                  <w:tcBorders>
                    <w:tl2br w:val="nil"/>
                    <w:tr2bl w:val="nil"/>
                  </w:tcBorders>
                  <w:vAlign w:val="center"/>
                </w:tcPr>
                <w:p w14:paraId="432C3A4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合计</w:t>
                  </w:r>
                </w:p>
              </w:tc>
              <w:tc>
                <w:tcPr>
                  <w:tcW w:w="624" w:type="dxa"/>
                  <w:tcBorders>
                    <w:tl2br w:val="nil"/>
                    <w:tr2bl w:val="nil"/>
                  </w:tcBorders>
                  <w:vAlign w:val="center"/>
                </w:tcPr>
                <w:p w14:paraId="71BAAB1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9880</w:t>
                  </w:r>
                </w:p>
              </w:tc>
              <w:tc>
                <w:tcPr>
                  <w:tcW w:w="635" w:type="dxa"/>
                  <w:tcBorders>
                    <w:tl2br w:val="nil"/>
                    <w:tr2bl w:val="nil"/>
                  </w:tcBorders>
                  <w:vAlign w:val="center"/>
                </w:tcPr>
                <w:p w14:paraId="444C777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2</w:t>
                  </w:r>
                </w:p>
              </w:tc>
              <w:tc>
                <w:tcPr>
                  <w:tcW w:w="646" w:type="dxa"/>
                  <w:tcBorders>
                    <w:tl2br w:val="nil"/>
                    <w:tr2bl w:val="nil"/>
                  </w:tcBorders>
                  <w:vAlign w:val="center"/>
                </w:tcPr>
                <w:p w14:paraId="15103F0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6</w:t>
                  </w:r>
                </w:p>
              </w:tc>
              <w:tc>
                <w:tcPr>
                  <w:tcW w:w="569" w:type="dxa"/>
                  <w:tcBorders>
                    <w:tl2br w:val="nil"/>
                    <w:tr2bl w:val="nil"/>
                  </w:tcBorders>
                  <w:vAlign w:val="center"/>
                </w:tcPr>
                <w:p w14:paraId="2FC38B2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6</w:t>
                  </w:r>
                </w:p>
              </w:tc>
              <w:tc>
                <w:tcPr>
                  <w:tcW w:w="569" w:type="dxa"/>
                  <w:tcBorders>
                    <w:tl2br w:val="nil"/>
                    <w:tr2bl w:val="nil"/>
                  </w:tcBorders>
                  <w:vAlign w:val="center"/>
                </w:tcPr>
                <w:p w14:paraId="2ACDE49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22</w:t>
                  </w:r>
                </w:p>
              </w:tc>
              <w:tc>
                <w:tcPr>
                  <w:tcW w:w="547" w:type="dxa"/>
                  <w:tcBorders>
                    <w:tl2br w:val="nil"/>
                    <w:tr2bl w:val="nil"/>
                  </w:tcBorders>
                  <w:vAlign w:val="center"/>
                </w:tcPr>
                <w:p w14:paraId="06218B3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1</w:t>
                  </w:r>
                </w:p>
              </w:tc>
              <w:tc>
                <w:tcPr>
                  <w:tcW w:w="558" w:type="dxa"/>
                  <w:tcBorders>
                    <w:tl2br w:val="nil"/>
                    <w:tr2bl w:val="nil"/>
                  </w:tcBorders>
                  <w:vAlign w:val="center"/>
                </w:tcPr>
                <w:p w14:paraId="44D634E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1</w:t>
                  </w:r>
                </w:p>
              </w:tc>
              <w:tc>
                <w:tcPr>
                  <w:tcW w:w="569" w:type="dxa"/>
                  <w:tcBorders>
                    <w:tl2br w:val="nil"/>
                    <w:tr2bl w:val="nil"/>
                  </w:tcBorders>
                  <w:vAlign w:val="center"/>
                </w:tcPr>
                <w:p w14:paraId="7757B37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5</w:t>
                  </w:r>
                </w:p>
              </w:tc>
              <w:tc>
                <w:tcPr>
                  <w:tcW w:w="492" w:type="dxa"/>
                  <w:tcBorders>
                    <w:tl2br w:val="nil"/>
                    <w:tr2bl w:val="nil"/>
                  </w:tcBorders>
                  <w:vAlign w:val="center"/>
                </w:tcPr>
                <w:p w14:paraId="597CC45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8</w:t>
                  </w:r>
                </w:p>
              </w:tc>
              <w:tc>
                <w:tcPr>
                  <w:tcW w:w="449" w:type="dxa"/>
                  <w:tcBorders>
                    <w:tl2br w:val="nil"/>
                    <w:tr2bl w:val="nil"/>
                  </w:tcBorders>
                  <w:vAlign w:val="center"/>
                </w:tcPr>
                <w:p w14:paraId="0B82FE6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4</w:t>
                  </w:r>
                </w:p>
              </w:tc>
              <w:tc>
                <w:tcPr>
                  <w:tcW w:w="493" w:type="dxa"/>
                  <w:tcBorders>
                    <w:tl2br w:val="nil"/>
                    <w:tr2bl w:val="nil"/>
                  </w:tcBorders>
                  <w:vAlign w:val="center"/>
                </w:tcPr>
                <w:p w14:paraId="110390F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1</w:t>
                  </w:r>
                </w:p>
              </w:tc>
              <w:tc>
                <w:tcPr>
                  <w:tcW w:w="395" w:type="dxa"/>
                  <w:tcBorders>
                    <w:tl2br w:val="nil"/>
                    <w:tr2bl w:val="nil"/>
                  </w:tcBorders>
                  <w:vAlign w:val="center"/>
                </w:tcPr>
                <w:p w14:paraId="25C046B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1</w:t>
                  </w:r>
                </w:p>
              </w:tc>
            </w:tr>
          </w:tbl>
          <w:p w14:paraId="6CBDF68B">
            <w:pPr>
              <w:pStyle w:val="111"/>
              <w:rPr>
                <w:rStyle w:val="79"/>
                <w:rFonts w:hint="default" w:ascii="Times New Roman" w:hAnsi="Times New Roman" w:eastAsia="宋体" w:cs="Times New Roman"/>
                <w:b/>
                <w:bCs/>
                <w:color w:val="auto"/>
                <w:sz w:val="21"/>
                <w:szCs w:val="21"/>
                <w:lang w:val="en-US" w:eastAsia="zh-CN"/>
              </w:rPr>
            </w:pPr>
          </w:p>
          <w:p w14:paraId="21EC7EC4">
            <w:pPr>
              <w:pStyle w:val="96"/>
              <w:numPr>
                <w:ilvl w:val="0"/>
                <w:numId w:val="2"/>
              </w:numPr>
              <w:ind w:left="-62" w:leftChars="0" w:firstLine="482" w:firstLineChars="0"/>
              <w:rPr>
                <w:rFonts w:hint="default" w:ascii="Times New Roman" w:hAnsi="Times New Roman" w:eastAsia="宋体" w:cs="Times New Roman"/>
                <w:b/>
                <w:color w:val="auto"/>
                <w:lang w:val="en-US" w:eastAsia="zh-CN"/>
              </w:rPr>
            </w:pPr>
            <w:r>
              <w:rPr>
                <w:rFonts w:hint="eastAsia" w:hAnsi="Times New Roman" w:cs="Times New Roman"/>
                <w:b/>
                <w:color w:val="auto"/>
                <w:lang w:val="en-US" w:eastAsia="zh-CN"/>
              </w:rPr>
              <w:t>灌溉水</w:t>
            </w:r>
            <w:r>
              <w:rPr>
                <w:rFonts w:hint="default" w:ascii="Times New Roman" w:hAnsi="Times New Roman" w:eastAsia="宋体" w:cs="Times New Roman"/>
                <w:b/>
                <w:color w:val="auto"/>
                <w:lang w:val="en-US" w:eastAsia="zh-CN"/>
              </w:rPr>
              <w:t>利用系数</w:t>
            </w:r>
          </w:p>
          <w:p w14:paraId="2E1452A2">
            <w:pPr>
              <w:pStyle w:val="9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根据《水利水电工程等级划分及洪水标准</w:t>
            </w:r>
            <w:r>
              <w:rPr>
                <w:rFonts w:hint="eastAsia" w:hAnsi="Times New Roman" w:cs="Times New Roman"/>
                <w:color w:val="auto"/>
                <w:lang w:val="en-US" w:eastAsia="zh-CN"/>
              </w:rPr>
              <w:t>（</w:t>
            </w:r>
            <w:r>
              <w:rPr>
                <w:rFonts w:hint="eastAsia" w:ascii="Times New Roman" w:hAnsi="Times New Roman" w:eastAsia="宋体" w:cs="Times New Roman"/>
                <w:color w:val="auto"/>
                <w:lang w:val="en-US" w:eastAsia="zh-CN"/>
              </w:rPr>
              <w:t>SL252-2017)》，灌区可分为大、中、小三种类型：“大型灌区：设计灌溉面积在150万亩及以上，或设计灌溉面积在50万亩至150万亩之间；中型灌区：设计灌溉面积在5万亩至50万亩之间；小型灌区：设计灌溉面积小于</w:t>
            </w:r>
            <w:r>
              <w:rPr>
                <w:rFonts w:hint="eastAsia" w:hAnsi="Times New Roman" w:cs="Times New Roman"/>
                <w:color w:val="auto"/>
                <w:lang w:val="en-US" w:eastAsia="zh-CN"/>
              </w:rPr>
              <w:t>0.5万</w:t>
            </w:r>
            <w:r>
              <w:rPr>
                <w:rFonts w:hint="eastAsia" w:ascii="Times New Roman" w:hAnsi="Times New Roman" w:eastAsia="宋体" w:cs="Times New Roman"/>
                <w:color w:val="auto"/>
                <w:lang w:val="en-US" w:eastAsia="zh-CN"/>
              </w:rPr>
              <w:t>亩”，本项目属于小型灌区；根据《</w:t>
            </w: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HYPERLINK "http://www.baidu.com/link?url=a8r2PGe0nMJMSAH_eP6FfgCvh6t2zUoji_QveoLiPhxz2rpS8gbvoxnpdhnKWYUgfBA_GK_ut8Ew9j5B_9wyqeUuIo-yVCbaPYcEjuy20DzwWFvJWLIy9ScEOgubmN9W" \t "https://www.baidu.com/_blank"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color w:val="auto"/>
                <w:lang w:val="en-US" w:eastAsia="zh-CN"/>
              </w:rPr>
              <w:t>节水灌溉工程技术标准</w:t>
            </w:r>
            <w:r>
              <w:rPr>
                <w:rFonts w:hint="default" w:ascii="Times New Roman" w:hAnsi="Times New Roman" w:eastAsia="宋体" w:cs="Times New Roman"/>
                <w:color w:val="auto"/>
                <w:lang w:val="en-US" w:eastAsia="zh-CN"/>
              </w:rPr>
              <w:fldChar w:fldCharType="end"/>
            </w:r>
            <w:r>
              <w:rPr>
                <w:rFonts w:hint="eastAsia" w:ascii="Times New Roman" w:hAnsi="Times New Roman" w:eastAsia="宋体" w:cs="Times New Roman"/>
                <w:color w:val="auto"/>
                <w:lang w:val="en-US" w:eastAsia="zh-CN"/>
              </w:rPr>
              <w:t>》（</w:t>
            </w:r>
            <w:r>
              <w:rPr>
                <w:rFonts w:hint="eastAsia" w:hAnsi="Times New Roman" w:cs="Times New Roman"/>
                <w:color w:val="auto"/>
                <w:lang w:val="en-US" w:eastAsia="zh-CN"/>
              </w:rPr>
              <w:t>GB/T</w:t>
            </w:r>
            <w:r>
              <w:rPr>
                <w:rFonts w:hint="default" w:ascii="Times New Roman" w:hAnsi="Times New Roman" w:eastAsia="宋体" w:cs="Times New Roman"/>
                <w:color w:val="auto"/>
                <w:lang w:val="en-US" w:eastAsia="zh-CN"/>
              </w:rPr>
              <w:t>50363-2018</w:t>
            </w:r>
            <w:r>
              <w:rPr>
                <w:rFonts w:hint="eastAsia" w:ascii="Times New Roman" w:hAnsi="Times New Roman" w:eastAsia="宋体" w:cs="Times New Roman"/>
                <w:color w:val="auto"/>
                <w:lang w:val="en-US" w:eastAsia="zh-CN"/>
              </w:rPr>
              <w:t>），小型灌区</w:t>
            </w:r>
            <w:r>
              <w:rPr>
                <w:rFonts w:hint="default" w:ascii="Times New Roman" w:hAnsi="Times New Roman" w:eastAsia="宋体" w:cs="Times New Roman"/>
                <w:color w:val="auto"/>
                <w:lang w:val="en-US" w:eastAsia="zh-CN"/>
              </w:rPr>
              <w:t>灌溉水利用系数</w:t>
            </w:r>
            <w:r>
              <w:rPr>
                <w:rFonts w:hint="eastAsia" w:ascii="Times New Roman" w:hAnsi="Times New Roman" w:eastAsia="宋体" w:cs="Times New Roman"/>
                <w:color w:val="auto"/>
                <w:lang w:val="en-US" w:eastAsia="zh-CN"/>
              </w:rPr>
              <w:t>不低于0.7。</w:t>
            </w:r>
            <w:r>
              <w:rPr>
                <w:rFonts w:hint="default" w:ascii="Times New Roman" w:hAnsi="Times New Roman" w:eastAsia="宋体" w:cs="Times New Roman"/>
                <w:color w:val="auto"/>
                <w:lang w:val="en-US" w:eastAsia="zh-CN"/>
              </w:rPr>
              <w:t>目前灌区的灌溉技术比较落后，灌区的作物灌水方式主要以沟、畦灌等地面灌溉为主，考虑到地表水和地下水的相互补给，沿线植被生态用水量，同时考虑到满足疏浚、清淤、防渗漏的要求，</w:t>
            </w:r>
            <w:r>
              <w:rPr>
                <w:rFonts w:hint="eastAsia" w:hAnsi="Times New Roman" w:cs="Times New Roman"/>
                <w:color w:val="auto"/>
                <w:lang w:val="en-US" w:eastAsia="zh-CN"/>
              </w:rPr>
              <w:t>防渗</w:t>
            </w:r>
            <w:r>
              <w:rPr>
                <w:rFonts w:hint="default" w:ascii="Times New Roman" w:hAnsi="Times New Roman" w:eastAsia="宋体" w:cs="Times New Roman"/>
                <w:color w:val="auto"/>
                <w:lang w:val="en-US" w:eastAsia="zh-CN"/>
              </w:rPr>
              <w:t>渠道工程灌溉水利用系数将会由0.</w:t>
            </w:r>
            <w:r>
              <w:rPr>
                <w:rFonts w:hint="eastAsia" w:hAnsi="Times New Roman" w:cs="Times New Roman"/>
                <w:color w:val="auto"/>
                <w:lang w:val="en-US" w:eastAsia="zh-CN"/>
              </w:rPr>
              <w:t>67</w:t>
            </w:r>
            <w:r>
              <w:rPr>
                <w:rFonts w:hint="default" w:ascii="Times New Roman" w:hAnsi="Times New Roman" w:eastAsia="宋体" w:cs="Times New Roman"/>
                <w:color w:val="auto"/>
                <w:lang w:val="en-US" w:eastAsia="zh-CN"/>
              </w:rPr>
              <w:t>提高到0.</w:t>
            </w:r>
            <w:r>
              <w:rPr>
                <w:rFonts w:hint="eastAsia" w:hAnsi="Times New Roman" w:cs="Times New Roman"/>
                <w:color w:val="auto"/>
                <w:lang w:val="en-US" w:eastAsia="zh-CN"/>
              </w:rPr>
              <w:t>739</w:t>
            </w:r>
            <w:r>
              <w:rPr>
                <w:rFonts w:hint="default" w:ascii="Times New Roman" w:hAnsi="Times New Roman" w:eastAsia="宋体" w:cs="Times New Roman"/>
                <w:color w:val="auto"/>
                <w:lang w:val="en-US" w:eastAsia="zh-CN"/>
              </w:rPr>
              <w:t>。</w:t>
            </w:r>
          </w:p>
          <w:p w14:paraId="1A46AB72">
            <w:pPr>
              <w:pStyle w:val="96"/>
              <w:numPr>
                <w:ilvl w:val="0"/>
                <w:numId w:val="2"/>
              </w:numPr>
              <w:ind w:left="-62" w:leftChars="0" w:firstLine="482" w:firstLineChars="0"/>
              <w:rPr>
                <w:rFonts w:hint="default" w:ascii="Times New Roman" w:hAnsi="Times New Roman" w:eastAsia="宋体" w:cs="Times New Roman"/>
                <w:b/>
                <w:color w:val="auto"/>
                <w:lang w:val="en-US" w:eastAsia="zh-CN"/>
              </w:rPr>
            </w:pPr>
            <w:r>
              <w:rPr>
                <w:rFonts w:hint="default" w:ascii="Times New Roman" w:hAnsi="Times New Roman" w:eastAsia="宋体" w:cs="Times New Roman"/>
                <w:b/>
                <w:color w:val="auto"/>
                <w:lang w:val="en-US" w:eastAsia="zh-CN"/>
              </w:rPr>
              <w:t>灌区作物种植比例</w:t>
            </w:r>
          </w:p>
          <w:p w14:paraId="3959AAAB">
            <w:pPr>
              <w:adjustRightInd/>
              <w:snapToGrid/>
              <w:spacing w:line="360" w:lineRule="auto"/>
              <w:ind w:firstLine="560"/>
              <w:rPr>
                <w:rStyle w:val="79"/>
                <w:rFonts w:hint="default" w:ascii="Times New Roman" w:hAnsi="Times New Roman" w:eastAsia="宋体" w:cs="Times New Roman"/>
                <w:b/>
                <w:bCs/>
                <w:color w:val="auto"/>
                <w:sz w:val="21"/>
                <w:szCs w:val="21"/>
              </w:rPr>
            </w:pPr>
            <w:r>
              <w:rPr>
                <w:rFonts w:hint="default" w:ascii="Times New Roman" w:hAnsi="Times New Roman" w:eastAsia="宋体" w:cs="Times New Roman"/>
                <w:b w:val="0"/>
                <w:color w:val="auto"/>
                <w:kern w:val="2"/>
                <w:sz w:val="24"/>
                <w:szCs w:val="24"/>
                <w:lang w:val="en-US" w:eastAsia="zh-CN" w:bidi="ar-SA"/>
              </w:rPr>
              <w:t>防渗渠道工程区2023年灌溉面积</w:t>
            </w:r>
            <w:r>
              <w:rPr>
                <w:rFonts w:hint="eastAsia" w:ascii="Times New Roman" w:hAnsi="Times New Roman" w:cs="Times New Roman"/>
                <w:b w:val="0"/>
                <w:color w:val="auto"/>
                <w:kern w:val="2"/>
                <w:sz w:val="24"/>
                <w:szCs w:val="24"/>
                <w:lang w:val="en-US" w:eastAsia="zh-CN" w:bidi="ar-SA"/>
              </w:rPr>
              <w:t>0.92万亩</w:t>
            </w:r>
            <w:r>
              <w:rPr>
                <w:rFonts w:hint="default" w:ascii="Times New Roman" w:hAnsi="Times New Roman" w:eastAsia="宋体" w:cs="Times New Roman"/>
                <w:b w:val="0"/>
                <w:color w:val="auto"/>
                <w:kern w:val="2"/>
                <w:sz w:val="24"/>
                <w:szCs w:val="24"/>
                <w:lang w:val="en-US" w:eastAsia="zh-CN" w:bidi="ar-SA"/>
              </w:rPr>
              <w:t>，耕地面积在近期不作发展，规划期种植业结构在现状年种植结构基础上进行适当的调整。202</w:t>
            </w:r>
            <w:r>
              <w:rPr>
                <w:rFonts w:hint="eastAsia" w:ascii="Times New Roman" w:hAnsi="Times New Roman" w:cs="Times New Roman"/>
                <w:b w:val="0"/>
                <w:color w:val="auto"/>
                <w:kern w:val="2"/>
                <w:sz w:val="24"/>
                <w:szCs w:val="24"/>
                <w:lang w:val="en-US" w:eastAsia="zh-CN" w:bidi="ar-SA"/>
              </w:rPr>
              <w:t>3</w:t>
            </w:r>
            <w:r>
              <w:rPr>
                <w:rFonts w:hint="default" w:ascii="Times New Roman" w:hAnsi="Times New Roman" w:eastAsia="宋体" w:cs="Times New Roman"/>
                <w:b w:val="0"/>
                <w:color w:val="auto"/>
                <w:kern w:val="2"/>
                <w:sz w:val="24"/>
                <w:szCs w:val="24"/>
                <w:lang w:val="en-US" w:eastAsia="zh-CN" w:bidi="ar-SA"/>
              </w:rPr>
              <w:t>年、202</w:t>
            </w:r>
            <w:r>
              <w:rPr>
                <w:rFonts w:hint="eastAsia" w:ascii="Times New Roman" w:hAnsi="Times New Roman" w:cs="Times New Roman"/>
                <w:b w:val="0"/>
                <w:color w:val="auto"/>
                <w:kern w:val="2"/>
                <w:sz w:val="24"/>
                <w:szCs w:val="24"/>
                <w:lang w:val="en-US" w:eastAsia="zh-CN" w:bidi="ar-SA"/>
              </w:rPr>
              <w:t>5</w:t>
            </w:r>
            <w:r>
              <w:rPr>
                <w:rFonts w:hint="default" w:ascii="Times New Roman" w:hAnsi="Times New Roman" w:eastAsia="宋体" w:cs="Times New Roman"/>
                <w:b w:val="0"/>
                <w:color w:val="auto"/>
                <w:kern w:val="2"/>
                <w:sz w:val="24"/>
                <w:szCs w:val="24"/>
                <w:lang w:val="en-US" w:eastAsia="zh-CN" w:bidi="ar-SA"/>
              </w:rPr>
              <w:t>年种植结构详见下表</w:t>
            </w:r>
            <w:r>
              <w:rPr>
                <w:rFonts w:hint="default" w:ascii="Times New Roman" w:hAnsi="Times New Roman" w:eastAsia="宋体" w:cs="Times New Roman"/>
                <w:color w:val="auto"/>
                <w:kern w:val="2"/>
                <w:sz w:val="28"/>
                <w:szCs w:val="28"/>
              </w:rPr>
              <w:t>。</w:t>
            </w:r>
          </w:p>
          <w:p w14:paraId="2C72F966">
            <w:pPr>
              <w:pStyle w:val="111"/>
              <w:rPr>
                <w:rStyle w:val="79"/>
                <w:rFonts w:hint="default" w:ascii="Times New Roman" w:hAnsi="Times New Roman" w:eastAsia="宋体" w:cs="Times New Roman"/>
                <w:b/>
                <w:bCs/>
                <w:color w:val="auto"/>
                <w:sz w:val="21"/>
                <w:szCs w:val="21"/>
              </w:rPr>
            </w:pPr>
            <w:r>
              <w:rPr>
                <w:rStyle w:val="79"/>
                <w:rFonts w:hint="default" w:ascii="Times New Roman" w:hAnsi="Times New Roman" w:eastAsia="宋体" w:cs="Times New Roman"/>
                <w:b/>
                <w:bCs/>
                <w:color w:val="auto"/>
                <w:sz w:val="21"/>
                <w:szCs w:val="21"/>
              </w:rPr>
              <w:t>表</w:t>
            </w:r>
            <w:r>
              <w:rPr>
                <w:rStyle w:val="79"/>
                <w:rFonts w:hint="default" w:ascii="Times New Roman" w:hAnsi="Times New Roman" w:eastAsia="宋体" w:cs="Times New Roman"/>
                <w:b/>
                <w:bCs/>
                <w:color w:val="auto"/>
                <w:sz w:val="21"/>
                <w:szCs w:val="21"/>
                <w:lang w:val="en-US" w:eastAsia="zh-CN"/>
              </w:rPr>
              <w:t>2-</w:t>
            </w:r>
            <w:r>
              <w:rPr>
                <w:rStyle w:val="79"/>
                <w:rFonts w:hint="eastAsia" w:hAnsi="Times New Roman" w:cs="Times New Roman"/>
                <w:b/>
                <w:bCs/>
                <w:color w:val="auto"/>
                <w:sz w:val="21"/>
                <w:szCs w:val="21"/>
                <w:lang w:val="en-US" w:eastAsia="zh-CN"/>
              </w:rPr>
              <w:t>3</w:t>
            </w:r>
            <w:r>
              <w:rPr>
                <w:rStyle w:val="79"/>
                <w:rFonts w:hint="default" w:ascii="Times New Roman" w:hAnsi="Times New Roman" w:eastAsia="宋体" w:cs="Times New Roman"/>
                <w:b/>
                <w:bCs/>
                <w:color w:val="auto"/>
                <w:sz w:val="21"/>
                <w:szCs w:val="21"/>
              </w:rPr>
              <w:t>灌区作物</w:t>
            </w:r>
            <w:r>
              <w:rPr>
                <w:rStyle w:val="79"/>
                <w:rFonts w:hint="default" w:ascii="Times New Roman" w:hAnsi="Times New Roman" w:eastAsia="宋体" w:cs="Times New Roman"/>
                <w:b/>
                <w:bCs/>
                <w:color w:val="auto"/>
                <w:sz w:val="21"/>
                <w:szCs w:val="21"/>
                <w:lang w:eastAsia="zh-CN"/>
              </w:rPr>
              <w:t>种植</w:t>
            </w:r>
            <w:r>
              <w:rPr>
                <w:rStyle w:val="79"/>
                <w:rFonts w:hint="default" w:ascii="Times New Roman" w:hAnsi="Times New Roman" w:eastAsia="宋体" w:cs="Times New Roman"/>
                <w:b/>
                <w:bCs/>
                <w:color w:val="auto"/>
                <w:sz w:val="21"/>
                <w:szCs w:val="21"/>
              </w:rPr>
              <w:t>比例表</w:t>
            </w:r>
          </w:p>
          <w:tbl>
            <w:tblPr>
              <w:tblStyle w:val="97"/>
              <w:tblW w:w="5000" w:type="pct"/>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98"/>
              <w:gridCol w:w="1559"/>
              <w:gridCol w:w="1560"/>
              <w:gridCol w:w="1559"/>
              <w:gridCol w:w="1565"/>
            </w:tblGrid>
            <w:tr w14:paraId="59D2EB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936" w:type="dxa"/>
                  <w:vMerge w:val="restart"/>
                  <w:tcBorders>
                    <w:bottom w:val="nil"/>
                  </w:tcBorders>
                  <w:vAlign w:val="center"/>
                </w:tcPr>
                <w:p w14:paraId="6D972A7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作物种类</w:t>
                  </w:r>
                </w:p>
              </w:tc>
              <w:tc>
                <w:tcPr>
                  <w:tcW w:w="3181" w:type="dxa"/>
                  <w:gridSpan w:val="2"/>
                  <w:vAlign w:val="center"/>
                </w:tcPr>
                <w:p w14:paraId="41A169C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现状水平年(2023年)</w:t>
                  </w:r>
                </w:p>
              </w:tc>
              <w:tc>
                <w:tcPr>
                  <w:tcW w:w="3185" w:type="dxa"/>
                  <w:gridSpan w:val="2"/>
                  <w:vAlign w:val="center"/>
                </w:tcPr>
                <w:p w14:paraId="3CE9D42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设计水平年(2025年)</w:t>
                  </w:r>
                </w:p>
              </w:tc>
            </w:tr>
            <w:tr w14:paraId="3CBDAD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36" w:type="dxa"/>
                  <w:vMerge w:val="continue"/>
                  <w:tcBorders>
                    <w:top w:val="nil"/>
                  </w:tcBorders>
                  <w:vAlign w:val="center"/>
                </w:tcPr>
                <w:p w14:paraId="14186B6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1590" w:type="dxa"/>
                  <w:vAlign w:val="center"/>
                </w:tcPr>
                <w:p w14:paraId="6154724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种植比例</w:t>
                  </w:r>
                </w:p>
              </w:tc>
              <w:tc>
                <w:tcPr>
                  <w:tcW w:w="1591" w:type="dxa"/>
                  <w:vAlign w:val="center"/>
                </w:tcPr>
                <w:p w14:paraId="4944332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作物面积</w:t>
                  </w:r>
                </w:p>
              </w:tc>
              <w:tc>
                <w:tcPr>
                  <w:tcW w:w="1590" w:type="dxa"/>
                  <w:vAlign w:val="center"/>
                </w:tcPr>
                <w:p w14:paraId="01DD266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种植比例</w:t>
                  </w:r>
                </w:p>
              </w:tc>
              <w:tc>
                <w:tcPr>
                  <w:tcW w:w="1595" w:type="dxa"/>
                  <w:vAlign w:val="center"/>
                </w:tcPr>
                <w:p w14:paraId="08258BF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作物面积</w:t>
                  </w:r>
                </w:p>
              </w:tc>
            </w:tr>
            <w:tr w14:paraId="0D77E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936" w:type="dxa"/>
                  <w:vAlign w:val="center"/>
                </w:tcPr>
                <w:p w14:paraId="7994135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棉花</w:t>
                  </w:r>
                </w:p>
              </w:tc>
              <w:tc>
                <w:tcPr>
                  <w:tcW w:w="1590" w:type="dxa"/>
                  <w:vAlign w:val="center"/>
                </w:tcPr>
                <w:p w14:paraId="462160C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11.08%</w:t>
                  </w:r>
                </w:p>
              </w:tc>
              <w:tc>
                <w:tcPr>
                  <w:tcW w:w="1591" w:type="dxa"/>
                  <w:vAlign w:val="center"/>
                </w:tcPr>
                <w:p w14:paraId="59C2DC4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0.100</w:t>
                  </w:r>
                </w:p>
              </w:tc>
              <w:tc>
                <w:tcPr>
                  <w:tcW w:w="1590" w:type="dxa"/>
                  <w:vAlign w:val="center"/>
                </w:tcPr>
                <w:p w14:paraId="2BB064A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11.08%</w:t>
                  </w:r>
                </w:p>
              </w:tc>
              <w:tc>
                <w:tcPr>
                  <w:tcW w:w="1595" w:type="dxa"/>
                  <w:vAlign w:val="center"/>
                </w:tcPr>
                <w:p w14:paraId="5D47876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0.100</w:t>
                  </w:r>
                </w:p>
              </w:tc>
            </w:tr>
            <w:tr w14:paraId="434F4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936" w:type="dxa"/>
                  <w:vAlign w:val="center"/>
                </w:tcPr>
                <w:p w14:paraId="627BBE0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滴灌棉花</w:t>
                  </w:r>
                </w:p>
              </w:tc>
              <w:tc>
                <w:tcPr>
                  <w:tcW w:w="1590" w:type="dxa"/>
                  <w:vAlign w:val="center"/>
                </w:tcPr>
                <w:p w14:paraId="028AC5B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5.54%</w:t>
                  </w:r>
                </w:p>
              </w:tc>
              <w:tc>
                <w:tcPr>
                  <w:tcW w:w="1591" w:type="dxa"/>
                  <w:vAlign w:val="center"/>
                </w:tcPr>
                <w:p w14:paraId="7BE9B87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0.050</w:t>
                  </w:r>
                </w:p>
              </w:tc>
              <w:tc>
                <w:tcPr>
                  <w:tcW w:w="1590" w:type="dxa"/>
                  <w:vAlign w:val="center"/>
                </w:tcPr>
                <w:p w14:paraId="6451C5A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6.65%</w:t>
                  </w:r>
                </w:p>
              </w:tc>
              <w:tc>
                <w:tcPr>
                  <w:tcW w:w="1595" w:type="dxa"/>
                  <w:vAlign w:val="center"/>
                </w:tcPr>
                <w:p w14:paraId="427D8BC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0.060</w:t>
                  </w:r>
                </w:p>
              </w:tc>
            </w:tr>
            <w:tr w14:paraId="5F5FD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936" w:type="dxa"/>
                  <w:vAlign w:val="center"/>
                </w:tcPr>
                <w:p w14:paraId="721A1E9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小麦</w:t>
                  </w:r>
                </w:p>
              </w:tc>
              <w:tc>
                <w:tcPr>
                  <w:tcW w:w="1590" w:type="dxa"/>
                  <w:vAlign w:val="center"/>
                </w:tcPr>
                <w:p w14:paraId="274D54F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22.16%</w:t>
                  </w:r>
                </w:p>
              </w:tc>
              <w:tc>
                <w:tcPr>
                  <w:tcW w:w="1591" w:type="dxa"/>
                  <w:vAlign w:val="center"/>
                </w:tcPr>
                <w:p w14:paraId="568CA4D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0.200</w:t>
                  </w:r>
                </w:p>
              </w:tc>
              <w:tc>
                <w:tcPr>
                  <w:tcW w:w="1590" w:type="dxa"/>
                  <w:vAlign w:val="center"/>
                </w:tcPr>
                <w:p w14:paraId="07B32DC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24.38%</w:t>
                  </w:r>
                </w:p>
              </w:tc>
              <w:tc>
                <w:tcPr>
                  <w:tcW w:w="1595" w:type="dxa"/>
                  <w:vAlign w:val="center"/>
                </w:tcPr>
                <w:p w14:paraId="2524EE1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0.220</w:t>
                  </w:r>
                </w:p>
              </w:tc>
            </w:tr>
            <w:tr w14:paraId="4FDF1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36" w:type="dxa"/>
                  <w:vAlign w:val="center"/>
                </w:tcPr>
                <w:p w14:paraId="776DEC5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滴灌小麦</w:t>
                  </w:r>
                </w:p>
              </w:tc>
              <w:tc>
                <w:tcPr>
                  <w:tcW w:w="1590" w:type="dxa"/>
                  <w:vAlign w:val="center"/>
                </w:tcPr>
                <w:p w14:paraId="2665E9D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8.86%</w:t>
                  </w:r>
                </w:p>
              </w:tc>
              <w:tc>
                <w:tcPr>
                  <w:tcW w:w="1591" w:type="dxa"/>
                  <w:vAlign w:val="center"/>
                </w:tcPr>
                <w:p w14:paraId="4FF1001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0.080</w:t>
                  </w:r>
                </w:p>
              </w:tc>
              <w:tc>
                <w:tcPr>
                  <w:tcW w:w="1590" w:type="dxa"/>
                  <w:vAlign w:val="center"/>
                </w:tcPr>
                <w:p w14:paraId="4E0CFD3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9.97%</w:t>
                  </w:r>
                </w:p>
              </w:tc>
              <w:tc>
                <w:tcPr>
                  <w:tcW w:w="1595" w:type="dxa"/>
                  <w:vAlign w:val="center"/>
                </w:tcPr>
                <w:p w14:paraId="758C882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0.090</w:t>
                  </w:r>
                </w:p>
              </w:tc>
            </w:tr>
            <w:tr w14:paraId="2D4F4B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36" w:type="dxa"/>
                  <w:vAlign w:val="center"/>
                </w:tcPr>
                <w:p w14:paraId="3AB3CDE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玉米</w:t>
                  </w:r>
                </w:p>
              </w:tc>
              <w:tc>
                <w:tcPr>
                  <w:tcW w:w="1590" w:type="dxa"/>
                  <w:vAlign w:val="center"/>
                </w:tcPr>
                <w:p w14:paraId="2D097C2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11.08%</w:t>
                  </w:r>
                </w:p>
              </w:tc>
              <w:tc>
                <w:tcPr>
                  <w:tcW w:w="1591" w:type="dxa"/>
                  <w:vAlign w:val="center"/>
                </w:tcPr>
                <w:p w14:paraId="362A5F8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0.100</w:t>
                  </w:r>
                </w:p>
              </w:tc>
              <w:tc>
                <w:tcPr>
                  <w:tcW w:w="1590" w:type="dxa"/>
                  <w:vAlign w:val="center"/>
                </w:tcPr>
                <w:p w14:paraId="4A87259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11.08%</w:t>
                  </w:r>
                </w:p>
              </w:tc>
              <w:tc>
                <w:tcPr>
                  <w:tcW w:w="1595" w:type="dxa"/>
                  <w:vAlign w:val="center"/>
                </w:tcPr>
                <w:p w14:paraId="409A5E6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0.100</w:t>
                  </w:r>
                </w:p>
              </w:tc>
            </w:tr>
            <w:tr w14:paraId="6DA4D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936" w:type="dxa"/>
                  <w:vAlign w:val="center"/>
                </w:tcPr>
                <w:p w14:paraId="3C06B1E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瓜菜</w:t>
                  </w:r>
                </w:p>
              </w:tc>
              <w:tc>
                <w:tcPr>
                  <w:tcW w:w="1590" w:type="dxa"/>
                  <w:vAlign w:val="center"/>
                </w:tcPr>
                <w:p w14:paraId="16A5A9B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13.57%</w:t>
                  </w:r>
                </w:p>
              </w:tc>
              <w:tc>
                <w:tcPr>
                  <w:tcW w:w="1591" w:type="dxa"/>
                  <w:vAlign w:val="center"/>
                </w:tcPr>
                <w:p w14:paraId="73543A2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0.123</w:t>
                  </w:r>
                </w:p>
              </w:tc>
              <w:tc>
                <w:tcPr>
                  <w:tcW w:w="1590" w:type="dxa"/>
                  <w:vAlign w:val="center"/>
                </w:tcPr>
                <w:p w14:paraId="247C007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11.08%</w:t>
                  </w:r>
                </w:p>
              </w:tc>
              <w:tc>
                <w:tcPr>
                  <w:tcW w:w="1595" w:type="dxa"/>
                  <w:vAlign w:val="center"/>
                </w:tcPr>
                <w:p w14:paraId="11FC003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0.100</w:t>
                  </w:r>
                </w:p>
              </w:tc>
            </w:tr>
            <w:tr w14:paraId="283AF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36" w:type="dxa"/>
                  <w:vAlign w:val="center"/>
                </w:tcPr>
                <w:p w14:paraId="279BF18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苜蓿</w:t>
                  </w:r>
                </w:p>
              </w:tc>
              <w:tc>
                <w:tcPr>
                  <w:tcW w:w="1590" w:type="dxa"/>
                  <w:vAlign w:val="center"/>
                </w:tcPr>
                <w:p w14:paraId="457F568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5.54%</w:t>
                  </w:r>
                </w:p>
              </w:tc>
              <w:tc>
                <w:tcPr>
                  <w:tcW w:w="1591" w:type="dxa"/>
                  <w:vAlign w:val="center"/>
                </w:tcPr>
                <w:p w14:paraId="388097D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0.050</w:t>
                  </w:r>
                </w:p>
              </w:tc>
              <w:tc>
                <w:tcPr>
                  <w:tcW w:w="1590" w:type="dxa"/>
                  <w:vAlign w:val="center"/>
                </w:tcPr>
                <w:p w14:paraId="37779E9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0.00%</w:t>
                  </w:r>
                </w:p>
              </w:tc>
              <w:tc>
                <w:tcPr>
                  <w:tcW w:w="1595" w:type="dxa"/>
                  <w:vAlign w:val="center"/>
                </w:tcPr>
                <w:p w14:paraId="35EEC10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r>
            <w:tr w14:paraId="10F377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36" w:type="dxa"/>
                  <w:vAlign w:val="center"/>
                </w:tcPr>
                <w:p w14:paraId="388478C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经济林</w:t>
                  </w:r>
                </w:p>
              </w:tc>
              <w:tc>
                <w:tcPr>
                  <w:tcW w:w="1590" w:type="dxa"/>
                  <w:vAlign w:val="center"/>
                </w:tcPr>
                <w:p w14:paraId="70C9C20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11.08%</w:t>
                  </w:r>
                </w:p>
              </w:tc>
              <w:tc>
                <w:tcPr>
                  <w:tcW w:w="1591" w:type="dxa"/>
                  <w:vAlign w:val="center"/>
                </w:tcPr>
                <w:p w14:paraId="5E18B3E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0.100</w:t>
                  </w:r>
                </w:p>
              </w:tc>
              <w:tc>
                <w:tcPr>
                  <w:tcW w:w="1590" w:type="dxa"/>
                  <w:vAlign w:val="center"/>
                </w:tcPr>
                <w:p w14:paraId="0650417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11.08%</w:t>
                  </w:r>
                </w:p>
              </w:tc>
              <w:tc>
                <w:tcPr>
                  <w:tcW w:w="1595" w:type="dxa"/>
                  <w:vAlign w:val="center"/>
                </w:tcPr>
                <w:p w14:paraId="5DD8B9C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0.100</w:t>
                  </w:r>
                </w:p>
              </w:tc>
            </w:tr>
            <w:tr w14:paraId="1C4969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36" w:type="dxa"/>
                  <w:vAlign w:val="center"/>
                </w:tcPr>
                <w:p w14:paraId="26F15B7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滴灌经济林</w:t>
                  </w:r>
                </w:p>
              </w:tc>
              <w:tc>
                <w:tcPr>
                  <w:tcW w:w="1590" w:type="dxa"/>
                  <w:vAlign w:val="center"/>
                </w:tcPr>
                <w:p w14:paraId="456192E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5.54%</w:t>
                  </w:r>
                </w:p>
              </w:tc>
              <w:tc>
                <w:tcPr>
                  <w:tcW w:w="1591" w:type="dxa"/>
                  <w:vAlign w:val="center"/>
                </w:tcPr>
                <w:p w14:paraId="420381A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0.050</w:t>
                  </w:r>
                </w:p>
              </w:tc>
              <w:tc>
                <w:tcPr>
                  <w:tcW w:w="1590" w:type="dxa"/>
                  <w:vAlign w:val="center"/>
                </w:tcPr>
                <w:p w14:paraId="797BEC6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8.03%</w:t>
                  </w:r>
                </w:p>
              </w:tc>
              <w:tc>
                <w:tcPr>
                  <w:tcW w:w="1595" w:type="dxa"/>
                  <w:vAlign w:val="center"/>
                </w:tcPr>
                <w:p w14:paraId="789BDF1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0.073</w:t>
                  </w:r>
                </w:p>
              </w:tc>
            </w:tr>
            <w:tr w14:paraId="4FA3B4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36" w:type="dxa"/>
                  <w:vAlign w:val="center"/>
                </w:tcPr>
                <w:p w14:paraId="714F534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防护林</w:t>
                  </w:r>
                </w:p>
              </w:tc>
              <w:tc>
                <w:tcPr>
                  <w:tcW w:w="1590" w:type="dxa"/>
                  <w:vAlign w:val="center"/>
                </w:tcPr>
                <w:p w14:paraId="0766027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5.54%</w:t>
                  </w:r>
                </w:p>
              </w:tc>
              <w:tc>
                <w:tcPr>
                  <w:tcW w:w="1591" w:type="dxa"/>
                  <w:vAlign w:val="center"/>
                </w:tcPr>
                <w:p w14:paraId="12A6D13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0.050</w:t>
                  </w:r>
                </w:p>
              </w:tc>
              <w:tc>
                <w:tcPr>
                  <w:tcW w:w="1590" w:type="dxa"/>
                  <w:vAlign w:val="center"/>
                </w:tcPr>
                <w:p w14:paraId="6471290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6.65%</w:t>
                  </w:r>
                </w:p>
              </w:tc>
              <w:tc>
                <w:tcPr>
                  <w:tcW w:w="1595" w:type="dxa"/>
                  <w:vAlign w:val="center"/>
                </w:tcPr>
                <w:p w14:paraId="00D7D94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0.060</w:t>
                  </w:r>
                </w:p>
              </w:tc>
            </w:tr>
            <w:tr w14:paraId="553609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36" w:type="dxa"/>
                  <w:vAlign w:val="center"/>
                </w:tcPr>
                <w:p w14:paraId="1CD28FB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复播玉米</w:t>
                  </w:r>
                </w:p>
              </w:tc>
              <w:tc>
                <w:tcPr>
                  <w:tcW w:w="1590" w:type="dxa"/>
                  <w:vAlign w:val="center"/>
                </w:tcPr>
                <w:p w14:paraId="416F8C4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11.08%</w:t>
                  </w:r>
                </w:p>
              </w:tc>
              <w:tc>
                <w:tcPr>
                  <w:tcW w:w="1591" w:type="dxa"/>
                  <w:vAlign w:val="center"/>
                </w:tcPr>
                <w:p w14:paraId="2A68EAC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0.100</w:t>
                  </w:r>
                </w:p>
              </w:tc>
              <w:tc>
                <w:tcPr>
                  <w:tcW w:w="1590" w:type="dxa"/>
                  <w:vAlign w:val="center"/>
                </w:tcPr>
                <w:p w14:paraId="12136F0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7.76%</w:t>
                  </w:r>
                </w:p>
              </w:tc>
              <w:tc>
                <w:tcPr>
                  <w:tcW w:w="1595" w:type="dxa"/>
                  <w:vAlign w:val="center"/>
                </w:tcPr>
                <w:p w14:paraId="440CB50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0.070</w:t>
                  </w:r>
                </w:p>
              </w:tc>
            </w:tr>
            <w:tr w14:paraId="54AC3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36" w:type="dxa"/>
                  <w:vAlign w:val="center"/>
                </w:tcPr>
                <w:p w14:paraId="0E6E037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种植面积</w:t>
                  </w:r>
                </w:p>
              </w:tc>
              <w:tc>
                <w:tcPr>
                  <w:tcW w:w="1590" w:type="dxa"/>
                  <w:vAlign w:val="center"/>
                </w:tcPr>
                <w:p w14:paraId="1427E4A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1591" w:type="dxa"/>
                  <w:vAlign w:val="center"/>
                </w:tcPr>
                <w:p w14:paraId="33E3FB1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1.003</w:t>
                  </w:r>
                </w:p>
              </w:tc>
              <w:tc>
                <w:tcPr>
                  <w:tcW w:w="1590" w:type="dxa"/>
                  <w:vAlign w:val="center"/>
                </w:tcPr>
                <w:p w14:paraId="4082E48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1595" w:type="dxa"/>
                  <w:vAlign w:val="center"/>
                </w:tcPr>
                <w:p w14:paraId="6D9FED6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0.973</w:t>
                  </w:r>
                </w:p>
              </w:tc>
            </w:tr>
            <w:tr w14:paraId="3AEA3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36" w:type="dxa"/>
                  <w:vAlign w:val="center"/>
                </w:tcPr>
                <w:p w14:paraId="4E9220A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耕地面积</w:t>
                  </w:r>
                </w:p>
              </w:tc>
              <w:tc>
                <w:tcPr>
                  <w:tcW w:w="1590" w:type="dxa"/>
                  <w:vAlign w:val="center"/>
                </w:tcPr>
                <w:p w14:paraId="30CD9D8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1591" w:type="dxa"/>
                  <w:vAlign w:val="center"/>
                </w:tcPr>
                <w:p w14:paraId="330AD6A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宋体" w:hAnsi="宋体" w:eastAsia="宋体" w:cs="宋体"/>
                      <w:color w:val="auto"/>
                      <w:spacing w:val="-2"/>
                      <w:sz w:val="21"/>
                      <w:szCs w:val="21"/>
                      <w:lang w:eastAsia="zh-CN"/>
                    </w:rPr>
                  </w:pPr>
                  <w:r>
                    <w:rPr>
                      <w:rFonts w:ascii="宋体" w:hAnsi="宋体" w:eastAsia="宋体" w:cs="宋体"/>
                      <w:color w:val="auto"/>
                      <w:spacing w:val="-2"/>
                      <w:sz w:val="21"/>
                      <w:szCs w:val="21"/>
                    </w:rPr>
                    <w:t>0.7</w:t>
                  </w:r>
                  <w:r>
                    <w:rPr>
                      <w:rFonts w:hint="eastAsia" w:ascii="宋体" w:hAnsi="宋体" w:cs="宋体"/>
                      <w:color w:val="auto"/>
                      <w:spacing w:val="-2"/>
                      <w:sz w:val="21"/>
                      <w:szCs w:val="21"/>
                      <w:lang w:val="en-US" w:eastAsia="zh-CN"/>
                    </w:rPr>
                    <w:t>2</w:t>
                  </w:r>
                </w:p>
              </w:tc>
              <w:tc>
                <w:tcPr>
                  <w:tcW w:w="1590" w:type="dxa"/>
                  <w:vAlign w:val="center"/>
                </w:tcPr>
                <w:p w14:paraId="34A772A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1595" w:type="dxa"/>
                  <w:vAlign w:val="center"/>
                </w:tcPr>
                <w:p w14:paraId="3425DF0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0.7</w:t>
                  </w:r>
                  <w:r>
                    <w:rPr>
                      <w:rFonts w:hint="eastAsia" w:ascii="宋体" w:hAnsi="宋体" w:cs="宋体"/>
                      <w:color w:val="auto"/>
                      <w:spacing w:val="-2"/>
                      <w:sz w:val="21"/>
                      <w:szCs w:val="21"/>
                      <w:lang w:val="en-US" w:eastAsia="zh-CN"/>
                    </w:rPr>
                    <w:t>2</w:t>
                  </w:r>
                </w:p>
              </w:tc>
            </w:tr>
            <w:tr w14:paraId="56EC9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936" w:type="dxa"/>
                  <w:vAlign w:val="center"/>
                </w:tcPr>
                <w:p w14:paraId="7C68C1C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灌溉面积</w:t>
                  </w:r>
                </w:p>
              </w:tc>
              <w:tc>
                <w:tcPr>
                  <w:tcW w:w="1590" w:type="dxa"/>
                  <w:vAlign w:val="center"/>
                </w:tcPr>
                <w:p w14:paraId="079CC91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1591" w:type="dxa"/>
                  <w:vAlign w:val="center"/>
                </w:tcPr>
                <w:p w14:paraId="1486E57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宋体" w:hAnsi="宋体" w:eastAsia="宋体" w:cs="宋体"/>
                      <w:color w:val="auto"/>
                      <w:spacing w:val="-2"/>
                      <w:sz w:val="21"/>
                      <w:szCs w:val="21"/>
                      <w:lang w:eastAsia="zh-CN"/>
                    </w:rPr>
                  </w:pPr>
                  <w:r>
                    <w:rPr>
                      <w:rFonts w:ascii="宋体" w:hAnsi="宋体" w:eastAsia="宋体" w:cs="宋体"/>
                      <w:color w:val="auto"/>
                      <w:spacing w:val="-2"/>
                      <w:sz w:val="21"/>
                      <w:szCs w:val="21"/>
                    </w:rPr>
                    <w:t>0.9</w:t>
                  </w:r>
                  <w:r>
                    <w:rPr>
                      <w:rFonts w:hint="eastAsia" w:ascii="宋体" w:hAnsi="宋体" w:cs="宋体"/>
                      <w:color w:val="auto"/>
                      <w:spacing w:val="-2"/>
                      <w:sz w:val="21"/>
                      <w:szCs w:val="21"/>
                      <w:lang w:val="en-US" w:eastAsia="zh-CN"/>
                    </w:rPr>
                    <w:t>2</w:t>
                  </w:r>
                </w:p>
              </w:tc>
              <w:tc>
                <w:tcPr>
                  <w:tcW w:w="1590" w:type="dxa"/>
                  <w:vAlign w:val="center"/>
                </w:tcPr>
                <w:p w14:paraId="5A1CF21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1595" w:type="dxa"/>
                  <w:vAlign w:val="center"/>
                </w:tcPr>
                <w:p w14:paraId="2CA8659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0.9</w:t>
                  </w:r>
                  <w:r>
                    <w:rPr>
                      <w:rFonts w:hint="eastAsia" w:ascii="宋体" w:hAnsi="宋体" w:cs="宋体"/>
                      <w:color w:val="auto"/>
                      <w:spacing w:val="-2"/>
                      <w:sz w:val="21"/>
                      <w:szCs w:val="21"/>
                      <w:lang w:val="en-US" w:eastAsia="zh-CN"/>
                    </w:rPr>
                    <w:t>2</w:t>
                  </w:r>
                </w:p>
              </w:tc>
            </w:tr>
          </w:tbl>
          <w:p w14:paraId="43B98C02">
            <w:pPr>
              <w:pStyle w:val="111"/>
              <w:rPr>
                <w:rStyle w:val="79"/>
                <w:rFonts w:hint="default" w:ascii="Times New Roman" w:hAnsi="Times New Roman" w:eastAsia="宋体" w:cs="Times New Roman"/>
                <w:b/>
                <w:bCs/>
                <w:color w:val="auto"/>
                <w:sz w:val="21"/>
                <w:szCs w:val="21"/>
              </w:rPr>
            </w:pPr>
          </w:p>
          <w:p w14:paraId="2E2FDD00">
            <w:pPr>
              <w:pStyle w:val="96"/>
              <w:numPr>
                <w:ilvl w:val="0"/>
                <w:numId w:val="2"/>
              </w:numPr>
              <w:ind w:left="-62" w:leftChars="0" w:firstLine="482" w:firstLineChars="0"/>
              <w:rPr>
                <w:rFonts w:hint="default" w:ascii="Times New Roman" w:hAnsi="Times New Roman" w:eastAsia="宋体" w:cs="Times New Roman"/>
                <w:b/>
                <w:color w:val="auto"/>
                <w:lang w:val="en-US" w:eastAsia="zh-CN"/>
              </w:rPr>
            </w:pPr>
            <w:r>
              <w:rPr>
                <w:rFonts w:hint="default" w:ascii="Times New Roman" w:hAnsi="Times New Roman" w:eastAsia="宋体" w:cs="Times New Roman"/>
                <w:b/>
                <w:color w:val="auto"/>
                <w:lang w:val="en-US" w:eastAsia="zh-CN"/>
              </w:rPr>
              <w:t>灌溉制度</w:t>
            </w:r>
          </w:p>
          <w:p w14:paraId="31E48F7A">
            <w:pPr>
              <w:adjustRightInd/>
              <w:snapToGrid/>
              <w:spacing w:line="360" w:lineRule="auto"/>
              <w:ind w:firstLine="560"/>
              <w:rPr>
                <w:rStyle w:val="79"/>
                <w:rFonts w:hint="default" w:ascii="Times New Roman" w:hAnsi="Times New Roman" w:eastAsia="宋体" w:cs="Times New Roman"/>
                <w:b/>
                <w:bCs/>
                <w:color w:val="auto"/>
                <w:sz w:val="21"/>
                <w:szCs w:val="21"/>
              </w:rPr>
            </w:pPr>
            <w:r>
              <w:rPr>
                <w:rFonts w:hint="default" w:ascii="Times New Roman" w:hAnsi="Times New Roman" w:eastAsia="宋体" w:cs="Times New Roman"/>
                <w:b w:val="0"/>
                <w:color w:val="auto"/>
                <w:kern w:val="2"/>
                <w:sz w:val="24"/>
                <w:szCs w:val="24"/>
                <w:lang w:val="en-US" w:eastAsia="zh-CN" w:bidi="ar-SA"/>
              </w:rPr>
              <w:t>制定合理的灌溉制度是农作物稳产、丰产的重要条件，项目区各水平年灌溉制度和灌溉定额的制定依据莎车县水利局调查统计资料，并充分考虑了当地气候、土壤条件、水资源及作物种类、农业耕作水平提高等因素，拟定本灌区的各水平年的灌溉制度。</w:t>
            </w:r>
          </w:p>
          <w:p w14:paraId="1C49980C">
            <w:pPr>
              <w:pStyle w:val="111"/>
              <w:rPr>
                <w:rStyle w:val="79"/>
                <w:rFonts w:hint="default" w:ascii="Times New Roman" w:hAnsi="Times New Roman" w:eastAsia="宋体" w:cs="Times New Roman"/>
                <w:b/>
                <w:bCs/>
                <w:color w:val="auto"/>
                <w:sz w:val="21"/>
                <w:szCs w:val="21"/>
                <w:lang w:val="en-US" w:eastAsia="zh-CN"/>
              </w:rPr>
            </w:pPr>
            <w:r>
              <w:rPr>
                <w:rStyle w:val="79"/>
                <w:rFonts w:hint="default" w:ascii="Times New Roman" w:hAnsi="Times New Roman" w:eastAsia="宋体" w:cs="Times New Roman"/>
                <w:b/>
                <w:bCs/>
                <w:color w:val="auto"/>
                <w:sz w:val="21"/>
                <w:szCs w:val="21"/>
              </w:rPr>
              <w:t>表</w:t>
            </w:r>
            <w:r>
              <w:rPr>
                <w:rStyle w:val="79"/>
                <w:rFonts w:hint="default" w:ascii="Times New Roman" w:hAnsi="Times New Roman" w:eastAsia="宋体" w:cs="Times New Roman"/>
                <w:b/>
                <w:bCs/>
                <w:color w:val="auto"/>
                <w:sz w:val="21"/>
                <w:szCs w:val="21"/>
                <w:lang w:val="en-US" w:eastAsia="zh-CN"/>
              </w:rPr>
              <w:t>2-</w:t>
            </w:r>
            <w:r>
              <w:rPr>
                <w:rStyle w:val="79"/>
                <w:rFonts w:hint="eastAsia" w:hAnsi="Times New Roman" w:cs="Times New Roman"/>
                <w:b/>
                <w:bCs/>
                <w:color w:val="auto"/>
                <w:sz w:val="21"/>
                <w:szCs w:val="21"/>
                <w:lang w:val="en-US" w:eastAsia="zh-CN"/>
              </w:rPr>
              <w:t xml:space="preserve">4 </w:t>
            </w:r>
            <w:r>
              <w:rPr>
                <w:rStyle w:val="79"/>
                <w:rFonts w:hint="default" w:ascii="Times New Roman" w:hAnsi="Times New Roman" w:eastAsia="宋体" w:cs="Times New Roman"/>
                <w:b/>
                <w:bCs/>
                <w:color w:val="auto"/>
                <w:sz w:val="21"/>
                <w:szCs w:val="21"/>
              </w:rPr>
              <w:t>项目区设计水平年</w:t>
            </w:r>
            <w:r>
              <w:rPr>
                <w:rStyle w:val="79"/>
                <w:rFonts w:hint="default" w:ascii="Times New Roman" w:hAnsi="Times New Roman" w:eastAsia="宋体" w:cs="Times New Roman"/>
                <w:b/>
                <w:bCs/>
                <w:color w:val="auto"/>
                <w:sz w:val="21"/>
                <w:szCs w:val="21"/>
                <w:lang w:eastAsia="zh-CN"/>
              </w:rPr>
              <w:t>（</w:t>
            </w:r>
            <w:r>
              <w:rPr>
                <w:rStyle w:val="79"/>
                <w:rFonts w:hint="default" w:ascii="Times New Roman" w:hAnsi="Times New Roman" w:eastAsia="宋体" w:cs="Times New Roman"/>
                <w:b/>
                <w:bCs/>
                <w:color w:val="auto"/>
                <w:sz w:val="21"/>
                <w:szCs w:val="21"/>
              </w:rPr>
              <w:t>202</w:t>
            </w:r>
            <w:r>
              <w:rPr>
                <w:rStyle w:val="79"/>
                <w:rFonts w:hint="default" w:ascii="Times New Roman" w:hAnsi="Times New Roman" w:eastAsia="宋体" w:cs="Times New Roman"/>
                <w:b/>
                <w:bCs/>
                <w:color w:val="auto"/>
                <w:sz w:val="21"/>
                <w:szCs w:val="21"/>
                <w:lang w:val="en-US" w:eastAsia="zh-CN"/>
              </w:rPr>
              <w:t>5</w:t>
            </w:r>
            <w:r>
              <w:rPr>
                <w:rStyle w:val="79"/>
                <w:rFonts w:hint="default" w:ascii="Times New Roman" w:hAnsi="Times New Roman" w:eastAsia="宋体" w:cs="Times New Roman"/>
                <w:b/>
                <w:bCs/>
                <w:color w:val="auto"/>
                <w:sz w:val="21"/>
                <w:szCs w:val="21"/>
              </w:rPr>
              <w:t>年</w:t>
            </w:r>
            <w:r>
              <w:rPr>
                <w:rStyle w:val="79"/>
                <w:rFonts w:hint="default" w:ascii="Times New Roman" w:hAnsi="Times New Roman" w:eastAsia="宋体" w:cs="Times New Roman"/>
                <w:b/>
                <w:bCs/>
                <w:color w:val="auto"/>
                <w:sz w:val="21"/>
                <w:szCs w:val="21"/>
                <w:lang w:eastAsia="zh-CN"/>
              </w:rPr>
              <w:t>）</w:t>
            </w:r>
            <w:r>
              <w:rPr>
                <w:rStyle w:val="79"/>
                <w:rFonts w:hint="default" w:ascii="Times New Roman" w:hAnsi="Times New Roman" w:eastAsia="宋体" w:cs="Times New Roman"/>
                <w:b/>
                <w:bCs/>
                <w:color w:val="auto"/>
                <w:sz w:val="21"/>
                <w:szCs w:val="21"/>
              </w:rPr>
              <w:t>灌溉制度表</w:t>
            </w:r>
          </w:p>
          <w:p w14:paraId="2A627DA8">
            <w:pPr>
              <w:spacing w:line="1" w:lineRule="exact"/>
              <w:rPr>
                <w:rFonts w:hint="default" w:ascii="Times New Roman" w:hAnsi="Times New Roman" w:eastAsia="宋体" w:cs="Times New Roman"/>
                <w:color w:val="auto"/>
                <w:sz w:val="2"/>
                <w:szCs w:val="2"/>
              </w:rPr>
            </w:pPr>
          </w:p>
          <w:p w14:paraId="158D4EFA">
            <w:pPr>
              <w:spacing w:line="1" w:lineRule="exact"/>
              <w:rPr>
                <w:rFonts w:hint="default" w:ascii="Times New Roman" w:hAnsi="Times New Roman" w:eastAsia="宋体" w:cs="Times New Roman"/>
                <w:color w:val="auto"/>
                <w:sz w:val="2"/>
                <w:szCs w:val="2"/>
              </w:rPr>
            </w:pPr>
          </w:p>
          <w:tbl>
            <w:tblPr>
              <w:tblStyle w:val="97"/>
              <w:tblW w:w="8141"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8"/>
              <w:gridCol w:w="802"/>
              <w:gridCol w:w="963"/>
              <w:gridCol w:w="1041"/>
              <w:gridCol w:w="1051"/>
              <w:gridCol w:w="940"/>
              <w:gridCol w:w="984"/>
              <w:gridCol w:w="765"/>
              <w:gridCol w:w="767"/>
            </w:tblGrid>
            <w:tr w14:paraId="76008E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restart"/>
                  <w:tcBorders>
                    <w:bottom w:val="nil"/>
                  </w:tcBorders>
                  <w:vAlign w:val="center"/>
                </w:tcPr>
                <w:p w14:paraId="34F256C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种植比例</w:t>
                  </w:r>
                </w:p>
              </w:tc>
              <w:tc>
                <w:tcPr>
                  <w:tcW w:w="802" w:type="dxa"/>
                  <w:vMerge w:val="restart"/>
                  <w:tcBorders>
                    <w:bottom w:val="nil"/>
                  </w:tcBorders>
                  <w:vAlign w:val="center"/>
                </w:tcPr>
                <w:p w14:paraId="0224042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p w14:paraId="5050939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作物</w:t>
                  </w:r>
                </w:p>
              </w:tc>
              <w:tc>
                <w:tcPr>
                  <w:tcW w:w="963" w:type="dxa"/>
                  <w:vMerge w:val="restart"/>
                  <w:tcBorders>
                    <w:bottom w:val="nil"/>
                  </w:tcBorders>
                  <w:vAlign w:val="center"/>
                </w:tcPr>
                <w:p w14:paraId="0293BEC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p w14:paraId="57C6205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生长阶段</w:t>
                  </w:r>
                </w:p>
              </w:tc>
              <w:tc>
                <w:tcPr>
                  <w:tcW w:w="2092" w:type="dxa"/>
                  <w:gridSpan w:val="2"/>
                  <w:vAlign w:val="center"/>
                </w:tcPr>
                <w:p w14:paraId="316CF5E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灌水时间</w:t>
                  </w:r>
                </w:p>
              </w:tc>
              <w:tc>
                <w:tcPr>
                  <w:tcW w:w="940" w:type="dxa"/>
                  <w:vMerge w:val="restart"/>
                  <w:tcBorders>
                    <w:bottom w:val="nil"/>
                  </w:tcBorders>
                  <w:vAlign w:val="center"/>
                </w:tcPr>
                <w:p w14:paraId="058D095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灌水延续</w:t>
                  </w:r>
                </w:p>
                <w:p w14:paraId="08E58D1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时间</w:t>
                  </w:r>
                </w:p>
                <w:p w14:paraId="2A19697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(天）</w:t>
                  </w:r>
                </w:p>
              </w:tc>
              <w:tc>
                <w:tcPr>
                  <w:tcW w:w="984" w:type="dxa"/>
                  <w:vMerge w:val="restart"/>
                  <w:tcBorders>
                    <w:bottom w:val="nil"/>
                  </w:tcBorders>
                  <w:vAlign w:val="center"/>
                </w:tcPr>
                <w:p w14:paraId="3F295C9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灌水面积</w:t>
                  </w:r>
                </w:p>
                <w:p w14:paraId="1CB81F4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比例</w:t>
                  </w:r>
                </w:p>
              </w:tc>
              <w:tc>
                <w:tcPr>
                  <w:tcW w:w="765" w:type="dxa"/>
                  <w:vMerge w:val="restart"/>
                  <w:tcBorders>
                    <w:bottom w:val="nil"/>
                  </w:tcBorders>
                  <w:vAlign w:val="center"/>
                </w:tcPr>
                <w:p w14:paraId="2BFFB63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灌水次数</w:t>
                  </w:r>
                </w:p>
              </w:tc>
              <w:tc>
                <w:tcPr>
                  <w:tcW w:w="767" w:type="dxa"/>
                  <w:vMerge w:val="restart"/>
                  <w:tcBorders>
                    <w:bottom w:val="nil"/>
                  </w:tcBorders>
                  <w:vAlign w:val="center"/>
                </w:tcPr>
                <w:p w14:paraId="143C34F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灌水定额</w:t>
                  </w:r>
                </w:p>
              </w:tc>
            </w:tr>
            <w:tr w14:paraId="002D5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continue"/>
                  <w:tcBorders>
                    <w:top w:val="nil"/>
                  </w:tcBorders>
                  <w:vAlign w:val="center"/>
                </w:tcPr>
                <w:p w14:paraId="6667C5F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802" w:type="dxa"/>
                  <w:vMerge w:val="continue"/>
                  <w:tcBorders>
                    <w:top w:val="nil"/>
                  </w:tcBorders>
                  <w:vAlign w:val="center"/>
                </w:tcPr>
                <w:p w14:paraId="034C9DD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963" w:type="dxa"/>
                  <w:vMerge w:val="continue"/>
                  <w:tcBorders>
                    <w:top w:val="nil"/>
                  </w:tcBorders>
                  <w:vAlign w:val="center"/>
                </w:tcPr>
                <w:p w14:paraId="6C531CC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1041" w:type="dxa"/>
                  <w:vAlign w:val="center"/>
                </w:tcPr>
                <w:p w14:paraId="4C3D030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开始</w:t>
                  </w:r>
                </w:p>
              </w:tc>
              <w:tc>
                <w:tcPr>
                  <w:tcW w:w="1051" w:type="dxa"/>
                  <w:vAlign w:val="center"/>
                </w:tcPr>
                <w:p w14:paraId="7646315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结束</w:t>
                  </w:r>
                </w:p>
              </w:tc>
              <w:tc>
                <w:tcPr>
                  <w:tcW w:w="940" w:type="dxa"/>
                  <w:vMerge w:val="continue"/>
                  <w:tcBorders>
                    <w:top w:val="nil"/>
                  </w:tcBorders>
                  <w:vAlign w:val="center"/>
                </w:tcPr>
                <w:p w14:paraId="17636C0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984" w:type="dxa"/>
                  <w:vMerge w:val="continue"/>
                  <w:tcBorders>
                    <w:top w:val="nil"/>
                  </w:tcBorders>
                  <w:vAlign w:val="center"/>
                </w:tcPr>
                <w:p w14:paraId="4092893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765" w:type="dxa"/>
                  <w:vMerge w:val="continue"/>
                  <w:tcBorders>
                    <w:top w:val="nil"/>
                  </w:tcBorders>
                  <w:vAlign w:val="center"/>
                </w:tcPr>
                <w:p w14:paraId="56B257E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767" w:type="dxa"/>
                  <w:vMerge w:val="continue"/>
                  <w:tcBorders>
                    <w:top w:val="nil"/>
                  </w:tcBorders>
                  <w:vAlign w:val="center"/>
                </w:tcPr>
                <w:p w14:paraId="1EC37D1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r>
            <w:tr w14:paraId="4EA5A4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restart"/>
                  <w:tcBorders>
                    <w:bottom w:val="nil"/>
                  </w:tcBorders>
                  <w:vAlign w:val="center"/>
                </w:tcPr>
                <w:p w14:paraId="6A1421A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11.08%</w:t>
                  </w:r>
                </w:p>
              </w:tc>
              <w:tc>
                <w:tcPr>
                  <w:tcW w:w="802" w:type="dxa"/>
                  <w:vMerge w:val="restart"/>
                  <w:tcBorders>
                    <w:bottom w:val="nil"/>
                  </w:tcBorders>
                  <w:vAlign w:val="center"/>
                </w:tcPr>
                <w:p w14:paraId="6B99284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棉花</w:t>
                  </w:r>
                </w:p>
              </w:tc>
              <w:tc>
                <w:tcPr>
                  <w:tcW w:w="963" w:type="dxa"/>
                  <w:vAlign w:val="center"/>
                </w:tcPr>
                <w:p w14:paraId="204E0A0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冬灌</w:t>
                  </w:r>
                </w:p>
              </w:tc>
              <w:tc>
                <w:tcPr>
                  <w:tcW w:w="1041" w:type="dxa"/>
                  <w:vAlign w:val="center"/>
                </w:tcPr>
                <w:p w14:paraId="6842F20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11月1日</w:t>
                  </w:r>
                </w:p>
              </w:tc>
              <w:tc>
                <w:tcPr>
                  <w:tcW w:w="1051" w:type="dxa"/>
                  <w:vAlign w:val="center"/>
                </w:tcPr>
                <w:p w14:paraId="396A361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12月10日</w:t>
                  </w:r>
                </w:p>
              </w:tc>
              <w:tc>
                <w:tcPr>
                  <w:tcW w:w="940" w:type="dxa"/>
                  <w:vAlign w:val="center"/>
                </w:tcPr>
                <w:p w14:paraId="1D69300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40</w:t>
                  </w:r>
                </w:p>
              </w:tc>
              <w:tc>
                <w:tcPr>
                  <w:tcW w:w="984" w:type="dxa"/>
                  <w:vAlign w:val="center"/>
                </w:tcPr>
                <w:p w14:paraId="4338FF9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100%</w:t>
                  </w:r>
                </w:p>
              </w:tc>
              <w:tc>
                <w:tcPr>
                  <w:tcW w:w="765" w:type="dxa"/>
                  <w:vAlign w:val="center"/>
                </w:tcPr>
                <w:p w14:paraId="3737502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w:t>
                  </w:r>
                </w:p>
              </w:tc>
              <w:tc>
                <w:tcPr>
                  <w:tcW w:w="767" w:type="dxa"/>
                  <w:vAlign w:val="center"/>
                </w:tcPr>
                <w:p w14:paraId="7CAADF3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110</w:t>
                  </w:r>
                </w:p>
              </w:tc>
            </w:tr>
            <w:tr w14:paraId="64B039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continue"/>
                  <w:tcBorders>
                    <w:top w:val="nil"/>
                    <w:bottom w:val="nil"/>
                  </w:tcBorders>
                  <w:vAlign w:val="center"/>
                </w:tcPr>
                <w:p w14:paraId="3116546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802" w:type="dxa"/>
                  <w:vMerge w:val="continue"/>
                  <w:tcBorders>
                    <w:top w:val="nil"/>
                    <w:bottom w:val="nil"/>
                  </w:tcBorders>
                  <w:vAlign w:val="center"/>
                </w:tcPr>
                <w:p w14:paraId="6F63343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963" w:type="dxa"/>
                  <w:vAlign w:val="center"/>
                </w:tcPr>
                <w:p w14:paraId="61C0F13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播前灌</w:t>
                  </w:r>
                </w:p>
              </w:tc>
              <w:tc>
                <w:tcPr>
                  <w:tcW w:w="1041" w:type="dxa"/>
                  <w:vAlign w:val="center"/>
                </w:tcPr>
                <w:p w14:paraId="1889B64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3月1日</w:t>
                  </w:r>
                </w:p>
              </w:tc>
              <w:tc>
                <w:tcPr>
                  <w:tcW w:w="1051" w:type="dxa"/>
                  <w:vAlign w:val="center"/>
                </w:tcPr>
                <w:p w14:paraId="4E0B8E6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3月31日</w:t>
                  </w:r>
                </w:p>
              </w:tc>
              <w:tc>
                <w:tcPr>
                  <w:tcW w:w="940" w:type="dxa"/>
                  <w:vAlign w:val="center"/>
                </w:tcPr>
                <w:p w14:paraId="50A3ED3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31</w:t>
                  </w:r>
                </w:p>
              </w:tc>
              <w:tc>
                <w:tcPr>
                  <w:tcW w:w="984" w:type="dxa"/>
                  <w:vAlign w:val="center"/>
                </w:tcPr>
                <w:p w14:paraId="561010B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100%</w:t>
                  </w:r>
                </w:p>
              </w:tc>
              <w:tc>
                <w:tcPr>
                  <w:tcW w:w="765" w:type="dxa"/>
                  <w:vAlign w:val="center"/>
                </w:tcPr>
                <w:p w14:paraId="6D7E984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w:t>
                  </w:r>
                </w:p>
              </w:tc>
              <w:tc>
                <w:tcPr>
                  <w:tcW w:w="767" w:type="dxa"/>
                  <w:vAlign w:val="center"/>
                </w:tcPr>
                <w:p w14:paraId="23851D8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90</w:t>
                  </w:r>
                </w:p>
              </w:tc>
            </w:tr>
            <w:tr w14:paraId="3014B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continue"/>
                  <w:tcBorders>
                    <w:top w:val="nil"/>
                    <w:bottom w:val="nil"/>
                  </w:tcBorders>
                  <w:vAlign w:val="center"/>
                </w:tcPr>
                <w:p w14:paraId="641B8DE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802" w:type="dxa"/>
                  <w:vMerge w:val="continue"/>
                  <w:tcBorders>
                    <w:top w:val="nil"/>
                    <w:bottom w:val="nil"/>
                  </w:tcBorders>
                  <w:vAlign w:val="center"/>
                </w:tcPr>
                <w:p w14:paraId="60C8FA8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963" w:type="dxa"/>
                  <w:vAlign w:val="center"/>
                </w:tcPr>
                <w:p w14:paraId="0678F8B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生长期</w:t>
                  </w:r>
                </w:p>
              </w:tc>
              <w:tc>
                <w:tcPr>
                  <w:tcW w:w="1041" w:type="dxa"/>
                  <w:vAlign w:val="center"/>
                </w:tcPr>
                <w:p w14:paraId="61BF866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6月21日</w:t>
                  </w:r>
                </w:p>
              </w:tc>
              <w:tc>
                <w:tcPr>
                  <w:tcW w:w="1051" w:type="dxa"/>
                  <w:vAlign w:val="center"/>
                </w:tcPr>
                <w:p w14:paraId="1E31DE8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6月30日</w:t>
                  </w:r>
                </w:p>
              </w:tc>
              <w:tc>
                <w:tcPr>
                  <w:tcW w:w="940" w:type="dxa"/>
                  <w:vAlign w:val="center"/>
                </w:tcPr>
                <w:p w14:paraId="62379F3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10</w:t>
                  </w:r>
                </w:p>
              </w:tc>
              <w:tc>
                <w:tcPr>
                  <w:tcW w:w="984" w:type="dxa"/>
                  <w:vAlign w:val="center"/>
                </w:tcPr>
                <w:p w14:paraId="43DBD09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100%</w:t>
                  </w:r>
                </w:p>
              </w:tc>
              <w:tc>
                <w:tcPr>
                  <w:tcW w:w="765" w:type="dxa"/>
                  <w:vAlign w:val="center"/>
                </w:tcPr>
                <w:p w14:paraId="3AB30CC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w:t>
                  </w:r>
                </w:p>
              </w:tc>
              <w:tc>
                <w:tcPr>
                  <w:tcW w:w="767" w:type="dxa"/>
                  <w:vAlign w:val="center"/>
                </w:tcPr>
                <w:p w14:paraId="337A8EA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85</w:t>
                  </w:r>
                </w:p>
              </w:tc>
            </w:tr>
            <w:tr w14:paraId="35B796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continue"/>
                  <w:tcBorders>
                    <w:top w:val="nil"/>
                    <w:bottom w:val="nil"/>
                  </w:tcBorders>
                  <w:vAlign w:val="center"/>
                </w:tcPr>
                <w:p w14:paraId="147A094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802" w:type="dxa"/>
                  <w:vMerge w:val="continue"/>
                  <w:tcBorders>
                    <w:top w:val="nil"/>
                    <w:bottom w:val="nil"/>
                  </w:tcBorders>
                  <w:vAlign w:val="center"/>
                </w:tcPr>
                <w:p w14:paraId="414E99F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963" w:type="dxa"/>
                  <w:vAlign w:val="center"/>
                </w:tcPr>
                <w:p w14:paraId="3FD0DA2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生长期</w:t>
                  </w:r>
                </w:p>
              </w:tc>
              <w:tc>
                <w:tcPr>
                  <w:tcW w:w="1041" w:type="dxa"/>
                  <w:vAlign w:val="center"/>
                </w:tcPr>
                <w:p w14:paraId="5D2DB78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7月1日</w:t>
                  </w:r>
                </w:p>
              </w:tc>
              <w:tc>
                <w:tcPr>
                  <w:tcW w:w="1051" w:type="dxa"/>
                  <w:vAlign w:val="center"/>
                </w:tcPr>
                <w:p w14:paraId="2CCA9C2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7月15日</w:t>
                  </w:r>
                </w:p>
              </w:tc>
              <w:tc>
                <w:tcPr>
                  <w:tcW w:w="940" w:type="dxa"/>
                  <w:vAlign w:val="center"/>
                </w:tcPr>
                <w:p w14:paraId="606E822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15</w:t>
                  </w:r>
                </w:p>
              </w:tc>
              <w:tc>
                <w:tcPr>
                  <w:tcW w:w="984" w:type="dxa"/>
                  <w:vAlign w:val="center"/>
                </w:tcPr>
                <w:p w14:paraId="155D301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100%</w:t>
                  </w:r>
                </w:p>
              </w:tc>
              <w:tc>
                <w:tcPr>
                  <w:tcW w:w="765" w:type="dxa"/>
                  <w:vAlign w:val="center"/>
                </w:tcPr>
                <w:p w14:paraId="56E8492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w:t>
                  </w:r>
                </w:p>
              </w:tc>
              <w:tc>
                <w:tcPr>
                  <w:tcW w:w="767" w:type="dxa"/>
                  <w:vAlign w:val="center"/>
                </w:tcPr>
                <w:p w14:paraId="6B8FAC6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95</w:t>
                  </w:r>
                </w:p>
              </w:tc>
            </w:tr>
            <w:tr w14:paraId="311AE3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continue"/>
                  <w:tcBorders>
                    <w:top w:val="nil"/>
                    <w:bottom w:val="nil"/>
                  </w:tcBorders>
                  <w:vAlign w:val="center"/>
                </w:tcPr>
                <w:p w14:paraId="63695F0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802" w:type="dxa"/>
                  <w:vMerge w:val="continue"/>
                  <w:tcBorders>
                    <w:top w:val="nil"/>
                    <w:bottom w:val="nil"/>
                  </w:tcBorders>
                  <w:vAlign w:val="center"/>
                </w:tcPr>
                <w:p w14:paraId="3EC4C89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963" w:type="dxa"/>
                  <w:vAlign w:val="center"/>
                </w:tcPr>
                <w:p w14:paraId="65389F9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生长期</w:t>
                  </w:r>
                </w:p>
              </w:tc>
              <w:tc>
                <w:tcPr>
                  <w:tcW w:w="1041" w:type="dxa"/>
                  <w:vAlign w:val="center"/>
                </w:tcPr>
                <w:p w14:paraId="01F0267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7月16日</w:t>
                  </w:r>
                </w:p>
              </w:tc>
              <w:tc>
                <w:tcPr>
                  <w:tcW w:w="1051" w:type="dxa"/>
                  <w:vAlign w:val="center"/>
                </w:tcPr>
                <w:p w14:paraId="2DC9E56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7月31日</w:t>
                  </w:r>
                </w:p>
              </w:tc>
              <w:tc>
                <w:tcPr>
                  <w:tcW w:w="940" w:type="dxa"/>
                  <w:vAlign w:val="center"/>
                </w:tcPr>
                <w:p w14:paraId="257FCA2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16</w:t>
                  </w:r>
                </w:p>
              </w:tc>
              <w:tc>
                <w:tcPr>
                  <w:tcW w:w="984" w:type="dxa"/>
                  <w:vAlign w:val="center"/>
                </w:tcPr>
                <w:p w14:paraId="773335F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100%</w:t>
                  </w:r>
                </w:p>
              </w:tc>
              <w:tc>
                <w:tcPr>
                  <w:tcW w:w="765" w:type="dxa"/>
                  <w:vAlign w:val="center"/>
                </w:tcPr>
                <w:p w14:paraId="5D32681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w:t>
                  </w:r>
                </w:p>
              </w:tc>
              <w:tc>
                <w:tcPr>
                  <w:tcW w:w="767" w:type="dxa"/>
                  <w:vAlign w:val="center"/>
                </w:tcPr>
                <w:p w14:paraId="350DE10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95</w:t>
                  </w:r>
                </w:p>
              </w:tc>
            </w:tr>
            <w:tr w14:paraId="19095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continue"/>
                  <w:tcBorders>
                    <w:top w:val="nil"/>
                    <w:bottom w:val="nil"/>
                  </w:tcBorders>
                  <w:vAlign w:val="center"/>
                </w:tcPr>
                <w:p w14:paraId="1767F1D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802" w:type="dxa"/>
                  <w:vMerge w:val="continue"/>
                  <w:tcBorders>
                    <w:top w:val="nil"/>
                    <w:bottom w:val="nil"/>
                  </w:tcBorders>
                  <w:vAlign w:val="center"/>
                </w:tcPr>
                <w:p w14:paraId="7DBA550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963" w:type="dxa"/>
                  <w:vAlign w:val="center"/>
                </w:tcPr>
                <w:p w14:paraId="45DDDEC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生长期</w:t>
                  </w:r>
                </w:p>
              </w:tc>
              <w:tc>
                <w:tcPr>
                  <w:tcW w:w="1041" w:type="dxa"/>
                  <w:vAlign w:val="center"/>
                </w:tcPr>
                <w:p w14:paraId="0CC73D7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8月1日</w:t>
                  </w:r>
                </w:p>
              </w:tc>
              <w:tc>
                <w:tcPr>
                  <w:tcW w:w="1051" w:type="dxa"/>
                  <w:vAlign w:val="center"/>
                </w:tcPr>
                <w:p w14:paraId="03C8316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8月15日</w:t>
                  </w:r>
                </w:p>
              </w:tc>
              <w:tc>
                <w:tcPr>
                  <w:tcW w:w="940" w:type="dxa"/>
                  <w:vAlign w:val="center"/>
                </w:tcPr>
                <w:p w14:paraId="02D56E1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15</w:t>
                  </w:r>
                </w:p>
              </w:tc>
              <w:tc>
                <w:tcPr>
                  <w:tcW w:w="984" w:type="dxa"/>
                  <w:vAlign w:val="center"/>
                </w:tcPr>
                <w:p w14:paraId="02B139C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100%</w:t>
                  </w:r>
                </w:p>
              </w:tc>
              <w:tc>
                <w:tcPr>
                  <w:tcW w:w="765" w:type="dxa"/>
                  <w:vAlign w:val="center"/>
                </w:tcPr>
                <w:p w14:paraId="4D69361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w:t>
                  </w:r>
                </w:p>
              </w:tc>
              <w:tc>
                <w:tcPr>
                  <w:tcW w:w="767" w:type="dxa"/>
                  <w:vAlign w:val="center"/>
                </w:tcPr>
                <w:p w14:paraId="3F98688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80</w:t>
                  </w:r>
                </w:p>
              </w:tc>
            </w:tr>
            <w:tr w14:paraId="42149E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continue"/>
                  <w:tcBorders>
                    <w:top w:val="nil"/>
                  </w:tcBorders>
                  <w:vAlign w:val="center"/>
                </w:tcPr>
                <w:p w14:paraId="7264D1B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802" w:type="dxa"/>
                  <w:vMerge w:val="continue"/>
                  <w:tcBorders>
                    <w:top w:val="nil"/>
                  </w:tcBorders>
                  <w:vAlign w:val="center"/>
                </w:tcPr>
                <w:p w14:paraId="35D6EFC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5744" w:type="dxa"/>
                  <w:gridSpan w:val="6"/>
                  <w:vAlign w:val="center"/>
                </w:tcPr>
                <w:p w14:paraId="647926D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灌溉定额</w:t>
                  </w:r>
                </w:p>
              </w:tc>
              <w:tc>
                <w:tcPr>
                  <w:tcW w:w="767" w:type="dxa"/>
                  <w:vAlign w:val="center"/>
                </w:tcPr>
                <w:p w14:paraId="10C95AF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555</w:t>
                  </w:r>
                </w:p>
              </w:tc>
            </w:tr>
            <w:tr w14:paraId="2884AE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restart"/>
                  <w:tcBorders>
                    <w:bottom w:val="nil"/>
                  </w:tcBorders>
                  <w:vAlign w:val="center"/>
                </w:tcPr>
                <w:p w14:paraId="03F94F9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6.65%</w:t>
                  </w:r>
                </w:p>
              </w:tc>
              <w:tc>
                <w:tcPr>
                  <w:tcW w:w="802" w:type="dxa"/>
                  <w:vMerge w:val="restart"/>
                  <w:tcBorders>
                    <w:bottom w:val="nil"/>
                  </w:tcBorders>
                  <w:vAlign w:val="center"/>
                </w:tcPr>
                <w:p w14:paraId="0F496CE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滴灌棉花</w:t>
                  </w:r>
                </w:p>
              </w:tc>
              <w:tc>
                <w:tcPr>
                  <w:tcW w:w="963" w:type="dxa"/>
                  <w:vAlign w:val="center"/>
                </w:tcPr>
                <w:p w14:paraId="01AAE31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冬灌</w:t>
                  </w:r>
                </w:p>
              </w:tc>
              <w:tc>
                <w:tcPr>
                  <w:tcW w:w="1041" w:type="dxa"/>
                  <w:vAlign w:val="center"/>
                </w:tcPr>
                <w:p w14:paraId="730F81E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11月1日</w:t>
                  </w:r>
                </w:p>
              </w:tc>
              <w:tc>
                <w:tcPr>
                  <w:tcW w:w="1051" w:type="dxa"/>
                  <w:vAlign w:val="center"/>
                </w:tcPr>
                <w:p w14:paraId="3EF3E3F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12月10日</w:t>
                  </w:r>
                </w:p>
              </w:tc>
              <w:tc>
                <w:tcPr>
                  <w:tcW w:w="940" w:type="dxa"/>
                  <w:vAlign w:val="center"/>
                </w:tcPr>
                <w:p w14:paraId="526E8BE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40</w:t>
                  </w:r>
                </w:p>
              </w:tc>
              <w:tc>
                <w:tcPr>
                  <w:tcW w:w="984" w:type="dxa"/>
                  <w:vAlign w:val="center"/>
                </w:tcPr>
                <w:p w14:paraId="570FDAC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100%</w:t>
                  </w:r>
                </w:p>
              </w:tc>
              <w:tc>
                <w:tcPr>
                  <w:tcW w:w="765" w:type="dxa"/>
                  <w:vAlign w:val="center"/>
                </w:tcPr>
                <w:p w14:paraId="6BB90D3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w:t>
                  </w:r>
                </w:p>
              </w:tc>
              <w:tc>
                <w:tcPr>
                  <w:tcW w:w="767" w:type="dxa"/>
                  <w:vAlign w:val="center"/>
                </w:tcPr>
                <w:p w14:paraId="0A03351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35</w:t>
                  </w:r>
                </w:p>
              </w:tc>
            </w:tr>
            <w:tr w14:paraId="52AF2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continue"/>
                  <w:tcBorders>
                    <w:top w:val="nil"/>
                  </w:tcBorders>
                  <w:vAlign w:val="center"/>
                </w:tcPr>
                <w:p w14:paraId="3C4C83C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802" w:type="dxa"/>
                  <w:vMerge w:val="continue"/>
                  <w:tcBorders>
                    <w:top w:val="nil"/>
                  </w:tcBorders>
                  <w:vAlign w:val="center"/>
                </w:tcPr>
                <w:p w14:paraId="7E3CCD4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963" w:type="dxa"/>
                  <w:vAlign w:val="center"/>
                </w:tcPr>
                <w:p w14:paraId="7383644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生长期</w:t>
                  </w:r>
                </w:p>
              </w:tc>
              <w:tc>
                <w:tcPr>
                  <w:tcW w:w="1041" w:type="dxa"/>
                  <w:vAlign w:val="center"/>
                </w:tcPr>
                <w:p w14:paraId="48DDEF0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4月16日</w:t>
                  </w:r>
                </w:p>
              </w:tc>
              <w:tc>
                <w:tcPr>
                  <w:tcW w:w="1051" w:type="dxa"/>
                  <w:vAlign w:val="center"/>
                </w:tcPr>
                <w:p w14:paraId="501A7E4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4月20日</w:t>
                  </w:r>
                </w:p>
              </w:tc>
              <w:tc>
                <w:tcPr>
                  <w:tcW w:w="940" w:type="dxa"/>
                  <w:vAlign w:val="center"/>
                </w:tcPr>
                <w:p w14:paraId="5453150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5</w:t>
                  </w:r>
                </w:p>
              </w:tc>
              <w:tc>
                <w:tcPr>
                  <w:tcW w:w="984" w:type="dxa"/>
                  <w:vAlign w:val="center"/>
                </w:tcPr>
                <w:p w14:paraId="16E1B30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100%</w:t>
                  </w:r>
                </w:p>
              </w:tc>
              <w:tc>
                <w:tcPr>
                  <w:tcW w:w="765" w:type="dxa"/>
                  <w:vAlign w:val="center"/>
                </w:tcPr>
                <w:p w14:paraId="6478E5B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w:t>
                  </w:r>
                </w:p>
              </w:tc>
              <w:tc>
                <w:tcPr>
                  <w:tcW w:w="767" w:type="dxa"/>
                  <w:vAlign w:val="center"/>
                </w:tcPr>
                <w:p w14:paraId="55DC608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20</w:t>
                  </w:r>
                </w:p>
              </w:tc>
            </w:tr>
            <w:tr w14:paraId="01EB47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continue"/>
                  <w:tcBorders>
                    <w:top w:val="nil"/>
                    <w:bottom w:val="nil"/>
                  </w:tcBorders>
                  <w:vAlign w:val="center"/>
                </w:tcPr>
                <w:p w14:paraId="06A74B4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802" w:type="dxa"/>
                  <w:vMerge w:val="continue"/>
                  <w:tcBorders>
                    <w:top w:val="nil"/>
                    <w:bottom w:val="nil"/>
                  </w:tcBorders>
                  <w:vAlign w:val="center"/>
                </w:tcPr>
                <w:p w14:paraId="28D8FBC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963" w:type="dxa"/>
                  <w:vAlign w:val="center"/>
                </w:tcPr>
                <w:p w14:paraId="5A46E03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生长期</w:t>
                  </w:r>
                </w:p>
              </w:tc>
              <w:tc>
                <w:tcPr>
                  <w:tcW w:w="1041" w:type="dxa"/>
                  <w:vAlign w:val="center"/>
                </w:tcPr>
                <w:p w14:paraId="55595E0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5月16日</w:t>
                  </w:r>
                </w:p>
              </w:tc>
              <w:tc>
                <w:tcPr>
                  <w:tcW w:w="1051" w:type="dxa"/>
                  <w:vAlign w:val="center"/>
                </w:tcPr>
                <w:p w14:paraId="654C1C1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5月20日</w:t>
                  </w:r>
                </w:p>
              </w:tc>
              <w:tc>
                <w:tcPr>
                  <w:tcW w:w="940" w:type="dxa"/>
                  <w:vAlign w:val="center"/>
                </w:tcPr>
                <w:p w14:paraId="256FD84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5</w:t>
                  </w:r>
                </w:p>
              </w:tc>
              <w:tc>
                <w:tcPr>
                  <w:tcW w:w="984" w:type="dxa"/>
                  <w:vAlign w:val="center"/>
                </w:tcPr>
                <w:p w14:paraId="3229F57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100%</w:t>
                  </w:r>
                </w:p>
              </w:tc>
              <w:tc>
                <w:tcPr>
                  <w:tcW w:w="765" w:type="dxa"/>
                  <w:vAlign w:val="center"/>
                </w:tcPr>
                <w:p w14:paraId="01DA97F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w:t>
                  </w:r>
                </w:p>
              </w:tc>
              <w:tc>
                <w:tcPr>
                  <w:tcW w:w="767" w:type="dxa"/>
                  <w:vAlign w:val="center"/>
                </w:tcPr>
                <w:p w14:paraId="13CE508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20</w:t>
                  </w:r>
                </w:p>
              </w:tc>
            </w:tr>
            <w:tr w14:paraId="1A7A12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continue"/>
                  <w:tcBorders>
                    <w:top w:val="nil"/>
                    <w:bottom w:val="nil"/>
                  </w:tcBorders>
                  <w:vAlign w:val="center"/>
                </w:tcPr>
                <w:p w14:paraId="6F310CD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802" w:type="dxa"/>
                  <w:vMerge w:val="continue"/>
                  <w:tcBorders>
                    <w:top w:val="nil"/>
                    <w:bottom w:val="nil"/>
                  </w:tcBorders>
                  <w:vAlign w:val="center"/>
                </w:tcPr>
                <w:p w14:paraId="3041A0A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963" w:type="dxa"/>
                  <w:vAlign w:val="center"/>
                </w:tcPr>
                <w:p w14:paraId="50A9253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生长期</w:t>
                  </w:r>
                </w:p>
              </w:tc>
              <w:tc>
                <w:tcPr>
                  <w:tcW w:w="1041" w:type="dxa"/>
                  <w:vAlign w:val="center"/>
                </w:tcPr>
                <w:p w14:paraId="2C605EA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6月21日</w:t>
                  </w:r>
                </w:p>
              </w:tc>
              <w:tc>
                <w:tcPr>
                  <w:tcW w:w="1051" w:type="dxa"/>
                  <w:vAlign w:val="center"/>
                </w:tcPr>
                <w:p w14:paraId="29F3CED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6月25日</w:t>
                  </w:r>
                </w:p>
              </w:tc>
              <w:tc>
                <w:tcPr>
                  <w:tcW w:w="940" w:type="dxa"/>
                  <w:vAlign w:val="center"/>
                </w:tcPr>
                <w:p w14:paraId="1E8693C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5</w:t>
                  </w:r>
                </w:p>
              </w:tc>
              <w:tc>
                <w:tcPr>
                  <w:tcW w:w="984" w:type="dxa"/>
                  <w:vAlign w:val="center"/>
                </w:tcPr>
                <w:p w14:paraId="1A91A97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100%</w:t>
                  </w:r>
                </w:p>
              </w:tc>
              <w:tc>
                <w:tcPr>
                  <w:tcW w:w="765" w:type="dxa"/>
                  <w:vAlign w:val="center"/>
                </w:tcPr>
                <w:p w14:paraId="5D1D98B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w:t>
                  </w:r>
                </w:p>
              </w:tc>
              <w:tc>
                <w:tcPr>
                  <w:tcW w:w="767" w:type="dxa"/>
                  <w:vAlign w:val="center"/>
                </w:tcPr>
                <w:p w14:paraId="7B2CF5D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35</w:t>
                  </w:r>
                </w:p>
              </w:tc>
            </w:tr>
            <w:tr w14:paraId="317AF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continue"/>
                  <w:tcBorders>
                    <w:top w:val="nil"/>
                    <w:bottom w:val="nil"/>
                  </w:tcBorders>
                  <w:vAlign w:val="center"/>
                </w:tcPr>
                <w:p w14:paraId="395DE75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802" w:type="dxa"/>
                  <w:vMerge w:val="continue"/>
                  <w:tcBorders>
                    <w:top w:val="nil"/>
                    <w:bottom w:val="nil"/>
                  </w:tcBorders>
                  <w:vAlign w:val="center"/>
                </w:tcPr>
                <w:p w14:paraId="73F4D4F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963" w:type="dxa"/>
                  <w:vAlign w:val="center"/>
                </w:tcPr>
                <w:p w14:paraId="411690E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生长期</w:t>
                  </w:r>
                </w:p>
              </w:tc>
              <w:tc>
                <w:tcPr>
                  <w:tcW w:w="1041" w:type="dxa"/>
                  <w:vAlign w:val="center"/>
                </w:tcPr>
                <w:p w14:paraId="7476D1A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6月26日</w:t>
                  </w:r>
                </w:p>
              </w:tc>
              <w:tc>
                <w:tcPr>
                  <w:tcW w:w="1051" w:type="dxa"/>
                  <w:vAlign w:val="center"/>
                </w:tcPr>
                <w:p w14:paraId="11BCC09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6月30日</w:t>
                  </w:r>
                </w:p>
              </w:tc>
              <w:tc>
                <w:tcPr>
                  <w:tcW w:w="940" w:type="dxa"/>
                  <w:vAlign w:val="center"/>
                </w:tcPr>
                <w:p w14:paraId="4991AE0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5</w:t>
                  </w:r>
                </w:p>
              </w:tc>
              <w:tc>
                <w:tcPr>
                  <w:tcW w:w="984" w:type="dxa"/>
                  <w:vAlign w:val="center"/>
                </w:tcPr>
                <w:p w14:paraId="1E785CE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100%</w:t>
                  </w:r>
                </w:p>
              </w:tc>
              <w:tc>
                <w:tcPr>
                  <w:tcW w:w="765" w:type="dxa"/>
                  <w:vAlign w:val="center"/>
                </w:tcPr>
                <w:p w14:paraId="7A7B7BD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w:t>
                  </w:r>
                </w:p>
              </w:tc>
              <w:tc>
                <w:tcPr>
                  <w:tcW w:w="767" w:type="dxa"/>
                  <w:vAlign w:val="center"/>
                </w:tcPr>
                <w:p w14:paraId="2ADF936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35</w:t>
                  </w:r>
                </w:p>
              </w:tc>
            </w:tr>
            <w:tr w14:paraId="15701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continue"/>
                  <w:tcBorders>
                    <w:top w:val="nil"/>
                    <w:bottom w:val="nil"/>
                  </w:tcBorders>
                  <w:vAlign w:val="center"/>
                </w:tcPr>
                <w:p w14:paraId="405BEC4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802" w:type="dxa"/>
                  <w:vMerge w:val="continue"/>
                  <w:tcBorders>
                    <w:top w:val="nil"/>
                    <w:bottom w:val="nil"/>
                  </w:tcBorders>
                  <w:vAlign w:val="center"/>
                </w:tcPr>
                <w:p w14:paraId="68563FF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963" w:type="dxa"/>
                  <w:vAlign w:val="center"/>
                </w:tcPr>
                <w:p w14:paraId="4958DB6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生长期</w:t>
                  </w:r>
                </w:p>
              </w:tc>
              <w:tc>
                <w:tcPr>
                  <w:tcW w:w="1041" w:type="dxa"/>
                  <w:vAlign w:val="center"/>
                </w:tcPr>
                <w:p w14:paraId="070BF8C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7月1日</w:t>
                  </w:r>
                </w:p>
              </w:tc>
              <w:tc>
                <w:tcPr>
                  <w:tcW w:w="1051" w:type="dxa"/>
                  <w:vAlign w:val="center"/>
                </w:tcPr>
                <w:p w14:paraId="6F369B4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7月5日</w:t>
                  </w:r>
                </w:p>
              </w:tc>
              <w:tc>
                <w:tcPr>
                  <w:tcW w:w="940" w:type="dxa"/>
                  <w:vAlign w:val="center"/>
                </w:tcPr>
                <w:p w14:paraId="62A09B0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5</w:t>
                  </w:r>
                </w:p>
              </w:tc>
              <w:tc>
                <w:tcPr>
                  <w:tcW w:w="984" w:type="dxa"/>
                  <w:vAlign w:val="center"/>
                </w:tcPr>
                <w:p w14:paraId="5D38FAD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100%</w:t>
                  </w:r>
                </w:p>
              </w:tc>
              <w:tc>
                <w:tcPr>
                  <w:tcW w:w="765" w:type="dxa"/>
                  <w:vAlign w:val="center"/>
                </w:tcPr>
                <w:p w14:paraId="4484479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w:t>
                  </w:r>
                </w:p>
              </w:tc>
              <w:tc>
                <w:tcPr>
                  <w:tcW w:w="767" w:type="dxa"/>
                  <w:vAlign w:val="center"/>
                </w:tcPr>
                <w:p w14:paraId="254274F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35</w:t>
                  </w:r>
                </w:p>
              </w:tc>
            </w:tr>
            <w:tr w14:paraId="1D0C6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continue"/>
                  <w:tcBorders>
                    <w:top w:val="nil"/>
                    <w:bottom w:val="nil"/>
                  </w:tcBorders>
                  <w:vAlign w:val="center"/>
                </w:tcPr>
                <w:p w14:paraId="4953457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802" w:type="dxa"/>
                  <w:vMerge w:val="continue"/>
                  <w:tcBorders>
                    <w:top w:val="nil"/>
                    <w:bottom w:val="nil"/>
                  </w:tcBorders>
                  <w:vAlign w:val="center"/>
                </w:tcPr>
                <w:p w14:paraId="6C168FD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963" w:type="dxa"/>
                  <w:vAlign w:val="center"/>
                </w:tcPr>
                <w:p w14:paraId="4BE3AAE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生长期</w:t>
                  </w:r>
                </w:p>
              </w:tc>
              <w:tc>
                <w:tcPr>
                  <w:tcW w:w="1041" w:type="dxa"/>
                  <w:vAlign w:val="center"/>
                </w:tcPr>
                <w:p w14:paraId="7C031DB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7月6日</w:t>
                  </w:r>
                </w:p>
              </w:tc>
              <w:tc>
                <w:tcPr>
                  <w:tcW w:w="1051" w:type="dxa"/>
                  <w:vAlign w:val="center"/>
                </w:tcPr>
                <w:p w14:paraId="0CC69AF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7月10日</w:t>
                  </w:r>
                </w:p>
              </w:tc>
              <w:tc>
                <w:tcPr>
                  <w:tcW w:w="940" w:type="dxa"/>
                  <w:vAlign w:val="center"/>
                </w:tcPr>
                <w:p w14:paraId="28B1C63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5</w:t>
                  </w:r>
                </w:p>
              </w:tc>
              <w:tc>
                <w:tcPr>
                  <w:tcW w:w="984" w:type="dxa"/>
                  <w:vAlign w:val="center"/>
                </w:tcPr>
                <w:p w14:paraId="1ADCF10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100%</w:t>
                  </w:r>
                </w:p>
              </w:tc>
              <w:tc>
                <w:tcPr>
                  <w:tcW w:w="765" w:type="dxa"/>
                  <w:vAlign w:val="center"/>
                </w:tcPr>
                <w:p w14:paraId="445F339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w:t>
                  </w:r>
                </w:p>
              </w:tc>
              <w:tc>
                <w:tcPr>
                  <w:tcW w:w="767" w:type="dxa"/>
                  <w:vAlign w:val="center"/>
                </w:tcPr>
                <w:p w14:paraId="7D6BEE2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30</w:t>
                  </w:r>
                </w:p>
              </w:tc>
            </w:tr>
            <w:tr w14:paraId="496455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continue"/>
                  <w:tcBorders>
                    <w:top w:val="nil"/>
                    <w:bottom w:val="nil"/>
                  </w:tcBorders>
                  <w:vAlign w:val="center"/>
                </w:tcPr>
                <w:p w14:paraId="7A04039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802" w:type="dxa"/>
                  <w:vMerge w:val="continue"/>
                  <w:tcBorders>
                    <w:top w:val="nil"/>
                    <w:bottom w:val="nil"/>
                  </w:tcBorders>
                  <w:vAlign w:val="center"/>
                </w:tcPr>
                <w:p w14:paraId="7D07176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963" w:type="dxa"/>
                  <w:vAlign w:val="center"/>
                </w:tcPr>
                <w:p w14:paraId="0046645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生长期</w:t>
                  </w:r>
                </w:p>
              </w:tc>
              <w:tc>
                <w:tcPr>
                  <w:tcW w:w="1041" w:type="dxa"/>
                  <w:vAlign w:val="center"/>
                </w:tcPr>
                <w:p w14:paraId="428FE0C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7月11日</w:t>
                  </w:r>
                </w:p>
              </w:tc>
              <w:tc>
                <w:tcPr>
                  <w:tcW w:w="1051" w:type="dxa"/>
                  <w:vAlign w:val="center"/>
                </w:tcPr>
                <w:p w14:paraId="72EE309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7月15日</w:t>
                  </w:r>
                </w:p>
              </w:tc>
              <w:tc>
                <w:tcPr>
                  <w:tcW w:w="940" w:type="dxa"/>
                  <w:vAlign w:val="center"/>
                </w:tcPr>
                <w:p w14:paraId="672A0A0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5</w:t>
                  </w:r>
                </w:p>
              </w:tc>
              <w:tc>
                <w:tcPr>
                  <w:tcW w:w="984" w:type="dxa"/>
                  <w:vAlign w:val="center"/>
                </w:tcPr>
                <w:p w14:paraId="23DE17D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100%</w:t>
                  </w:r>
                </w:p>
              </w:tc>
              <w:tc>
                <w:tcPr>
                  <w:tcW w:w="765" w:type="dxa"/>
                  <w:vAlign w:val="center"/>
                </w:tcPr>
                <w:p w14:paraId="62EB661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w:t>
                  </w:r>
                </w:p>
              </w:tc>
              <w:tc>
                <w:tcPr>
                  <w:tcW w:w="767" w:type="dxa"/>
                  <w:vAlign w:val="center"/>
                </w:tcPr>
                <w:p w14:paraId="0BB1C6B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25</w:t>
                  </w:r>
                </w:p>
              </w:tc>
            </w:tr>
            <w:tr w14:paraId="754CD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continue"/>
                  <w:tcBorders>
                    <w:top w:val="nil"/>
                    <w:bottom w:val="nil"/>
                  </w:tcBorders>
                  <w:vAlign w:val="center"/>
                </w:tcPr>
                <w:p w14:paraId="6202DA0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802" w:type="dxa"/>
                  <w:vMerge w:val="continue"/>
                  <w:tcBorders>
                    <w:top w:val="nil"/>
                    <w:bottom w:val="nil"/>
                  </w:tcBorders>
                  <w:vAlign w:val="center"/>
                </w:tcPr>
                <w:p w14:paraId="535D81F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963" w:type="dxa"/>
                  <w:vAlign w:val="center"/>
                </w:tcPr>
                <w:p w14:paraId="1EB1FF5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生长期</w:t>
                  </w:r>
                </w:p>
              </w:tc>
              <w:tc>
                <w:tcPr>
                  <w:tcW w:w="1041" w:type="dxa"/>
                  <w:vAlign w:val="center"/>
                </w:tcPr>
                <w:p w14:paraId="6ABACD9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7月16日</w:t>
                  </w:r>
                </w:p>
              </w:tc>
              <w:tc>
                <w:tcPr>
                  <w:tcW w:w="1051" w:type="dxa"/>
                  <w:vAlign w:val="center"/>
                </w:tcPr>
                <w:p w14:paraId="407EC72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7月20日</w:t>
                  </w:r>
                </w:p>
              </w:tc>
              <w:tc>
                <w:tcPr>
                  <w:tcW w:w="940" w:type="dxa"/>
                  <w:vAlign w:val="center"/>
                </w:tcPr>
                <w:p w14:paraId="5F6AF3B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5</w:t>
                  </w:r>
                </w:p>
              </w:tc>
              <w:tc>
                <w:tcPr>
                  <w:tcW w:w="984" w:type="dxa"/>
                  <w:vAlign w:val="center"/>
                </w:tcPr>
                <w:p w14:paraId="3196DAC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100%</w:t>
                  </w:r>
                </w:p>
              </w:tc>
              <w:tc>
                <w:tcPr>
                  <w:tcW w:w="765" w:type="dxa"/>
                  <w:vAlign w:val="center"/>
                </w:tcPr>
                <w:p w14:paraId="6090063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w:t>
                  </w:r>
                </w:p>
              </w:tc>
              <w:tc>
                <w:tcPr>
                  <w:tcW w:w="767" w:type="dxa"/>
                  <w:vAlign w:val="center"/>
                </w:tcPr>
                <w:p w14:paraId="320C9BC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25</w:t>
                  </w:r>
                </w:p>
              </w:tc>
            </w:tr>
            <w:tr w14:paraId="1E839C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continue"/>
                  <w:tcBorders>
                    <w:top w:val="nil"/>
                    <w:bottom w:val="nil"/>
                  </w:tcBorders>
                  <w:vAlign w:val="center"/>
                </w:tcPr>
                <w:p w14:paraId="561D275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802" w:type="dxa"/>
                  <w:vMerge w:val="continue"/>
                  <w:tcBorders>
                    <w:top w:val="nil"/>
                    <w:bottom w:val="nil"/>
                  </w:tcBorders>
                  <w:vAlign w:val="center"/>
                </w:tcPr>
                <w:p w14:paraId="60A3430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963" w:type="dxa"/>
                  <w:vAlign w:val="center"/>
                </w:tcPr>
                <w:p w14:paraId="1A106B2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生长期</w:t>
                  </w:r>
                </w:p>
              </w:tc>
              <w:tc>
                <w:tcPr>
                  <w:tcW w:w="1041" w:type="dxa"/>
                  <w:vAlign w:val="center"/>
                </w:tcPr>
                <w:p w14:paraId="35E2660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7月21日</w:t>
                  </w:r>
                </w:p>
              </w:tc>
              <w:tc>
                <w:tcPr>
                  <w:tcW w:w="1051" w:type="dxa"/>
                  <w:vAlign w:val="center"/>
                </w:tcPr>
                <w:p w14:paraId="1250DFB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7月25日</w:t>
                  </w:r>
                </w:p>
              </w:tc>
              <w:tc>
                <w:tcPr>
                  <w:tcW w:w="940" w:type="dxa"/>
                  <w:vAlign w:val="center"/>
                </w:tcPr>
                <w:p w14:paraId="693A277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5</w:t>
                  </w:r>
                </w:p>
              </w:tc>
              <w:tc>
                <w:tcPr>
                  <w:tcW w:w="984" w:type="dxa"/>
                  <w:vAlign w:val="center"/>
                </w:tcPr>
                <w:p w14:paraId="2A86ABF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100%</w:t>
                  </w:r>
                </w:p>
              </w:tc>
              <w:tc>
                <w:tcPr>
                  <w:tcW w:w="765" w:type="dxa"/>
                  <w:vAlign w:val="center"/>
                </w:tcPr>
                <w:p w14:paraId="2261362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w:t>
                  </w:r>
                </w:p>
              </w:tc>
              <w:tc>
                <w:tcPr>
                  <w:tcW w:w="767" w:type="dxa"/>
                  <w:vAlign w:val="center"/>
                </w:tcPr>
                <w:p w14:paraId="581A650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25</w:t>
                  </w:r>
                </w:p>
              </w:tc>
            </w:tr>
            <w:tr w14:paraId="0AA40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continue"/>
                  <w:tcBorders>
                    <w:top w:val="nil"/>
                    <w:bottom w:val="nil"/>
                  </w:tcBorders>
                  <w:vAlign w:val="center"/>
                </w:tcPr>
                <w:p w14:paraId="2CCA909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802" w:type="dxa"/>
                  <w:vMerge w:val="continue"/>
                  <w:tcBorders>
                    <w:top w:val="nil"/>
                    <w:bottom w:val="nil"/>
                  </w:tcBorders>
                  <w:vAlign w:val="center"/>
                </w:tcPr>
                <w:p w14:paraId="2989090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963" w:type="dxa"/>
                  <w:vAlign w:val="center"/>
                </w:tcPr>
                <w:p w14:paraId="2FF2677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生长期</w:t>
                  </w:r>
                </w:p>
              </w:tc>
              <w:tc>
                <w:tcPr>
                  <w:tcW w:w="1041" w:type="dxa"/>
                  <w:vAlign w:val="center"/>
                </w:tcPr>
                <w:p w14:paraId="05EB201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7月26日</w:t>
                  </w:r>
                </w:p>
              </w:tc>
              <w:tc>
                <w:tcPr>
                  <w:tcW w:w="1051" w:type="dxa"/>
                  <w:vAlign w:val="center"/>
                </w:tcPr>
                <w:p w14:paraId="165D05C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7月30日</w:t>
                  </w:r>
                </w:p>
              </w:tc>
              <w:tc>
                <w:tcPr>
                  <w:tcW w:w="940" w:type="dxa"/>
                  <w:vAlign w:val="center"/>
                </w:tcPr>
                <w:p w14:paraId="3BE1D3F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5</w:t>
                  </w:r>
                </w:p>
              </w:tc>
              <w:tc>
                <w:tcPr>
                  <w:tcW w:w="984" w:type="dxa"/>
                  <w:vAlign w:val="center"/>
                </w:tcPr>
                <w:p w14:paraId="0C9F6F0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100%</w:t>
                  </w:r>
                </w:p>
              </w:tc>
              <w:tc>
                <w:tcPr>
                  <w:tcW w:w="765" w:type="dxa"/>
                  <w:vAlign w:val="center"/>
                </w:tcPr>
                <w:p w14:paraId="3FF209B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w:t>
                  </w:r>
                </w:p>
              </w:tc>
              <w:tc>
                <w:tcPr>
                  <w:tcW w:w="767" w:type="dxa"/>
                  <w:vAlign w:val="center"/>
                </w:tcPr>
                <w:p w14:paraId="79D12B4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25</w:t>
                  </w:r>
                </w:p>
              </w:tc>
            </w:tr>
            <w:tr w14:paraId="1B6151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continue"/>
                  <w:tcBorders>
                    <w:top w:val="nil"/>
                    <w:bottom w:val="nil"/>
                  </w:tcBorders>
                  <w:vAlign w:val="center"/>
                </w:tcPr>
                <w:p w14:paraId="1EDBE95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802" w:type="dxa"/>
                  <w:vMerge w:val="continue"/>
                  <w:tcBorders>
                    <w:top w:val="nil"/>
                    <w:bottom w:val="nil"/>
                  </w:tcBorders>
                  <w:vAlign w:val="center"/>
                </w:tcPr>
                <w:p w14:paraId="78AAAF8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963" w:type="dxa"/>
                  <w:vAlign w:val="center"/>
                </w:tcPr>
                <w:p w14:paraId="05337D0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生长期</w:t>
                  </w:r>
                </w:p>
              </w:tc>
              <w:tc>
                <w:tcPr>
                  <w:tcW w:w="1041" w:type="dxa"/>
                  <w:vAlign w:val="center"/>
                </w:tcPr>
                <w:p w14:paraId="7E5F65E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8月1日</w:t>
                  </w:r>
                </w:p>
              </w:tc>
              <w:tc>
                <w:tcPr>
                  <w:tcW w:w="1051" w:type="dxa"/>
                  <w:vAlign w:val="center"/>
                </w:tcPr>
                <w:p w14:paraId="39F1588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8月5日</w:t>
                  </w:r>
                </w:p>
              </w:tc>
              <w:tc>
                <w:tcPr>
                  <w:tcW w:w="940" w:type="dxa"/>
                  <w:vAlign w:val="center"/>
                </w:tcPr>
                <w:p w14:paraId="58AAB52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5</w:t>
                  </w:r>
                </w:p>
              </w:tc>
              <w:tc>
                <w:tcPr>
                  <w:tcW w:w="984" w:type="dxa"/>
                  <w:vAlign w:val="center"/>
                </w:tcPr>
                <w:p w14:paraId="54DC2BB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100%</w:t>
                  </w:r>
                </w:p>
              </w:tc>
              <w:tc>
                <w:tcPr>
                  <w:tcW w:w="765" w:type="dxa"/>
                  <w:vAlign w:val="center"/>
                </w:tcPr>
                <w:p w14:paraId="76AC39C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w:t>
                  </w:r>
                </w:p>
              </w:tc>
              <w:tc>
                <w:tcPr>
                  <w:tcW w:w="767" w:type="dxa"/>
                  <w:vAlign w:val="center"/>
                </w:tcPr>
                <w:p w14:paraId="2EF1ADF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20</w:t>
                  </w:r>
                </w:p>
              </w:tc>
            </w:tr>
            <w:tr w14:paraId="050F1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continue"/>
                  <w:tcBorders>
                    <w:top w:val="nil"/>
                    <w:bottom w:val="nil"/>
                  </w:tcBorders>
                  <w:vAlign w:val="center"/>
                </w:tcPr>
                <w:p w14:paraId="791D119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802" w:type="dxa"/>
                  <w:vMerge w:val="continue"/>
                  <w:tcBorders>
                    <w:top w:val="nil"/>
                    <w:bottom w:val="nil"/>
                  </w:tcBorders>
                  <w:vAlign w:val="center"/>
                </w:tcPr>
                <w:p w14:paraId="49DA884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963" w:type="dxa"/>
                  <w:vAlign w:val="center"/>
                </w:tcPr>
                <w:p w14:paraId="6ECC934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生长期</w:t>
                  </w:r>
                </w:p>
              </w:tc>
              <w:tc>
                <w:tcPr>
                  <w:tcW w:w="1041" w:type="dxa"/>
                  <w:vAlign w:val="center"/>
                </w:tcPr>
                <w:p w14:paraId="0A0BAD1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8月6日</w:t>
                  </w:r>
                </w:p>
              </w:tc>
              <w:tc>
                <w:tcPr>
                  <w:tcW w:w="1051" w:type="dxa"/>
                  <w:vAlign w:val="center"/>
                </w:tcPr>
                <w:p w14:paraId="463C77B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8月10日</w:t>
                  </w:r>
                </w:p>
              </w:tc>
              <w:tc>
                <w:tcPr>
                  <w:tcW w:w="940" w:type="dxa"/>
                  <w:vAlign w:val="center"/>
                </w:tcPr>
                <w:p w14:paraId="54BC637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5</w:t>
                  </w:r>
                </w:p>
              </w:tc>
              <w:tc>
                <w:tcPr>
                  <w:tcW w:w="984" w:type="dxa"/>
                  <w:vAlign w:val="center"/>
                </w:tcPr>
                <w:p w14:paraId="27D3FDA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100%</w:t>
                  </w:r>
                </w:p>
              </w:tc>
              <w:tc>
                <w:tcPr>
                  <w:tcW w:w="765" w:type="dxa"/>
                  <w:vAlign w:val="center"/>
                </w:tcPr>
                <w:p w14:paraId="0E90D61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w:t>
                  </w:r>
                </w:p>
              </w:tc>
              <w:tc>
                <w:tcPr>
                  <w:tcW w:w="767" w:type="dxa"/>
                  <w:vAlign w:val="center"/>
                </w:tcPr>
                <w:p w14:paraId="68AA67C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15</w:t>
                  </w:r>
                </w:p>
              </w:tc>
            </w:tr>
            <w:tr w14:paraId="1E6994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continue"/>
                  <w:tcBorders>
                    <w:top w:val="nil"/>
                    <w:bottom w:val="nil"/>
                  </w:tcBorders>
                  <w:vAlign w:val="center"/>
                </w:tcPr>
                <w:p w14:paraId="26FC089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802" w:type="dxa"/>
                  <w:vMerge w:val="continue"/>
                  <w:tcBorders>
                    <w:top w:val="nil"/>
                    <w:bottom w:val="nil"/>
                  </w:tcBorders>
                  <w:vAlign w:val="center"/>
                </w:tcPr>
                <w:p w14:paraId="0680FFD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963" w:type="dxa"/>
                  <w:vAlign w:val="center"/>
                </w:tcPr>
                <w:p w14:paraId="25E5634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生长期</w:t>
                  </w:r>
                </w:p>
              </w:tc>
              <w:tc>
                <w:tcPr>
                  <w:tcW w:w="1041" w:type="dxa"/>
                  <w:vAlign w:val="center"/>
                </w:tcPr>
                <w:p w14:paraId="0BCDF7A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8月11日</w:t>
                  </w:r>
                </w:p>
              </w:tc>
              <w:tc>
                <w:tcPr>
                  <w:tcW w:w="1051" w:type="dxa"/>
                  <w:vAlign w:val="center"/>
                </w:tcPr>
                <w:p w14:paraId="1A2140F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8月15日</w:t>
                  </w:r>
                </w:p>
              </w:tc>
              <w:tc>
                <w:tcPr>
                  <w:tcW w:w="940" w:type="dxa"/>
                  <w:vAlign w:val="center"/>
                </w:tcPr>
                <w:p w14:paraId="4D24B76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5</w:t>
                  </w:r>
                </w:p>
              </w:tc>
              <w:tc>
                <w:tcPr>
                  <w:tcW w:w="984" w:type="dxa"/>
                  <w:vAlign w:val="center"/>
                </w:tcPr>
                <w:p w14:paraId="72E87CF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100%</w:t>
                  </w:r>
                </w:p>
              </w:tc>
              <w:tc>
                <w:tcPr>
                  <w:tcW w:w="765" w:type="dxa"/>
                  <w:vAlign w:val="center"/>
                </w:tcPr>
                <w:p w14:paraId="4479E72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w:t>
                  </w:r>
                </w:p>
              </w:tc>
              <w:tc>
                <w:tcPr>
                  <w:tcW w:w="767" w:type="dxa"/>
                  <w:vAlign w:val="center"/>
                </w:tcPr>
                <w:p w14:paraId="30519DE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15</w:t>
                  </w:r>
                </w:p>
              </w:tc>
            </w:tr>
            <w:tr w14:paraId="5C3AD0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continue"/>
                  <w:tcBorders>
                    <w:top w:val="nil"/>
                  </w:tcBorders>
                  <w:vAlign w:val="center"/>
                </w:tcPr>
                <w:p w14:paraId="540357D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802" w:type="dxa"/>
                  <w:vMerge w:val="continue"/>
                  <w:tcBorders>
                    <w:top w:val="nil"/>
                  </w:tcBorders>
                  <w:vAlign w:val="center"/>
                </w:tcPr>
                <w:p w14:paraId="47F024B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5744" w:type="dxa"/>
                  <w:gridSpan w:val="6"/>
                  <w:vAlign w:val="center"/>
                </w:tcPr>
                <w:p w14:paraId="14F212B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灌溉定额</w:t>
                  </w:r>
                </w:p>
              </w:tc>
              <w:tc>
                <w:tcPr>
                  <w:tcW w:w="767" w:type="dxa"/>
                  <w:vAlign w:val="center"/>
                </w:tcPr>
                <w:p w14:paraId="26EB21B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360</w:t>
                  </w:r>
                </w:p>
              </w:tc>
            </w:tr>
            <w:tr w14:paraId="17635D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restart"/>
                  <w:tcBorders>
                    <w:bottom w:val="nil"/>
                  </w:tcBorders>
                  <w:vAlign w:val="center"/>
                </w:tcPr>
                <w:p w14:paraId="792C12E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24.38%</w:t>
                  </w:r>
                </w:p>
              </w:tc>
              <w:tc>
                <w:tcPr>
                  <w:tcW w:w="802" w:type="dxa"/>
                  <w:vMerge w:val="restart"/>
                  <w:tcBorders>
                    <w:bottom w:val="nil"/>
                  </w:tcBorders>
                  <w:vAlign w:val="center"/>
                </w:tcPr>
                <w:p w14:paraId="1467699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小麦</w:t>
                  </w:r>
                </w:p>
              </w:tc>
              <w:tc>
                <w:tcPr>
                  <w:tcW w:w="963" w:type="dxa"/>
                  <w:vAlign w:val="center"/>
                </w:tcPr>
                <w:p w14:paraId="63CF93C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播前灌</w:t>
                  </w:r>
                </w:p>
              </w:tc>
              <w:tc>
                <w:tcPr>
                  <w:tcW w:w="1041" w:type="dxa"/>
                  <w:vAlign w:val="center"/>
                </w:tcPr>
                <w:p w14:paraId="28237A7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9月11日</w:t>
                  </w:r>
                </w:p>
              </w:tc>
              <w:tc>
                <w:tcPr>
                  <w:tcW w:w="1051" w:type="dxa"/>
                  <w:vAlign w:val="center"/>
                </w:tcPr>
                <w:p w14:paraId="01AC97E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9月30日</w:t>
                  </w:r>
                </w:p>
              </w:tc>
              <w:tc>
                <w:tcPr>
                  <w:tcW w:w="940" w:type="dxa"/>
                  <w:vAlign w:val="center"/>
                </w:tcPr>
                <w:p w14:paraId="742EBF2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20</w:t>
                  </w:r>
                </w:p>
              </w:tc>
              <w:tc>
                <w:tcPr>
                  <w:tcW w:w="984" w:type="dxa"/>
                  <w:vAlign w:val="center"/>
                </w:tcPr>
                <w:p w14:paraId="26A47EE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100%</w:t>
                  </w:r>
                </w:p>
              </w:tc>
              <w:tc>
                <w:tcPr>
                  <w:tcW w:w="765" w:type="dxa"/>
                  <w:vAlign w:val="center"/>
                </w:tcPr>
                <w:p w14:paraId="384C13F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w:t>
                  </w:r>
                </w:p>
              </w:tc>
              <w:tc>
                <w:tcPr>
                  <w:tcW w:w="767" w:type="dxa"/>
                  <w:vAlign w:val="center"/>
                </w:tcPr>
                <w:p w14:paraId="06B9A06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85</w:t>
                  </w:r>
                </w:p>
              </w:tc>
            </w:tr>
            <w:tr w14:paraId="4C277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continue"/>
                  <w:tcBorders>
                    <w:top w:val="nil"/>
                    <w:bottom w:val="nil"/>
                  </w:tcBorders>
                  <w:vAlign w:val="center"/>
                </w:tcPr>
                <w:p w14:paraId="3774288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802" w:type="dxa"/>
                  <w:vMerge w:val="continue"/>
                  <w:tcBorders>
                    <w:top w:val="nil"/>
                    <w:bottom w:val="nil"/>
                  </w:tcBorders>
                  <w:vAlign w:val="center"/>
                </w:tcPr>
                <w:p w14:paraId="2E6DB84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963" w:type="dxa"/>
                  <w:vAlign w:val="center"/>
                </w:tcPr>
                <w:p w14:paraId="3E8C56B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冬灌</w:t>
                  </w:r>
                </w:p>
              </w:tc>
              <w:tc>
                <w:tcPr>
                  <w:tcW w:w="1041" w:type="dxa"/>
                  <w:vAlign w:val="center"/>
                </w:tcPr>
                <w:p w14:paraId="0929183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11月10日</w:t>
                  </w:r>
                </w:p>
              </w:tc>
              <w:tc>
                <w:tcPr>
                  <w:tcW w:w="1051" w:type="dxa"/>
                  <w:vAlign w:val="center"/>
                </w:tcPr>
                <w:p w14:paraId="75255ED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12月10日</w:t>
                  </w:r>
                </w:p>
              </w:tc>
              <w:tc>
                <w:tcPr>
                  <w:tcW w:w="940" w:type="dxa"/>
                  <w:vAlign w:val="center"/>
                </w:tcPr>
                <w:p w14:paraId="4D348FA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31</w:t>
                  </w:r>
                </w:p>
              </w:tc>
              <w:tc>
                <w:tcPr>
                  <w:tcW w:w="984" w:type="dxa"/>
                  <w:vAlign w:val="center"/>
                </w:tcPr>
                <w:p w14:paraId="74385C3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100%</w:t>
                  </w:r>
                </w:p>
              </w:tc>
              <w:tc>
                <w:tcPr>
                  <w:tcW w:w="765" w:type="dxa"/>
                  <w:vAlign w:val="center"/>
                </w:tcPr>
                <w:p w14:paraId="1030911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w:t>
                  </w:r>
                </w:p>
              </w:tc>
              <w:tc>
                <w:tcPr>
                  <w:tcW w:w="767" w:type="dxa"/>
                  <w:vAlign w:val="center"/>
                </w:tcPr>
                <w:p w14:paraId="57E9761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110</w:t>
                  </w:r>
                </w:p>
              </w:tc>
            </w:tr>
            <w:tr w14:paraId="0CB89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continue"/>
                  <w:tcBorders>
                    <w:top w:val="nil"/>
                    <w:bottom w:val="nil"/>
                  </w:tcBorders>
                  <w:vAlign w:val="center"/>
                </w:tcPr>
                <w:p w14:paraId="63659A7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802" w:type="dxa"/>
                  <w:vMerge w:val="continue"/>
                  <w:tcBorders>
                    <w:top w:val="nil"/>
                    <w:bottom w:val="nil"/>
                  </w:tcBorders>
                  <w:vAlign w:val="center"/>
                </w:tcPr>
                <w:p w14:paraId="200601F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963" w:type="dxa"/>
                  <w:vAlign w:val="center"/>
                </w:tcPr>
                <w:p w14:paraId="35422EB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生长期</w:t>
                  </w:r>
                </w:p>
              </w:tc>
              <w:tc>
                <w:tcPr>
                  <w:tcW w:w="1041" w:type="dxa"/>
                  <w:vAlign w:val="center"/>
                </w:tcPr>
                <w:p w14:paraId="1A676EE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3月21日</w:t>
                  </w:r>
                </w:p>
              </w:tc>
              <w:tc>
                <w:tcPr>
                  <w:tcW w:w="1051" w:type="dxa"/>
                  <w:vAlign w:val="center"/>
                </w:tcPr>
                <w:p w14:paraId="0205932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3月31日</w:t>
                  </w:r>
                </w:p>
              </w:tc>
              <w:tc>
                <w:tcPr>
                  <w:tcW w:w="940" w:type="dxa"/>
                  <w:vAlign w:val="center"/>
                </w:tcPr>
                <w:p w14:paraId="6209587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11</w:t>
                  </w:r>
                </w:p>
              </w:tc>
              <w:tc>
                <w:tcPr>
                  <w:tcW w:w="984" w:type="dxa"/>
                  <w:vAlign w:val="center"/>
                </w:tcPr>
                <w:p w14:paraId="5AFE26A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100%</w:t>
                  </w:r>
                </w:p>
              </w:tc>
              <w:tc>
                <w:tcPr>
                  <w:tcW w:w="765" w:type="dxa"/>
                  <w:vAlign w:val="center"/>
                </w:tcPr>
                <w:p w14:paraId="6AB9BE7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w:t>
                  </w:r>
                </w:p>
              </w:tc>
              <w:tc>
                <w:tcPr>
                  <w:tcW w:w="767" w:type="dxa"/>
                  <w:vAlign w:val="center"/>
                </w:tcPr>
                <w:p w14:paraId="60D9207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85</w:t>
                  </w:r>
                </w:p>
              </w:tc>
            </w:tr>
            <w:tr w14:paraId="4D985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continue"/>
                  <w:tcBorders>
                    <w:top w:val="nil"/>
                    <w:bottom w:val="nil"/>
                  </w:tcBorders>
                  <w:vAlign w:val="center"/>
                </w:tcPr>
                <w:p w14:paraId="02A9600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802" w:type="dxa"/>
                  <w:vMerge w:val="continue"/>
                  <w:tcBorders>
                    <w:top w:val="nil"/>
                    <w:bottom w:val="nil"/>
                  </w:tcBorders>
                  <w:vAlign w:val="center"/>
                </w:tcPr>
                <w:p w14:paraId="4A0514C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963" w:type="dxa"/>
                  <w:vAlign w:val="center"/>
                </w:tcPr>
                <w:p w14:paraId="24D8631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生长期</w:t>
                  </w:r>
                </w:p>
              </w:tc>
              <w:tc>
                <w:tcPr>
                  <w:tcW w:w="1041" w:type="dxa"/>
                  <w:vAlign w:val="center"/>
                </w:tcPr>
                <w:p w14:paraId="13DFE03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4月1日</w:t>
                  </w:r>
                </w:p>
              </w:tc>
              <w:tc>
                <w:tcPr>
                  <w:tcW w:w="1051" w:type="dxa"/>
                  <w:vAlign w:val="center"/>
                </w:tcPr>
                <w:p w14:paraId="682AC3C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4月15日</w:t>
                  </w:r>
                </w:p>
              </w:tc>
              <w:tc>
                <w:tcPr>
                  <w:tcW w:w="940" w:type="dxa"/>
                  <w:vAlign w:val="center"/>
                </w:tcPr>
                <w:p w14:paraId="1946A25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15</w:t>
                  </w:r>
                </w:p>
              </w:tc>
              <w:tc>
                <w:tcPr>
                  <w:tcW w:w="984" w:type="dxa"/>
                  <w:vAlign w:val="center"/>
                </w:tcPr>
                <w:p w14:paraId="09497D3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100%</w:t>
                  </w:r>
                </w:p>
              </w:tc>
              <w:tc>
                <w:tcPr>
                  <w:tcW w:w="765" w:type="dxa"/>
                  <w:vAlign w:val="center"/>
                </w:tcPr>
                <w:p w14:paraId="417295A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w:t>
                  </w:r>
                </w:p>
              </w:tc>
              <w:tc>
                <w:tcPr>
                  <w:tcW w:w="767" w:type="dxa"/>
                  <w:vAlign w:val="center"/>
                </w:tcPr>
                <w:p w14:paraId="18795E8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95</w:t>
                  </w:r>
                </w:p>
              </w:tc>
            </w:tr>
            <w:tr w14:paraId="09D3F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continue"/>
                  <w:tcBorders>
                    <w:top w:val="nil"/>
                    <w:bottom w:val="nil"/>
                  </w:tcBorders>
                  <w:vAlign w:val="center"/>
                </w:tcPr>
                <w:p w14:paraId="0F0DCA3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802" w:type="dxa"/>
                  <w:vMerge w:val="continue"/>
                  <w:tcBorders>
                    <w:top w:val="nil"/>
                    <w:bottom w:val="nil"/>
                  </w:tcBorders>
                  <w:vAlign w:val="center"/>
                </w:tcPr>
                <w:p w14:paraId="28CFEB2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963" w:type="dxa"/>
                  <w:vAlign w:val="center"/>
                </w:tcPr>
                <w:p w14:paraId="4349031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生长期</w:t>
                  </w:r>
                </w:p>
              </w:tc>
              <w:tc>
                <w:tcPr>
                  <w:tcW w:w="1041" w:type="dxa"/>
                  <w:vAlign w:val="center"/>
                </w:tcPr>
                <w:p w14:paraId="64314DF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4月16日</w:t>
                  </w:r>
                </w:p>
              </w:tc>
              <w:tc>
                <w:tcPr>
                  <w:tcW w:w="1051" w:type="dxa"/>
                  <w:vAlign w:val="center"/>
                </w:tcPr>
                <w:p w14:paraId="5900272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4月30日</w:t>
                  </w:r>
                </w:p>
              </w:tc>
              <w:tc>
                <w:tcPr>
                  <w:tcW w:w="940" w:type="dxa"/>
                  <w:vAlign w:val="center"/>
                </w:tcPr>
                <w:p w14:paraId="73EF69C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15</w:t>
                  </w:r>
                </w:p>
              </w:tc>
              <w:tc>
                <w:tcPr>
                  <w:tcW w:w="984" w:type="dxa"/>
                  <w:vAlign w:val="center"/>
                </w:tcPr>
                <w:p w14:paraId="0901E83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100%</w:t>
                  </w:r>
                </w:p>
              </w:tc>
              <w:tc>
                <w:tcPr>
                  <w:tcW w:w="765" w:type="dxa"/>
                  <w:vAlign w:val="center"/>
                </w:tcPr>
                <w:p w14:paraId="4BBB1C6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w:t>
                  </w:r>
                </w:p>
              </w:tc>
              <w:tc>
                <w:tcPr>
                  <w:tcW w:w="767" w:type="dxa"/>
                  <w:vAlign w:val="center"/>
                </w:tcPr>
                <w:p w14:paraId="593A805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90</w:t>
                  </w:r>
                </w:p>
              </w:tc>
            </w:tr>
            <w:tr w14:paraId="409B3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continue"/>
                  <w:tcBorders>
                    <w:top w:val="nil"/>
                    <w:bottom w:val="nil"/>
                  </w:tcBorders>
                  <w:vAlign w:val="center"/>
                </w:tcPr>
                <w:p w14:paraId="1CE60CE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802" w:type="dxa"/>
                  <w:vMerge w:val="continue"/>
                  <w:tcBorders>
                    <w:top w:val="nil"/>
                    <w:bottom w:val="nil"/>
                  </w:tcBorders>
                  <w:vAlign w:val="center"/>
                </w:tcPr>
                <w:p w14:paraId="64BA403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963" w:type="dxa"/>
                  <w:vAlign w:val="center"/>
                </w:tcPr>
                <w:p w14:paraId="4765B93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生长期</w:t>
                  </w:r>
                </w:p>
              </w:tc>
              <w:tc>
                <w:tcPr>
                  <w:tcW w:w="1041" w:type="dxa"/>
                  <w:vAlign w:val="center"/>
                </w:tcPr>
                <w:p w14:paraId="6610959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5月1日</w:t>
                  </w:r>
                </w:p>
              </w:tc>
              <w:tc>
                <w:tcPr>
                  <w:tcW w:w="1051" w:type="dxa"/>
                  <w:vAlign w:val="center"/>
                </w:tcPr>
                <w:p w14:paraId="30953B0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5月14日</w:t>
                  </w:r>
                </w:p>
              </w:tc>
              <w:tc>
                <w:tcPr>
                  <w:tcW w:w="940" w:type="dxa"/>
                  <w:vAlign w:val="center"/>
                </w:tcPr>
                <w:p w14:paraId="09C3B62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14</w:t>
                  </w:r>
                </w:p>
              </w:tc>
              <w:tc>
                <w:tcPr>
                  <w:tcW w:w="984" w:type="dxa"/>
                  <w:vAlign w:val="center"/>
                </w:tcPr>
                <w:p w14:paraId="41398E5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100%</w:t>
                  </w:r>
                </w:p>
              </w:tc>
              <w:tc>
                <w:tcPr>
                  <w:tcW w:w="765" w:type="dxa"/>
                  <w:vAlign w:val="center"/>
                </w:tcPr>
                <w:p w14:paraId="318A875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w:t>
                  </w:r>
                </w:p>
              </w:tc>
              <w:tc>
                <w:tcPr>
                  <w:tcW w:w="767" w:type="dxa"/>
                  <w:vAlign w:val="center"/>
                </w:tcPr>
                <w:p w14:paraId="6DBCB2C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75</w:t>
                  </w:r>
                </w:p>
              </w:tc>
            </w:tr>
            <w:tr w14:paraId="3D50F3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continue"/>
                  <w:tcBorders>
                    <w:top w:val="nil"/>
                  </w:tcBorders>
                  <w:vAlign w:val="center"/>
                </w:tcPr>
                <w:p w14:paraId="3BA68FC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802" w:type="dxa"/>
                  <w:vMerge w:val="continue"/>
                  <w:tcBorders>
                    <w:top w:val="nil"/>
                  </w:tcBorders>
                  <w:vAlign w:val="center"/>
                </w:tcPr>
                <w:p w14:paraId="3B883B4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5744" w:type="dxa"/>
                  <w:gridSpan w:val="6"/>
                  <w:vAlign w:val="center"/>
                </w:tcPr>
                <w:p w14:paraId="6B44CAB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灌溉定额</w:t>
                  </w:r>
                </w:p>
              </w:tc>
              <w:tc>
                <w:tcPr>
                  <w:tcW w:w="767" w:type="dxa"/>
                  <w:vAlign w:val="center"/>
                </w:tcPr>
                <w:p w14:paraId="43CD525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540</w:t>
                  </w:r>
                </w:p>
              </w:tc>
            </w:tr>
            <w:tr w14:paraId="0F22D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restart"/>
                  <w:tcBorders>
                    <w:bottom w:val="nil"/>
                  </w:tcBorders>
                  <w:vAlign w:val="center"/>
                </w:tcPr>
                <w:p w14:paraId="41DF18A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9.97%</w:t>
                  </w:r>
                </w:p>
              </w:tc>
              <w:tc>
                <w:tcPr>
                  <w:tcW w:w="802" w:type="dxa"/>
                  <w:vMerge w:val="restart"/>
                  <w:tcBorders>
                    <w:bottom w:val="nil"/>
                  </w:tcBorders>
                  <w:vAlign w:val="center"/>
                </w:tcPr>
                <w:p w14:paraId="766C856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滴灌小麦</w:t>
                  </w:r>
                </w:p>
              </w:tc>
              <w:tc>
                <w:tcPr>
                  <w:tcW w:w="963" w:type="dxa"/>
                  <w:vAlign w:val="center"/>
                </w:tcPr>
                <w:p w14:paraId="7F8A099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播前灌</w:t>
                  </w:r>
                </w:p>
              </w:tc>
              <w:tc>
                <w:tcPr>
                  <w:tcW w:w="1041" w:type="dxa"/>
                  <w:vAlign w:val="center"/>
                </w:tcPr>
                <w:p w14:paraId="39CE580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9月21日</w:t>
                  </w:r>
                </w:p>
              </w:tc>
              <w:tc>
                <w:tcPr>
                  <w:tcW w:w="1051" w:type="dxa"/>
                  <w:vAlign w:val="center"/>
                </w:tcPr>
                <w:p w14:paraId="05E95C5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10月10日</w:t>
                  </w:r>
                </w:p>
              </w:tc>
              <w:tc>
                <w:tcPr>
                  <w:tcW w:w="940" w:type="dxa"/>
                  <w:vAlign w:val="center"/>
                </w:tcPr>
                <w:p w14:paraId="2901B89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20</w:t>
                  </w:r>
                </w:p>
              </w:tc>
              <w:tc>
                <w:tcPr>
                  <w:tcW w:w="984" w:type="dxa"/>
                  <w:vAlign w:val="center"/>
                </w:tcPr>
                <w:p w14:paraId="57BD7D4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100%</w:t>
                  </w:r>
                </w:p>
              </w:tc>
              <w:tc>
                <w:tcPr>
                  <w:tcW w:w="765" w:type="dxa"/>
                  <w:vAlign w:val="center"/>
                </w:tcPr>
                <w:p w14:paraId="6380E2A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w:t>
                  </w:r>
                </w:p>
              </w:tc>
              <w:tc>
                <w:tcPr>
                  <w:tcW w:w="767" w:type="dxa"/>
                  <w:vAlign w:val="center"/>
                </w:tcPr>
                <w:p w14:paraId="436B915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60</w:t>
                  </w:r>
                </w:p>
              </w:tc>
            </w:tr>
            <w:tr w14:paraId="760C7F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continue"/>
                  <w:tcBorders>
                    <w:top w:val="nil"/>
                    <w:bottom w:val="nil"/>
                  </w:tcBorders>
                  <w:vAlign w:val="center"/>
                </w:tcPr>
                <w:p w14:paraId="3C667D8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802" w:type="dxa"/>
                  <w:vMerge w:val="continue"/>
                  <w:tcBorders>
                    <w:top w:val="nil"/>
                    <w:bottom w:val="nil"/>
                  </w:tcBorders>
                  <w:vAlign w:val="center"/>
                </w:tcPr>
                <w:p w14:paraId="433928C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963" w:type="dxa"/>
                  <w:vAlign w:val="center"/>
                </w:tcPr>
                <w:p w14:paraId="131B965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冬灌</w:t>
                  </w:r>
                </w:p>
              </w:tc>
              <w:tc>
                <w:tcPr>
                  <w:tcW w:w="1041" w:type="dxa"/>
                  <w:vAlign w:val="center"/>
                </w:tcPr>
                <w:p w14:paraId="2352D41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11月10日</w:t>
                  </w:r>
                </w:p>
              </w:tc>
              <w:tc>
                <w:tcPr>
                  <w:tcW w:w="1051" w:type="dxa"/>
                  <w:vAlign w:val="center"/>
                </w:tcPr>
                <w:p w14:paraId="2FF7259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12月10日</w:t>
                  </w:r>
                </w:p>
              </w:tc>
              <w:tc>
                <w:tcPr>
                  <w:tcW w:w="940" w:type="dxa"/>
                  <w:vAlign w:val="center"/>
                </w:tcPr>
                <w:p w14:paraId="56BE0C7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31</w:t>
                  </w:r>
                </w:p>
              </w:tc>
              <w:tc>
                <w:tcPr>
                  <w:tcW w:w="984" w:type="dxa"/>
                  <w:vAlign w:val="center"/>
                </w:tcPr>
                <w:p w14:paraId="5661542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100%</w:t>
                  </w:r>
                </w:p>
              </w:tc>
              <w:tc>
                <w:tcPr>
                  <w:tcW w:w="765" w:type="dxa"/>
                  <w:vAlign w:val="center"/>
                </w:tcPr>
                <w:p w14:paraId="447380A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w:t>
                  </w:r>
                </w:p>
              </w:tc>
              <w:tc>
                <w:tcPr>
                  <w:tcW w:w="767" w:type="dxa"/>
                  <w:vAlign w:val="center"/>
                </w:tcPr>
                <w:p w14:paraId="4507EC4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110</w:t>
                  </w:r>
                </w:p>
              </w:tc>
            </w:tr>
            <w:tr w14:paraId="453D36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continue"/>
                  <w:tcBorders>
                    <w:top w:val="nil"/>
                    <w:bottom w:val="nil"/>
                  </w:tcBorders>
                  <w:vAlign w:val="center"/>
                </w:tcPr>
                <w:p w14:paraId="2750FCD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802" w:type="dxa"/>
                  <w:vMerge w:val="continue"/>
                  <w:tcBorders>
                    <w:top w:val="nil"/>
                    <w:bottom w:val="nil"/>
                  </w:tcBorders>
                  <w:vAlign w:val="center"/>
                </w:tcPr>
                <w:p w14:paraId="633B653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963" w:type="dxa"/>
                  <w:vAlign w:val="center"/>
                </w:tcPr>
                <w:p w14:paraId="607FF0A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生长期</w:t>
                  </w:r>
                </w:p>
              </w:tc>
              <w:tc>
                <w:tcPr>
                  <w:tcW w:w="1041" w:type="dxa"/>
                  <w:vAlign w:val="center"/>
                </w:tcPr>
                <w:p w14:paraId="5E6139B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3月17日</w:t>
                  </w:r>
                </w:p>
              </w:tc>
              <w:tc>
                <w:tcPr>
                  <w:tcW w:w="1051" w:type="dxa"/>
                  <w:vAlign w:val="center"/>
                </w:tcPr>
                <w:p w14:paraId="69EB57E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3月23日</w:t>
                  </w:r>
                </w:p>
              </w:tc>
              <w:tc>
                <w:tcPr>
                  <w:tcW w:w="940" w:type="dxa"/>
                  <w:vAlign w:val="center"/>
                </w:tcPr>
                <w:p w14:paraId="6669DC3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7</w:t>
                  </w:r>
                </w:p>
              </w:tc>
              <w:tc>
                <w:tcPr>
                  <w:tcW w:w="984" w:type="dxa"/>
                  <w:vAlign w:val="center"/>
                </w:tcPr>
                <w:p w14:paraId="6FFF2ED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100%</w:t>
                  </w:r>
                </w:p>
              </w:tc>
              <w:tc>
                <w:tcPr>
                  <w:tcW w:w="765" w:type="dxa"/>
                  <w:vAlign w:val="center"/>
                </w:tcPr>
                <w:p w14:paraId="65939AD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w:t>
                  </w:r>
                </w:p>
              </w:tc>
              <w:tc>
                <w:tcPr>
                  <w:tcW w:w="767" w:type="dxa"/>
                  <w:vAlign w:val="center"/>
                </w:tcPr>
                <w:p w14:paraId="3D25431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30</w:t>
                  </w:r>
                </w:p>
              </w:tc>
            </w:tr>
            <w:tr w14:paraId="737673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continue"/>
                  <w:tcBorders>
                    <w:top w:val="nil"/>
                    <w:bottom w:val="nil"/>
                  </w:tcBorders>
                  <w:vAlign w:val="center"/>
                </w:tcPr>
                <w:p w14:paraId="76F918F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802" w:type="dxa"/>
                  <w:vMerge w:val="continue"/>
                  <w:tcBorders>
                    <w:top w:val="nil"/>
                    <w:bottom w:val="nil"/>
                  </w:tcBorders>
                  <w:vAlign w:val="center"/>
                </w:tcPr>
                <w:p w14:paraId="7241AF7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963" w:type="dxa"/>
                  <w:vAlign w:val="center"/>
                </w:tcPr>
                <w:p w14:paraId="2C4DB69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生长期</w:t>
                  </w:r>
                </w:p>
              </w:tc>
              <w:tc>
                <w:tcPr>
                  <w:tcW w:w="1041" w:type="dxa"/>
                  <w:vAlign w:val="center"/>
                </w:tcPr>
                <w:p w14:paraId="46E2EE4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3月24日</w:t>
                  </w:r>
                </w:p>
              </w:tc>
              <w:tc>
                <w:tcPr>
                  <w:tcW w:w="1051" w:type="dxa"/>
                  <w:vAlign w:val="center"/>
                </w:tcPr>
                <w:p w14:paraId="21A3D15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3月30日</w:t>
                  </w:r>
                </w:p>
              </w:tc>
              <w:tc>
                <w:tcPr>
                  <w:tcW w:w="940" w:type="dxa"/>
                  <w:vAlign w:val="center"/>
                </w:tcPr>
                <w:p w14:paraId="74723C8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7</w:t>
                  </w:r>
                </w:p>
              </w:tc>
              <w:tc>
                <w:tcPr>
                  <w:tcW w:w="984" w:type="dxa"/>
                  <w:vAlign w:val="center"/>
                </w:tcPr>
                <w:p w14:paraId="6618994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100%</w:t>
                  </w:r>
                </w:p>
              </w:tc>
              <w:tc>
                <w:tcPr>
                  <w:tcW w:w="765" w:type="dxa"/>
                  <w:vAlign w:val="center"/>
                </w:tcPr>
                <w:p w14:paraId="6E9C925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w:t>
                  </w:r>
                </w:p>
              </w:tc>
              <w:tc>
                <w:tcPr>
                  <w:tcW w:w="767" w:type="dxa"/>
                  <w:vAlign w:val="center"/>
                </w:tcPr>
                <w:p w14:paraId="520BE2A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30</w:t>
                  </w:r>
                </w:p>
              </w:tc>
            </w:tr>
            <w:tr w14:paraId="40CDF5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continue"/>
                  <w:tcBorders>
                    <w:top w:val="nil"/>
                    <w:bottom w:val="nil"/>
                  </w:tcBorders>
                  <w:vAlign w:val="center"/>
                </w:tcPr>
                <w:p w14:paraId="3EC437E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802" w:type="dxa"/>
                  <w:vMerge w:val="continue"/>
                  <w:tcBorders>
                    <w:top w:val="nil"/>
                    <w:bottom w:val="nil"/>
                  </w:tcBorders>
                  <w:vAlign w:val="center"/>
                </w:tcPr>
                <w:p w14:paraId="5E12487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963" w:type="dxa"/>
                  <w:vAlign w:val="center"/>
                </w:tcPr>
                <w:p w14:paraId="327022A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生长期</w:t>
                  </w:r>
                </w:p>
              </w:tc>
              <w:tc>
                <w:tcPr>
                  <w:tcW w:w="1041" w:type="dxa"/>
                  <w:vAlign w:val="center"/>
                </w:tcPr>
                <w:p w14:paraId="4C92E97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4月1日</w:t>
                  </w:r>
                </w:p>
              </w:tc>
              <w:tc>
                <w:tcPr>
                  <w:tcW w:w="1051" w:type="dxa"/>
                  <w:vAlign w:val="center"/>
                </w:tcPr>
                <w:p w14:paraId="25F1A1A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4月7日</w:t>
                  </w:r>
                </w:p>
              </w:tc>
              <w:tc>
                <w:tcPr>
                  <w:tcW w:w="940" w:type="dxa"/>
                  <w:vAlign w:val="center"/>
                </w:tcPr>
                <w:p w14:paraId="4EBAB4D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7</w:t>
                  </w:r>
                </w:p>
              </w:tc>
              <w:tc>
                <w:tcPr>
                  <w:tcW w:w="984" w:type="dxa"/>
                  <w:vAlign w:val="center"/>
                </w:tcPr>
                <w:p w14:paraId="1EEE732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100%</w:t>
                  </w:r>
                </w:p>
              </w:tc>
              <w:tc>
                <w:tcPr>
                  <w:tcW w:w="765" w:type="dxa"/>
                  <w:vAlign w:val="center"/>
                </w:tcPr>
                <w:p w14:paraId="55B5A72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w:t>
                  </w:r>
                </w:p>
              </w:tc>
              <w:tc>
                <w:tcPr>
                  <w:tcW w:w="767" w:type="dxa"/>
                  <w:vAlign w:val="center"/>
                </w:tcPr>
                <w:p w14:paraId="51EAD34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35</w:t>
                  </w:r>
                </w:p>
              </w:tc>
            </w:tr>
            <w:tr w14:paraId="18294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continue"/>
                  <w:tcBorders>
                    <w:top w:val="nil"/>
                    <w:bottom w:val="nil"/>
                  </w:tcBorders>
                  <w:vAlign w:val="center"/>
                </w:tcPr>
                <w:p w14:paraId="516EA51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802" w:type="dxa"/>
                  <w:vMerge w:val="continue"/>
                  <w:tcBorders>
                    <w:top w:val="nil"/>
                    <w:bottom w:val="nil"/>
                  </w:tcBorders>
                  <w:vAlign w:val="center"/>
                </w:tcPr>
                <w:p w14:paraId="1FB8013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963" w:type="dxa"/>
                  <w:vAlign w:val="center"/>
                </w:tcPr>
                <w:p w14:paraId="6506708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生长期</w:t>
                  </w:r>
                </w:p>
              </w:tc>
              <w:tc>
                <w:tcPr>
                  <w:tcW w:w="1041" w:type="dxa"/>
                  <w:vAlign w:val="center"/>
                </w:tcPr>
                <w:p w14:paraId="0AED08F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4月8日</w:t>
                  </w:r>
                </w:p>
              </w:tc>
              <w:tc>
                <w:tcPr>
                  <w:tcW w:w="1051" w:type="dxa"/>
                  <w:vAlign w:val="center"/>
                </w:tcPr>
                <w:p w14:paraId="619545D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4月14日</w:t>
                  </w:r>
                </w:p>
              </w:tc>
              <w:tc>
                <w:tcPr>
                  <w:tcW w:w="940" w:type="dxa"/>
                  <w:vAlign w:val="center"/>
                </w:tcPr>
                <w:p w14:paraId="1221657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7</w:t>
                  </w:r>
                </w:p>
              </w:tc>
              <w:tc>
                <w:tcPr>
                  <w:tcW w:w="984" w:type="dxa"/>
                  <w:vAlign w:val="center"/>
                </w:tcPr>
                <w:p w14:paraId="25E2BF6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100%</w:t>
                  </w:r>
                </w:p>
              </w:tc>
              <w:tc>
                <w:tcPr>
                  <w:tcW w:w="765" w:type="dxa"/>
                  <w:vAlign w:val="center"/>
                </w:tcPr>
                <w:p w14:paraId="582EC9F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w:t>
                  </w:r>
                </w:p>
              </w:tc>
              <w:tc>
                <w:tcPr>
                  <w:tcW w:w="767" w:type="dxa"/>
                  <w:vAlign w:val="center"/>
                </w:tcPr>
                <w:p w14:paraId="44C5787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35</w:t>
                  </w:r>
                </w:p>
              </w:tc>
            </w:tr>
            <w:tr w14:paraId="59464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continue"/>
                  <w:tcBorders>
                    <w:top w:val="nil"/>
                    <w:bottom w:val="nil"/>
                  </w:tcBorders>
                  <w:vAlign w:val="center"/>
                </w:tcPr>
                <w:p w14:paraId="4DB38CC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802" w:type="dxa"/>
                  <w:vMerge w:val="continue"/>
                  <w:tcBorders>
                    <w:top w:val="nil"/>
                    <w:bottom w:val="nil"/>
                  </w:tcBorders>
                  <w:vAlign w:val="center"/>
                </w:tcPr>
                <w:p w14:paraId="074AA0D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963" w:type="dxa"/>
                  <w:vAlign w:val="center"/>
                </w:tcPr>
                <w:p w14:paraId="1B996B3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生长期</w:t>
                  </w:r>
                </w:p>
              </w:tc>
              <w:tc>
                <w:tcPr>
                  <w:tcW w:w="1041" w:type="dxa"/>
                  <w:vAlign w:val="center"/>
                </w:tcPr>
                <w:p w14:paraId="17834F2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4月15日</w:t>
                  </w:r>
                </w:p>
              </w:tc>
              <w:tc>
                <w:tcPr>
                  <w:tcW w:w="1051" w:type="dxa"/>
                  <w:vAlign w:val="center"/>
                </w:tcPr>
                <w:p w14:paraId="13A8FD6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4月21日</w:t>
                  </w:r>
                </w:p>
              </w:tc>
              <w:tc>
                <w:tcPr>
                  <w:tcW w:w="940" w:type="dxa"/>
                  <w:vAlign w:val="center"/>
                </w:tcPr>
                <w:p w14:paraId="6951FC7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7</w:t>
                  </w:r>
                </w:p>
              </w:tc>
              <w:tc>
                <w:tcPr>
                  <w:tcW w:w="984" w:type="dxa"/>
                  <w:vAlign w:val="center"/>
                </w:tcPr>
                <w:p w14:paraId="12B61CF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100%</w:t>
                  </w:r>
                </w:p>
              </w:tc>
              <w:tc>
                <w:tcPr>
                  <w:tcW w:w="765" w:type="dxa"/>
                  <w:vAlign w:val="center"/>
                </w:tcPr>
                <w:p w14:paraId="556309C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w:t>
                  </w:r>
                </w:p>
              </w:tc>
              <w:tc>
                <w:tcPr>
                  <w:tcW w:w="767" w:type="dxa"/>
                  <w:vAlign w:val="center"/>
                </w:tcPr>
                <w:p w14:paraId="73AF47D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35</w:t>
                  </w:r>
                </w:p>
              </w:tc>
            </w:tr>
            <w:tr w14:paraId="5AC2F2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continue"/>
                  <w:tcBorders>
                    <w:top w:val="nil"/>
                    <w:bottom w:val="nil"/>
                  </w:tcBorders>
                  <w:vAlign w:val="center"/>
                </w:tcPr>
                <w:p w14:paraId="783E48D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802" w:type="dxa"/>
                  <w:vMerge w:val="continue"/>
                  <w:tcBorders>
                    <w:top w:val="nil"/>
                    <w:bottom w:val="nil"/>
                  </w:tcBorders>
                  <w:vAlign w:val="center"/>
                </w:tcPr>
                <w:p w14:paraId="54912E2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963" w:type="dxa"/>
                  <w:vAlign w:val="center"/>
                </w:tcPr>
                <w:p w14:paraId="0291867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生长期</w:t>
                  </w:r>
                </w:p>
              </w:tc>
              <w:tc>
                <w:tcPr>
                  <w:tcW w:w="1041" w:type="dxa"/>
                  <w:vAlign w:val="center"/>
                </w:tcPr>
                <w:p w14:paraId="3452555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4月22日</w:t>
                  </w:r>
                </w:p>
              </w:tc>
              <w:tc>
                <w:tcPr>
                  <w:tcW w:w="1051" w:type="dxa"/>
                  <w:vAlign w:val="center"/>
                </w:tcPr>
                <w:p w14:paraId="471BB0D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4月28日</w:t>
                  </w:r>
                </w:p>
              </w:tc>
              <w:tc>
                <w:tcPr>
                  <w:tcW w:w="940" w:type="dxa"/>
                  <w:vAlign w:val="center"/>
                </w:tcPr>
                <w:p w14:paraId="0566C47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7</w:t>
                  </w:r>
                </w:p>
              </w:tc>
              <w:tc>
                <w:tcPr>
                  <w:tcW w:w="984" w:type="dxa"/>
                  <w:vAlign w:val="center"/>
                </w:tcPr>
                <w:p w14:paraId="7E50E3C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100%</w:t>
                  </w:r>
                </w:p>
              </w:tc>
              <w:tc>
                <w:tcPr>
                  <w:tcW w:w="765" w:type="dxa"/>
                  <w:vAlign w:val="center"/>
                </w:tcPr>
                <w:p w14:paraId="4053AEB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w:t>
                  </w:r>
                </w:p>
              </w:tc>
              <w:tc>
                <w:tcPr>
                  <w:tcW w:w="767" w:type="dxa"/>
                  <w:vAlign w:val="center"/>
                </w:tcPr>
                <w:p w14:paraId="75FD965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35</w:t>
                  </w:r>
                </w:p>
              </w:tc>
            </w:tr>
            <w:tr w14:paraId="48E99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continue"/>
                  <w:tcBorders>
                    <w:top w:val="nil"/>
                    <w:bottom w:val="nil"/>
                  </w:tcBorders>
                  <w:vAlign w:val="center"/>
                </w:tcPr>
                <w:p w14:paraId="3F0F910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802" w:type="dxa"/>
                  <w:vMerge w:val="continue"/>
                  <w:tcBorders>
                    <w:top w:val="nil"/>
                    <w:bottom w:val="nil"/>
                  </w:tcBorders>
                  <w:vAlign w:val="center"/>
                </w:tcPr>
                <w:p w14:paraId="3F3F835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963" w:type="dxa"/>
                  <w:vAlign w:val="center"/>
                </w:tcPr>
                <w:p w14:paraId="6BB3471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生长期</w:t>
                  </w:r>
                </w:p>
              </w:tc>
              <w:tc>
                <w:tcPr>
                  <w:tcW w:w="1041" w:type="dxa"/>
                  <w:vAlign w:val="center"/>
                </w:tcPr>
                <w:p w14:paraId="6BD213D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4月29日</w:t>
                  </w:r>
                </w:p>
              </w:tc>
              <w:tc>
                <w:tcPr>
                  <w:tcW w:w="1051" w:type="dxa"/>
                  <w:vAlign w:val="center"/>
                </w:tcPr>
                <w:p w14:paraId="198F2A8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5月5日</w:t>
                  </w:r>
                </w:p>
              </w:tc>
              <w:tc>
                <w:tcPr>
                  <w:tcW w:w="940" w:type="dxa"/>
                  <w:vAlign w:val="center"/>
                </w:tcPr>
                <w:p w14:paraId="39358BB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7</w:t>
                  </w:r>
                </w:p>
              </w:tc>
              <w:tc>
                <w:tcPr>
                  <w:tcW w:w="984" w:type="dxa"/>
                  <w:vAlign w:val="center"/>
                </w:tcPr>
                <w:p w14:paraId="5C02911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100%</w:t>
                  </w:r>
                </w:p>
              </w:tc>
              <w:tc>
                <w:tcPr>
                  <w:tcW w:w="765" w:type="dxa"/>
                  <w:vAlign w:val="center"/>
                </w:tcPr>
                <w:p w14:paraId="1476006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w:t>
                  </w:r>
                </w:p>
              </w:tc>
              <w:tc>
                <w:tcPr>
                  <w:tcW w:w="767" w:type="dxa"/>
                  <w:vAlign w:val="center"/>
                </w:tcPr>
                <w:p w14:paraId="69DA637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30</w:t>
                  </w:r>
                </w:p>
              </w:tc>
            </w:tr>
            <w:tr w14:paraId="41C3DF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continue"/>
                  <w:tcBorders>
                    <w:top w:val="nil"/>
                    <w:bottom w:val="nil"/>
                  </w:tcBorders>
                  <w:vAlign w:val="center"/>
                </w:tcPr>
                <w:p w14:paraId="3FF8EF1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802" w:type="dxa"/>
                  <w:vMerge w:val="continue"/>
                  <w:tcBorders>
                    <w:top w:val="nil"/>
                    <w:bottom w:val="nil"/>
                  </w:tcBorders>
                  <w:vAlign w:val="center"/>
                </w:tcPr>
                <w:p w14:paraId="52F1B7F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963" w:type="dxa"/>
                  <w:vAlign w:val="center"/>
                </w:tcPr>
                <w:p w14:paraId="7EA6AB6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生长期</w:t>
                  </w:r>
                </w:p>
              </w:tc>
              <w:tc>
                <w:tcPr>
                  <w:tcW w:w="1041" w:type="dxa"/>
                  <w:vAlign w:val="center"/>
                </w:tcPr>
                <w:p w14:paraId="4E85227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5月6日</w:t>
                  </w:r>
                </w:p>
              </w:tc>
              <w:tc>
                <w:tcPr>
                  <w:tcW w:w="1051" w:type="dxa"/>
                  <w:vAlign w:val="center"/>
                </w:tcPr>
                <w:p w14:paraId="45F7EE9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5月12日</w:t>
                  </w:r>
                </w:p>
              </w:tc>
              <w:tc>
                <w:tcPr>
                  <w:tcW w:w="940" w:type="dxa"/>
                  <w:vAlign w:val="center"/>
                </w:tcPr>
                <w:p w14:paraId="0140173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7</w:t>
                  </w:r>
                </w:p>
              </w:tc>
              <w:tc>
                <w:tcPr>
                  <w:tcW w:w="984" w:type="dxa"/>
                  <w:vAlign w:val="center"/>
                </w:tcPr>
                <w:p w14:paraId="3C26597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100%</w:t>
                  </w:r>
                </w:p>
              </w:tc>
              <w:tc>
                <w:tcPr>
                  <w:tcW w:w="765" w:type="dxa"/>
                  <w:vAlign w:val="center"/>
                </w:tcPr>
                <w:p w14:paraId="1F81A0C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w:t>
                  </w:r>
                </w:p>
              </w:tc>
              <w:tc>
                <w:tcPr>
                  <w:tcW w:w="767" w:type="dxa"/>
                  <w:vAlign w:val="center"/>
                </w:tcPr>
                <w:p w14:paraId="5243CD1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25</w:t>
                  </w:r>
                </w:p>
              </w:tc>
            </w:tr>
            <w:tr w14:paraId="1E0A9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continue"/>
                  <w:tcBorders>
                    <w:top w:val="nil"/>
                  </w:tcBorders>
                  <w:vAlign w:val="center"/>
                </w:tcPr>
                <w:p w14:paraId="2967C5F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802" w:type="dxa"/>
                  <w:vMerge w:val="continue"/>
                  <w:tcBorders>
                    <w:top w:val="nil"/>
                  </w:tcBorders>
                  <w:vAlign w:val="center"/>
                </w:tcPr>
                <w:p w14:paraId="4E7979C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5744" w:type="dxa"/>
                  <w:gridSpan w:val="6"/>
                  <w:vAlign w:val="center"/>
                </w:tcPr>
                <w:p w14:paraId="0DE2233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灌溉定额</w:t>
                  </w:r>
                </w:p>
              </w:tc>
              <w:tc>
                <w:tcPr>
                  <w:tcW w:w="767" w:type="dxa"/>
                  <w:vAlign w:val="center"/>
                </w:tcPr>
                <w:p w14:paraId="5ACF36F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425</w:t>
                  </w:r>
                </w:p>
              </w:tc>
            </w:tr>
            <w:tr w14:paraId="587E5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restart"/>
                  <w:tcBorders>
                    <w:bottom w:val="nil"/>
                  </w:tcBorders>
                  <w:vAlign w:val="center"/>
                </w:tcPr>
                <w:p w14:paraId="2CA7070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11.08%</w:t>
                  </w:r>
                </w:p>
              </w:tc>
              <w:tc>
                <w:tcPr>
                  <w:tcW w:w="802" w:type="dxa"/>
                  <w:vMerge w:val="restart"/>
                  <w:tcBorders>
                    <w:bottom w:val="nil"/>
                  </w:tcBorders>
                  <w:vAlign w:val="center"/>
                </w:tcPr>
                <w:p w14:paraId="68CCCEA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玉米</w:t>
                  </w:r>
                </w:p>
              </w:tc>
              <w:tc>
                <w:tcPr>
                  <w:tcW w:w="963" w:type="dxa"/>
                  <w:vAlign w:val="center"/>
                </w:tcPr>
                <w:p w14:paraId="0CC7688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播前灌</w:t>
                  </w:r>
                </w:p>
              </w:tc>
              <w:tc>
                <w:tcPr>
                  <w:tcW w:w="1041" w:type="dxa"/>
                  <w:vAlign w:val="center"/>
                </w:tcPr>
                <w:p w14:paraId="6B40182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3月1日</w:t>
                  </w:r>
                </w:p>
              </w:tc>
              <w:tc>
                <w:tcPr>
                  <w:tcW w:w="1051" w:type="dxa"/>
                  <w:vAlign w:val="center"/>
                </w:tcPr>
                <w:p w14:paraId="682E1A7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3月15日</w:t>
                  </w:r>
                </w:p>
              </w:tc>
              <w:tc>
                <w:tcPr>
                  <w:tcW w:w="940" w:type="dxa"/>
                  <w:vAlign w:val="center"/>
                </w:tcPr>
                <w:p w14:paraId="6E99BF4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15</w:t>
                  </w:r>
                </w:p>
              </w:tc>
              <w:tc>
                <w:tcPr>
                  <w:tcW w:w="984" w:type="dxa"/>
                  <w:vAlign w:val="center"/>
                </w:tcPr>
                <w:p w14:paraId="165B159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100%</w:t>
                  </w:r>
                </w:p>
              </w:tc>
              <w:tc>
                <w:tcPr>
                  <w:tcW w:w="765" w:type="dxa"/>
                  <w:vAlign w:val="center"/>
                </w:tcPr>
                <w:p w14:paraId="194A9BD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w:t>
                  </w:r>
                </w:p>
              </w:tc>
              <w:tc>
                <w:tcPr>
                  <w:tcW w:w="767" w:type="dxa"/>
                  <w:vAlign w:val="center"/>
                </w:tcPr>
                <w:p w14:paraId="740CCD7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100</w:t>
                  </w:r>
                </w:p>
              </w:tc>
            </w:tr>
            <w:tr w14:paraId="6CE063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continue"/>
                  <w:tcBorders>
                    <w:top w:val="nil"/>
                    <w:bottom w:val="nil"/>
                  </w:tcBorders>
                  <w:vAlign w:val="center"/>
                </w:tcPr>
                <w:p w14:paraId="3975127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802" w:type="dxa"/>
                  <w:vMerge w:val="continue"/>
                  <w:tcBorders>
                    <w:top w:val="nil"/>
                    <w:bottom w:val="nil"/>
                  </w:tcBorders>
                  <w:vAlign w:val="center"/>
                </w:tcPr>
                <w:p w14:paraId="78ABA9C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963" w:type="dxa"/>
                  <w:vAlign w:val="center"/>
                </w:tcPr>
                <w:p w14:paraId="05F10F5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生长期</w:t>
                  </w:r>
                </w:p>
              </w:tc>
              <w:tc>
                <w:tcPr>
                  <w:tcW w:w="1041" w:type="dxa"/>
                  <w:vAlign w:val="center"/>
                </w:tcPr>
                <w:p w14:paraId="1803CD1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5月26日</w:t>
                  </w:r>
                </w:p>
              </w:tc>
              <w:tc>
                <w:tcPr>
                  <w:tcW w:w="1051" w:type="dxa"/>
                  <w:vAlign w:val="center"/>
                </w:tcPr>
                <w:p w14:paraId="2744BFC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6月10日</w:t>
                  </w:r>
                </w:p>
              </w:tc>
              <w:tc>
                <w:tcPr>
                  <w:tcW w:w="940" w:type="dxa"/>
                  <w:vAlign w:val="center"/>
                </w:tcPr>
                <w:p w14:paraId="6AE6E7B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16</w:t>
                  </w:r>
                </w:p>
              </w:tc>
              <w:tc>
                <w:tcPr>
                  <w:tcW w:w="984" w:type="dxa"/>
                  <w:vAlign w:val="center"/>
                </w:tcPr>
                <w:p w14:paraId="3EF1BD8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100%</w:t>
                  </w:r>
                </w:p>
              </w:tc>
              <w:tc>
                <w:tcPr>
                  <w:tcW w:w="765" w:type="dxa"/>
                  <w:vAlign w:val="center"/>
                </w:tcPr>
                <w:p w14:paraId="37990E3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w:t>
                  </w:r>
                </w:p>
              </w:tc>
              <w:tc>
                <w:tcPr>
                  <w:tcW w:w="767" w:type="dxa"/>
                  <w:vAlign w:val="center"/>
                </w:tcPr>
                <w:p w14:paraId="280A804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65</w:t>
                  </w:r>
                </w:p>
              </w:tc>
            </w:tr>
            <w:tr w14:paraId="48FC5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continue"/>
                  <w:tcBorders>
                    <w:top w:val="nil"/>
                    <w:bottom w:val="nil"/>
                  </w:tcBorders>
                  <w:vAlign w:val="center"/>
                </w:tcPr>
                <w:p w14:paraId="350CD58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802" w:type="dxa"/>
                  <w:vMerge w:val="continue"/>
                  <w:tcBorders>
                    <w:top w:val="nil"/>
                    <w:bottom w:val="nil"/>
                  </w:tcBorders>
                  <w:vAlign w:val="center"/>
                </w:tcPr>
                <w:p w14:paraId="61A56CE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963" w:type="dxa"/>
                  <w:vAlign w:val="center"/>
                </w:tcPr>
                <w:p w14:paraId="28D2F17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生长期</w:t>
                  </w:r>
                </w:p>
              </w:tc>
              <w:tc>
                <w:tcPr>
                  <w:tcW w:w="1041" w:type="dxa"/>
                  <w:vAlign w:val="center"/>
                </w:tcPr>
                <w:p w14:paraId="3E07EFD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6月21日</w:t>
                  </w:r>
                </w:p>
              </w:tc>
              <w:tc>
                <w:tcPr>
                  <w:tcW w:w="1051" w:type="dxa"/>
                  <w:vAlign w:val="center"/>
                </w:tcPr>
                <w:p w14:paraId="5452274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7月5日</w:t>
                  </w:r>
                </w:p>
              </w:tc>
              <w:tc>
                <w:tcPr>
                  <w:tcW w:w="940" w:type="dxa"/>
                  <w:vAlign w:val="center"/>
                </w:tcPr>
                <w:p w14:paraId="343DA95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15</w:t>
                  </w:r>
                </w:p>
              </w:tc>
              <w:tc>
                <w:tcPr>
                  <w:tcW w:w="984" w:type="dxa"/>
                  <w:vAlign w:val="center"/>
                </w:tcPr>
                <w:p w14:paraId="220A30D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100%</w:t>
                  </w:r>
                </w:p>
              </w:tc>
              <w:tc>
                <w:tcPr>
                  <w:tcW w:w="765" w:type="dxa"/>
                  <w:vAlign w:val="center"/>
                </w:tcPr>
                <w:p w14:paraId="306E553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w:t>
                  </w:r>
                </w:p>
              </w:tc>
              <w:tc>
                <w:tcPr>
                  <w:tcW w:w="767" w:type="dxa"/>
                  <w:vAlign w:val="center"/>
                </w:tcPr>
                <w:p w14:paraId="72BAE66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65</w:t>
                  </w:r>
                </w:p>
              </w:tc>
            </w:tr>
            <w:tr w14:paraId="1FE50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continue"/>
                  <w:tcBorders>
                    <w:top w:val="nil"/>
                    <w:bottom w:val="nil"/>
                  </w:tcBorders>
                  <w:vAlign w:val="center"/>
                </w:tcPr>
                <w:p w14:paraId="15532BC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802" w:type="dxa"/>
                  <w:vMerge w:val="continue"/>
                  <w:tcBorders>
                    <w:top w:val="nil"/>
                    <w:bottom w:val="nil"/>
                  </w:tcBorders>
                  <w:vAlign w:val="center"/>
                </w:tcPr>
                <w:p w14:paraId="3B55DE0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963" w:type="dxa"/>
                  <w:vAlign w:val="center"/>
                </w:tcPr>
                <w:p w14:paraId="37DB1CB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生长期</w:t>
                  </w:r>
                </w:p>
              </w:tc>
              <w:tc>
                <w:tcPr>
                  <w:tcW w:w="1041" w:type="dxa"/>
                  <w:vAlign w:val="center"/>
                </w:tcPr>
                <w:p w14:paraId="723ABE5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7月6日</w:t>
                  </w:r>
                </w:p>
              </w:tc>
              <w:tc>
                <w:tcPr>
                  <w:tcW w:w="1051" w:type="dxa"/>
                  <w:vAlign w:val="center"/>
                </w:tcPr>
                <w:p w14:paraId="14D1332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7月22日</w:t>
                  </w:r>
                </w:p>
              </w:tc>
              <w:tc>
                <w:tcPr>
                  <w:tcW w:w="940" w:type="dxa"/>
                  <w:vAlign w:val="center"/>
                </w:tcPr>
                <w:p w14:paraId="2978630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17</w:t>
                  </w:r>
                </w:p>
              </w:tc>
              <w:tc>
                <w:tcPr>
                  <w:tcW w:w="984" w:type="dxa"/>
                  <w:vAlign w:val="center"/>
                </w:tcPr>
                <w:p w14:paraId="19D97C8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100%</w:t>
                  </w:r>
                </w:p>
              </w:tc>
              <w:tc>
                <w:tcPr>
                  <w:tcW w:w="765" w:type="dxa"/>
                  <w:vAlign w:val="center"/>
                </w:tcPr>
                <w:p w14:paraId="5189C57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w:t>
                  </w:r>
                </w:p>
              </w:tc>
              <w:tc>
                <w:tcPr>
                  <w:tcW w:w="767" w:type="dxa"/>
                  <w:vAlign w:val="center"/>
                </w:tcPr>
                <w:p w14:paraId="06234D2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75</w:t>
                  </w:r>
                </w:p>
              </w:tc>
            </w:tr>
            <w:tr w14:paraId="441329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continue"/>
                  <w:tcBorders>
                    <w:top w:val="nil"/>
                    <w:bottom w:val="nil"/>
                  </w:tcBorders>
                  <w:vAlign w:val="center"/>
                </w:tcPr>
                <w:p w14:paraId="3A912EB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802" w:type="dxa"/>
                  <w:vMerge w:val="continue"/>
                  <w:tcBorders>
                    <w:top w:val="nil"/>
                    <w:bottom w:val="nil"/>
                  </w:tcBorders>
                  <w:vAlign w:val="center"/>
                </w:tcPr>
                <w:p w14:paraId="5FFC3A3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963" w:type="dxa"/>
                  <w:vAlign w:val="center"/>
                </w:tcPr>
                <w:p w14:paraId="0BCCDF1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生长期</w:t>
                  </w:r>
                </w:p>
              </w:tc>
              <w:tc>
                <w:tcPr>
                  <w:tcW w:w="1041" w:type="dxa"/>
                  <w:vAlign w:val="center"/>
                </w:tcPr>
                <w:p w14:paraId="5442BDB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7月23日</w:t>
                  </w:r>
                </w:p>
              </w:tc>
              <w:tc>
                <w:tcPr>
                  <w:tcW w:w="1051" w:type="dxa"/>
                  <w:vAlign w:val="center"/>
                </w:tcPr>
                <w:p w14:paraId="709F210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8月5日</w:t>
                  </w:r>
                </w:p>
              </w:tc>
              <w:tc>
                <w:tcPr>
                  <w:tcW w:w="940" w:type="dxa"/>
                  <w:vAlign w:val="center"/>
                </w:tcPr>
                <w:p w14:paraId="549DF64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14</w:t>
                  </w:r>
                </w:p>
              </w:tc>
              <w:tc>
                <w:tcPr>
                  <w:tcW w:w="984" w:type="dxa"/>
                  <w:vAlign w:val="center"/>
                </w:tcPr>
                <w:p w14:paraId="0BD4A79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100%</w:t>
                  </w:r>
                </w:p>
              </w:tc>
              <w:tc>
                <w:tcPr>
                  <w:tcW w:w="765" w:type="dxa"/>
                  <w:vAlign w:val="center"/>
                </w:tcPr>
                <w:p w14:paraId="746C3D5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w:t>
                  </w:r>
                </w:p>
              </w:tc>
              <w:tc>
                <w:tcPr>
                  <w:tcW w:w="767" w:type="dxa"/>
                  <w:vAlign w:val="center"/>
                </w:tcPr>
                <w:p w14:paraId="791F800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60</w:t>
                  </w:r>
                </w:p>
              </w:tc>
            </w:tr>
            <w:tr w14:paraId="1B782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continue"/>
                  <w:tcBorders>
                    <w:top w:val="nil"/>
                    <w:bottom w:val="nil"/>
                  </w:tcBorders>
                  <w:vAlign w:val="center"/>
                </w:tcPr>
                <w:p w14:paraId="1876FFB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802" w:type="dxa"/>
                  <w:vMerge w:val="continue"/>
                  <w:tcBorders>
                    <w:top w:val="nil"/>
                    <w:bottom w:val="nil"/>
                  </w:tcBorders>
                  <w:vAlign w:val="center"/>
                </w:tcPr>
                <w:p w14:paraId="1321517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963" w:type="dxa"/>
                  <w:vAlign w:val="center"/>
                </w:tcPr>
                <w:p w14:paraId="2560D03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生长期</w:t>
                  </w:r>
                </w:p>
              </w:tc>
              <w:tc>
                <w:tcPr>
                  <w:tcW w:w="1041" w:type="dxa"/>
                  <w:vAlign w:val="center"/>
                </w:tcPr>
                <w:p w14:paraId="718451A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8月6日</w:t>
                  </w:r>
                </w:p>
              </w:tc>
              <w:tc>
                <w:tcPr>
                  <w:tcW w:w="1051" w:type="dxa"/>
                  <w:vAlign w:val="center"/>
                </w:tcPr>
                <w:p w14:paraId="1AE0F2C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8月25日</w:t>
                  </w:r>
                </w:p>
              </w:tc>
              <w:tc>
                <w:tcPr>
                  <w:tcW w:w="940" w:type="dxa"/>
                  <w:vAlign w:val="center"/>
                </w:tcPr>
                <w:p w14:paraId="08408CB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20</w:t>
                  </w:r>
                </w:p>
              </w:tc>
              <w:tc>
                <w:tcPr>
                  <w:tcW w:w="984" w:type="dxa"/>
                  <w:vAlign w:val="center"/>
                </w:tcPr>
                <w:p w14:paraId="2924CAC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100%</w:t>
                  </w:r>
                </w:p>
              </w:tc>
              <w:tc>
                <w:tcPr>
                  <w:tcW w:w="765" w:type="dxa"/>
                  <w:vAlign w:val="center"/>
                </w:tcPr>
                <w:p w14:paraId="48E9F40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1</w:t>
                  </w:r>
                </w:p>
              </w:tc>
              <w:tc>
                <w:tcPr>
                  <w:tcW w:w="767" w:type="dxa"/>
                  <w:vAlign w:val="center"/>
                </w:tcPr>
                <w:p w14:paraId="796EC45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70</w:t>
                  </w:r>
                </w:p>
              </w:tc>
            </w:tr>
            <w:tr w14:paraId="47CA09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8" w:type="dxa"/>
                  <w:vMerge w:val="continue"/>
                  <w:tcBorders>
                    <w:top w:val="nil"/>
                  </w:tcBorders>
                  <w:vAlign w:val="center"/>
                </w:tcPr>
                <w:p w14:paraId="6A09452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802" w:type="dxa"/>
                  <w:vMerge w:val="continue"/>
                  <w:tcBorders>
                    <w:top w:val="nil"/>
                  </w:tcBorders>
                  <w:vAlign w:val="center"/>
                </w:tcPr>
                <w:p w14:paraId="47DE2D4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p>
              </w:tc>
              <w:tc>
                <w:tcPr>
                  <w:tcW w:w="5744" w:type="dxa"/>
                  <w:gridSpan w:val="6"/>
                  <w:vAlign w:val="center"/>
                </w:tcPr>
                <w:p w14:paraId="7BE1351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灌溉定额</w:t>
                  </w:r>
                </w:p>
              </w:tc>
              <w:tc>
                <w:tcPr>
                  <w:tcW w:w="767" w:type="dxa"/>
                  <w:vAlign w:val="center"/>
                </w:tcPr>
                <w:p w14:paraId="7CC00FD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435</w:t>
                  </w:r>
                </w:p>
              </w:tc>
            </w:tr>
          </w:tbl>
          <w:p w14:paraId="2B0FD3B7">
            <w:pPr>
              <w:rPr>
                <w:rFonts w:hint="default" w:ascii="Times New Roman" w:hAnsi="Times New Roman" w:eastAsia="宋体" w:cs="Times New Roman"/>
                <w:color w:val="auto"/>
                <w:lang w:eastAsia="zh-CN"/>
              </w:rPr>
            </w:pPr>
          </w:p>
          <w:p w14:paraId="32D96F03">
            <w:pPr>
              <w:pStyle w:val="96"/>
              <w:numPr>
                <w:ilvl w:val="0"/>
                <w:numId w:val="2"/>
              </w:numPr>
              <w:ind w:left="-62" w:leftChars="0" w:firstLine="482" w:firstLineChars="0"/>
              <w:rPr>
                <w:rFonts w:hint="default" w:ascii="Times New Roman" w:hAnsi="Times New Roman" w:eastAsia="宋体" w:cs="Times New Roman"/>
                <w:b/>
                <w:color w:val="auto"/>
                <w:lang w:val="en-US" w:eastAsia="zh-CN"/>
              </w:rPr>
            </w:pPr>
            <w:r>
              <w:rPr>
                <w:rFonts w:hint="default" w:ascii="Times New Roman" w:hAnsi="Times New Roman" w:eastAsia="宋体" w:cs="Times New Roman"/>
                <w:b/>
                <w:color w:val="auto"/>
                <w:lang w:val="en-US" w:eastAsia="zh-CN"/>
              </w:rPr>
              <w:t>灌区水资源供需平衡分析</w:t>
            </w:r>
          </w:p>
          <w:p w14:paraId="52E3BB99">
            <w:pPr>
              <w:adjustRightInd/>
              <w:snapToGrid/>
              <w:spacing w:line="360" w:lineRule="auto"/>
              <w:ind w:firstLine="560"/>
              <w:rPr>
                <w:rFonts w:hint="default" w:ascii="Times New Roman" w:hAnsi="Times New Roman" w:eastAsia="宋体" w:cs="Times New Roman"/>
                <w:b w:val="0"/>
                <w:color w:val="auto"/>
                <w:kern w:val="2"/>
                <w:sz w:val="24"/>
                <w:szCs w:val="24"/>
                <w:lang w:val="en-US" w:eastAsia="zh-CN" w:bidi="ar-SA"/>
              </w:rPr>
            </w:pPr>
            <w:r>
              <w:rPr>
                <w:rFonts w:hint="default" w:ascii="Times New Roman" w:hAnsi="Times New Roman" w:eastAsia="宋体" w:cs="Times New Roman"/>
                <w:b w:val="0"/>
                <w:color w:val="auto"/>
                <w:kern w:val="2"/>
                <w:sz w:val="24"/>
                <w:szCs w:val="24"/>
                <w:lang w:val="en-US" w:eastAsia="zh-CN" w:bidi="ar-SA"/>
              </w:rPr>
              <w:t>（1）现状年（2023年）水资源供需平衡分析结果</w:t>
            </w:r>
          </w:p>
          <w:p w14:paraId="5D0D25C2">
            <w:pPr>
              <w:adjustRightInd/>
              <w:snapToGrid/>
              <w:spacing w:line="360" w:lineRule="auto"/>
              <w:ind w:firstLine="560"/>
              <w:rPr>
                <w:rFonts w:hint="default" w:ascii="Times New Roman" w:hAnsi="Times New Roman" w:eastAsia="宋体" w:cs="Times New Roman"/>
                <w:b w:val="0"/>
                <w:color w:val="auto"/>
                <w:kern w:val="2"/>
                <w:sz w:val="24"/>
                <w:szCs w:val="24"/>
                <w:lang w:val="en-US" w:eastAsia="zh-CN" w:bidi="ar-SA"/>
              </w:rPr>
            </w:pPr>
            <w:r>
              <w:rPr>
                <w:rFonts w:hint="default" w:ascii="Times New Roman" w:hAnsi="Times New Roman" w:eastAsia="宋体" w:cs="Times New Roman"/>
                <w:b w:val="0"/>
                <w:color w:val="auto"/>
                <w:kern w:val="2"/>
                <w:sz w:val="24"/>
                <w:szCs w:val="24"/>
                <w:lang w:val="en-US" w:eastAsia="zh-CN" w:bidi="ar-SA"/>
              </w:rPr>
              <w:t>项目区现状年灌溉面积为</w:t>
            </w:r>
            <w:r>
              <w:rPr>
                <w:rFonts w:hint="eastAsia" w:ascii="Times New Roman" w:hAnsi="Times New Roman" w:cs="Times New Roman"/>
                <w:b w:val="0"/>
                <w:color w:val="auto"/>
                <w:kern w:val="2"/>
                <w:sz w:val="24"/>
                <w:szCs w:val="24"/>
                <w:lang w:val="en-US" w:eastAsia="zh-CN" w:bidi="ar-SA"/>
              </w:rPr>
              <w:t>0.92万</w:t>
            </w:r>
            <w:r>
              <w:rPr>
                <w:rFonts w:hint="default" w:ascii="Times New Roman" w:hAnsi="Times New Roman" w:eastAsia="宋体" w:cs="Times New Roman"/>
                <w:b w:val="0"/>
                <w:color w:val="auto"/>
                <w:kern w:val="2"/>
                <w:sz w:val="24"/>
                <w:szCs w:val="24"/>
                <w:lang w:val="en-US" w:eastAsia="zh-CN" w:bidi="ar-SA"/>
              </w:rPr>
              <w:t>亩，农业灌溉净需水量</w:t>
            </w:r>
            <w:r>
              <w:rPr>
                <w:rFonts w:hint="eastAsia" w:ascii="Times New Roman" w:hAnsi="Times New Roman" w:cs="Times New Roman"/>
                <w:b w:val="0"/>
                <w:color w:val="auto"/>
                <w:kern w:val="2"/>
                <w:sz w:val="24"/>
                <w:szCs w:val="24"/>
                <w:lang w:val="en-US" w:eastAsia="zh-CN" w:bidi="ar-SA"/>
              </w:rPr>
              <w:t xml:space="preserve">447.70 </w:t>
            </w:r>
            <w:r>
              <w:rPr>
                <w:rFonts w:hint="default" w:ascii="Times New Roman" w:hAnsi="Times New Roman" w:eastAsia="宋体" w:cs="Times New Roman"/>
                <w:b w:val="0"/>
                <w:color w:val="auto"/>
                <w:kern w:val="2"/>
                <w:sz w:val="24"/>
                <w:szCs w:val="24"/>
                <w:lang w:val="en-US" w:eastAsia="zh-CN" w:bidi="ar-SA"/>
              </w:rPr>
              <w:t>万m</w:t>
            </w:r>
            <w:r>
              <w:rPr>
                <w:rFonts w:hint="default" w:ascii="Times New Roman" w:hAnsi="Times New Roman" w:eastAsia="宋体" w:cs="Times New Roman"/>
                <w:b w:val="0"/>
                <w:color w:val="auto"/>
                <w:kern w:val="2"/>
                <w:sz w:val="24"/>
                <w:szCs w:val="24"/>
                <w:vertAlign w:val="superscript"/>
                <w:lang w:val="en-US" w:eastAsia="zh-CN" w:bidi="ar-SA"/>
              </w:rPr>
              <w:t>3</w:t>
            </w:r>
            <w:r>
              <w:rPr>
                <w:rFonts w:hint="default" w:ascii="Times New Roman" w:hAnsi="Times New Roman" w:eastAsia="宋体" w:cs="Times New Roman"/>
                <w:b w:val="0"/>
                <w:color w:val="auto"/>
                <w:kern w:val="2"/>
                <w:sz w:val="24"/>
                <w:szCs w:val="24"/>
                <w:lang w:val="en-US" w:eastAsia="zh-CN" w:bidi="ar-SA"/>
              </w:rPr>
              <w:t>，毛需水量</w:t>
            </w:r>
            <w:r>
              <w:rPr>
                <w:rFonts w:hint="eastAsia" w:ascii="Times New Roman" w:hAnsi="Times New Roman" w:cs="Times New Roman"/>
                <w:b w:val="0"/>
                <w:color w:val="auto"/>
                <w:kern w:val="2"/>
                <w:sz w:val="24"/>
                <w:szCs w:val="24"/>
                <w:lang w:val="en-US" w:eastAsia="zh-CN" w:bidi="ar-SA"/>
              </w:rPr>
              <w:t>668.2</w:t>
            </w:r>
            <w:r>
              <w:rPr>
                <w:rFonts w:hint="default" w:ascii="Times New Roman" w:hAnsi="Times New Roman" w:eastAsia="宋体" w:cs="Times New Roman"/>
                <w:b w:val="0"/>
                <w:color w:val="auto"/>
                <w:kern w:val="2"/>
                <w:sz w:val="24"/>
                <w:szCs w:val="24"/>
                <w:lang w:val="en-US" w:eastAsia="zh-CN" w:bidi="ar-SA"/>
              </w:rPr>
              <w:t>万m</w:t>
            </w:r>
            <w:r>
              <w:rPr>
                <w:rFonts w:hint="default" w:ascii="Times New Roman" w:hAnsi="Times New Roman" w:eastAsia="宋体" w:cs="Times New Roman"/>
                <w:b w:val="0"/>
                <w:color w:val="auto"/>
                <w:kern w:val="2"/>
                <w:sz w:val="24"/>
                <w:szCs w:val="24"/>
                <w:vertAlign w:val="superscript"/>
                <w:lang w:val="en-US" w:eastAsia="zh-CN" w:bidi="ar-SA"/>
              </w:rPr>
              <w:t>3</w:t>
            </w:r>
            <w:r>
              <w:rPr>
                <w:rFonts w:hint="default" w:ascii="Times New Roman" w:hAnsi="Times New Roman" w:eastAsia="宋体" w:cs="Times New Roman"/>
                <w:b w:val="0"/>
                <w:color w:val="auto"/>
                <w:kern w:val="2"/>
                <w:sz w:val="24"/>
                <w:szCs w:val="24"/>
                <w:lang w:val="en-US" w:eastAsia="zh-CN" w:bidi="ar-SA"/>
              </w:rPr>
              <w:t>。</w:t>
            </w:r>
          </w:p>
          <w:p w14:paraId="2879D061">
            <w:pPr>
              <w:adjustRightInd/>
              <w:snapToGrid/>
              <w:spacing w:line="360" w:lineRule="auto"/>
              <w:ind w:firstLine="560"/>
              <w:rPr>
                <w:rFonts w:hint="default" w:ascii="Times New Roman" w:hAnsi="Times New Roman" w:eastAsia="宋体" w:cs="Times New Roman"/>
                <w:b w:val="0"/>
                <w:color w:val="auto"/>
                <w:kern w:val="2"/>
                <w:sz w:val="24"/>
                <w:szCs w:val="24"/>
                <w:lang w:val="en-US" w:eastAsia="zh-CN" w:bidi="ar-SA"/>
              </w:rPr>
            </w:pPr>
            <w:r>
              <w:rPr>
                <w:rFonts w:hint="default" w:ascii="Times New Roman" w:hAnsi="Times New Roman" w:eastAsia="宋体" w:cs="Times New Roman"/>
                <w:b w:val="0"/>
                <w:color w:val="auto"/>
                <w:kern w:val="2"/>
                <w:sz w:val="24"/>
                <w:szCs w:val="24"/>
                <w:lang w:val="en-US" w:eastAsia="zh-CN" w:bidi="ar-SA"/>
              </w:rPr>
              <w:t>（2）设计水平年（2025年）供需平衡分析结果</w:t>
            </w:r>
          </w:p>
          <w:p w14:paraId="76206322">
            <w:pPr>
              <w:adjustRightInd/>
              <w:snapToGrid/>
              <w:spacing w:line="360" w:lineRule="auto"/>
              <w:ind w:firstLine="560"/>
              <w:rPr>
                <w:rFonts w:hint="default" w:ascii="Times New Roman" w:hAnsi="Times New Roman" w:eastAsia="宋体" w:cs="Times New Roman"/>
                <w:b w:val="0"/>
                <w:color w:val="auto"/>
                <w:kern w:val="2"/>
                <w:sz w:val="24"/>
                <w:szCs w:val="24"/>
                <w:lang w:val="en-US" w:eastAsia="zh-CN" w:bidi="ar-SA"/>
              </w:rPr>
            </w:pPr>
            <w:r>
              <w:rPr>
                <w:rFonts w:hint="default" w:ascii="Times New Roman" w:hAnsi="Times New Roman" w:eastAsia="宋体" w:cs="Times New Roman"/>
                <w:b w:val="0"/>
                <w:color w:val="auto"/>
                <w:kern w:val="2"/>
                <w:sz w:val="24"/>
                <w:szCs w:val="24"/>
                <w:lang w:val="en-US" w:eastAsia="zh-CN" w:bidi="ar-SA"/>
              </w:rPr>
              <w:t>项目区水平年灌溉面积为</w:t>
            </w:r>
            <w:r>
              <w:rPr>
                <w:rFonts w:hint="eastAsia" w:ascii="Times New Roman" w:hAnsi="Times New Roman" w:cs="Times New Roman"/>
                <w:b w:val="0"/>
                <w:color w:val="auto"/>
                <w:kern w:val="2"/>
                <w:sz w:val="24"/>
                <w:szCs w:val="24"/>
                <w:lang w:val="en-US" w:eastAsia="zh-CN" w:bidi="ar-SA"/>
              </w:rPr>
              <w:t>0.92万</w:t>
            </w:r>
            <w:r>
              <w:rPr>
                <w:rFonts w:hint="default" w:ascii="Times New Roman" w:hAnsi="Times New Roman" w:eastAsia="宋体" w:cs="Times New Roman"/>
                <w:b w:val="0"/>
                <w:color w:val="auto"/>
                <w:kern w:val="2"/>
                <w:sz w:val="24"/>
                <w:szCs w:val="24"/>
                <w:lang w:val="en-US" w:eastAsia="zh-CN" w:bidi="ar-SA"/>
              </w:rPr>
              <w:t>亩，农业灌溉净需水量</w:t>
            </w:r>
            <w:r>
              <w:rPr>
                <w:rFonts w:hint="eastAsia" w:ascii="Times New Roman" w:hAnsi="Times New Roman" w:cs="Times New Roman"/>
                <w:b w:val="0"/>
                <w:color w:val="auto"/>
                <w:kern w:val="2"/>
                <w:sz w:val="24"/>
                <w:szCs w:val="24"/>
                <w:lang w:val="en-US" w:eastAsia="zh-CN" w:bidi="ar-SA"/>
              </w:rPr>
              <w:t xml:space="preserve">447.70 </w:t>
            </w:r>
            <w:r>
              <w:rPr>
                <w:rFonts w:hint="default" w:ascii="Times New Roman" w:hAnsi="Times New Roman" w:eastAsia="宋体" w:cs="Times New Roman"/>
                <w:b w:val="0"/>
                <w:color w:val="auto"/>
                <w:kern w:val="2"/>
                <w:sz w:val="24"/>
                <w:szCs w:val="24"/>
                <w:lang w:val="en-US" w:eastAsia="zh-CN" w:bidi="ar-SA"/>
              </w:rPr>
              <w:t>万m</w:t>
            </w:r>
            <w:r>
              <w:rPr>
                <w:rFonts w:hint="default" w:ascii="Times New Roman" w:hAnsi="Times New Roman" w:eastAsia="宋体" w:cs="Times New Roman"/>
                <w:b w:val="0"/>
                <w:color w:val="auto"/>
                <w:kern w:val="2"/>
                <w:sz w:val="24"/>
                <w:szCs w:val="24"/>
                <w:vertAlign w:val="superscript"/>
                <w:lang w:val="en-US" w:eastAsia="zh-CN" w:bidi="ar-SA"/>
              </w:rPr>
              <w:t>3</w:t>
            </w:r>
            <w:r>
              <w:rPr>
                <w:rFonts w:hint="default" w:ascii="Times New Roman" w:hAnsi="Times New Roman" w:eastAsia="宋体" w:cs="Times New Roman"/>
                <w:b w:val="0"/>
                <w:color w:val="auto"/>
                <w:kern w:val="2"/>
                <w:sz w:val="24"/>
                <w:szCs w:val="24"/>
                <w:lang w:val="en-US" w:eastAsia="zh-CN" w:bidi="ar-SA"/>
              </w:rPr>
              <w:t>，毛需水量</w:t>
            </w:r>
            <w:r>
              <w:rPr>
                <w:rFonts w:hint="eastAsia" w:ascii="Times New Roman" w:hAnsi="Times New Roman" w:cs="Times New Roman"/>
                <w:b w:val="0"/>
                <w:color w:val="auto"/>
                <w:kern w:val="2"/>
                <w:sz w:val="24"/>
                <w:szCs w:val="24"/>
                <w:lang w:val="en-US" w:eastAsia="zh-CN" w:bidi="ar-SA"/>
              </w:rPr>
              <w:t>605.82</w:t>
            </w:r>
            <w:r>
              <w:rPr>
                <w:rFonts w:hint="default" w:ascii="Times New Roman" w:hAnsi="Times New Roman" w:eastAsia="宋体" w:cs="Times New Roman"/>
                <w:b w:val="0"/>
                <w:color w:val="auto"/>
                <w:kern w:val="2"/>
                <w:sz w:val="24"/>
                <w:szCs w:val="24"/>
                <w:lang w:val="en-US" w:eastAsia="zh-CN" w:bidi="ar-SA"/>
              </w:rPr>
              <w:t>万m</w:t>
            </w:r>
            <w:r>
              <w:rPr>
                <w:rFonts w:hint="default" w:ascii="Times New Roman" w:hAnsi="Times New Roman" w:eastAsia="宋体" w:cs="Times New Roman"/>
                <w:b w:val="0"/>
                <w:color w:val="auto"/>
                <w:kern w:val="2"/>
                <w:sz w:val="24"/>
                <w:szCs w:val="24"/>
                <w:vertAlign w:val="superscript"/>
                <w:lang w:val="en-US" w:eastAsia="zh-CN" w:bidi="ar-SA"/>
              </w:rPr>
              <w:t>3</w:t>
            </w:r>
            <w:r>
              <w:rPr>
                <w:rFonts w:hint="default" w:ascii="Times New Roman" w:hAnsi="Times New Roman" w:eastAsia="宋体" w:cs="Times New Roman"/>
                <w:b w:val="0"/>
                <w:color w:val="auto"/>
                <w:kern w:val="2"/>
                <w:sz w:val="24"/>
                <w:szCs w:val="24"/>
                <w:lang w:val="en-US" w:eastAsia="zh-CN" w:bidi="ar-SA"/>
              </w:rPr>
              <w:t>。</w:t>
            </w:r>
          </w:p>
          <w:p w14:paraId="4CBFA0EF">
            <w:pPr>
              <w:adjustRightInd/>
              <w:snapToGrid/>
              <w:spacing w:line="360" w:lineRule="auto"/>
              <w:ind w:firstLine="560"/>
              <w:rPr>
                <w:rFonts w:hint="default" w:ascii="Times New Roman" w:hAnsi="Times New Roman" w:eastAsia="宋体" w:cs="Times New Roman"/>
                <w:color w:val="auto"/>
                <w:lang w:val="en-US" w:eastAsia="zh-CN"/>
              </w:rPr>
            </w:pPr>
            <w:r>
              <w:rPr>
                <w:rFonts w:hint="eastAsia" w:ascii="Times New Roman" w:hAnsi="Times New Roman" w:eastAsia="宋体" w:cs="Times New Roman"/>
                <w:b w:val="0"/>
                <w:color w:val="auto"/>
                <w:kern w:val="2"/>
                <w:sz w:val="24"/>
                <w:szCs w:val="24"/>
                <w:lang w:val="en-US" w:eastAsia="zh-CN" w:bidi="ar-SA"/>
              </w:rPr>
              <w:t>综上，本项目</w:t>
            </w:r>
            <w:r>
              <w:rPr>
                <w:rFonts w:hint="default" w:ascii="Times New Roman" w:hAnsi="Times New Roman" w:eastAsia="宋体" w:cs="Times New Roman"/>
                <w:b w:val="0"/>
                <w:color w:val="auto"/>
                <w:kern w:val="2"/>
                <w:sz w:val="24"/>
                <w:szCs w:val="24"/>
                <w:lang w:val="en-US" w:eastAsia="zh-CN" w:bidi="ar-SA"/>
              </w:rPr>
              <w:t>节水量为</w:t>
            </w:r>
            <w:r>
              <w:rPr>
                <w:rFonts w:hint="eastAsia" w:ascii="Times New Roman" w:hAnsi="Times New Roman" w:cs="Times New Roman"/>
                <w:b w:val="0"/>
                <w:color w:val="auto"/>
                <w:kern w:val="2"/>
                <w:sz w:val="24"/>
                <w:szCs w:val="24"/>
                <w:lang w:val="en-US" w:eastAsia="zh-CN" w:bidi="ar-SA"/>
              </w:rPr>
              <w:t>62.38万</w:t>
            </w:r>
            <w:r>
              <w:rPr>
                <w:rFonts w:hint="default" w:ascii="Times New Roman" w:hAnsi="Times New Roman" w:eastAsia="宋体" w:cs="Times New Roman"/>
                <w:b w:val="0"/>
                <w:color w:val="auto"/>
                <w:kern w:val="2"/>
                <w:sz w:val="24"/>
                <w:szCs w:val="24"/>
                <w:lang w:val="en-US" w:eastAsia="zh-CN" w:bidi="ar-SA"/>
              </w:rPr>
              <w:t>m</w:t>
            </w:r>
            <w:r>
              <w:rPr>
                <w:rFonts w:hint="default" w:ascii="Times New Roman" w:hAnsi="Times New Roman" w:eastAsia="宋体" w:cs="Times New Roman"/>
                <w:b w:val="0"/>
                <w:color w:val="auto"/>
                <w:kern w:val="2"/>
                <w:sz w:val="24"/>
                <w:szCs w:val="24"/>
                <w:vertAlign w:val="superscript"/>
                <w:lang w:val="en-US" w:eastAsia="zh-CN" w:bidi="ar-SA"/>
              </w:rPr>
              <w:t>3</w:t>
            </w:r>
            <w:r>
              <w:rPr>
                <w:rFonts w:hint="default" w:ascii="Times New Roman" w:hAnsi="Times New Roman" w:eastAsia="宋体" w:cs="Times New Roman"/>
                <w:b w:val="0"/>
                <w:color w:val="auto"/>
                <w:kern w:val="2"/>
                <w:sz w:val="24"/>
                <w:szCs w:val="24"/>
                <w:lang w:val="en-US" w:eastAsia="zh-CN" w:bidi="ar-SA"/>
              </w:rPr>
              <w:t>。</w:t>
            </w:r>
          </w:p>
          <w:p w14:paraId="71F17C84">
            <w:pPr>
              <w:pStyle w:val="96"/>
              <w:numPr>
                <w:ilvl w:val="0"/>
                <w:numId w:val="2"/>
              </w:numPr>
              <w:spacing w:line="360" w:lineRule="auto"/>
              <w:ind w:left="-62" w:leftChars="0" w:firstLine="482" w:firstLineChars="0"/>
              <w:rPr>
                <w:rFonts w:hint="default" w:ascii="Times New Roman" w:hAnsi="Times New Roman" w:eastAsia="宋体" w:cs="Times New Roman"/>
                <w:b/>
                <w:color w:val="auto"/>
                <w:lang w:val="en-US" w:eastAsia="zh-CN"/>
              </w:rPr>
            </w:pPr>
            <w:r>
              <w:rPr>
                <w:rFonts w:hint="default" w:ascii="Times New Roman" w:hAnsi="Times New Roman" w:eastAsia="宋体" w:cs="Times New Roman"/>
                <w:b/>
                <w:color w:val="auto"/>
                <w:lang w:val="en-US" w:eastAsia="zh-CN"/>
              </w:rPr>
              <w:t>主要施工机械设备</w:t>
            </w:r>
          </w:p>
          <w:p w14:paraId="0BC8A377">
            <w:pPr>
              <w:pStyle w:val="113"/>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防渗渠道工程</w:t>
            </w:r>
            <w:r>
              <w:rPr>
                <w:rFonts w:hint="default" w:ascii="Times New Roman" w:hAnsi="Times New Roman" w:eastAsia="宋体" w:cs="Times New Roman"/>
                <w:color w:val="auto"/>
              </w:rPr>
              <w:t>主要施工机械设备情况见表</w:t>
            </w:r>
            <w:r>
              <w:rPr>
                <w:rFonts w:hint="default" w:ascii="Times New Roman" w:hAnsi="Times New Roman" w:eastAsia="宋体" w:cs="Times New Roman"/>
                <w:color w:val="auto"/>
                <w:lang w:val="en-US" w:eastAsia="zh-CN"/>
              </w:rPr>
              <w:t>2-</w:t>
            </w:r>
            <w:r>
              <w:rPr>
                <w:rFonts w:hint="eastAsia" w:ascii="Times New Roman" w:hAnsi="Times New Roman" w:cs="Times New Roman"/>
                <w:color w:val="auto"/>
                <w:lang w:val="en-US" w:eastAsia="zh-CN"/>
              </w:rPr>
              <w:t>5</w:t>
            </w:r>
            <w:r>
              <w:rPr>
                <w:rFonts w:hint="default" w:ascii="Times New Roman" w:hAnsi="Times New Roman" w:eastAsia="宋体" w:cs="Times New Roman"/>
                <w:color w:val="auto"/>
              </w:rPr>
              <w:t>。</w:t>
            </w:r>
          </w:p>
          <w:p w14:paraId="273B736C">
            <w:pPr>
              <w:ind w:firstLine="310" w:firstLineChars="147"/>
              <w:jc w:val="center"/>
              <w:rPr>
                <w:rFonts w:hint="default" w:ascii="Times New Roman" w:hAnsi="Times New Roman" w:eastAsia="宋体" w:cs="Times New Roman"/>
                <w:b/>
                <w:color w:val="auto"/>
                <w:szCs w:val="21"/>
                <w:lang w:bidi="ar"/>
              </w:rPr>
            </w:pPr>
            <w:r>
              <w:rPr>
                <w:rFonts w:hint="default" w:ascii="Times New Roman" w:hAnsi="Times New Roman" w:eastAsia="宋体" w:cs="Times New Roman"/>
                <w:b/>
                <w:color w:val="auto"/>
                <w:szCs w:val="21"/>
                <w:lang w:bidi="ar"/>
              </w:rPr>
              <w:t>表</w:t>
            </w:r>
            <w:r>
              <w:rPr>
                <w:rStyle w:val="79"/>
                <w:rFonts w:hint="default" w:ascii="Times New Roman" w:hAnsi="Times New Roman" w:eastAsia="宋体" w:cs="Times New Roman"/>
                <w:b/>
                <w:bCs/>
                <w:color w:val="auto"/>
                <w:sz w:val="21"/>
                <w:szCs w:val="21"/>
                <w:lang w:val="en-US" w:eastAsia="zh-CN"/>
              </w:rPr>
              <w:t>2-</w:t>
            </w:r>
            <w:r>
              <w:rPr>
                <w:rStyle w:val="79"/>
                <w:rFonts w:hint="eastAsia" w:ascii="Times New Roman" w:hAnsi="Times New Roman" w:cs="Times New Roman"/>
                <w:b/>
                <w:bCs/>
                <w:color w:val="auto"/>
                <w:sz w:val="21"/>
                <w:szCs w:val="21"/>
                <w:lang w:val="en-US" w:eastAsia="zh-CN"/>
              </w:rPr>
              <w:t>5</w:t>
            </w:r>
            <w:r>
              <w:rPr>
                <w:rFonts w:hint="default" w:ascii="Times New Roman" w:hAnsi="Times New Roman" w:eastAsia="宋体" w:cs="Times New Roman"/>
                <w:b/>
                <w:color w:val="auto"/>
                <w:szCs w:val="21"/>
                <w:lang w:bidi="ar"/>
              </w:rPr>
              <w:t>主要施工机械设备一览表</w:t>
            </w:r>
          </w:p>
          <w:tbl>
            <w:tblPr>
              <w:tblStyle w:val="33"/>
              <w:tblW w:w="8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7"/>
              <w:gridCol w:w="2284"/>
              <w:gridCol w:w="1390"/>
              <w:gridCol w:w="1415"/>
              <w:gridCol w:w="2098"/>
            </w:tblGrid>
            <w:tr w14:paraId="31B63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987" w:type="dxa"/>
                  <w:tcBorders>
                    <w:tl2br w:val="nil"/>
                    <w:tr2bl w:val="nil"/>
                  </w:tcBorders>
                  <w:vAlign w:val="center"/>
                </w:tcPr>
                <w:p w14:paraId="0EAD54FF">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序号</w:t>
                  </w:r>
                </w:p>
              </w:tc>
              <w:tc>
                <w:tcPr>
                  <w:tcW w:w="2284" w:type="dxa"/>
                  <w:tcBorders>
                    <w:tl2br w:val="nil"/>
                    <w:tr2bl w:val="nil"/>
                  </w:tcBorders>
                  <w:vAlign w:val="center"/>
                </w:tcPr>
                <w:p w14:paraId="275D91BF">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名称</w:t>
                  </w:r>
                </w:p>
              </w:tc>
              <w:tc>
                <w:tcPr>
                  <w:tcW w:w="1390" w:type="dxa"/>
                  <w:tcBorders>
                    <w:tl2br w:val="nil"/>
                    <w:tr2bl w:val="nil"/>
                  </w:tcBorders>
                  <w:vAlign w:val="center"/>
                </w:tcPr>
                <w:p w14:paraId="3CC6DF86">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单位</w:t>
                  </w:r>
                </w:p>
              </w:tc>
              <w:tc>
                <w:tcPr>
                  <w:tcW w:w="1415" w:type="dxa"/>
                  <w:tcBorders>
                    <w:tl2br w:val="nil"/>
                    <w:tr2bl w:val="nil"/>
                  </w:tcBorders>
                  <w:vAlign w:val="center"/>
                </w:tcPr>
                <w:p w14:paraId="2B45505E">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规格</w:t>
                  </w:r>
                </w:p>
              </w:tc>
              <w:tc>
                <w:tcPr>
                  <w:tcW w:w="2098" w:type="dxa"/>
                  <w:tcBorders>
                    <w:tl2br w:val="nil"/>
                    <w:tr2bl w:val="nil"/>
                  </w:tcBorders>
                  <w:vAlign w:val="center"/>
                </w:tcPr>
                <w:p w14:paraId="5C27EDD4">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数量</w:t>
                  </w:r>
                </w:p>
              </w:tc>
            </w:tr>
            <w:tr w14:paraId="061E8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987" w:type="dxa"/>
                  <w:tcBorders>
                    <w:tl2br w:val="nil"/>
                    <w:tr2bl w:val="nil"/>
                  </w:tcBorders>
                  <w:vAlign w:val="center"/>
                </w:tcPr>
                <w:p w14:paraId="5A3BBC33">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2284" w:type="dxa"/>
                  <w:tcBorders>
                    <w:tl2br w:val="nil"/>
                    <w:tr2bl w:val="nil"/>
                  </w:tcBorders>
                  <w:vAlign w:val="center"/>
                </w:tcPr>
                <w:p w14:paraId="097ADB27">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推土机</w:t>
                  </w:r>
                </w:p>
              </w:tc>
              <w:tc>
                <w:tcPr>
                  <w:tcW w:w="1390" w:type="dxa"/>
                  <w:tcBorders>
                    <w:tl2br w:val="nil"/>
                    <w:tr2bl w:val="nil"/>
                  </w:tcBorders>
                  <w:vAlign w:val="center"/>
                </w:tcPr>
                <w:p w14:paraId="40A17307">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台</w:t>
                  </w:r>
                </w:p>
              </w:tc>
              <w:tc>
                <w:tcPr>
                  <w:tcW w:w="1415" w:type="dxa"/>
                  <w:tcBorders>
                    <w:tl2br w:val="nil"/>
                    <w:tr2bl w:val="nil"/>
                  </w:tcBorders>
                  <w:vAlign w:val="center"/>
                </w:tcPr>
                <w:p w14:paraId="67467FC0">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74</w:t>
                  </w:r>
                  <w:r>
                    <w:rPr>
                      <w:rFonts w:hint="default" w:ascii="Times New Roman" w:hAnsi="Times New Roman" w:eastAsia="宋体" w:cs="Times New Roman"/>
                      <w:color w:val="auto"/>
                      <w:lang w:eastAsia="zh-CN"/>
                    </w:rPr>
                    <w:t>kW</w:t>
                  </w:r>
                </w:p>
              </w:tc>
              <w:tc>
                <w:tcPr>
                  <w:tcW w:w="2098" w:type="dxa"/>
                  <w:tcBorders>
                    <w:tl2br w:val="nil"/>
                    <w:tr2bl w:val="nil"/>
                  </w:tcBorders>
                  <w:vAlign w:val="center"/>
                </w:tcPr>
                <w:p w14:paraId="7FD9BEAD">
                  <w:pPr>
                    <w:pStyle w:val="111"/>
                    <w:rPr>
                      <w:rFonts w:hint="default" w:ascii="Times New Roman" w:hAnsi="Times New Roman" w:eastAsia="宋体" w:cs="Times New Roman"/>
                      <w:color w:val="auto"/>
                      <w:lang w:eastAsia="zh-CN"/>
                    </w:rPr>
                  </w:pPr>
                  <w:r>
                    <w:rPr>
                      <w:rFonts w:hint="eastAsia" w:hAnsi="Times New Roman" w:cs="Times New Roman"/>
                      <w:color w:val="auto"/>
                      <w:lang w:val="en-US" w:eastAsia="zh-CN"/>
                    </w:rPr>
                    <w:t>1</w:t>
                  </w:r>
                </w:p>
              </w:tc>
            </w:tr>
            <w:tr w14:paraId="01C37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987" w:type="dxa"/>
                  <w:tcBorders>
                    <w:tl2br w:val="nil"/>
                    <w:tr2bl w:val="nil"/>
                  </w:tcBorders>
                  <w:vAlign w:val="center"/>
                </w:tcPr>
                <w:p w14:paraId="1E04A6D5">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2</w:t>
                  </w:r>
                </w:p>
              </w:tc>
              <w:tc>
                <w:tcPr>
                  <w:tcW w:w="2284" w:type="dxa"/>
                  <w:tcBorders>
                    <w:tl2br w:val="nil"/>
                    <w:tr2bl w:val="nil"/>
                  </w:tcBorders>
                  <w:vAlign w:val="center"/>
                </w:tcPr>
                <w:p w14:paraId="5E178B1E">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自卸汽车</w:t>
                  </w:r>
                </w:p>
              </w:tc>
              <w:tc>
                <w:tcPr>
                  <w:tcW w:w="1390" w:type="dxa"/>
                  <w:tcBorders>
                    <w:tl2br w:val="nil"/>
                    <w:tr2bl w:val="nil"/>
                  </w:tcBorders>
                  <w:vAlign w:val="center"/>
                </w:tcPr>
                <w:p w14:paraId="4CF7AB1A">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辆</w:t>
                  </w:r>
                </w:p>
              </w:tc>
              <w:tc>
                <w:tcPr>
                  <w:tcW w:w="1415" w:type="dxa"/>
                  <w:tcBorders>
                    <w:tl2br w:val="nil"/>
                    <w:tr2bl w:val="nil"/>
                  </w:tcBorders>
                  <w:vAlign w:val="center"/>
                </w:tcPr>
                <w:p w14:paraId="34E1A041">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5t</w:t>
                  </w:r>
                </w:p>
              </w:tc>
              <w:tc>
                <w:tcPr>
                  <w:tcW w:w="2098" w:type="dxa"/>
                  <w:tcBorders>
                    <w:tl2br w:val="nil"/>
                    <w:tr2bl w:val="nil"/>
                  </w:tcBorders>
                  <w:vAlign w:val="center"/>
                </w:tcPr>
                <w:p w14:paraId="0CEABD4E">
                  <w:pPr>
                    <w:pStyle w:val="111"/>
                    <w:rPr>
                      <w:rFonts w:hint="default" w:ascii="Times New Roman" w:hAnsi="Times New Roman" w:eastAsia="宋体" w:cs="Times New Roman"/>
                      <w:color w:val="auto"/>
                      <w:lang w:eastAsia="zh-CN"/>
                    </w:rPr>
                  </w:pPr>
                  <w:r>
                    <w:rPr>
                      <w:rFonts w:hint="eastAsia" w:hAnsi="Times New Roman" w:cs="Times New Roman"/>
                      <w:color w:val="auto"/>
                      <w:lang w:val="en-US" w:eastAsia="zh-CN"/>
                    </w:rPr>
                    <w:t>1</w:t>
                  </w:r>
                </w:p>
              </w:tc>
            </w:tr>
            <w:tr w14:paraId="230CD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987" w:type="dxa"/>
                  <w:tcBorders>
                    <w:tl2br w:val="nil"/>
                    <w:tr2bl w:val="nil"/>
                  </w:tcBorders>
                  <w:vAlign w:val="center"/>
                </w:tcPr>
                <w:p w14:paraId="32E3851E">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3</w:t>
                  </w:r>
                </w:p>
              </w:tc>
              <w:tc>
                <w:tcPr>
                  <w:tcW w:w="2284" w:type="dxa"/>
                  <w:tcBorders>
                    <w:tl2br w:val="nil"/>
                    <w:tr2bl w:val="nil"/>
                  </w:tcBorders>
                  <w:vAlign w:val="center"/>
                </w:tcPr>
                <w:p w14:paraId="7F64775C">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振动碾</w:t>
                  </w:r>
                </w:p>
              </w:tc>
              <w:tc>
                <w:tcPr>
                  <w:tcW w:w="1390" w:type="dxa"/>
                  <w:tcBorders>
                    <w:tl2br w:val="nil"/>
                    <w:tr2bl w:val="nil"/>
                  </w:tcBorders>
                  <w:vAlign w:val="center"/>
                </w:tcPr>
                <w:p w14:paraId="77DDED57">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台</w:t>
                  </w:r>
                </w:p>
              </w:tc>
              <w:tc>
                <w:tcPr>
                  <w:tcW w:w="1415" w:type="dxa"/>
                  <w:tcBorders>
                    <w:tl2br w:val="nil"/>
                    <w:tr2bl w:val="nil"/>
                  </w:tcBorders>
                  <w:vAlign w:val="center"/>
                </w:tcPr>
                <w:p w14:paraId="2804DB6B">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13.5t</w:t>
                  </w:r>
                </w:p>
              </w:tc>
              <w:tc>
                <w:tcPr>
                  <w:tcW w:w="2098" w:type="dxa"/>
                  <w:tcBorders>
                    <w:tl2br w:val="nil"/>
                    <w:tr2bl w:val="nil"/>
                  </w:tcBorders>
                  <w:vAlign w:val="center"/>
                </w:tcPr>
                <w:p w14:paraId="0AFD55DC">
                  <w:pPr>
                    <w:pStyle w:val="111"/>
                    <w:rPr>
                      <w:rFonts w:hint="default" w:ascii="Times New Roman" w:hAnsi="Times New Roman" w:eastAsia="宋体" w:cs="Times New Roman"/>
                      <w:color w:val="auto"/>
                      <w:lang w:eastAsia="zh-CN"/>
                    </w:rPr>
                  </w:pPr>
                  <w:r>
                    <w:rPr>
                      <w:rFonts w:hint="eastAsia" w:hAnsi="Times New Roman" w:cs="Times New Roman"/>
                      <w:color w:val="auto"/>
                      <w:lang w:val="en-US" w:eastAsia="zh-CN"/>
                    </w:rPr>
                    <w:t>2</w:t>
                  </w:r>
                </w:p>
              </w:tc>
            </w:tr>
            <w:tr w14:paraId="09E9B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987" w:type="dxa"/>
                  <w:tcBorders>
                    <w:tl2br w:val="nil"/>
                    <w:tr2bl w:val="nil"/>
                  </w:tcBorders>
                  <w:vAlign w:val="center"/>
                </w:tcPr>
                <w:p w14:paraId="3971E5A5">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4</w:t>
                  </w:r>
                </w:p>
              </w:tc>
              <w:tc>
                <w:tcPr>
                  <w:tcW w:w="2284" w:type="dxa"/>
                  <w:tcBorders>
                    <w:tl2br w:val="nil"/>
                    <w:tr2bl w:val="nil"/>
                  </w:tcBorders>
                  <w:vAlign w:val="center"/>
                </w:tcPr>
                <w:p w14:paraId="2104435B">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混凝土搅拌机</w:t>
                  </w:r>
                </w:p>
              </w:tc>
              <w:tc>
                <w:tcPr>
                  <w:tcW w:w="1390" w:type="dxa"/>
                  <w:tcBorders>
                    <w:tl2br w:val="nil"/>
                    <w:tr2bl w:val="nil"/>
                  </w:tcBorders>
                  <w:vAlign w:val="center"/>
                </w:tcPr>
                <w:p w14:paraId="468D6989">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台</w:t>
                  </w:r>
                </w:p>
              </w:tc>
              <w:tc>
                <w:tcPr>
                  <w:tcW w:w="1415" w:type="dxa"/>
                  <w:tcBorders>
                    <w:tl2br w:val="nil"/>
                    <w:tr2bl w:val="nil"/>
                  </w:tcBorders>
                  <w:vAlign w:val="center"/>
                </w:tcPr>
                <w:p w14:paraId="1D43A31C">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0.4m</w:t>
                  </w:r>
                  <w:r>
                    <w:rPr>
                      <w:rFonts w:hint="default" w:ascii="Times New Roman" w:hAnsi="Times New Roman" w:eastAsia="宋体" w:cs="Times New Roman"/>
                      <w:color w:val="auto"/>
                      <w:vertAlign w:val="superscript"/>
                    </w:rPr>
                    <w:t>3</w:t>
                  </w:r>
                </w:p>
              </w:tc>
              <w:tc>
                <w:tcPr>
                  <w:tcW w:w="2098" w:type="dxa"/>
                  <w:tcBorders>
                    <w:tl2br w:val="nil"/>
                    <w:tr2bl w:val="nil"/>
                  </w:tcBorders>
                  <w:vAlign w:val="center"/>
                </w:tcPr>
                <w:p w14:paraId="0B0F4006">
                  <w:pPr>
                    <w:pStyle w:val="111"/>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1</w:t>
                  </w:r>
                </w:p>
              </w:tc>
            </w:tr>
            <w:tr w14:paraId="56F9A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987" w:type="dxa"/>
                  <w:tcBorders>
                    <w:tl2br w:val="nil"/>
                    <w:tr2bl w:val="nil"/>
                  </w:tcBorders>
                  <w:vAlign w:val="center"/>
                </w:tcPr>
                <w:p w14:paraId="65836A38">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5</w:t>
                  </w:r>
                </w:p>
              </w:tc>
              <w:tc>
                <w:tcPr>
                  <w:tcW w:w="2284" w:type="dxa"/>
                  <w:tcBorders>
                    <w:tl2br w:val="nil"/>
                    <w:tr2bl w:val="nil"/>
                  </w:tcBorders>
                  <w:vAlign w:val="center"/>
                </w:tcPr>
                <w:p w14:paraId="7004ECDB">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插入式振捣</w:t>
                  </w:r>
                </w:p>
              </w:tc>
              <w:tc>
                <w:tcPr>
                  <w:tcW w:w="1390" w:type="dxa"/>
                  <w:tcBorders>
                    <w:tl2br w:val="nil"/>
                    <w:tr2bl w:val="nil"/>
                  </w:tcBorders>
                  <w:vAlign w:val="center"/>
                </w:tcPr>
                <w:p w14:paraId="630B5819">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台</w:t>
                  </w:r>
                </w:p>
              </w:tc>
              <w:tc>
                <w:tcPr>
                  <w:tcW w:w="1415" w:type="dxa"/>
                  <w:tcBorders>
                    <w:tl2br w:val="nil"/>
                    <w:tr2bl w:val="nil"/>
                  </w:tcBorders>
                  <w:vAlign w:val="center"/>
                </w:tcPr>
                <w:p w14:paraId="3104BC45">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　</w:t>
                  </w:r>
                </w:p>
              </w:tc>
              <w:tc>
                <w:tcPr>
                  <w:tcW w:w="2098" w:type="dxa"/>
                  <w:tcBorders>
                    <w:tl2br w:val="nil"/>
                    <w:tr2bl w:val="nil"/>
                  </w:tcBorders>
                  <w:vAlign w:val="center"/>
                </w:tcPr>
                <w:p w14:paraId="0EFBFCD4">
                  <w:pPr>
                    <w:pStyle w:val="111"/>
                    <w:rPr>
                      <w:rFonts w:hint="default" w:ascii="Times New Roman" w:hAnsi="Times New Roman" w:eastAsia="宋体" w:cs="Times New Roman"/>
                      <w:color w:val="auto"/>
                      <w:lang w:eastAsia="zh-CN"/>
                    </w:rPr>
                  </w:pPr>
                  <w:r>
                    <w:rPr>
                      <w:rFonts w:hint="eastAsia" w:hAnsi="Times New Roman" w:cs="Times New Roman"/>
                      <w:color w:val="auto"/>
                      <w:lang w:val="en-US" w:eastAsia="zh-CN"/>
                    </w:rPr>
                    <w:t>2</w:t>
                  </w:r>
                </w:p>
              </w:tc>
            </w:tr>
            <w:tr w14:paraId="10C05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987" w:type="dxa"/>
                  <w:tcBorders>
                    <w:tl2br w:val="nil"/>
                    <w:tr2bl w:val="nil"/>
                  </w:tcBorders>
                  <w:vAlign w:val="center"/>
                </w:tcPr>
                <w:p w14:paraId="0E87F42E">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6</w:t>
                  </w:r>
                </w:p>
              </w:tc>
              <w:tc>
                <w:tcPr>
                  <w:tcW w:w="2284" w:type="dxa"/>
                  <w:tcBorders>
                    <w:tl2br w:val="nil"/>
                    <w:tr2bl w:val="nil"/>
                  </w:tcBorders>
                  <w:vAlign w:val="center"/>
                </w:tcPr>
                <w:p w14:paraId="0E7EAEBB">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直流弧焊机</w:t>
                  </w:r>
                </w:p>
              </w:tc>
              <w:tc>
                <w:tcPr>
                  <w:tcW w:w="1390" w:type="dxa"/>
                  <w:tcBorders>
                    <w:tl2br w:val="nil"/>
                    <w:tr2bl w:val="nil"/>
                  </w:tcBorders>
                  <w:vAlign w:val="center"/>
                </w:tcPr>
                <w:p w14:paraId="416529F0">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台</w:t>
                  </w:r>
                </w:p>
              </w:tc>
              <w:tc>
                <w:tcPr>
                  <w:tcW w:w="1415" w:type="dxa"/>
                  <w:tcBorders>
                    <w:tl2br w:val="nil"/>
                    <w:tr2bl w:val="nil"/>
                  </w:tcBorders>
                  <w:vAlign w:val="center"/>
                </w:tcPr>
                <w:p w14:paraId="25E6B2F0">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　</w:t>
                  </w:r>
                </w:p>
              </w:tc>
              <w:tc>
                <w:tcPr>
                  <w:tcW w:w="2098" w:type="dxa"/>
                  <w:tcBorders>
                    <w:tl2br w:val="nil"/>
                    <w:tr2bl w:val="nil"/>
                  </w:tcBorders>
                  <w:vAlign w:val="center"/>
                </w:tcPr>
                <w:p w14:paraId="30E6BC55">
                  <w:pPr>
                    <w:pStyle w:val="111"/>
                    <w:rPr>
                      <w:rFonts w:hint="default" w:ascii="Times New Roman" w:hAnsi="Times New Roman" w:eastAsia="宋体" w:cs="Times New Roman"/>
                      <w:color w:val="auto"/>
                      <w:lang w:eastAsia="zh-CN"/>
                    </w:rPr>
                  </w:pPr>
                  <w:r>
                    <w:rPr>
                      <w:rFonts w:hint="eastAsia" w:hAnsi="Times New Roman" w:cs="Times New Roman"/>
                      <w:color w:val="auto"/>
                      <w:lang w:val="en-US" w:eastAsia="zh-CN"/>
                    </w:rPr>
                    <w:t>2</w:t>
                  </w:r>
                </w:p>
              </w:tc>
            </w:tr>
            <w:tr w14:paraId="691EB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987" w:type="dxa"/>
                  <w:tcBorders>
                    <w:tl2br w:val="nil"/>
                    <w:tr2bl w:val="nil"/>
                  </w:tcBorders>
                  <w:vAlign w:val="center"/>
                </w:tcPr>
                <w:p w14:paraId="4EF154BA">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7</w:t>
                  </w:r>
                </w:p>
              </w:tc>
              <w:tc>
                <w:tcPr>
                  <w:tcW w:w="2284" w:type="dxa"/>
                  <w:tcBorders>
                    <w:tl2br w:val="nil"/>
                    <w:tr2bl w:val="nil"/>
                  </w:tcBorders>
                  <w:vAlign w:val="center"/>
                </w:tcPr>
                <w:p w14:paraId="4E615833">
                  <w:pPr>
                    <w:pStyle w:val="111"/>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rPr>
                    <w:t>挖掘机</w:t>
                  </w:r>
                </w:p>
              </w:tc>
              <w:tc>
                <w:tcPr>
                  <w:tcW w:w="1390" w:type="dxa"/>
                  <w:tcBorders>
                    <w:tl2br w:val="nil"/>
                    <w:tr2bl w:val="nil"/>
                  </w:tcBorders>
                  <w:vAlign w:val="center"/>
                </w:tcPr>
                <w:p w14:paraId="1BA287F2">
                  <w:pPr>
                    <w:pStyle w:val="111"/>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rPr>
                    <w:t>台</w:t>
                  </w:r>
                </w:p>
              </w:tc>
              <w:tc>
                <w:tcPr>
                  <w:tcW w:w="1415" w:type="dxa"/>
                  <w:tcBorders>
                    <w:tl2br w:val="nil"/>
                    <w:tr2bl w:val="nil"/>
                  </w:tcBorders>
                  <w:vAlign w:val="center"/>
                </w:tcPr>
                <w:p w14:paraId="3830CD6B">
                  <w:pPr>
                    <w:pStyle w:val="111"/>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rPr>
                    <w:t>1m</w:t>
                  </w:r>
                  <w:r>
                    <w:rPr>
                      <w:rFonts w:hint="default" w:ascii="Times New Roman" w:hAnsi="Times New Roman" w:eastAsia="宋体" w:cs="Times New Roman"/>
                      <w:color w:val="auto"/>
                      <w:vertAlign w:val="superscript"/>
                    </w:rPr>
                    <w:t>3</w:t>
                  </w:r>
                </w:p>
              </w:tc>
              <w:tc>
                <w:tcPr>
                  <w:tcW w:w="2098" w:type="dxa"/>
                  <w:tcBorders>
                    <w:tl2br w:val="nil"/>
                    <w:tr2bl w:val="nil"/>
                  </w:tcBorders>
                  <w:vAlign w:val="center"/>
                </w:tcPr>
                <w:p w14:paraId="44DF6701">
                  <w:pPr>
                    <w:pStyle w:val="111"/>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lang w:val="en-US" w:eastAsia="zh-CN"/>
                    </w:rPr>
                    <w:t>1</w:t>
                  </w:r>
                </w:p>
              </w:tc>
            </w:tr>
            <w:tr w14:paraId="5238F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987" w:type="dxa"/>
                  <w:tcBorders>
                    <w:tl2br w:val="nil"/>
                    <w:tr2bl w:val="nil"/>
                  </w:tcBorders>
                  <w:vAlign w:val="center"/>
                </w:tcPr>
                <w:p w14:paraId="52B5B11F">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8</w:t>
                  </w:r>
                </w:p>
              </w:tc>
              <w:tc>
                <w:tcPr>
                  <w:tcW w:w="2284" w:type="dxa"/>
                  <w:tcBorders>
                    <w:tl2br w:val="nil"/>
                    <w:tr2bl w:val="nil"/>
                  </w:tcBorders>
                  <w:vAlign w:val="center"/>
                </w:tcPr>
                <w:p w14:paraId="249E2519">
                  <w:pPr>
                    <w:pStyle w:val="111"/>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lang w:val="en-US" w:eastAsia="zh-CN"/>
                    </w:rPr>
                    <w:t>钢筋调直机</w:t>
                  </w:r>
                </w:p>
              </w:tc>
              <w:tc>
                <w:tcPr>
                  <w:tcW w:w="1390" w:type="dxa"/>
                  <w:tcBorders>
                    <w:tl2br w:val="nil"/>
                    <w:tr2bl w:val="nil"/>
                  </w:tcBorders>
                  <w:vAlign w:val="center"/>
                </w:tcPr>
                <w:p w14:paraId="27EC625A">
                  <w:pPr>
                    <w:pStyle w:val="111"/>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rPr>
                    <w:t>台</w:t>
                  </w:r>
                </w:p>
              </w:tc>
              <w:tc>
                <w:tcPr>
                  <w:tcW w:w="1415" w:type="dxa"/>
                  <w:tcBorders>
                    <w:tl2br w:val="nil"/>
                    <w:tr2bl w:val="nil"/>
                  </w:tcBorders>
                  <w:vAlign w:val="center"/>
                </w:tcPr>
                <w:p w14:paraId="67E6CDE8">
                  <w:pPr>
                    <w:pStyle w:val="111"/>
                    <w:rPr>
                      <w:rFonts w:hint="default" w:ascii="Times New Roman" w:hAnsi="Times New Roman" w:eastAsia="宋体" w:cs="Times New Roman"/>
                      <w:color w:val="auto"/>
                      <w:kern w:val="0"/>
                      <w:sz w:val="21"/>
                      <w:szCs w:val="21"/>
                      <w:lang w:val="en-US" w:eastAsia="zh-CN" w:bidi="ar-SA"/>
                    </w:rPr>
                  </w:pPr>
                </w:p>
              </w:tc>
              <w:tc>
                <w:tcPr>
                  <w:tcW w:w="2098" w:type="dxa"/>
                  <w:tcBorders>
                    <w:tl2br w:val="nil"/>
                    <w:tr2bl w:val="nil"/>
                  </w:tcBorders>
                  <w:vAlign w:val="center"/>
                </w:tcPr>
                <w:p w14:paraId="62C324CC">
                  <w:pPr>
                    <w:pStyle w:val="111"/>
                    <w:rPr>
                      <w:rFonts w:hint="default" w:ascii="Times New Roman" w:hAnsi="Times New Roman" w:eastAsia="宋体" w:cs="Times New Roman"/>
                      <w:color w:val="auto"/>
                      <w:kern w:val="0"/>
                      <w:sz w:val="21"/>
                      <w:szCs w:val="21"/>
                      <w:lang w:val="en-US" w:eastAsia="zh-CN" w:bidi="ar-SA"/>
                    </w:rPr>
                  </w:pPr>
                  <w:r>
                    <w:rPr>
                      <w:rFonts w:hint="eastAsia" w:hAnsi="Times New Roman" w:cs="Times New Roman"/>
                      <w:color w:val="auto"/>
                      <w:lang w:val="en-US" w:eastAsia="zh-CN"/>
                    </w:rPr>
                    <w:t>2</w:t>
                  </w:r>
                </w:p>
              </w:tc>
            </w:tr>
            <w:tr w14:paraId="649FC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987" w:type="dxa"/>
                  <w:tcBorders>
                    <w:tl2br w:val="nil"/>
                    <w:tr2bl w:val="nil"/>
                  </w:tcBorders>
                  <w:vAlign w:val="center"/>
                </w:tcPr>
                <w:p w14:paraId="59C4ECC6">
                  <w:pPr>
                    <w:pStyle w:val="11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9</w:t>
                  </w:r>
                </w:p>
              </w:tc>
              <w:tc>
                <w:tcPr>
                  <w:tcW w:w="2284" w:type="dxa"/>
                  <w:tcBorders>
                    <w:tl2br w:val="nil"/>
                    <w:tr2bl w:val="nil"/>
                  </w:tcBorders>
                  <w:vAlign w:val="center"/>
                </w:tcPr>
                <w:p w14:paraId="0FD23E5A">
                  <w:pPr>
                    <w:pStyle w:val="111"/>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lang w:val="en-US" w:eastAsia="zh-CN"/>
                    </w:rPr>
                    <w:t>钢筋切断机</w:t>
                  </w:r>
                </w:p>
              </w:tc>
              <w:tc>
                <w:tcPr>
                  <w:tcW w:w="1390" w:type="dxa"/>
                  <w:tcBorders>
                    <w:tl2br w:val="nil"/>
                    <w:tr2bl w:val="nil"/>
                  </w:tcBorders>
                  <w:vAlign w:val="center"/>
                </w:tcPr>
                <w:p w14:paraId="6526578E">
                  <w:pPr>
                    <w:pStyle w:val="111"/>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rPr>
                    <w:t>台</w:t>
                  </w:r>
                </w:p>
              </w:tc>
              <w:tc>
                <w:tcPr>
                  <w:tcW w:w="1415" w:type="dxa"/>
                  <w:tcBorders>
                    <w:tl2br w:val="nil"/>
                    <w:tr2bl w:val="nil"/>
                  </w:tcBorders>
                  <w:vAlign w:val="center"/>
                </w:tcPr>
                <w:p w14:paraId="43C1BE3F">
                  <w:pPr>
                    <w:pStyle w:val="111"/>
                    <w:rPr>
                      <w:rFonts w:hint="default" w:ascii="Times New Roman" w:hAnsi="Times New Roman" w:eastAsia="宋体" w:cs="Times New Roman"/>
                      <w:color w:val="auto"/>
                      <w:kern w:val="0"/>
                      <w:sz w:val="21"/>
                      <w:szCs w:val="21"/>
                      <w:lang w:val="en-US" w:eastAsia="zh-CN" w:bidi="ar-SA"/>
                    </w:rPr>
                  </w:pPr>
                </w:p>
              </w:tc>
              <w:tc>
                <w:tcPr>
                  <w:tcW w:w="2098" w:type="dxa"/>
                  <w:tcBorders>
                    <w:tl2br w:val="nil"/>
                    <w:tr2bl w:val="nil"/>
                  </w:tcBorders>
                  <w:vAlign w:val="center"/>
                </w:tcPr>
                <w:p w14:paraId="67D22F48">
                  <w:pPr>
                    <w:pStyle w:val="111"/>
                    <w:rPr>
                      <w:rFonts w:hint="default" w:ascii="Times New Roman" w:hAnsi="Times New Roman" w:eastAsia="宋体" w:cs="Times New Roman"/>
                      <w:color w:val="auto"/>
                      <w:kern w:val="0"/>
                      <w:sz w:val="21"/>
                      <w:szCs w:val="21"/>
                      <w:lang w:val="en-US" w:eastAsia="zh-CN" w:bidi="ar-SA"/>
                    </w:rPr>
                  </w:pPr>
                  <w:r>
                    <w:rPr>
                      <w:rFonts w:hint="eastAsia" w:hAnsi="Times New Roman" w:cs="Times New Roman"/>
                      <w:color w:val="auto"/>
                      <w:lang w:val="en-US" w:eastAsia="zh-CN"/>
                    </w:rPr>
                    <w:t>2</w:t>
                  </w:r>
                </w:p>
              </w:tc>
            </w:tr>
            <w:tr w14:paraId="7BA5E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987" w:type="dxa"/>
                  <w:tcBorders>
                    <w:tl2br w:val="nil"/>
                    <w:tr2bl w:val="nil"/>
                  </w:tcBorders>
                  <w:vAlign w:val="center"/>
                </w:tcPr>
                <w:p w14:paraId="2BBB5FE3">
                  <w:pPr>
                    <w:pStyle w:val="11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10</w:t>
                  </w:r>
                </w:p>
              </w:tc>
              <w:tc>
                <w:tcPr>
                  <w:tcW w:w="2284" w:type="dxa"/>
                  <w:tcBorders>
                    <w:tl2br w:val="nil"/>
                    <w:tr2bl w:val="nil"/>
                  </w:tcBorders>
                  <w:vAlign w:val="center"/>
                </w:tcPr>
                <w:p w14:paraId="4DE123CD">
                  <w:pPr>
                    <w:pStyle w:val="111"/>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rPr>
                    <w:t>洒水车</w:t>
                  </w:r>
                </w:p>
              </w:tc>
              <w:tc>
                <w:tcPr>
                  <w:tcW w:w="1390" w:type="dxa"/>
                  <w:tcBorders>
                    <w:tl2br w:val="nil"/>
                    <w:tr2bl w:val="nil"/>
                  </w:tcBorders>
                  <w:vAlign w:val="center"/>
                </w:tcPr>
                <w:p w14:paraId="20DD48D7">
                  <w:pPr>
                    <w:pStyle w:val="111"/>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rPr>
                    <w:t>辆</w:t>
                  </w:r>
                </w:p>
              </w:tc>
              <w:tc>
                <w:tcPr>
                  <w:tcW w:w="1415" w:type="dxa"/>
                  <w:tcBorders>
                    <w:tl2br w:val="nil"/>
                    <w:tr2bl w:val="nil"/>
                  </w:tcBorders>
                  <w:vAlign w:val="center"/>
                </w:tcPr>
                <w:p w14:paraId="27782B13">
                  <w:pPr>
                    <w:pStyle w:val="111"/>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rPr>
                    <w:t>5t</w:t>
                  </w:r>
                </w:p>
              </w:tc>
              <w:tc>
                <w:tcPr>
                  <w:tcW w:w="2098" w:type="dxa"/>
                  <w:tcBorders>
                    <w:tl2br w:val="nil"/>
                    <w:tr2bl w:val="nil"/>
                  </w:tcBorders>
                  <w:vAlign w:val="center"/>
                </w:tcPr>
                <w:p w14:paraId="2E371BBB">
                  <w:pPr>
                    <w:pStyle w:val="111"/>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lang w:val="en-US" w:eastAsia="zh-CN"/>
                    </w:rPr>
                    <w:t>1</w:t>
                  </w:r>
                </w:p>
              </w:tc>
            </w:tr>
          </w:tbl>
          <w:p w14:paraId="03A72C57">
            <w:pPr>
              <w:pStyle w:val="96"/>
              <w:numPr>
                <w:ilvl w:val="0"/>
                <w:numId w:val="2"/>
              </w:numPr>
              <w:ind w:left="-62" w:leftChars="0" w:firstLine="482" w:firstLineChars="0"/>
              <w:rPr>
                <w:rFonts w:hint="default" w:ascii="Times New Roman" w:hAnsi="Times New Roman" w:eastAsia="宋体" w:cs="Times New Roman"/>
                <w:b/>
                <w:color w:val="auto"/>
                <w:lang w:val="en-US" w:eastAsia="zh-CN"/>
              </w:rPr>
            </w:pPr>
            <w:r>
              <w:rPr>
                <w:rFonts w:hint="default" w:ascii="Times New Roman" w:hAnsi="Times New Roman" w:eastAsia="宋体" w:cs="Times New Roman"/>
                <w:b/>
                <w:color w:val="auto"/>
                <w:lang w:val="en-US" w:eastAsia="zh-CN"/>
              </w:rPr>
              <w:t>施工组织设计</w:t>
            </w:r>
          </w:p>
          <w:p w14:paraId="1F3E9262">
            <w:pPr>
              <w:spacing w:line="360" w:lineRule="auto"/>
              <w:ind w:firstLine="482" w:firstLineChars="200"/>
              <w:rPr>
                <w:rFonts w:hint="default" w:ascii="Times New Roman" w:hAnsi="Times New Roman" w:eastAsia="宋体" w:cs="Times New Roman"/>
                <w:b/>
                <w:bCs/>
                <w:color w:val="auto"/>
                <w:sz w:val="24"/>
              </w:rPr>
            </w:pPr>
            <w:r>
              <w:rPr>
                <w:rFonts w:hint="eastAsia" w:ascii="Times New Roman" w:hAnsi="Times New Roman" w:cs="Times New Roman"/>
                <w:b/>
                <w:bCs/>
                <w:color w:val="auto"/>
                <w:sz w:val="24"/>
                <w:lang w:val="en-US" w:eastAsia="zh-CN"/>
              </w:rPr>
              <w:t>9</w:t>
            </w:r>
            <w:r>
              <w:rPr>
                <w:rFonts w:hint="default" w:ascii="Times New Roman" w:hAnsi="Times New Roman" w:eastAsia="宋体" w:cs="Times New Roman"/>
                <w:b/>
                <w:bCs/>
                <w:color w:val="auto"/>
                <w:sz w:val="24"/>
              </w:rPr>
              <w:t>.1施工条件</w:t>
            </w:r>
          </w:p>
          <w:p w14:paraId="58D29736">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（1）交通条件</w:t>
            </w:r>
          </w:p>
          <w:p w14:paraId="2D79C900">
            <w:pPr>
              <w:pStyle w:val="113"/>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本项目所在地交通十分便利，灌区内均有柏油路面或砂石路面相通，交通方便；各公路均可通过乡村道路通达工程项目区。</w:t>
            </w:r>
          </w:p>
          <w:p w14:paraId="0A3D176D">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本项目多临机耕道或乡村路而建，场内交通便利。</w:t>
            </w:r>
          </w:p>
          <w:p w14:paraId="73B8C664">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（2）施工场地条件</w:t>
            </w:r>
          </w:p>
          <w:p w14:paraId="34BEB523">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项目区相对平坦开阔，周围有用于搭建临时设施、施工机械设备停放和材料及废弃物堆放的空地。</w:t>
            </w:r>
          </w:p>
          <w:p w14:paraId="41D5AFAC">
            <w:pPr>
              <w:spacing w:line="360" w:lineRule="auto"/>
              <w:ind w:firstLine="482" w:firstLineChars="200"/>
              <w:rPr>
                <w:rFonts w:hint="default" w:ascii="Times New Roman" w:hAnsi="Times New Roman" w:eastAsia="宋体" w:cs="Times New Roman"/>
                <w:b/>
                <w:bCs/>
                <w:color w:val="auto"/>
                <w:sz w:val="24"/>
              </w:rPr>
            </w:pPr>
            <w:r>
              <w:rPr>
                <w:rFonts w:hint="eastAsia" w:ascii="Times New Roman" w:hAnsi="Times New Roman" w:cs="Times New Roman"/>
                <w:b/>
                <w:bCs/>
                <w:color w:val="auto"/>
                <w:sz w:val="24"/>
                <w:lang w:val="en-US" w:eastAsia="zh-CN"/>
              </w:rPr>
              <w:t>9</w:t>
            </w:r>
            <w:r>
              <w:rPr>
                <w:rFonts w:hint="default" w:ascii="Times New Roman" w:hAnsi="Times New Roman" w:eastAsia="宋体" w:cs="Times New Roman"/>
                <w:b/>
                <w:bCs/>
                <w:color w:val="auto"/>
                <w:sz w:val="24"/>
              </w:rPr>
              <w:t>.2施工总进度</w:t>
            </w:r>
          </w:p>
          <w:p w14:paraId="32B4C8C0">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防渗渠道工程</w:t>
            </w:r>
            <w:r>
              <w:rPr>
                <w:rFonts w:hint="default" w:ascii="Times New Roman" w:hAnsi="Times New Roman" w:eastAsia="宋体" w:cs="Times New Roman"/>
                <w:color w:val="auto"/>
                <w:sz w:val="24"/>
              </w:rPr>
              <w:t>建设总工期为</w:t>
            </w:r>
            <w:r>
              <w:rPr>
                <w:rFonts w:hint="eastAsia" w:ascii="Times New Roman" w:hAnsi="Times New Roman" w:cs="Times New Roman"/>
                <w:color w:val="auto"/>
                <w:sz w:val="24"/>
                <w:lang w:val="en-US" w:eastAsia="zh-CN"/>
              </w:rPr>
              <w:t>240天</w:t>
            </w:r>
            <w:r>
              <w:rPr>
                <w:rFonts w:hint="default" w:ascii="Times New Roman" w:hAnsi="Times New Roman" w:eastAsia="宋体" w:cs="Times New Roman"/>
                <w:color w:val="auto"/>
                <w:sz w:val="24"/>
              </w:rPr>
              <w:t>，分为施工准备期、施工期、竣工期3个阶段。</w:t>
            </w:r>
          </w:p>
          <w:p w14:paraId="3EABCEFF">
            <w:pPr>
              <w:pStyle w:val="96"/>
              <w:numPr>
                <w:ilvl w:val="0"/>
                <w:numId w:val="2"/>
              </w:numPr>
              <w:ind w:left="-62" w:leftChars="0" w:firstLine="482" w:firstLineChars="0"/>
              <w:rPr>
                <w:rFonts w:hint="default" w:ascii="Times New Roman" w:hAnsi="Times New Roman" w:eastAsia="宋体" w:cs="Times New Roman"/>
                <w:b/>
                <w:color w:val="auto"/>
                <w:lang w:val="en-US" w:eastAsia="zh-CN"/>
              </w:rPr>
            </w:pPr>
            <w:r>
              <w:rPr>
                <w:rFonts w:hint="default" w:ascii="Times New Roman" w:hAnsi="Times New Roman" w:eastAsia="宋体" w:cs="Times New Roman"/>
                <w:b/>
                <w:color w:val="auto"/>
                <w:lang w:val="en-US" w:eastAsia="zh-CN"/>
              </w:rPr>
              <w:t>工程占地</w:t>
            </w:r>
          </w:p>
          <w:p w14:paraId="79EA804C">
            <w:pPr>
              <w:pStyle w:val="28"/>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val="en-US" w:eastAsia="zh-CN"/>
              </w:rPr>
              <w:t>本</w:t>
            </w:r>
            <w:r>
              <w:rPr>
                <w:rFonts w:hint="default" w:ascii="Times New Roman" w:hAnsi="Times New Roman" w:eastAsia="宋体" w:cs="Times New Roman"/>
                <w:color w:val="auto"/>
                <w:sz w:val="24"/>
                <w:lang w:eastAsia="zh-CN"/>
              </w:rPr>
              <w:t>工程</w:t>
            </w:r>
            <w:r>
              <w:rPr>
                <w:rFonts w:hint="default" w:ascii="Times New Roman" w:hAnsi="Times New Roman" w:eastAsia="宋体" w:cs="Times New Roman"/>
                <w:color w:val="auto"/>
                <w:sz w:val="24"/>
                <w:lang w:val="en-US" w:eastAsia="zh-CN"/>
              </w:rPr>
              <w:t>渠道项目</w:t>
            </w:r>
            <w:r>
              <w:rPr>
                <w:rFonts w:hint="default" w:ascii="Times New Roman" w:hAnsi="Times New Roman" w:eastAsia="宋体" w:cs="Times New Roman"/>
                <w:color w:val="auto"/>
                <w:sz w:val="24"/>
                <w:lang w:eastAsia="zh-CN"/>
              </w:rPr>
              <w:t>占地</w:t>
            </w:r>
            <w:r>
              <w:rPr>
                <w:rFonts w:hint="default" w:ascii="Times New Roman" w:hAnsi="Times New Roman" w:eastAsia="宋体" w:cs="Times New Roman"/>
                <w:color w:val="auto"/>
                <w:sz w:val="24"/>
                <w:lang w:val="en-US" w:eastAsia="zh-CN"/>
              </w:rPr>
              <w:t>面积为</w:t>
            </w:r>
            <w:r>
              <w:rPr>
                <w:rFonts w:hint="eastAsia" w:ascii="Times New Roman" w:hAnsi="Times New Roman" w:cs="Times New Roman"/>
                <w:color w:val="auto"/>
                <w:sz w:val="24"/>
                <w:lang w:val="en-US" w:eastAsia="zh-CN"/>
              </w:rPr>
              <w:t>2.46hm</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val="en-US" w:eastAsia="zh-CN"/>
              </w:rPr>
              <w:t>，</w:t>
            </w:r>
            <w:r>
              <w:rPr>
                <w:rFonts w:ascii="宋体" w:hAnsi="宋体" w:eastAsia="宋体" w:cs="宋体"/>
                <w:color w:val="auto"/>
                <w:spacing w:val="-8"/>
                <w:sz w:val="24"/>
                <w:szCs w:val="24"/>
              </w:rPr>
              <w:t>其中工程永</w:t>
            </w:r>
            <w:r>
              <w:rPr>
                <w:rFonts w:ascii="宋体" w:hAnsi="宋体" w:eastAsia="宋体" w:cs="宋体"/>
                <w:color w:val="auto"/>
                <w:spacing w:val="-2"/>
                <w:sz w:val="24"/>
                <w:szCs w:val="24"/>
              </w:rPr>
              <w:t>久占地面积为</w:t>
            </w:r>
            <w:r>
              <w:rPr>
                <w:rFonts w:hint="eastAsia" w:ascii="Times New Roman" w:hAnsi="Times New Roman" w:cs="Times New Roman"/>
                <w:color w:val="auto"/>
                <w:spacing w:val="-2"/>
                <w:sz w:val="24"/>
                <w:szCs w:val="24"/>
                <w:lang w:val="en-US" w:eastAsia="zh-CN"/>
              </w:rPr>
              <w:t>2.15</w:t>
            </w:r>
            <w:r>
              <w:rPr>
                <w:rFonts w:hint="eastAsia" w:ascii="Times New Roman" w:hAnsi="Times New Roman" w:cs="Times New Roman"/>
                <w:color w:val="auto"/>
                <w:sz w:val="24"/>
                <w:lang w:val="en-US" w:eastAsia="zh-CN"/>
              </w:rPr>
              <w:t>hm</w:t>
            </w:r>
            <w:r>
              <w:rPr>
                <w:rFonts w:hint="default" w:ascii="Times New Roman" w:hAnsi="Times New Roman" w:eastAsia="宋体" w:cs="Times New Roman"/>
                <w:color w:val="auto"/>
                <w:sz w:val="24"/>
                <w:vertAlign w:val="superscript"/>
                <w:lang w:val="en-US" w:eastAsia="zh-CN"/>
              </w:rPr>
              <w:t>2</w:t>
            </w:r>
            <w:r>
              <w:rPr>
                <w:rFonts w:ascii="宋体" w:hAnsi="宋体" w:eastAsia="宋体" w:cs="宋体"/>
                <w:color w:val="auto"/>
                <w:spacing w:val="-2"/>
                <w:sz w:val="24"/>
                <w:szCs w:val="24"/>
              </w:rPr>
              <w:t>，</w:t>
            </w:r>
            <w:r>
              <w:rPr>
                <w:rFonts w:ascii="宋体" w:hAnsi="宋体" w:eastAsia="宋体" w:cs="宋体"/>
                <w:color w:val="auto"/>
                <w:spacing w:val="-5"/>
                <w:sz w:val="24"/>
                <w:szCs w:val="24"/>
              </w:rPr>
              <w:t>工程临时占地面积为</w:t>
            </w:r>
            <w:r>
              <w:rPr>
                <w:rFonts w:hint="eastAsia" w:ascii="Times New Roman" w:hAnsi="Times New Roman" w:cs="Times New Roman"/>
                <w:color w:val="auto"/>
                <w:spacing w:val="-5"/>
                <w:sz w:val="24"/>
                <w:szCs w:val="24"/>
                <w:lang w:val="en-US" w:eastAsia="zh-CN"/>
              </w:rPr>
              <w:t>0.31</w:t>
            </w:r>
            <w:r>
              <w:rPr>
                <w:rFonts w:hint="eastAsia" w:ascii="Times New Roman" w:hAnsi="Times New Roman" w:cs="Times New Roman"/>
                <w:color w:val="auto"/>
                <w:sz w:val="24"/>
                <w:lang w:val="en-US" w:eastAsia="zh-CN"/>
              </w:rPr>
              <w:t>hm</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eastAsia="zh-CN"/>
              </w:rPr>
              <w:t>。</w:t>
            </w:r>
          </w:p>
          <w:p w14:paraId="66121D3B">
            <w:pPr>
              <w:ind w:firstLine="310" w:firstLineChars="147"/>
              <w:jc w:val="center"/>
              <w:rPr>
                <w:rFonts w:hint="default" w:ascii="Times New Roman" w:hAnsi="Times New Roman" w:eastAsia="宋体" w:cs="Times New Roman"/>
                <w:b/>
                <w:bCs w:val="0"/>
                <w:color w:val="0000C7"/>
                <w:szCs w:val="21"/>
                <w:lang w:val="en-US" w:eastAsia="zh-CN" w:bidi="ar"/>
              </w:rPr>
            </w:pPr>
            <w:r>
              <w:rPr>
                <w:rFonts w:hint="default" w:ascii="Times New Roman" w:hAnsi="Times New Roman" w:eastAsia="宋体" w:cs="Times New Roman"/>
                <w:b/>
                <w:bCs w:val="0"/>
                <w:color w:val="0000C7"/>
                <w:szCs w:val="21"/>
                <w:lang w:bidi="ar"/>
              </w:rPr>
              <w:t>表</w:t>
            </w:r>
            <w:r>
              <w:rPr>
                <w:rFonts w:hint="eastAsia" w:ascii="Times New Roman" w:hAnsi="Times New Roman" w:eastAsia="宋体" w:cs="Times New Roman"/>
                <w:b/>
                <w:bCs w:val="0"/>
                <w:color w:val="0000C7"/>
                <w:szCs w:val="21"/>
                <w:lang w:val="en-US" w:eastAsia="zh-CN" w:bidi="ar"/>
              </w:rPr>
              <w:t>2-6</w:t>
            </w:r>
            <w:r>
              <w:rPr>
                <w:rFonts w:hint="default" w:ascii="Times New Roman" w:hAnsi="Times New Roman" w:eastAsia="宋体" w:cs="Times New Roman"/>
                <w:b/>
                <w:bCs w:val="0"/>
                <w:color w:val="0000C7"/>
                <w:szCs w:val="21"/>
                <w:lang w:bidi="ar"/>
              </w:rPr>
              <w:t>工程占地</w:t>
            </w:r>
            <w:r>
              <w:rPr>
                <w:rFonts w:hint="eastAsia" w:ascii="Times New Roman" w:hAnsi="Times New Roman" w:eastAsia="宋体" w:cs="Times New Roman"/>
                <w:b/>
                <w:bCs w:val="0"/>
                <w:color w:val="0000C7"/>
                <w:szCs w:val="21"/>
                <w:lang w:val="en-US" w:eastAsia="zh-CN" w:bidi="ar"/>
              </w:rPr>
              <w:t>类型</w:t>
            </w:r>
            <w:r>
              <w:rPr>
                <w:rFonts w:hint="default" w:ascii="Times New Roman" w:hAnsi="Times New Roman" w:eastAsia="宋体" w:cs="Times New Roman"/>
                <w:b/>
                <w:bCs w:val="0"/>
                <w:color w:val="0000C7"/>
                <w:szCs w:val="21"/>
                <w:lang w:bidi="ar"/>
              </w:rPr>
              <w:t>统计表</w:t>
            </w:r>
            <w:r>
              <w:rPr>
                <w:rFonts w:hint="eastAsia" w:ascii="Times New Roman" w:hAnsi="Times New Roman" w:eastAsia="宋体" w:cs="Times New Roman"/>
                <w:b/>
                <w:bCs w:val="0"/>
                <w:color w:val="0000C7"/>
                <w:szCs w:val="21"/>
                <w:lang w:val="en-US" w:eastAsia="zh-CN" w:bidi="ar"/>
              </w:rPr>
              <w:t xml:space="preserve">  单位：</w:t>
            </w:r>
            <w:r>
              <w:rPr>
                <w:rFonts w:hint="eastAsia" w:ascii="Times New Roman" w:hAnsi="Times New Roman" w:cs="Times New Roman"/>
                <w:b/>
                <w:bCs w:val="0"/>
                <w:color w:val="0000C7"/>
                <w:sz w:val="24"/>
                <w:lang w:val="en-US" w:eastAsia="zh-CN"/>
              </w:rPr>
              <w:t>hm</w:t>
            </w:r>
            <w:r>
              <w:rPr>
                <w:rFonts w:hint="default" w:ascii="Times New Roman" w:hAnsi="Times New Roman" w:eastAsia="宋体" w:cs="Times New Roman"/>
                <w:b/>
                <w:bCs w:val="0"/>
                <w:color w:val="0000C7"/>
                <w:sz w:val="24"/>
                <w:vertAlign w:val="superscript"/>
                <w:lang w:val="en-US" w:eastAsia="zh-CN"/>
              </w:rPr>
              <w:t>2</w:t>
            </w:r>
          </w:p>
          <w:tbl>
            <w:tblPr>
              <w:tblStyle w:val="97"/>
              <w:tblW w:w="813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7"/>
              <w:gridCol w:w="1785"/>
              <w:gridCol w:w="1162"/>
              <w:gridCol w:w="1233"/>
              <w:gridCol w:w="900"/>
              <w:gridCol w:w="2399"/>
            </w:tblGrid>
            <w:tr w14:paraId="240A9A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42" w:type="dxa"/>
                  <w:gridSpan w:val="2"/>
                  <w:vMerge w:val="restart"/>
                  <w:tcBorders>
                    <w:left w:val="single" w:color="auto" w:sz="4" w:space="0"/>
                  </w:tcBorders>
                  <w:vAlign w:val="center"/>
                </w:tcPr>
                <w:p w14:paraId="0F6F35F1">
                  <w:pPr>
                    <w:pStyle w:val="111"/>
                    <w:jc w:val="center"/>
                    <w:rPr>
                      <w:rFonts w:hint="default" w:ascii="Times New Roman" w:hAnsi="Times New Roman" w:eastAsia="宋体" w:cs="Times New Roman"/>
                      <w:color w:val="0000C7"/>
                      <w:lang w:val="en-US" w:eastAsia="zh-CN"/>
                    </w:rPr>
                  </w:pPr>
                  <w:r>
                    <w:rPr>
                      <w:rFonts w:hint="default" w:ascii="Times New Roman" w:hAnsi="Times New Roman" w:eastAsia="宋体" w:cs="Times New Roman"/>
                      <w:color w:val="0000C7"/>
                      <w:lang w:val="en-US" w:eastAsia="zh-CN"/>
                    </w:rPr>
                    <w:t>项目组成</w:t>
                  </w:r>
                </w:p>
              </w:tc>
              <w:tc>
                <w:tcPr>
                  <w:tcW w:w="3295" w:type="dxa"/>
                  <w:gridSpan w:val="3"/>
                  <w:vAlign w:val="center"/>
                </w:tcPr>
                <w:p w14:paraId="00414E3B">
                  <w:pPr>
                    <w:pStyle w:val="111"/>
                    <w:jc w:val="center"/>
                    <w:rPr>
                      <w:rFonts w:hint="default" w:ascii="Times New Roman" w:hAnsi="Times New Roman" w:eastAsia="宋体" w:cs="Times New Roman"/>
                      <w:color w:val="0000C7"/>
                      <w:lang w:val="en-US" w:eastAsia="zh-CN"/>
                    </w:rPr>
                  </w:pPr>
                  <w:r>
                    <w:rPr>
                      <w:rFonts w:hint="default" w:ascii="Times New Roman" w:hAnsi="Times New Roman" w:eastAsia="宋体" w:cs="Times New Roman"/>
                      <w:color w:val="0000C7"/>
                      <w:lang w:val="en-US" w:eastAsia="zh-CN"/>
                    </w:rPr>
                    <w:t>占地性质及面积</w:t>
                  </w:r>
                </w:p>
              </w:tc>
              <w:tc>
                <w:tcPr>
                  <w:tcW w:w="2399" w:type="dxa"/>
                  <w:vMerge w:val="restart"/>
                  <w:vAlign w:val="center"/>
                </w:tcPr>
                <w:p w14:paraId="3A36FD02">
                  <w:pPr>
                    <w:pStyle w:val="111"/>
                    <w:jc w:val="center"/>
                    <w:rPr>
                      <w:rFonts w:hint="default" w:ascii="Times New Roman" w:hAnsi="Times New Roman" w:eastAsia="宋体" w:cs="Times New Roman"/>
                      <w:color w:val="0000C7"/>
                      <w:lang w:val="en-US" w:eastAsia="zh-CN"/>
                    </w:rPr>
                  </w:pPr>
                  <w:r>
                    <w:rPr>
                      <w:rFonts w:hint="default" w:ascii="Times New Roman" w:hAnsi="Times New Roman" w:eastAsia="宋体" w:cs="Times New Roman"/>
                      <w:color w:val="0000C7"/>
                      <w:lang w:val="en-US" w:eastAsia="zh-CN"/>
                    </w:rPr>
                    <w:t>占地类型</w:t>
                  </w:r>
                </w:p>
              </w:tc>
            </w:tr>
            <w:tr w14:paraId="0466CC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42" w:type="dxa"/>
                  <w:gridSpan w:val="2"/>
                  <w:vMerge w:val="continue"/>
                  <w:tcBorders>
                    <w:left w:val="single" w:color="auto" w:sz="4" w:space="0"/>
                  </w:tcBorders>
                  <w:vAlign w:val="center"/>
                </w:tcPr>
                <w:p w14:paraId="1CB3A7ED">
                  <w:pPr>
                    <w:pStyle w:val="111"/>
                    <w:jc w:val="center"/>
                    <w:rPr>
                      <w:rFonts w:hint="default" w:ascii="Times New Roman" w:hAnsi="Times New Roman" w:eastAsia="宋体" w:cs="Times New Roman"/>
                      <w:color w:val="0000C7"/>
                      <w:lang w:val="en-US" w:eastAsia="zh-CN"/>
                    </w:rPr>
                  </w:pPr>
                </w:p>
              </w:tc>
              <w:tc>
                <w:tcPr>
                  <w:tcW w:w="1162" w:type="dxa"/>
                  <w:vAlign w:val="center"/>
                </w:tcPr>
                <w:p w14:paraId="56075C31">
                  <w:pPr>
                    <w:pStyle w:val="111"/>
                    <w:jc w:val="center"/>
                    <w:rPr>
                      <w:rFonts w:hint="default" w:ascii="Times New Roman" w:hAnsi="Times New Roman" w:eastAsia="宋体" w:cs="Times New Roman"/>
                      <w:color w:val="0000C7"/>
                      <w:lang w:val="en-US" w:eastAsia="zh-CN"/>
                    </w:rPr>
                  </w:pPr>
                  <w:r>
                    <w:rPr>
                      <w:rFonts w:hint="default" w:ascii="Times New Roman" w:hAnsi="Times New Roman" w:eastAsia="宋体" w:cs="Times New Roman"/>
                      <w:color w:val="0000C7"/>
                      <w:lang w:val="en-US" w:eastAsia="zh-CN"/>
                    </w:rPr>
                    <w:t>永久占地</w:t>
                  </w:r>
                </w:p>
              </w:tc>
              <w:tc>
                <w:tcPr>
                  <w:tcW w:w="1233" w:type="dxa"/>
                  <w:vAlign w:val="center"/>
                </w:tcPr>
                <w:p w14:paraId="7D47464E">
                  <w:pPr>
                    <w:pStyle w:val="111"/>
                    <w:jc w:val="center"/>
                    <w:rPr>
                      <w:rFonts w:hint="default" w:ascii="Times New Roman" w:hAnsi="Times New Roman" w:eastAsia="宋体" w:cs="Times New Roman"/>
                      <w:color w:val="0000C7"/>
                      <w:lang w:val="en-US" w:eastAsia="zh-CN"/>
                    </w:rPr>
                  </w:pPr>
                  <w:r>
                    <w:rPr>
                      <w:rFonts w:hint="default" w:ascii="Times New Roman" w:hAnsi="Times New Roman" w:eastAsia="宋体" w:cs="Times New Roman"/>
                      <w:color w:val="0000C7"/>
                      <w:lang w:val="en-US" w:eastAsia="zh-CN"/>
                    </w:rPr>
                    <w:t>临时占地</w:t>
                  </w:r>
                </w:p>
              </w:tc>
              <w:tc>
                <w:tcPr>
                  <w:tcW w:w="900" w:type="dxa"/>
                  <w:vAlign w:val="center"/>
                </w:tcPr>
                <w:p w14:paraId="63823BD8">
                  <w:pPr>
                    <w:pStyle w:val="111"/>
                    <w:jc w:val="center"/>
                    <w:rPr>
                      <w:rFonts w:hint="default" w:ascii="Times New Roman" w:hAnsi="Times New Roman" w:eastAsia="宋体" w:cs="Times New Roman"/>
                      <w:color w:val="0000C7"/>
                      <w:lang w:val="en-US" w:eastAsia="zh-CN"/>
                    </w:rPr>
                  </w:pPr>
                  <w:r>
                    <w:rPr>
                      <w:rFonts w:hint="default" w:ascii="Times New Roman" w:hAnsi="Times New Roman" w:eastAsia="宋体" w:cs="Times New Roman"/>
                      <w:color w:val="0000C7"/>
                      <w:lang w:val="en-US" w:eastAsia="zh-CN"/>
                    </w:rPr>
                    <w:t>合计</w:t>
                  </w:r>
                </w:p>
              </w:tc>
              <w:tc>
                <w:tcPr>
                  <w:tcW w:w="2399" w:type="dxa"/>
                  <w:vMerge w:val="continue"/>
                  <w:vAlign w:val="center"/>
                </w:tcPr>
                <w:p w14:paraId="202E4DAB">
                  <w:pPr>
                    <w:pStyle w:val="111"/>
                    <w:jc w:val="both"/>
                    <w:rPr>
                      <w:rFonts w:hint="default" w:ascii="Times New Roman" w:hAnsi="Times New Roman" w:eastAsia="宋体" w:cs="Times New Roman"/>
                      <w:color w:val="0000C7"/>
                      <w:lang w:val="en-US" w:eastAsia="zh-CN"/>
                    </w:rPr>
                  </w:pPr>
                </w:p>
              </w:tc>
            </w:tr>
            <w:tr w14:paraId="51731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7" w:type="dxa"/>
                  <w:vMerge w:val="restart"/>
                  <w:tcBorders>
                    <w:bottom w:val="nil"/>
                  </w:tcBorders>
                  <w:vAlign w:val="center"/>
                </w:tcPr>
                <w:p w14:paraId="325D480F">
                  <w:pPr>
                    <w:pStyle w:val="111"/>
                    <w:jc w:val="center"/>
                    <w:rPr>
                      <w:rFonts w:hint="default" w:ascii="Times New Roman" w:hAnsi="Times New Roman" w:eastAsia="宋体" w:cs="Times New Roman"/>
                      <w:color w:val="0000C7"/>
                      <w:lang w:val="en-US" w:eastAsia="zh-CN"/>
                    </w:rPr>
                  </w:pPr>
                  <w:r>
                    <w:rPr>
                      <w:rFonts w:hint="default" w:ascii="Times New Roman" w:hAnsi="Times New Roman" w:eastAsia="宋体" w:cs="Times New Roman"/>
                      <w:color w:val="0000C7"/>
                      <w:lang w:val="en-US" w:eastAsia="zh-CN"/>
                    </w:rPr>
                    <w:t>渠道</w:t>
                  </w:r>
                </w:p>
                <w:p w14:paraId="63CAE24D">
                  <w:pPr>
                    <w:pStyle w:val="111"/>
                    <w:jc w:val="center"/>
                    <w:rPr>
                      <w:rFonts w:hint="default" w:ascii="Times New Roman" w:hAnsi="Times New Roman" w:eastAsia="宋体" w:cs="Times New Roman"/>
                      <w:color w:val="0000C7"/>
                      <w:lang w:val="en-US" w:eastAsia="zh-CN"/>
                    </w:rPr>
                  </w:pPr>
                  <w:r>
                    <w:rPr>
                      <w:rFonts w:hint="default" w:ascii="Times New Roman" w:hAnsi="Times New Roman" w:eastAsia="宋体" w:cs="Times New Roman"/>
                      <w:color w:val="0000C7"/>
                      <w:lang w:val="en-US" w:eastAsia="zh-CN"/>
                    </w:rPr>
                    <w:t>工程 区</w:t>
                  </w:r>
                </w:p>
              </w:tc>
              <w:tc>
                <w:tcPr>
                  <w:tcW w:w="1785" w:type="dxa"/>
                  <w:vAlign w:val="center"/>
                </w:tcPr>
                <w:p w14:paraId="14BA7399">
                  <w:pPr>
                    <w:pStyle w:val="111"/>
                    <w:jc w:val="center"/>
                    <w:rPr>
                      <w:rFonts w:hint="default" w:ascii="Times New Roman" w:hAnsi="Times New Roman" w:eastAsia="宋体" w:cs="Times New Roman"/>
                      <w:color w:val="0000C7"/>
                      <w:lang w:val="en-US" w:eastAsia="zh-CN"/>
                    </w:rPr>
                  </w:pPr>
                  <w:r>
                    <w:rPr>
                      <w:rFonts w:hint="default" w:ascii="Times New Roman" w:hAnsi="Times New Roman" w:eastAsia="宋体" w:cs="Times New Roman"/>
                      <w:color w:val="0000C7"/>
                      <w:lang w:val="en-US" w:eastAsia="zh-CN"/>
                    </w:rPr>
                    <w:t>渠道工程区</w:t>
                  </w:r>
                </w:p>
              </w:tc>
              <w:tc>
                <w:tcPr>
                  <w:tcW w:w="1162" w:type="dxa"/>
                  <w:vAlign w:val="center"/>
                </w:tcPr>
                <w:p w14:paraId="39B9FA28">
                  <w:pPr>
                    <w:pStyle w:val="111"/>
                    <w:jc w:val="center"/>
                    <w:rPr>
                      <w:rFonts w:hint="default" w:ascii="Times New Roman" w:hAnsi="Times New Roman" w:eastAsia="宋体" w:cs="Times New Roman"/>
                      <w:color w:val="0000C7"/>
                      <w:lang w:val="en-US" w:eastAsia="zh-CN"/>
                    </w:rPr>
                  </w:pPr>
                  <w:r>
                    <w:rPr>
                      <w:rFonts w:hint="eastAsia" w:hAnsi="Times New Roman" w:eastAsia="宋体" w:cs="Times New Roman"/>
                      <w:color w:val="0000C7"/>
                      <w:lang w:val="en-US" w:eastAsia="zh-CN"/>
                    </w:rPr>
                    <w:t>2.15</w:t>
                  </w:r>
                </w:p>
              </w:tc>
              <w:tc>
                <w:tcPr>
                  <w:tcW w:w="1233" w:type="dxa"/>
                  <w:vAlign w:val="center"/>
                </w:tcPr>
                <w:p w14:paraId="0FF8C964">
                  <w:pPr>
                    <w:pStyle w:val="111"/>
                    <w:jc w:val="center"/>
                    <w:rPr>
                      <w:rFonts w:hint="default" w:ascii="Times New Roman" w:hAnsi="Times New Roman" w:eastAsia="宋体" w:cs="Times New Roman"/>
                      <w:color w:val="0000C7"/>
                      <w:lang w:val="en-US" w:eastAsia="zh-CN"/>
                    </w:rPr>
                  </w:pPr>
                  <w:r>
                    <w:rPr>
                      <w:rFonts w:hint="default" w:ascii="Times New Roman" w:hAnsi="Times New Roman" w:eastAsia="宋体" w:cs="Times New Roman"/>
                      <w:color w:val="0000C7"/>
                      <w:lang w:val="en-US" w:eastAsia="zh-CN"/>
                    </w:rPr>
                    <w:t>/</w:t>
                  </w:r>
                </w:p>
              </w:tc>
              <w:tc>
                <w:tcPr>
                  <w:tcW w:w="900" w:type="dxa"/>
                  <w:vAlign w:val="center"/>
                </w:tcPr>
                <w:p w14:paraId="4C4FF672">
                  <w:pPr>
                    <w:pStyle w:val="111"/>
                    <w:jc w:val="center"/>
                    <w:rPr>
                      <w:rFonts w:hint="default" w:ascii="Times New Roman" w:hAnsi="Times New Roman" w:eastAsia="宋体" w:cs="Times New Roman"/>
                      <w:color w:val="0000C7"/>
                      <w:lang w:val="en-US" w:eastAsia="zh-CN"/>
                    </w:rPr>
                  </w:pPr>
                  <w:r>
                    <w:rPr>
                      <w:rFonts w:hint="eastAsia" w:hAnsi="Times New Roman" w:eastAsia="宋体" w:cs="Times New Roman"/>
                      <w:color w:val="0000C7"/>
                      <w:lang w:val="en-US" w:eastAsia="zh-CN"/>
                    </w:rPr>
                    <w:t>2.15</w:t>
                  </w:r>
                </w:p>
              </w:tc>
              <w:tc>
                <w:tcPr>
                  <w:tcW w:w="2399" w:type="dxa"/>
                  <w:tcBorders>
                    <w:bottom w:val="nil"/>
                  </w:tcBorders>
                  <w:vAlign w:val="center"/>
                </w:tcPr>
                <w:p w14:paraId="03AE88BB">
                  <w:pPr>
                    <w:pStyle w:val="111"/>
                    <w:jc w:val="center"/>
                    <w:rPr>
                      <w:rFonts w:hint="default" w:ascii="Times New Roman" w:hAnsi="Times New Roman" w:eastAsia="宋体" w:cs="Times New Roman"/>
                      <w:color w:val="0000C7"/>
                      <w:lang w:val="en-US" w:eastAsia="zh-CN"/>
                    </w:rPr>
                  </w:pPr>
                  <w:r>
                    <w:rPr>
                      <w:rFonts w:hint="default" w:ascii="Times New Roman" w:hAnsi="Times New Roman" w:eastAsia="宋体" w:cs="Times New Roman"/>
                      <w:color w:val="0000C7"/>
                      <w:lang w:val="en-US" w:eastAsia="zh-CN"/>
                    </w:rPr>
                    <w:t>耕地、沟渠、林地、园地</w:t>
                  </w:r>
                </w:p>
              </w:tc>
            </w:tr>
            <w:tr w14:paraId="69413F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7" w:type="dxa"/>
                  <w:vMerge w:val="continue"/>
                  <w:tcBorders>
                    <w:top w:val="nil"/>
                    <w:bottom w:val="nil"/>
                  </w:tcBorders>
                  <w:vAlign w:val="center"/>
                </w:tcPr>
                <w:p w14:paraId="70266DE5">
                  <w:pPr>
                    <w:pStyle w:val="111"/>
                    <w:jc w:val="center"/>
                    <w:rPr>
                      <w:rFonts w:hint="default" w:ascii="Times New Roman" w:hAnsi="Times New Roman" w:eastAsia="宋体" w:cs="Times New Roman"/>
                      <w:color w:val="0000C7"/>
                      <w:lang w:val="en-US" w:eastAsia="zh-CN"/>
                    </w:rPr>
                  </w:pPr>
                </w:p>
              </w:tc>
              <w:tc>
                <w:tcPr>
                  <w:tcW w:w="1785" w:type="dxa"/>
                  <w:vAlign w:val="center"/>
                </w:tcPr>
                <w:p w14:paraId="5217BC96">
                  <w:pPr>
                    <w:pStyle w:val="111"/>
                    <w:jc w:val="center"/>
                    <w:rPr>
                      <w:rFonts w:hint="default" w:ascii="Times New Roman" w:hAnsi="Times New Roman" w:eastAsia="宋体" w:cs="Times New Roman"/>
                      <w:color w:val="0000C7"/>
                      <w:lang w:val="en-US" w:eastAsia="zh-CN"/>
                    </w:rPr>
                  </w:pPr>
                  <w:r>
                    <w:rPr>
                      <w:rFonts w:hint="default" w:ascii="Times New Roman" w:hAnsi="Times New Roman" w:eastAsia="宋体" w:cs="Times New Roman"/>
                      <w:color w:val="0000C7"/>
                      <w:lang w:val="en-US" w:eastAsia="zh-CN"/>
                    </w:rPr>
                    <w:t>施工临时设施区</w:t>
                  </w:r>
                </w:p>
              </w:tc>
              <w:tc>
                <w:tcPr>
                  <w:tcW w:w="1162" w:type="dxa"/>
                  <w:vAlign w:val="center"/>
                </w:tcPr>
                <w:p w14:paraId="770A28A3">
                  <w:pPr>
                    <w:pStyle w:val="111"/>
                    <w:jc w:val="center"/>
                    <w:rPr>
                      <w:rFonts w:hint="default" w:ascii="Times New Roman" w:hAnsi="Times New Roman" w:eastAsia="宋体" w:cs="Times New Roman"/>
                      <w:color w:val="0000C7"/>
                      <w:lang w:val="en-US" w:eastAsia="zh-CN"/>
                    </w:rPr>
                  </w:pPr>
                  <w:r>
                    <w:rPr>
                      <w:rFonts w:hint="eastAsia" w:hAnsi="Times New Roman" w:eastAsia="宋体" w:cs="Times New Roman"/>
                      <w:color w:val="0000C7"/>
                      <w:lang w:val="en-US" w:eastAsia="zh-CN"/>
                    </w:rPr>
                    <w:t>0</w:t>
                  </w:r>
                </w:p>
              </w:tc>
              <w:tc>
                <w:tcPr>
                  <w:tcW w:w="1233" w:type="dxa"/>
                  <w:vAlign w:val="center"/>
                </w:tcPr>
                <w:p w14:paraId="7FC3C865">
                  <w:pPr>
                    <w:pStyle w:val="111"/>
                    <w:jc w:val="center"/>
                    <w:rPr>
                      <w:rFonts w:hint="default" w:ascii="Times New Roman" w:hAnsi="Times New Roman" w:eastAsia="宋体" w:cs="Times New Roman"/>
                      <w:color w:val="0000C7"/>
                      <w:lang w:val="en-US" w:eastAsia="zh-CN"/>
                    </w:rPr>
                  </w:pPr>
                  <w:r>
                    <w:rPr>
                      <w:rFonts w:hint="eastAsia" w:hAnsi="Times New Roman" w:eastAsia="宋体" w:cs="Times New Roman"/>
                      <w:color w:val="0000C7"/>
                      <w:lang w:val="en-US" w:eastAsia="zh-CN"/>
                    </w:rPr>
                    <w:t>0.31</w:t>
                  </w:r>
                </w:p>
              </w:tc>
              <w:tc>
                <w:tcPr>
                  <w:tcW w:w="900" w:type="dxa"/>
                  <w:vAlign w:val="center"/>
                </w:tcPr>
                <w:p w14:paraId="71655BBF">
                  <w:pPr>
                    <w:pStyle w:val="111"/>
                    <w:jc w:val="center"/>
                    <w:rPr>
                      <w:rFonts w:hint="default" w:ascii="Times New Roman" w:hAnsi="Times New Roman" w:eastAsia="宋体" w:cs="Times New Roman"/>
                      <w:color w:val="0000C7"/>
                      <w:lang w:val="en-US" w:eastAsia="zh-CN"/>
                    </w:rPr>
                  </w:pPr>
                  <w:r>
                    <w:rPr>
                      <w:rFonts w:hint="eastAsia" w:hAnsi="Times New Roman" w:eastAsia="宋体" w:cs="Times New Roman"/>
                      <w:color w:val="0000C7"/>
                      <w:lang w:val="en-US" w:eastAsia="zh-CN"/>
                    </w:rPr>
                    <w:t>0.31</w:t>
                  </w:r>
                </w:p>
              </w:tc>
              <w:tc>
                <w:tcPr>
                  <w:tcW w:w="2399" w:type="dxa"/>
                  <w:vAlign w:val="center"/>
                </w:tcPr>
                <w:p w14:paraId="4E5E3C13">
                  <w:pPr>
                    <w:pStyle w:val="111"/>
                    <w:jc w:val="center"/>
                    <w:rPr>
                      <w:rFonts w:hint="default" w:ascii="Times New Roman" w:hAnsi="Times New Roman" w:eastAsia="宋体" w:cs="Times New Roman"/>
                      <w:color w:val="0000C7"/>
                      <w:lang w:val="en-US" w:eastAsia="zh-CN"/>
                    </w:rPr>
                  </w:pPr>
                  <w:r>
                    <w:rPr>
                      <w:rFonts w:hint="eastAsia" w:ascii="Times New Roman" w:hAnsi="Times New Roman" w:eastAsia="宋体" w:cs="Times New Roman"/>
                      <w:color w:val="0000C7"/>
                      <w:lang w:val="en-US" w:eastAsia="zh-CN"/>
                    </w:rPr>
                    <w:t>未利用地</w:t>
                  </w:r>
                </w:p>
              </w:tc>
            </w:tr>
            <w:tr w14:paraId="44436B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57" w:type="dxa"/>
                  <w:vMerge w:val="continue"/>
                  <w:tcBorders>
                    <w:top w:val="nil"/>
                  </w:tcBorders>
                  <w:vAlign w:val="center"/>
                </w:tcPr>
                <w:p w14:paraId="7156BAA2">
                  <w:pPr>
                    <w:pStyle w:val="111"/>
                    <w:jc w:val="center"/>
                    <w:rPr>
                      <w:rFonts w:hint="default" w:ascii="Times New Roman" w:hAnsi="Times New Roman" w:eastAsia="宋体" w:cs="Times New Roman"/>
                      <w:color w:val="0000C7"/>
                      <w:lang w:val="en-US" w:eastAsia="zh-CN"/>
                    </w:rPr>
                  </w:pPr>
                </w:p>
              </w:tc>
              <w:tc>
                <w:tcPr>
                  <w:tcW w:w="1785" w:type="dxa"/>
                  <w:vAlign w:val="center"/>
                </w:tcPr>
                <w:p w14:paraId="5DD991B2">
                  <w:pPr>
                    <w:pStyle w:val="111"/>
                    <w:jc w:val="center"/>
                    <w:rPr>
                      <w:rFonts w:hint="default" w:ascii="Times New Roman" w:hAnsi="Times New Roman" w:eastAsia="宋体" w:cs="Times New Roman"/>
                      <w:color w:val="0000C7"/>
                      <w:lang w:val="en-US" w:eastAsia="zh-CN"/>
                    </w:rPr>
                  </w:pPr>
                  <w:r>
                    <w:rPr>
                      <w:rFonts w:hint="default" w:ascii="Times New Roman" w:hAnsi="Times New Roman" w:eastAsia="宋体" w:cs="Times New Roman"/>
                      <w:color w:val="0000C7"/>
                      <w:lang w:val="en-US" w:eastAsia="zh-CN"/>
                    </w:rPr>
                    <w:t>合计</w:t>
                  </w:r>
                </w:p>
              </w:tc>
              <w:tc>
                <w:tcPr>
                  <w:tcW w:w="1162" w:type="dxa"/>
                  <w:vAlign w:val="center"/>
                </w:tcPr>
                <w:p w14:paraId="01BA77E7">
                  <w:pPr>
                    <w:pStyle w:val="111"/>
                    <w:jc w:val="center"/>
                    <w:rPr>
                      <w:rFonts w:hint="default" w:ascii="Times New Roman" w:hAnsi="Times New Roman" w:eastAsia="宋体" w:cs="Times New Roman"/>
                      <w:color w:val="0000C7"/>
                      <w:lang w:val="en-US" w:eastAsia="zh-CN"/>
                    </w:rPr>
                  </w:pPr>
                  <w:r>
                    <w:rPr>
                      <w:rFonts w:hint="eastAsia" w:hAnsi="Times New Roman" w:eastAsia="宋体" w:cs="Times New Roman"/>
                      <w:color w:val="0000C7"/>
                      <w:lang w:val="en-US" w:eastAsia="zh-CN"/>
                    </w:rPr>
                    <w:t>2.15</w:t>
                  </w:r>
                </w:p>
              </w:tc>
              <w:tc>
                <w:tcPr>
                  <w:tcW w:w="1233" w:type="dxa"/>
                  <w:vAlign w:val="center"/>
                </w:tcPr>
                <w:p w14:paraId="44307ED4">
                  <w:pPr>
                    <w:pStyle w:val="111"/>
                    <w:jc w:val="center"/>
                    <w:rPr>
                      <w:rFonts w:hint="default" w:ascii="Times New Roman" w:hAnsi="Times New Roman" w:eastAsia="宋体" w:cs="Times New Roman"/>
                      <w:color w:val="0000C7"/>
                      <w:lang w:val="en-US" w:eastAsia="zh-CN"/>
                    </w:rPr>
                  </w:pPr>
                  <w:r>
                    <w:rPr>
                      <w:rFonts w:hint="eastAsia" w:hAnsi="Times New Roman" w:eastAsia="宋体" w:cs="Times New Roman"/>
                      <w:color w:val="0000C7"/>
                      <w:lang w:val="en-US" w:eastAsia="zh-CN"/>
                    </w:rPr>
                    <w:t>0.31</w:t>
                  </w:r>
                </w:p>
              </w:tc>
              <w:tc>
                <w:tcPr>
                  <w:tcW w:w="900" w:type="dxa"/>
                  <w:vAlign w:val="center"/>
                </w:tcPr>
                <w:p w14:paraId="3672B2B2">
                  <w:pPr>
                    <w:pStyle w:val="111"/>
                    <w:jc w:val="center"/>
                    <w:rPr>
                      <w:rFonts w:hint="default" w:ascii="Times New Roman" w:hAnsi="Times New Roman" w:eastAsia="宋体" w:cs="Times New Roman"/>
                      <w:color w:val="0000C7"/>
                      <w:lang w:val="en-US" w:eastAsia="zh-CN"/>
                    </w:rPr>
                  </w:pPr>
                  <w:r>
                    <w:rPr>
                      <w:rFonts w:hint="eastAsia" w:hAnsi="Times New Roman" w:eastAsia="宋体" w:cs="Times New Roman"/>
                      <w:color w:val="0000C7"/>
                      <w:lang w:val="en-US" w:eastAsia="zh-CN"/>
                    </w:rPr>
                    <w:t>2.46</w:t>
                  </w:r>
                </w:p>
              </w:tc>
              <w:tc>
                <w:tcPr>
                  <w:tcW w:w="2399" w:type="dxa"/>
                  <w:vAlign w:val="center"/>
                </w:tcPr>
                <w:p w14:paraId="1BD0E67B">
                  <w:pPr>
                    <w:pStyle w:val="111"/>
                    <w:jc w:val="center"/>
                    <w:rPr>
                      <w:rFonts w:hint="default" w:ascii="Times New Roman" w:hAnsi="Times New Roman" w:eastAsia="宋体" w:cs="Times New Roman"/>
                      <w:color w:val="0000C7"/>
                      <w:lang w:val="en-US" w:eastAsia="zh-CN"/>
                    </w:rPr>
                  </w:pPr>
                  <w:r>
                    <w:rPr>
                      <w:rFonts w:hint="default" w:ascii="Times New Roman" w:hAnsi="Times New Roman" w:eastAsia="宋体" w:cs="Times New Roman"/>
                      <w:color w:val="0000C7"/>
                      <w:lang w:val="en-US" w:eastAsia="zh-CN"/>
                    </w:rPr>
                    <w:t>/</w:t>
                  </w:r>
                </w:p>
              </w:tc>
            </w:tr>
          </w:tbl>
          <w:p w14:paraId="517EF300">
            <w:pPr>
              <w:pStyle w:val="96"/>
              <w:numPr>
                <w:ilvl w:val="0"/>
                <w:numId w:val="0"/>
              </w:numPr>
              <w:ind w:firstLine="480" w:firstLineChars="200"/>
              <w:rPr>
                <w:rFonts w:hint="default" w:ascii="Times New Roman" w:hAnsi="Times New Roman" w:eastAsia="宋体" w:cs="Times New Roman"/>
                <w:b/>
                <w:color w:val="auto"/>
                <w:lang w:val="en-US" w:eastAsia="zh-CN"/>
              </w:rPr>
            </w:pPr>
            <w:r>
              <w:rPr>
                <w:rFonts w:hint="eastAsia" w:ascii="Times New Roman" w:hAnsi="Times New Roman" w:cs="Times New Roman"/>
                <w:color w:val="0000FF"/>
                <w:sz w:val="24"/>
                <w:lang w:val="en-US" w:eastAsia="zh-CN"/>
              </w:rPr>
              <w:t>占补平衡方案：</w:t>
            </w:r>
            <w:r>
              <w:rPr>
                <w:rFonts w:hint="default" w:ascii="Times New Roman" w:hAnsi="Times New Roman" w:eastAsia="宋体" w:cs="Times New Roman"/>
                <w:color w:val="0000FF"/>
                <w:sz w:val="24"/>
                <w:lang w:val="en-US" w:eastAsia="zh-CN"/>
              </w:rPr>
              <w:t>经核查，该项目用地为耕地、沟渠、林地、园地。</w:t>
            </w:r>
            <w:r>
              <w:rPr>
                <w:rFonts w:hint="default" w:ascii="Times New Roman" w:hAnsi="Times New Roman" w:eastAsia="宋体" w:cs="Times New Roman"/>
                <w:color w:val="auto"/>
                <w:sz w:val="24"/>
                <w:lang w:val="en-US" w:eastAsia="zh-CN"/>
              </w:rPr>
              <w:t>其中占用耕地部分须由用地单位编制耕地占补平衡方案，上报相关部门审批并提供编制方案留档备查</w:t>
            </w:r>
            <w:r>
              <w:rPr>
                <w:rFonts w:hint="eastAsia"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林地园地部分须征求林草部门意见。</w:t>
            </w:r>
          </w:p>
          <w:p w14:paraId="022B2476">
            <w:pPr>
              <w:pStyle w:val="96"/>
              <w:numPr>
                <w:ilvl w:val="0"/>
                <w:numId w:val="2"/>
              </w:numPr>
              <w:ind w:left="-62" w:leftChars="0" w:firstLine="482" w:firstLineChars="0"/>
              <w:rPr>
                <w:rFonts w:hint="default" w:ascii="Times New Roman" w:hAnsi="Times New Roman" w:eastAsia="宋体" w:cs="Times New Roman"/>
                <w:b/>
                <w:color w:val="auto"/>
                <w:lang w:val="en-US" w:eastAsia="zh-CN"/>
              </w:rPr>
            </w:pPr>
            <w:r>
              <w:rPr>
                <w:rFonts w:hint="default" w:ascii="Times New Roman" w:hAnsi="Times New Roman" w:eastAsia="宋体" w:cs="Times New Roman"/>
                <w:b/>
                <w:color w:val="auto"/>
                <w:lang w:val="en-US" w:eastAsia="zh-CN"/>
              </w:rPr>
              <w:t>原辅材料消耗</w:t>
            </w:r>
          </w:p>
          <w:p w14:paraId="1AFCE336">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lang w:eastAsia="zh-CN"/>
              </w:rPr>
              <w:t>防渗渠道工程</w:t>
            </w:r>
            <w:r>
              <w:rPr>
                <w:rFonts w:hint="default" w:ascii="Times New Roman" w:hAnsi="Times New Roman" w:eastAsia="宋体" w:cs="Times New Roman"/>
                <w:color w:val="auto"/>
                <w:sz w:val="24"/>
              </w:rPr>
              <w:t>所需的天然建筑材料主要有填筑料、砂砾石垫层料和砼骨料，存放于施工场地料场内。</w:t>
            </w:r>
            <w:r>
              <w:rPr>
                <w:rFonts w:hint="default" w:ascii="Times New Roman" w:hAnsi="Times New Roman" w:eastAsia="宋体" w:cs="Times New Roman"/>
                <w:color w:val="auto"/>
                <w:sz w:val="24"/>
                <w:lang w:eastAsia="zh-CN"/>
              </w:rPr>
              <w:t>料场四周设置围挡防风阻尘，堆垛配备篷布遮盖并定期洒水保持湿润</w:t>
            </w:r>
            <w:r>
              <w:rPr>
                <w:rFonts w:hint="default" w:ascii="Times New Roman" w:hAnsi="Times New Roman" w:eastAsia="宋体" w:cs="Times New Roman"/>
                <w:color w:val="auto"/>
                <w:sz w:val="24"/>
              </w:rPr>
              <w:t>，有效减少原料堆存过程扬尘产生及排放。</w:t>
            </w:r>
            <w:r>
              <w:rPr>
                <w:rFonts w:hint="default" w:ascii="Times New Roman" w:hAnsi="Times New Roman" w:eastAsia="宋体" w:cs="Times New Roman"/>
                <w:color w:val="auto"/>
                <w:spacing w:val="-2"/>
                <w:sz w:val="24"/>
                <w:szCs w:val="24"/>
              </w:rPr>
              <w:t>主要原辅材料及能耗情况见表</w:t>
            </w:r>
            <w:r>
              <w:rPr>
                <w:rFonts w:hint="default" w:ascii="Times New Roman" w:hAnsi="Times New Roman" w:eastAsia="宋体" w:cs="Times New Roman"/>
                <w:color w:val="auto"/>
                <w:spacing w:val="-40"/>
                <w:sz w:val="24"/>
                <w:szCs w:val="24"/>
              </w:rPr>
              <w:t xml:space="preserve"> </w:t>
            </w:r>
            <w:r>
              <w:rPr>
                <w:rFonts w:hint="default" w:ascii="Times New Roman" w:hAnsi="Times New Roman" w:eastAsia="宋体" w:cs="Times New Roman"/>
                <w:color w:val="auto"/>
                <w:spacing w:val="-2"/>
                <w:sz w:val="24"/>
                <w:szCs w:val="24"/>
              </w:rPr>
              <w:t>2-</w:t>
            </w:r>
            <w:r>
              <w:rPr>
                <w:rFonts w:hint="eastAsia" w:ascii="Times New Roman" w:hAnsi="Times New Roman" w:cs="Times New Roman"/>
                <w:color w:val="auto"/>
                <w:spacing w:val="-2"/>
                <w:sz w:val="24"/>
                <w:szCs w:val="24"/>
                <w:lang w:val="en-US" w:eastAsia="zh-CN"/>
              </w:rPr>
              <w:t>7</w:t>
            </w:r>
            <w:r>
              <w:rPr>
                <w:rFonts w:hint="default" w:ascii="Times New Roman" w:hAnsi="Times New Roman" w:eastAsia="宋体" w:cs="Times New Roman"/>
                <w:color w:val="auto"/>
                <w:spacing w:val="-2"/>
                <w:sz w:val="24"/>
                <w:szCs w:val="24"/>
              </w:rPr>
              <w:t>。</w:t>
            </w:r>
          </w:p>
          <w:p w14:paraId="33F093B8">
            <w:pPr>
              <w:ind w:firstLine="310" w:firstLineChars="147"/>
              <w:jc w:val="center"/>
              <w:rPr>
                <w:rFonts w:hint="default" w:ascii="Times New Roman" w:hAnsi="Times New Roman" w:eastAsia="宋体" w:cs="Times New Roman"/>
                <w:b/>
                <w:color w:val="auto"/>
                <w:szCs w:val="21"/>
                <w:lang w:bidi="ar"/>
              </w:rPr>
            </w:pPr>
            <w:r>
              <w:rPr>
                <w:rFonts w:hint="default" w:ascii="Times New Roman" w:hAnsi="Times New Roman" w:eastAsia="宋体" w:cs="Times New Roman"/>
                <w:b/>
                <w:color w:val="auto"/>
                <w:szCs w:val="21"/>
                <w:lang w:bidi="ar"/>
              </w:rPr>
              <w:t>表 2-</w:t>
            </w:r>
            <w:r>
              <w:rPr>
                <w:rFonts w:hint="eastAsia" w:ascii="Times New Roman" w:hAnsi="Times New Roman" w:cs="Times New Roman"/>
                <w:b/>
                <w:color w:val="auto"/>
                <w:szCs w:val="21"/>
                <w:lang w:val="en-US" w:eastAsia="zh-CN" w:bidi="ar"/>
              </w:rPr>
              <w:t>7</w:t>
            </w:r>
            <w:r>
              <w:rPr>
                <w:rFonts w:hint="default" w:ascii="Times New Roman" w:hAnsi="Times New Roman" w:eastAsia="宋体" w:cs="Times New Roman"/>
                <w:b/>
                <w:color w:val="auto"/>
                <w:szCs w:val="21"/>
                <w:lang w:bidi="ar"/>
              </w:rPr>
              <w:t xml:space="preserve"> 主要原材料消耗一览表</w:t>
            </w:r>
          </w:p>
          <w:tbl>
            <w:tblPr>
              <w:tblStyle w:val="97"/>
              <w:tblW w:w="4807" w:type="pct"/>
              <w:tblInd w:w="9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7"/>
              <w:gridCol w:w="1403"/>
              <w:gridCol w:w="1145"/>
              <w:gridCol w:w="1085"/>
              <w:gridCol w:w="3117"/>
            </w:tblGrid>
            <w:tr w14:paraId="468A3D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77" w:type="dxa"/>
                  <w:tcBorders>
                    <w:tl2br w:val="nil"/>
                    <w:tr2bl w:val="nil"/>
                  </w:tcBorders>
                  <w:vAlign w:val="center"/>
                </w:tcPr>
                <w:p w14:paraId="7273CF97">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类别</w:t>
                  </w:r>
                </w:p>
              </w:tc>
              <w:tc>
                <w:tcPr>
                  <w:tcW w:w="1403" w:type="dxa"/>
                  <w:tcBorders>
                    <w:tl2br w:val="nil"/>
                    <w:tr2bl w:val="nil"/>
                  </w:tcBorders>
                  <w:vAlign w:val="center"/>
                </w:tcPr>
                <w:p w14:paraId="251705B0">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物料名称</w:t>
                  </w:r>
                </w:p>
              </w:tc>
              <w:tc>
                <w:tcPr>
                  <w:tcW w:w="1145" w:type="dxa"/>
                  <w:tcBorders>
                    <w:tl2br w:val="nil"/>
                    <w:tr2bl w:val="nil"/>
                  </w:tcBorders>
                  <w:vAlign w:val="center"/>
                </w:tcPr>
                <w:p w14:paraId="484892DD">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单位</w:t>
                  </w:r>
                </w:p>
              </w:tc>
              <w:tc>
                <w:tcPr>
                  <w:tcW w:w="1085" w:type="dxa"/>
                  <w:tcBorders>
                    <w:tl2br w:val="nil"/>
                    <w:tr2bl w:val="nil"/>
                  </w:tcBorders>
                  <w:vAlign w:val="center"/>
                </w:tcPr>
                <w:p w14:paraId="67B471BC">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用量</w:t>
                  </w:r>
                </w:p>
              </w:tc>
              <w:tc>
                <w:tcPr>
                  <w:tcW w:w="3118" w:type="dxa"/>
                  <w:tcBorders>
                    <w:tl2br w:val="nil"/>
                    <w:tr2bl w:val="nil"/>
                  </w:tcBorders>
                  <w:vAlign w:val="center"/>
                </w:tcPr>
                <w:p w14:paraId="11CE9EE4">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备注</w:t>
                  </w:r>
                </w:p>
              </w:tc>
            </w:tr>
            <w:tr w14:paraId="4D25BD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077" w:type="dxa"/>
                  <w:vMerge w:val="restart"/>
                  <w:tcBorders>
                    <w:tl2br w:val="nil"/>
                    <w:tr2bl w:val="nil"/>
                  </w:tcBorders>
                  <w:vAlign w:val="center"/>
                </w:tcPr>
                <w:p w14:paraId="7CD49F44">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原辅料</w:t>
                  </w:r>
                </w:p>
              </w:tc>
              <w:tc>
                <w:tcPr>
                  <w:tcW w:w="1403" w:type="dxa"/>
                  <w:tcBorders>
                    <w:tl2br w:val="nil"/>
                    <w:tr2bl w:val="nil"/>
                  </w:tcBorders>
                  <w:vAlign w:val="center"/>
                </w:tcPr>
                <w:p w14:paraId="1C4240BF">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水泥</w:t>
                  </w:r>
                </w:p>
              </w:tc>
              <w:tc>
                <w:tcPr>
                  <w:tcW w:w="1145" w:type="dxa"/>
                  <w:tcBorders>
                    <w:tl2br w:val="nil"/>
                    <w:tr2bl w:val="nil"/>
                  </w:tcBorders>
                  <w:vAlign w:val="center"/>
                </w:tcPr>
                <w:p w14:paraId="72341CA5">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t</w:t>
                  </w:r>
                </w:p>
              </w:tc>
              <w:tc>
                <w:tcPr>
                  <w:tcW w:w="1085" w:type="dxa"/>
                  <w:tcBorders>
                    <w:tl2br w:val="nil"/>
                    <w:tr2bl w:val="nil"/>
                  </w:tcBorders>
                  <w:vAlign w:val="center"/>
                </w:tcPr>
                <w:p w14:paraId="2B0EBEC8">
                  <w:pPr>
                    <w:pStyle w:val="111"/>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298.97</w:t>
                  </w:r>
                </w:p>
              </w:tc>
              <w:tc>
                <w:tcPr>
                  <w:tcW w:w="3118" w:type="dxa"/>
                  <w:tcBorders>
                    <w:tl2br w:val="nil"/>
                    <w:tr2bl w:val="nil"/>
                  </w:tcBorders>
                  <w:vAlign w:val="center"/>
                </w:tcPr>
                <w:p w14:paraId="6E4FFE5A">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莎车县市场</w:t>
                  </w:r>
                </w:p>
              </w:tc>
            </w:tr>
            <w:tr w14:paraId="7AF29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077" w:type="dxa"/>
                  <w:vMerge w:val="continue"/>
                  <w:tcBorders>
                    <w:tl2br w:val="nil"/>
                    <w:tr2bl w:val="nil"/>
                  </w:tcBorders>
                  <w:vAlign w:val="center"/>
                </w:tcPr>
                <w:p w14:paraId="2A60F154">
                  <w:pPr>
                    <w:pStyle w:val="111"/>
                    <w:jc w:val="center"/>
                    <w:rPr>
                      <w:rFonts w:hint="default" w:ascii="Times New Roman" w:hAnsi="Times New Roman" w:eastAsia="宋体" w:cs="Times New Roman"/>
                      <w:color w:val="auto"/>
                      <w:lang w:val="en-US" w:eastAsia="zh-CN"/>
                    </w:rPr>
                  </w:pPr>
                </w:p>
              </w:tc>
              <w:tc>
                <w:tcPr>
                  <w:tcW w:w="1403" w:type="dxa"/>
                  <w:tcBorders>
                    <w:tl2br w:val="nil"/>
                    <w:tr2bl w:val="nil"/>
                  </w:tcBorders>
                  <w:vAlign w:val="center"/>
                </w:tcPr>
                <w:p w14:paraId="5F3F8051">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砂石料</w:t>
                  </w:r>
                </w:p>
              </w:tc>
              <w:tc>
                <w:tcPr>
                  <w:tcW w:w="1145" w:type="dxa"/>
                  <w:tcBorders>
                    <w:tl2br w:val="nil"/>
                    <w:tr2bl w:val="nil"/>
                  </w:tcBorders>
                  <w:vAlign w:val="center"/>
                </w:tcPr>
                <w:p w14:paraId="6F89460C">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t</w:t>
                  </w:r>
                </w:p>
              </w:tc>
              <w:tc>
                <w:tcPr>
                  <w:tcW w:w="1085" w:type="dxa"/>
                  <w:tcBorders>
                    <w:tl2br w:val="nil"/>
                    <w:tr2bl w:val="nil"/>
                  </w:tcBorders>
                  <w:vAlign w:val="center"/>
                </w:tcPr>
                <w:p w14:paraId="57125198">
                  <w:pPr>
                    <w:pStyle w:val="111"/>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1839.12</w:t>
                  </w:r>
                </w:p>
              </w:tc>
              <w:tc>
                <w:tcPr>
                  <w:tcW w:w="3118" w:type="dxa"/>
                  <w:tcBorders>
                    <w:tl2br w:val="nil"/>
                    <w:tr2bl w:val="nil"/>
                  </w:tcBorders>
                  <w:vAlign w:val="center"/>
                </w:tcPr>
                <w:p w14:paraId="12FB2349">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莎车县市场</w:t>
                  </w:r>
                </w:p>
              </w:tc>
            </w:tr>
            <w:tr w14:paraId="24382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077" w:type="dxa"/>
                  <w:vMerge w:val="continue"/>
                  <w:tcBorders>
                    <w:tl2br w:val="nil"/>
                    <w:tr2bl w:val="nil"/>
                  </w:tcBorders>
                  <w:vAlign w:val="center"/>
                </w:tcPr>
                <w:p w14:paraId="37DFF190">
                  <w:pPr>
                    <w:pStyle w:val="111"/>
                    <w:jc w:val="center"/>
                    <w:rPr>
                      <w:rFonts w:hint="default" w:ascii="Times New Roman" w:hAnsi="Times New Roman" w:eastAsia="宋体" w:cs="Times New Roman"/>
                      <w:color w:val="auto"/>
                      <w:lang w:val="en-US" w:eastAsia="zh-CN"/>
                    </w:rPr>
                  </w:pPr>
                </w:p>
              </w:tc>
              <w:tc>
                <w:tcPr>
                  <w:tcW w:w="1403" w:type="dxa"/>
                  <w:tcBorders>
                    <w:tl2br w:val="nil"/>
                    <w:tr2bl w:val="nil"/>
                  </w:tcBorders>
                  <w:vAlign w:val="center"/>
                </w:tcPr>
                <w:p w14:paraId="5BD983A5">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钢材</w:t>
                  </w:r>
                </w:p>
              </w:tc>
              <w:tc>
                <w:tcPr>
                  <w:tcW w:w="1145" w:type="dxa"/>
                  <w:tcBorders>
                    <w:tl2br w:val="nil"/>
                    <w:tr2bl w:val="nil"/>
                  </w:tcBorders>
                  <w:vAlign w:val="center"/>
                </w:tcPr>
                <w:p w14:paraId="57F4DB33">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t</w:t>
                  </w:r>
                </w:p>
              </w:tc>
              <w:tc>
                <w:tcPr>
                  <w:tcW w:w="1085" w:type="dxa"/>
                  <w:tcBorders>
                    <w:tl2br w:val="nil"/>
                    <w:tr2bl w:val="nil"/>
                  </w:tcBorders>
                  <w:vAlign w:val="center"/>
                </w:tcPr>
                <w:p w14:paraId="159CB72E">
                  <w:pPr>
                    <w:pStyle w:val="111"/>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13.06</w:t>
                  </w:r>
                </w:p>
              </w:tc>
              <w:tc>
                <w:tcPr>
                  <w:tcW w:w="3118" w:type="dxa"/>
                  <w:tcBorders>
                    <w:tl2br w:val="nil"/>
                    <w:tr2bl w:val="nil"/>
                  </w:tcBorders>
                  <w:vAlign w:val="center"/>
                </w:tcPr>
                <w:p w14:paraId="641A7809">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莎车县市场</w:t>
                  </w:r>
                </w:p>
              </w:tc>
            </w:tr>
            <w:tr w14:paraId="40772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077" w:type="dxa"/>
                  <w:vMerge w:val="continue"/>
                  <w:tcBorders>
                    <w:tl2br w:val="nil"/>
                    <w:tr2bl w:val="nil"/>
                  </w:tcBorders>
                  <w:vAlign w:val="center"/>
                </w:tcPr>
                <w:p w14:paraId="05457DC8">
                  <w:pPr>
                    <w:pStyle w:val="111"/>
                    <w:jc w:val="center"/>
                    <w:rPr>
                      <w:rFonts w:hint="default" w:ascii="Times New Roman" w:hAnsi="Times New Roman" w:eastAsia="宋体" w:cs="Times New Roman"/>
                      <w:color w:val="auto"/>
                      <w:lang w:val="en-US" w:eastAsia="zh-CN"/>
                    </w:rPr>
                  </w:pPr>
                </w:p>
              </w:tc>
              <w:tc>
                <w:tcPr>
                  <w:tcW w:w="1403" w:type="dxa"/>
                  <w:tcBorders>
                    <w:tl2br w:val="nil"/>
                    <w:tr2bl w:val="nil"/>
                  </w:tcBorders>
                  <w:vAlign w:val="center"/>
                </w:tcPr>
                <w:p w14:paraId="31FE3264">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汽油</w:t>
                  </w:r>
                </w:p>
              </w:tc>
              <w:tc>
                <w:tcPr>
                  <w:tcW w:w="1145" w:type="dxa"/>
                  <w:tcBorders>
                    <w:tl2br w:val="nil"/>
                    <w:tr2bl w:val="nil"/>
                  </w:tcBorders>
                  <w:vAlign w:val="center"/>
                </w:tcPr>
                <w:p w14:paraId="7CA70EEE">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t</w:t>
                  </w:r>
                </w:p>
              </w:tc>
              <w:tc>
                <w:tcPr>
                  <w:tcW w:w="1085" w:type="dxa"/>
                  <w:tcBorders>
                    <w:tl2br w:val="nil"/>
                    <w:tr2bl w:val="nil"/>
                  </w:tcBorders>
                  <w:vAlign w:val="center"/>
                </w:tcPr>
                <w:p w14:paraId="4291FA42">
                  <w:pPr>
                    <w:pStyle w:val="111"/>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3.42</w:t>
                  </w:r>
                </w:p>
              </w:tc>
              <w:tc>
                <w:tcPr>
                  <w:tcW w:w="3118" w:type="dxa"/>
                  <w:tcBorders>
                    <w:tl2br w:val="nil"/>
                    <w:tr2bl w:val="nil"/>
                  </w:tcBorders>
                  <w:vAlign w:val="center"/>
                </w:tcPr>
                <w:p w14:paraId="7C85C261">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无贮存，当地加油站购买</w:t>
                  </w:r>
                </w:p>
              </w:tc>
            </w:tr>
            <w:tr w14:paraId="0337EB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077" w:type="dxa"/>
                  <w:vMerge w:val="continue"/>
                  <w:tcBorders>
                    <w:tl2br w:val="nil"/>
                    <w:tr2bl w:val="nil"/>
                  </w:tcBorders>
                  <w:vAlign w:val="center"/>
                </w:tcPr>
                <w:p w14:paraId="7F223C2A">
                  <w:pPr>
                    <w:pStyle w:val="111"/>
                    <w:jc w:val="center"/>
                    <w:rPr>
                      <w:rFonts w:hint="default" w:ascii="Times New Roman" w:hAnsi="Times New Roman" w:eastAsia="宋体" w:cs="Times New Roman"/>
                      <w:color w:val="auto"/>
                      <w:lang w:val="en-US" w:eastAsia="zh-CN"/>
                    </w:rPr>
                  </w:pPr>
                </w:p>
              </w:tc>
              <w:tc>
                <w:tcPr>
                  <w:tcW w:w="1403" w:type="dxa"/>
                  <w:tcBorders>
                    <w:tl2br w:val="nil"/>
                    <w:tr2bl w:val="nil"/>
                  </w:tcBorders>
                  <w:vAlign w:val="center"/>
                </w:tcPr>
                <w:p w14:paraId="5CA9B347">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柴油</w:t>
                  </w:r>
                </w:p>
              </w:tc>
              <w:tc>
                <w:tcPr>
                  <w:tcW w:w="1145" w:type="dxa"/>
                  <w:tcBorders>
                    <w:tl2br w:val="nil"/>
                    <w:tr2bl w:val="nil"/>
                  </w:tcBorders>
                  <w:vAlign w:val="center"/>
                </w:tcPr>
                <w:p w14:paraId="50B15225">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t</w:t>
                  </w:r>
                </w:p>
              </w:tc>
              <w:tc>
                <w:tcPr>
                  <w:tcW w:w="1085" w:type="dxa"/>
                  <w:tcBorders>
                    <w:tl2br w:val="nil"/>
                    <w:tr2bl w:val="nil"/>
                  </w:tcBorders>
                  <w:vAlign w:val="center"/>
                </w:tcPr>
                <w:p w14:paraId="2251F9DE">
                  <w:pPr>
                    <w:pStyle w:val="111"/>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8.19</w:t>
                  </w:r>
                </w:p>
              </w:tc>
              <w:tc>
                <w:tcPr>
                  <w:tcW w:w="3118" w:type="dxa"/>
                  <w:tcBorders>
                    <w:tl2br w:val="nil"/>
                    <w:tr2bl w:val="nil"/>
                  </w:tcBorders>
                  <w:vAlign w:val="center"/>
                </w:tcPr>
                <w:p w14:paraId="52C3B314">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无贮存，当地加油站购买</w:t>
                  </w:r>
                </w:p>
              </w:tc>
            </w:tr>
          </w:tbl>
          <w:p w14:paraId="02415AE9">
            <w:pPr>
              <w:pStyle w:val="96"/>
              <w:numPr>
                <w:ilvl w:val="0"/>
                <w:numId w:val="2"/>
              </w:numPr>
              <w:ind w:left="-62" w:leftChars="0" w:firstLine="482" w:firstLineChars="0"/>
              <w:rPr>
                <w:rFonts w:hint="default" w:ascii="Times New Roman" w:hAnsi="Times New Roman" w:eastAsia="宋体" w:cs="Times New Roman"/>
                <w:b/>
                <w:color w:val="auto"/>
                <w:lang w:val="en-US" w:eastAsia="zh-CN"/>
              </w:rPr>
            </w:pPr>
            <w:r>
              <w:rPr>
                <w:rFonts w:hint="default" w:ascii="Times New Roman" w:hAnsi="Times New Roman" w:eastAsia="宋体" w:cs="Times New Roman"/>
                <w:b/>
                <w:color w:val="auto"/>
                <w:lang w:val="en-US" w:eastAsia="zh-CN"/>
              </w:rPr>
              <w:t>金属结构</w:t>
            </w:r>
          </w:p>
          <w:p w14:paraId="0D204CC8">
            <w:pPr>
              <w:spacing w:line="360" w:lineRule="auto"/>
              <w:ind w:firstLine="480" w:firstLineChars="200"/>
              <w:rPr>
                <w:rFonts w:hint="default"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val="en-US" w:eastAsia="zh-CN"/>
              </w:rPr>
              <w:t>本项目</w:t>
            </w:r>
            <w:r>
              <w:rPr>
                <w:rFonts w:ascii="宋体" w:hAnsi="宋体" w:eastAsia="宋体" w:cs="宋体"/>
                <w:color w:val="auto"/>
                <w:spacing w:val="-6"/>
                <w:sz w:val="24"/>
                <w:szCs w:val="24"/>
              </w:rPr>
              <w:t>共需要安装</w:t>
            </w:r>
            <w:r>
              <w:rPr>
                <w:rFonts w:ascii="Times New Roman" w:hAnsi="Times New Roman" w:eastAsia="Times New Roman" w:cs="Times New Roman"/>
                <w:color w:val="auto"/>
                <w:spacing w:val="-6"/>
                <w:sz w:val="24"/>
                <w:szCs w:val="24"/>
              </w:rPr>
              <w:t>1</w:t>
            </w:r>
            <w:r>
              <w:rPr>
                <w:rFonts w:hint="eastAsia" w:ascii="Times New Roman" w:hAnsi="Times New Roman" w:eastAsia="宋体" w:cs="Times New Roman"/>
                <w:color w:val="auto"/>
                <w:spacing w:val="-6"/>
                <w:sz w:val="24"/>
                <w:szCs w:val="24"/>
                <w:lang w:val="en-US" w:eastAsia="zh-CN"/>
              </w:rPr>
              <w:t>46</w:t>
            </w:r>
            <w:r>
              <w:rPr>
                <w:rFonts w:ascii="宋体" w:hAnsi="宋体" w:eastAsia="宋体" w:cs="宋体"/>
                <w:color w:val="auto"/>
                <w:spacing w:val="-6"/>
                <w:sz w:val="24"/>
                <w:szCs w:val="24"/>
              </w:rPr>
              <w:t>扇工作闸门</w:t>
            </w:r>
            <w:r>
              <w:rPr>
                <w:rFonts w:hint="eastAsia" w:ascii="宋体" w:hAnsi="宋体" w:cs="宋体"/>
                <w:color w:val="auto"/>
                <w:spacing w:val="-6"/>
                <w:sz w:val="24"/>
                <w:szCs w:val="24"/>
                <w:lang w:eastAsia="zh-CN"/>
              </w:rPr>
              <w:t>，</w:t>
            </w:r>
            <w:r>
              <w:rPr>
                <w:rFonts w:ascii="宋体" w:hAnsi="宋体" w:eastAsia="宋体" w:cs="宋体"/>
                <w:color w:val="auto"/>
                <w:spacing w:val="-6"/>
                <w:sz w:val="24"/>
                <w:szCs w:val="24"/>
              </w:rPr>
              <w:t>工作闸门采用露顶式平板钢闸门，启闭机采用</w:t>
            </w:r>
            <w:r>
              <w:rPr>
                <w:rFonts w:hint="eastAsia" w:ascii="宋体" w:hAnsi="宋体" w:cs="宋体"/>
                <w:color w:val="auto"/>
                <w:spacing w:val="-6"/>
                <w:sz w:val="24"/>
                <w:szCs w:val="24"/>
                <w:lang w:val="en-US" w:eastAsia="zh-CN"/>
              </w:rPr>
              <w:t>1</w:t>
            </w:r>
            <w:r>
              <w:rPr>
                <w:rFonts w:hint="eastAsia" w:ascii="Times New Roman" w:hAnsi="Times New Roman" w:eastAsia="宋体" w:cs="Times New Roman"/>
                <w:color w:val="auto"/>
                <w:spacing w:val="-3"/>
                <w:sz w:val="24"/>
                <w:szCs w:val="24"/>
                <w:lang w:val="en-US" w:eastAsia="zh-CN"/>
              </w:rPr>
              <w:t>46</w:t>
            </w:r>
            <w:r>
              <w:rPr>
                <w:rFonts w:ascii="宋体" w:hAnsi="宋体" w:eastAsia="宋体" w:cs="宋体"/>
                <w:color w:val="auto"/>
                <w:spacing w:val="-3"/>
                <w:sz w:val="24"/>
                <w:szCs w:val="24"/>
              </w:rPr>
              <w:t>台</w:t>
            </w:r>
            <w:r>
              <w:rPr>
                <w:rFonts w:ascii="宋体" w:hAnsi="宋体" w:eastAsia="宋体" w:cs="宋体"/>
                <w:color w:val="auto"/>
                <w:spacing w:val="-6"/>
                <w:sz w:val="24"/>
                <w:szCs w:val="24"/>
              </w:rPr>
              <w:t>手摇</w:t>
            </w:r>
            <w:r>
              <w:rPr>
                <w:rFonts w:ascii="宋体" w:hAnsi="宋体" w:eastAsia="宋体" w:cs="宋体"/>
                <w:color w:val="auto"/>
                <w:spacing w:val="-3"/>
                <w:sz w:val="24"/>
                <w:szCs w:val="24"/>
              </w:rPr>
              <w:t>螺杆式启闭机</w:t>
            </w:r>
            <w:r>
              <w:rPr>
                <w:rFonts w:ascii="宋体" w:hAnsi="宋体" w:eastAsia="宋体" w:cs="宋体"/>
                <w:color w:val="auto"/>
                <w:spacing w:val="-6"/>
                <w:sz w:val="24"/>
                <w:szCs w:val="24"/>
              </w:rPr>
              <w:t>。由于引水流量较小，为降低工程造价及运行管理方便，闸门选用平面钢闸</w:t>
            </w:r>
            <w:r>
              <w:rPr>
                <w:rFonts w:ascii="宋体" w:hAnsi="宋体" w:eastAsia="宋体" w:cs="宋体"/>
                <w:color w:val="auto"/>
                <w:spacing w:val="-3"/>
                <w:sz w:val="24"/>
                <w:szCs w:val="24"/>
              </w:rPr>
              <w:t>门，启闭机均采用手动螺杆式启闭机。</w:t>
            </w:r>
          </w:p>
          <w:p w14:paraId="2E14E3E6">
            <w:pPr>
              <w:pStyle w:val="96"/>
              <w:numPr>
                <w:ilvl w:val="0"/>
                <w:numId w:val="2"/>
              </w:numPr>
              <w:ind w:left="-62" w:leftChars="0" w:firstLine="482" w:firstLineChars="0"/>
              <w:rPr>
                <w:rFonts w:hint="default" w:ascii="Times New Roman" w:hAnsi="Times New Roman" w:eastAsia="宋体" w:cs="Times New Roman"/>
                <w:b/>
                <w:color w:val="auto"/>
                <w:lang w:val="en-US" w:eastAsia="zh-CN"/>
              </w:rPr>
            </w:pPr>
            <w:r>
              <w:rPr>
                <w:rFonts w:hint="default" w:ascii="Times New Roman" w:hAnsi="Times New Roman" w:eastAsia="宋体" w:cs="Times New Roman"/>
                <w:b/>
                <w:color w:val="auto"/>
                <w:lang w:val="en-US" w:eastAsia="zh-CN"/>
              </w:rPr>
              <w:t>公用工程</w:t>
            </w:r>
          </w:p>
          <w:p w14:paraId="69CA3984">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（1）给排水</w:t>
            </w:r>
          </w:p>
          <w:p w14:paraId="078BB910">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1）给水</w:t>
            </w:r>
          </w:p>
          <w:p w14:paraId="1B3609A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防渗渠道工程</w:t>
            </w:r>
            <w:r>
              <w:rPr>
                <w:rFonts w:hint="default" w:ascii="Times New Roman" w:hAnsi="Times New Roman" w:eastAsia="宋体" w:cs="Times New Roman"/>
                <w:color w:val="auto"/>
                <w:sz w:val="24"/>
              </w:rPr>
              <w:t>施工期用水主要为</w:t>
            </w:r>
            <w:r>
              <w:rPr>
                <w:rFonts w:hint="default" w:ascii="Times New Roman" w:hAnsi="Times New Roman" w:eastAsia="宋体" w:cs="Times New Roman"/>
                <w:color w:val="auto"/>
                <w:sz w:val="24"/>
                <w:lang w:val="en-US" w:eastAsia="zh-CN"/>
              </w:rPr>
              <w:t>施工人员</w:t>
            </w:r>
            <w:r>
              <w:rPr>
                <w:rFonts w:hint="default" w:ascii="Times New Roman" w:hAnsi="Times New Roman" w:eastAsia="宋体" w:cs="Times New Roman"/>
                <w:color w:val="auto"/>
                <w:sz w:val="24"/>
              </w:rPr>
              <w:t>生活用水、砼拌和养护用水</w:t>
            </w:r>
            <w:r>
              <w:rPr>
                <w:rFonts w:hint="default" w:ascii="Times New Roman" w:hAnsi="Times New Roman" w:eastAsia="宋体" w:cs="Times New Roman"/>
                <w:color w:val="auto"/>
                <w:sz w:val="24"/>
                <w:lang w:val="en-US" w:eastAsia="zh-CN"/>
              </w:rPr>
              <w:t>以及</w:t>
            </w:r>
            <w:r>
              <w:rPr>
                <w:rFonts w:hint="default" w:ascii="Times New Roman" w:hAnsi="Times New Roman" w:eastAsia="宋体" w:cs="Times New Roman"/>
                <w:color w:val="auto"/>
                <w:sz w:val="24"/>
              </w:rPr>
              <w:t>车辆、机械设备冲洗用水。</w:t>
            </w:r>
          </w:p>
          <w:p w14:paraId="0F689BC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防渗渠道工程</w:t>
            </w:r>
            <w:r>
              <w:rPr>
                <w:rFonts w:hint="default" w:ascii="Times New Roman" w:hAnsi="Times New Roman" w:eastAsia="宋体" w:cs="Times New Roman"/>
                <w:color w:val="auto"/>
                <w:sz w:val="24"/>
              </w:rPr>
              <w:t>施工期施工人员约为</w:t>
            </w:r>
            <w:r>
              <w:rPr>
                <w:rFonts w:hint="eastAsia" w:ascii="Times New Roman" w:hAnsi="Times New Roman" w:cs="Times New Roman"/>
                <w:color w:val="auto"/>
                <w:sz w:val="24"/>
                <w:lang w:val="en-US" w:eastAsia="zh-CN"/>
              </w:rPr>
              <w:t>30</w:t>
            </w:r>
            <w:r>
              <w:rPr>
                <w:rFonts w:hint="default" w:ascii="Times New Roman" w:hAnsi="Times New Roman" w:eastAsia="宋体" w:cs="Times New Roman"/>
                <w:color w:val="auto"/>
                <w:sz w:val="24"/>
              </w:rPr>
              <w:t>人，生活用水量30L/人.d，施工期</w:t>
            </w:r>
            <w:r>
              <w:rPr>
                <w:rFonts w:hint="eastAsia" w:ascii="Times New Roman" w:hAnsi="Times New Roman" w:cs="Times New Roman"/>
                <w:color w:val="auto"/>
                <w:sz w:val="24"/>
                <w:lang w:val="en-US" w:eastAsia="zh-CN"/>
              </w:rPr>
              <w:t>240天</w:t>
            </w:r>
            <w:r>
              <w:rPr>
                <w:rFonts w:hint="default" w:ascii="Times New Roman" w:hAnsi="Times New Roman" w:eastAsia="宋体" w:cs="Times New Roman"/>
                <w:color w:val="auto"/>
                <w:sz w:val="24"/>
              </w:rPr>
              <w:t>，因此施工人员生活用水约为（</w:t>
            </w:r>
            <w:r>
              <w:rPr>
                <w:rFonts w:hint="eastAsia" w:ascii="Times New Roman" w:hAnsi="Times New Roman" w:cs="Times New Roman"/>
                <w:color w:val="auto"/>
                <w:sz w:val="24"/>
                <w:lang w:val="en-US" w:eastAsia="zh-CN"/>
              </w:rPr>
              <w:t>0.9</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r>
              <w:rPr>
                <w:rFonts w:hint="eastAsia" w:ascii="Times New Roman" w:hAnsi="Times New Roman" w:cs="Times New Roman"/>
                <w:color w:val="auto"/>
                <w:sz w:val="24"/>
                <w:lang w:val="en-US" w:eastAsia="zh-CN"/>
              </w:rPr>
              <w:t>216</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施工期</w:t>
            </w:r>
            <w:r>
              <w:rPr>
                <w:rFonts w:hint="default" w:ascii="Times New Roman" w:hAnsi="Times New Roman" w:eastAsia="宋体" w:cs="Times New Roman"/>
                <w:color w:val="auto"/>
                <w:sz w:val="24"/>
              </w:rPr>
              <w:t>砼拌和养护用水</w:t>
            </w:r>
            <w:r>
              <w:rPr>
                <w:rFonts w:hint="default" w:ascii="Times New Roman" w:hAnsi="Times New Roman" w:eastAsia="宋体" w:cs="Times New Roman"/>
                <w:color w:val="auto"/>
                <w:sz w:val="24"/>
                <w:lang w:val="en-US" w:eastAsia="zh-CN"/>
              </w:rPr>
              <w:t>量</w:t>
            </w:r>
            <w:r>
              <w:rPr>
                <w:rFonts w:hint="default" w:ascii="Times New Roman" w:hAnsi="Times New Roman" w:eastAsia="宋体" w:cs="Times New Roman"/>
                <w:color w:val="auto"/>
                <w:sz w:val="24"/>
              </w:rPr>
              <w:t>约为（</w:t>
            </w:r>
            <w:r>
              <w:rPr>
                <w:rFonts w:hint="eastAsia" w:ascii="Times New Roman" w:hAnsi="Times New Roman" w:cs="Times New Roman"/>
                <w:color w:val="auto"/>
                <w:sz w:val="24"/>
                <w:lang w:val="en-US" w:eastAsia="zh-CN"/>
              </w:rPr>
              <w:t>12</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r>
              <w:rPr>
                <w:rFonts w:hint="eastAsia" w:ascii="Times New Roman" w:hAnsi="Times New Roman" w:cs="Times New Roman"/>
                <w:color w:val="auto"/>
                <w:sz w:val="24"/>
                <w:lang w:val="en-US" w:eastAsia="zh-CN"/>
              </w:rPr>
              <w:t>2880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；施工过程中仅对施工机械及运输车辆进行清洗，清洗用水量为</w:t>
            </w:r>
            <w:r>
              <w:rPr>
                <w:rFonts w:hint="eastAsia" w:ascii="Times New Roman" w:hAnsi="Times New Roman" w:cs="Times New Roman"/>
                <w:color w:val="auto"/>
                <w:sz w:val="24"/>
                <w:lang w:val="en-US" w:eastAsia="zh-CN"/>
              </w:rPr>
              <w:t>8</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/d，施工期清洗用水水量约为</w:t>
            </w:r>
            <w:r>
              <w:rPr>
                <w:rFonts w:hint="eastAsia" w:ascii="Times New Roman" w:hAnsi="Times New Roman" w:cs="Times New Roman"/>
                <w:color w:val="auto"/>
                <w:sz w:val="24"/>
                <w:lang w:val="en-US" w:eastAsia="zh-CN"/>
              </w:rPr>
              <w:t>1920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。施工用水及生活用水均从附近的居民点拉运。施工单位沿线准备拉水车辆。</w:t>
            </w:r>
          </w:p>
          <w:p w14:paraId="461A3E5A">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因此</w:t>
            </w:r>
            <w:r>
              <w:rPr>
                <w:rFonts w:hint="default" w:ascii="Times New Roman" w:hAnsi="Times New Roman" w:eastAsia="宋体" w:cs="Times New Roman"/>
                <w:color w:val="auto"/>
                <w:sz w:val="24"/>
                <w:lang w:val="en-US" w:eastAsia="zh-CN"/>
              </w:rPr>
              <w:t>防渗渠道工程</w:t>
            </w:r>
            <w:r>
              <w:rPr>
                <w:rFonts w:hint="default" w:ascii="Times New Roman" w:hAnsi="Times New Roman" w:eastAsia="宋体" w:cs="Times New Roman"/>
                <w:color w:val="auto"/>
                <w:sz w:val="24"/>
              </w:rPr>
              <w:t>施工期总用水量为</w:t>
            </w:r>
            <w:r>
              <w:rPr>
                <w:rFonts w:hint="eastAsia" w:ascii="Times New Roman" w:hAnsi="Times New Roman" w:cs="Times New Roman"/>
                <w:color w:val="auto"/>
                <w:sz w:val="24"/>
                <w:lang w:val="en-US" w:eastAsia="zh-CN"/>
              </w:rPr>
              <w:t>5016</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w:t>
            </w:r>
          </w:p>
          <w:p w14:paraId="5918E8A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2）排水</w:t>
            </w:r>
          </w:p>
          <w:p w14:paraId="46441279">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防渗渠道工程</w:t>
            </w:r>
            <w:r>
              <w:rPr>
                <w:rFonts w:hint="default" w:ascii="Times New Roman" w:hAnsi="Times New Roman" w:eastAsia="宋体" w:cs="Times New Roman"/>
                <w:color w:val="auto"/>
                <w:sz w:val="24"/>
              </w:rPr>
              <w:t>施工期废水主要为施工人员生活污水以及车辆、机械设备清洗废水。施工人员生活污水产生量按用量的80%计，施工期生活污水产生量为</w:t>
            </w:r>
            <w:r>
              <w:rPr>
                <w:rFonts w:hint="eastAsia" w:ascii="Times New Roman" w:hAnsi="Times New Roman" w:cs="Times New Roman"/>
                <w:color w:val="auto"/>
                <w:sz w:val="24"/>
                <w:lang w:val="en-US" w:eastAsia="zh-CN"/>
              </w:rPr>
              <w:t>172.8</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施工场地设置临时化粪池，</w:t>
            </w:r>
            <w:r>
              <w:rPr>
                <w:rFonts w:hint="eastAsia" w:ascii="Times New Roman" w:hAnsi="Times New Roman" w:cs="Times New Roman"/>
                <w:color w:val="auto"/>
                <w:sz w:val="24"/>
                <w:lang w:eastAsia="zh-CN"/>
              </w:rPr>
              <w:t>罐车定期清运至莎车县污水处理厂处理</w:t>
            </w:r>
            <w:r>
              <w:rPr>
                <w:rFonts w:hint="default" w:ascii="Times New Roman" w:hAnsi="Times New Roman" w:eastAsia="宋体" w:cs="Times New Roman"/>
                <w:color w:val="auto"/>
                <w:sz w:val="24"/>
                <w:lang w:eastAsia="zh-CN"/>
              </w:rPr>
              <w:t>；施工期车辆、机械设备清洗废水产生</w:t>
            </w:r>
            <w:r>
              <w:rPr>
                <w:rFonts w:hint="default" w:ascii="Times New Roman" w:hAnsi="Times New Roman" w:eastAsia="宋体" w:cs="Times New Roman"/>
                <w:color w:val="auto"/>
                <w:sz w:val="24"/>
              </w:rPr>
              <w:t>量按用量的90%计，清洗废水产生量为</w:t>
            </w:r>
            <w:r>
              <w:rPr>
                <w:rFonts w:hint="eastAsia" w:ascii="Times New Roman" w:hAnsi="Times New Roman" w:cs="Times New Roman"/>
                <w:color w:val="auto"/>
                <w:sz w:val="24"/>
                <w:lang w:val="en-US" w:eastAsia="zh-CN"/>
              </w:rPr>
              <w:t>1728</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，经</w:t>
            </w:r>
            <w:r>
              <w:rPr>
                <w:rFonts w:hint="eastAsia" w:ascii="Times New Roman" w:hAnsi="Times New Roman" w:cs="Times New Roman"/>
                <w:color w:val="auto"/>
                <w:sz w:val="24"/>
                <w:lang w:eastAsia="zh-CN"/>
              </w:rPr>
              <w:t>隔油沉淀</w:t>
            </w:r>
            <w:r>
              <w:rPr>
                <w:rFonts w:hint="default" w:ascii="Times New Roman" w:hAnsi="Times New Roman" w:eastAsia="宋体" w:cs="Times New Roman"/>
                <w:color w:val="auto"/>
                <w:sz w:val="24"/>
              </w:rPr>
              <w:t>池处理后</w:t>
            </w:r>
            <w:r>
              <w:rPr>
                <w:rFonts w:hint="default" w:ascii="Times New Roman" w:hAnsi="Times New Roman" w:eastAsia="宋体" w:cs="Times New Roman"/>
                <w:color w:val="auto"/>
                <w:sz w:val="24"/>
                <w:lang w:eastAsia="zh-CN"/>
              </w:rPr>
              <w:t>回用作砼拌和养护用水</w:t>
            </w:r>
            <w:r>
              <w:rPr>
                <w:rFonts w:hint="default" w:ascii="Times New Roman" w:hAnsi="Times New Roman" w:eastAsia="宋体" w:cs="Times New Roman"/>
                <w:color w:val="auto"/>
                <w:sz w:val="24"/>
              </w:rPr>
              <w:t>。</w:t>
            </w:r>
          </w:p>
          <w:p w14:paraId="4DB3451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（2）供电</w:t>
            </w:r>
          </w:p>
          <w:p w14:paraId="0B31D454">
            <w:pPr>
              <w:pStyle w:val="113"/>
              <w:ind w:firstLine="480"/>
              <w:rPr>
                <w:rFonts w:hint="default" w:ascii="Times New Roman" w:hAnsi="Times New Roman" w:eastAsia="宋体" w:cs="Times New Roman"/>
                <w:color w:val="auto"/>
                <w:szCs w:val="21"/>
              </w:rPr>
            </w:pPr>
            <w:r>
              <w:rPr>
                <w:rFonts w:hint="default" w:ascii="Times New Roman" w:hAnsi="Times New Roman" w:eastAsia="宋体" w:cs="Times New Roman"/>
                <w:color w:val="auto"/>
                <w:sz w:val="24"/>
                <w:lang w:val="en-US" w:eastAsia="zh-CN"/>
              </w:rPr>
              <w:t>防渗渠道工程</w:t>
            </w:r>
            <w:r>
              <w:rPr>
                <w:rFonts w:hint="default" w:ascii="Times New Roman" w:hAnsi="Times New Roman" w:eastAsia="宋体" w:cs="Times New Roman"/>
                <w:color w:val="auto"/>
              </w:rPr>
              <w:t>施工期用电由沿线</w:t>
            </w:r>
            <w:r>
              <w:rPr>
                <w:rFonts w:hint="default" w:ascii="Times New Roman" w:hAnsi="Times New Roman" w:eastAsia="宋体" w:cs="Times New Roman"/>
                <w:color w:val="auto"/>
                <w:lang w:val="en-US" w:eastAsia="zh-CN"/>
              </w:rPr>
              <w:t>村庄</w:t>
            </w:r>
            <w:r>
              <w:rPr>
                <w:rFonts w:hint="default" w:ascii="Times New Roman" w:hAnsi="Times New Roman" w:eastAsia="宋体" w:cs="Times New Roman"/>
                <w:color w:val="auto"/>
              </w:rPr>
              <w:t>电网提供。</w:t>
            </w:r>
          </w:p>
        </w:tc>
      </w:tr>
      <w:tr w14:paraId="25C887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728" w:type="dxa"/>
            <w:vAlign w:val="center"/>
          </w:tcPr>
          <w:p w14:paraId="4065EC6B">
            <w:pPr>
              <w:spacing w:line="360" w:lineRule="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总平面及现场布置</w:t>
            </w:r>
          </w:p>
        </w:tc>
        <w:tc>
          <w:tcPr>
            <w:tcW w:w="8362" w:type="dxa"/>
            <w:vAlign w:val="center"/>
          </w:tcPr>
          <w:p w14:paraId="311D4E81">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防渗渠道工程</w:t>
            </w:r>
            <w:r>
              <w:rPr>
                <w:rFonts w:hint="default" w:ascii="Times New Roman" w:hAnsi="Times New Roman" w:eastAsia="宋体" w:cs="Times New Roman"/>
                <w:color w:val="auto"/>
              </w:rPr>
              <w:t>施工布置划分为5个区，即主体工程施工区、料场</w:t>
            </w:r>
            <w:r>
              <w:rPr>
                <w:rFonts w:hint="default" w:ascii="Times New Roman" w:hAnsi="Times New Roman" w:eastAsia="宋体" w:cs="Times New Roman"/>
                <w:color w:val="auto"/>
                <w:lang w:val="en-US" w:eastAsia="zh-CN"/>
              </w:rPr>
              <w:t>采购区</w:t>
            </w:r>
            <w:r>
              <w:rPr>
                <w:rFonts w:hint="default" w:ascii="Times New Roman" w:hAnsi="Times New Roman" w:eastAsia="宋体" w:cs="Times New Roman"/>
                <w:color w:val="auto"/>
              </w:rPr>
              <w:t>、施工作业区、工程弃渣区和管理</w:t>
            </w:r>
            <w:r>
              <w:rPr>
                <w:rFonts w:hint="default" w:ascii="Times New Roman" w:hAnsi="Times New Roman" w:eastAsia="宋体" w:cs="Times New Roman"/>
                <w:color w:val="auto"/>
                <w:lang w:eastAsia="zh-CN"/>
              </w:rPr>
              <w:t>生活区</w:t>
            </w:r>
            <w:r>
              <w:rPr>
                <w:rFonts w:hint="default" w:ascii="Times New Roman" w:hAnsi="Times New Roman" w:eastAsia="宋体" w:cs="Times New Roman"/>
                <w:color w:val="auto"/>
              </w:rPr>
              <w:t>。</w:t>
            </w:r>
          </w:p>
          <w:p w14:paraId="1E014296">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（1）主体工程施工区</w:t>
            </w:r>
          </w:p>
          <w:p w14:paraId="7824EAB0">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主体工程施工区分布长，水、电系统沿渠道两侧布置。渠道工程主要有</w:t>
            </w:r>
            <w:r>
              <w:rPr>
                <w:rFonts w:hint="default" w:ascii="Times New Roman" w:hAnsi="Times New Roman" w:eastAsia="宋体" w:cs="Times New Roman"/>
                <w:color w:val="auto"/>
                <w:lang w:val="en-US" w:eastAsia="zh-CN"/>
              </w:rPr>
              <w:t>清淤、</w:t>
            </w:r>
            <w:r>
              <w:rPr>
                <w:rFonts w:hint="default" w:ascii="Times New Roman" w:hAnsi="Times New Roman" w:eastAsia="宋体" w:cs="Times New Roman"/>
                <w:color w:val="auto"/>
              </w:rPr>
              <w:t>土方开挖、土方填筑、砂砾石垫层铺筑及砼浇筑。</w:t>
            </w:r>
          </w:p>
          <w:p w14:paraId="47BB79C7">
            <w:pPr>
              <w:pStyle w:val="113"/>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（2）料场</w:t>
            </w:r>
            <w:r>
              <w:rPr>
                <w:rFonts w:hint="default" w:ascii="Times New Roman" w:hAnsi="Times New Roman" w:eastAsia="宋体" w:cs="Times New Roman"/>
                <w:color w:val="auto"/>
                <w:lang w:val="en-US" w:eastAsia="zh-CN"/>
              </w:rPr>
              <w:t>采购区</w:t>
            </w:r>
          </w:p>
          <w:p w14:paraId="16377607">
            <w:pPr>
              <w:pStyle w:val="113"/>
              <w:ind w:firstLine="480"/>
              <w:rPr>
                <w:rFonts w:hint="default" w:ascii="Times New Roman" w:hAnsi="Times New Roman" w:eastAsia="宋体" w:cs="Times New Roman"/>
                <w:color w:val="auto"/>
                <w:vertAlign w:val="superscript"/>
                <w:lang w:val="en-US" w:eastAsia="zh-CN"/>
              </w:rPr>
            </w:pPr>
            <w:r>
              <w:rPr>
                <w:rFonts w:hint="default" w:ascii="Times New Roman" w:hAnsi="Times New Roman" w:eastAsia="宋体" w:cs="Times New Roman"/>
                <w:color w:val="auto"/>
              </w:rPr>
              <w:t>根据工程布置和料场的选择与</w:t>
            </w:r>
            <w:r>
              <w:rPr>
                <w:rFonts w:hint="default" w:ascii="Times New Roman" w:hAnsi="Times New Roman" w:eastAsia="宋体" w:cs="Times New Roman"/>
                <w:color w:val="auto"/>
                <w:lang w:val="en-US" w:eastAsia="zh-CN"/>
              </w:rPr>
              <w:t>采购</w:t>
            </w:r>
            <w:r>
              <w:rPr>
                <w:rFonts w:hint="default" w:ascii="Times New Roman" w:hAnsi="Times New Roman" w:eastAsia="宋体" w:cs="Times New Roman"/>
                <w:color w:val="auto"/>
              </w:rPr>
              <w:t>规划，混凝土粗、细骨料由</w:t>
            </w:r>
            <w:r>
              <w:rPr>
                <w:rFonts w:hint="default" w:ascii="Times New Roman" w:hAnsi="Times New Roman" w:eastAsia="宋体" w:cs="Times New Roman"/>
                <w:color w:val="auto"/>
                <w:lang w:val="en-US" w:eastAsia="zh-CN"/>
              </w:rPr>
              <w:t>当地</w:t>
            </w:r>
            <w:r>
              <w:rPr>
                <w:rFonts w:hint="default" w:ascii="Times New Roman" w:hAnsi="Times New Roman" w:eastAsia="宋体" w:cs="Times New Roman"/>
                <w:color w:val="auto"/>
                <w:lang w:eastAsia="zh-CN"/>
              </w:rPr>
              <w:t>砂石料场</w:t>
            </w:r>
            <w:r>
              <w:rPr>
                <w:rFonts w:hint="default" w:ascii="Times New Roman" w:hAnsi="Times New Roman" w:eastAsia="宋体" w:cs="Times New Roman"/>
                <w:color w:val="auto"/>
              </w:rPr>
              <w:t>购运，工程所需要的土料，</w:t>
            </w:r>
            <w:r>
              <w:rPr>
                <w:rFonts w:hint="default" w:ascii="Times New Roman" w:hAnsi="Times New Roman" w:eastAsia="宋体" w:cs="Times New Roman"/>
                <w:color w:val="auto"/>
                <w:lang w:val="en-US" w:eastAsia="zh-CN"/>
              </w:rPr>
              <w:t>采用渠道施工产生的弃土</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不设置取土场</w:t>
            </w:r>
            <w:r>
              <w:rPr>
                <w:rFonts w:hint="default" w:ascii="Times New Roman" w:hAnsi="Times New Roman" w:eastAsia="宋体" w:cs="Times New Roman"/>
                <w:color w:val="auto"/>
              </w:rPr>
              <w:t>。混凝土粗、细骨料</w:t>
            </w:r>
            <w:r>
              <w:rPr>
                <w:rFonts w:hint="default" w:ascii="Times New Roman" w:hAnsi="Times New Roman" w:eastAsia="宋体" w:cs="Times New Roman"/>
                <w:color w:val="auto"/>
                <w:lang w:val="en-US" w:eastAsia="zh-CN"/>
              </w:rPr>
              <w:t>设置临时堆场。</w:t>
            </w:r>
          </w:p>
          <w:p w14:paraId="486B5055">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（3）施工作业区</w:t>
            </w:r>
          </w:p>
          <w:p w14:paraId="22223EA3">
            <w:pPr>
              <w:pStyle w:val="113"/>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施工作业区基本沿渠线两侧布置，主要布置有混凝土拌和系统、钢筋加工场和</w:t>
            </w:r>
            <w:r>
              <w:rPr>
                <w:rFonts w:hint="eastAsia" w:ascii="Times New Roman" w:hAnsi="Times New Roman" w:cs="Times New Roman"/>
                <w:color w:val="auto"/>
                <w:lang w:eastAsia="zh-CN"/>
              </w:rPr>
              <w:t>料场</w:t>
            </w:r>
            <w:r>
              <w:rPr>
                <w:rFonts w:hint="default" w:ascii="Times New Roman" w:hAnsi="Times New Roman" w:eastAsia="宋体" w:cs="Times New Roman"/>
                <w:color w:val="auto"/>
              </w:rPr>
              <w:t>。根据</w:t>
            </w:r>
            <w:r>
              <w:rPr>
                <w:rFonts w:hint="default" w:ascii="Times New Roman" w:hAnsi="Times New Roman" w:eastAsia="宋体" w:cs="Times New Roman"/>
                <w:color w:val="auto"/>
                <w:lang w:eastAsia="zh-CN"/>
              </w:rPr>
              <w:t>防渗渠道工程</w:t>
            </w:r>
            <w:r>
              <w:rPr>
                <w:rFonts w:hint="default" w:ascii="Times New Roman" w:hAnsi="Times New Roman" w:eastAsia="宋体" w:cs="Times New Roman"/>
                <w:color w:val="auto"/>
              </w:rPr>
              <w:t>的特点，混凝土拌和系统采用分散布置方式，基本放在建筑物附近。水泥、钢筋和木材等采取分散布置在各单体建筑物附近。</w:t>
            </w:r>
          </w:p>
          <w:p w14:paraId="114E4064">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（4）</w:t>
            </w:r>
            <w:r>
              <w:rPr>
                <w:rFonts w:hint="default" w:ascii="Times New Roman" w:hAnsi="Times New Roman" w:eastAsia="宋体" w:cs="Times New Roman"/>
                <w:color w:val="auto"/>
                <w:lang w:val="en-US" w:eastAsia="zh-CN"/>
              </w:rPr>
              <w:t>临时</w:t>
            </w:r>
            <w:r>
              <w:rPr>
                <w:rFonts w:hint="default" w:ascii="Times New Roman" w:hAnsi="Times New Roman" w:eastAsia="宋体" w:cs="Times New Roman"/>
                <w:color w:val="auto"/>
              </w:rPr>
              <w:t>弃土弃渣区</w:t>
            </w:r>
          </w:p>
          <w:p w14:paraId="1B429144">
            <w:pPr>
              <w:pStyle w:val="113"/>
              <w:ind w:firstLine="480"/>
              <w:rPr>
                <w:rFonts w:hint="default" w:ascii="Times New Roman" w:hAnsi="Times New Roman" w:eastAsia="宋体" w:cs="Times New Roman"/>
                <w:color w:val="auto"/>
                <w:kern w:val="0"/>
              </w:rPr>
            </w:pPr>
            <w:r>
              <w:rPr>
                <w:rFonts w:hint="default" w:ascii="Times New Roman" w:hAnsi="Times New Roman" w:eastAsia="宋体" w:cs="Times New Roman"/>
                <w:color w:val="auto"/>
              </w:rPr>
              <w:t>施工期弃渣需临时就近堆放在项目区，以方便施工时的回填利用</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弃土弃渣临时储存地点远离场地周边的村庄。堆渣均按照自然稳定边坡堆放，堆放形式设计为梯形台体状，以苫布遮盖，以防发生水蚀。临时弃土、弃渣的堆放应避开植被良好区，不能随处堆放。施工完成后，将弃渣、弃土堆砌在渠道两侧并恢复、平整场地，自然恢复植被</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kern w:val="0"/>
                <w:sz w:val="24"/>
              </w:rPr>
              <w:t>无法利用的集中收集后运至</w:t>
            </w:r>
            <w:r>
              <w:rPr>
                <w:rFonts w:hint="eastAsia" w:ascii="Times New Roman" w:hAnsi="Times New Roman" w:cs="Times New Roman"/>
                <w:color w:val="auto"/>
                <w:kern w:val="0"/>
                <w:sz w:val="24"/>
                <w:lang w:eastAsia="zh-CN"/>
              </w:rPr>
              <w:t>莎车县城市管理部门指定的建筑垃圾存放点</w:t>
            </w:r>
            <w:r>
              <w:rPr>
                <w:rFonts w:hint="default" w:ascii="Times New Roman" w:hAnsi="Times New Roman" w:eastAsia="宋体" w:cs="Times New Roman"/>
                <w:color w:val="auto"/>
                <w:kern w:val="0"/>
                <w:sz w:val="24"/>
              </w:rPr>
              <w:t>处理。</w:t>
            </w:r>
          </w:p>
          <w:p w14:paraId="581DED71">
            <w:pPr>
              <w:pStyle w:val="113"/>
              <w:ind w:firstLine="48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（5）施工管理和临时</w:t>
            </w:r>
            <w:r>
              <w:rPr>
                <w:rFonts w:hint="default" w:ascii="Times New Roman" w:hAnsi="Times New Roman" w:eastAsia="宋体" w:cs="Times New Roman"/>
                <w:color w:val="auto"/>
                <w:lang w:eastAsia="zh-CN"/>
              </w:rPr>
              <w:t>生活区</w:t>
            </w:r>
          </w:p>
          <w:p w14:paraId="2AC60F60">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为便于施工管理，工程施工管理和临时</w:t>
            </w:r>
            <w:r>
              <w:rPr>
                <w:rFonts w:hint="default" w:ascii="Times New Roman" w:hAnsi="Times New Roman" w:eastAsia="宋体" w:cs="Times New Roman"/>
                <w:color w:val="auto"/>
                <w:lang w:eastAsia="zh-CN"/>
              </w:rPr>
              <w:t>生活区</w:t>
            </w:r>
            <w:r>
              <w:rPr>
                <w:rFonts w:hint="eastAsia" w:ascii="Times New Roman" w:hAnsi="Times New Roman" w:cs="Times New Roman"/>
                <w:color w:val="auto"/>
                <w:lang w:val="en-US" w:eastAsia="zh-CN"/>
              </w:rPr>
              <w:t>租用沿线村庄闲置民房</w:t>
            </w:r>
            <w:r>
              <w:rPr>
                <w:rFonts w:hint="default" w:ascii="Times New Roman" w:hAnsi="Times New Roman" w:eastAsia="宋体" w:cs="Times New Roman"/>
                <w:color w:val="auto"/>
              </w:rPr>
              <w:t>。</w:t>
            </w:r>
          </w:p>
        </w:tc>
      </w:tr>
      <w:tr w14:paraId="5BDF68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28" w:type="dxa"/>
            <w:vAlign w:val="center"/>
          </w:tcPr>
          <w:p w14:paraId="0333D9B2">
            <w:pPr>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施工方案</w:t>
            </w:r>
          </w:p>
        </w:tc>
        <w:tc>
          <w:tcPr>
            <w:tcW w:w="8362" w:type="dxa"/>
            <w:vAlign w:val="center"/>
          </w:tcPr>
          <w:p w14:paraId="182F79BF">
            <w:pPr>
              <w:adjustRightInd/>
              <w:snapToGrid/>
              <w:spacing w:line="360" w:lineRule="auto"/>
              <w:ind w:firstLine="560"/>
              <w:jc w:val="left"/>
              <w:rPr>
                <w:rFonts w:hint="default" w:ascii="Times New Roman" w:hAnsi="Times New Roman" w:eastAsia="宋体" w:cs="Times New Roman"/>
                <w:color w:val="auto"/>
                <w:kern w:val="2"/>
                <w:sz w:val="24"/>
                <w:szCs w:val="24"/>
              </w:rPr>
            </w:pPr>
            <w:r>
              <w:rPr>
                <w:rFonts w:hint="default" w:ascii="Times New Roman" w:hAnsi="Times New Roman" w:eastAsia="宋体" w:cs="Times New Roman"/>
                <w:b/>
                <w:color w:val="auto"/>
                <w:sz w:val="24"/>
                <w:szCs w:val="24"/>
              </w:rPr>
              <w:t>1</w:t>
            </w:r>
            <w:r>
              <w:rPr>
                <w:rFonts w:hint="default" w:ascii="Times New Roman" w:hAnsi="Times New Roman" w:eastAsia="宋体" w:cs="Times New Roman"/>
                <w:b/>
                <w:bCs/>
                <w:color w:val="auto"/>
                <w:sz w:val="24"/>
                <w:szCs w:val="24"/>
              </w:rPr>
              <w:t>施工导流</w:t>
            </w:r>
          </w:p>
          <w:p w14:paraId="49B49B6D">
            <w:pPr>
              <w:adjustRightInd/>
              <w:snapToGrid/>
              <w:spacing w:line="360" w:lineRule="auto"/>
              <w:ind w:firstLine="560"/>
              <w:jc w:val="left"/>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防渗渠道工程均为原有建筑物维修改造工程，没有其他渠道供施工期间临时灌溉输水，考虑该段渠道渠线较短，根据类似工程施工经验将该工程的建设期安排在用水低峰期或灌溉停水期，采用分段施工，轮灌停水期抢工的办法以解决施工和灌溉的矛盾，不需重新开挖临时导流渠。</w:t>
            </w:r>
          </w:p>
          <w:p w14:paraId="4EB3E2B7">
            <w:pPr>
              <w:spacing w:line="360" w:lineRule="auto"/>
              <w:ind w:firstLine="482" w:firstLineChars="200"/>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2施工工艺</w:t>
            </w:r>
          </w:p>
          <w:p w14:paraId="02EE25CF">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drawing>
                <wp:inline distT="0" distB="0" distL="0" distR="0">
                  <wp:extent cx="3712845" cy="3108960"/>
                  <wp:effectExtent l="0" t="0" r="1905" b="15240"/>
                  <wp:docPr id="105" name="图片 105" descr="C:\Users\ADMINI~1\AppData\Local\Temp\ksohtml1545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C:\Users\ADMINI~1\AppData\Local\Temp\ksohtml15452\wps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726212" cy="3120034"/>
                          </a:xfrm>
                          <a:prstGeom prst="rect">
                            <a:avLst/>
                          </a:prstGeom>
                          <a:noFill/>
                          <a:ln>
                            <a:noFill/>
                          </a:ln>
                        </pic:spPr>
                      </pic:pic>
                    </a:graphicData>
                  </a:graphic>
                </wp:inline>
              </w:drawing>
            </w:r>
          </w:p>
          <w:p w14:paraId="3CBF3632">
            <w:pPr>
              <w:spacing w:line="360" w:lineRule="auto"/>
              <w:ind w:firstLine="310" w:firstLineChars="147"/>
              <w:jc w:val="center"/>
              <w:rPr>
                <w:rFonts w:hint="default" w:ascii="Times New Roman" w:hAnsi="Times New Roman" w:eastAsia="宋体" w:cs="Times New Roman"/>
                <w:b/>
                <w:color w:val="auto"/>
                <w:szCs w:val="21"/>
                <w:lang w:bidi="ar"/>
              </w:rPr>
            </w:pPr>
            <w:r>
              <w:rPr>
                <w:rFonts w:hint="default" w:ascii="Times New Roman" w:hAnsi="Times New Roman" w:eastAsia="宋体" w:cs="Times New Roman"/>
                <w:b/>
                <w:color w:val="auto"/>
                <w:szCs w:val="21"/>
                <w:lang w:bidi="ar"/>
              </w:rPr>
              <w:t>图</w:t>
            </w:r>
            <w:r>
              <w:rPr>
                <w:rFonts w:hint="default" w:ascii="Times New Roman" w:hAnsi="Times New Roman" w:eastAsia="宋体" w:cs="Times New Roman"/>
                <w:b/>
                <w:color w:val="auto"/>
                <w:szCs w:val="21"/>
                <w:lang w:val="en-US" w:eastAsia="zh-CN" w:bidi="ar"/>
              </w:rPr>
              <w:t>2-</w:t>
            </w:r>
            <w:r>
              <w:rPr>
                <w:rFonts w:hint="eastAsia" w:ascii="Times New Roman" w:hAnsi="Times New Roman" w:cs="Times New Roman"/>
                <w:b/>
                <w:color w:val="auto"/>
                <w:szCs w:val="21"/>
                <w:lang w:val="en-US" w:eastAsia="zh-CN" w:bidi="ar"/>
              </w:rPr>
              <w:t>2</w:t>
            </w:r>
            <w:r>
              <w:rPr>
                <w:rFonts w:hint="default" w:ascii="Times New Roman" w:hAnsi="Times New Roman" w:eastAsia="宋体" w:cs="Times New Roman"/>
                <w:b/>
                <w:color w:val="auto"/>
                <w:szCs w:val="21"/>
                <w:lang w:bidi="ar"/>
              </w:rPr>
              <w:t>施工期工艺流程</w:t>
            </w:r>
          </w:p>
          <w:p w14:paraId="3EF23F0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渠道填方是整个工程施工的核心，组织好土方填筑施工是顺利完成整个工程施工的关键。因此施工中应以土方回填为重点，首先保证按计划完成土方工程，同时组织好</w:t>
            </w:r>
            <w:r>
              <w:rPr>
                <w:rFonts w:hint="default" w:ascii="Times New Roman" w:hAnsi="Times New Roman" w:eastAsia="宋体" w:cs="Times New Roman"/>
                <w:color w:val="auto"/>
                <w:sz w:val="24"/>
                <w:lang w:eastAsia="zh-CN"/>
              </w:rPr>
              <w:t>其他工序</w:t>
            </w:r>
            <w:r>
              <w:rPr>
                <w:rFonts w:hint="default" w:ascii="Times New Roman" w:hAnsi="Times New Roman" w:eastAsia="宋体" w:cs="Times New Roman"/>
                <w:color w:val="auto"/>
                <w:sz w:val="24"/>
              </w:rPr>
              <w:t>的平行施工，</w:t>
            </w:r>
            <w:r>
              <w:rPr>
                <w:rFonts w:hint="default" w:ascii="Times New Roman" w:hAnsi="Times New Roman" w:eastAsia="宋体" w:cs="Times New Roman"/>
                <w:color w:val="auto"/>
                <w:sz w:val="24"/>
                <w:lang w:eastAsia="zh-CN"/>
              </w:rPr>
              <w:t>防渗渠道工程</w:t>
            </w:r>
            <w:r>
              <w:rPr>
                <w:rFonts w:hint="default" w:ascii="Times New Roman" w:hAnsi="Times New Roman" w:eastAsia="宋体" w:cs="Times New Roman"/>
                <w:color w:val="auto"/>
                <w:sz w:val="24"/>
              </w:rPr>
              <w:t>施工的程序初拟如下：</w:t>
            </w:r>
          </w:p>
          <w:p w14:paraId="18477242">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单项工程施工工序</w:t>
            </w:r>
          </w:p>
          <w:p w14:paraId="77EF6F4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1）渠道土方施工的同时，进行现浇砼结构生产。</w:t>
            </w:r>
          </w:p>
          <w:p w14:paraId="718F3148">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2）渠道土方施工完成后进行</w:t>
            </w:r>
            <w:r>
              <w:rPr>
                <w:rFonts w:hint="eastAsia" w:ascii="Times New Roman" w:hAnsi="Times New Roman" w:cs="Times New Roman"/>
                <w:color w:val="auto"/>
                <w:sz w:val="24"/>
                <w:lang w:eastAsia="zh-CN"/>
              </w:rPr>
              <w:t>改建建筑物</w:t>
            </w:r>
            <w:r>
              <w:rPr>
                <w:rFonts w:hint="default" w:ascii="Times New Roman" w:hAnsi="Times New Roman" w:eastAsia="宋体" w:cs="Times New Roman"/>
                <w:color w:val="auto"/>
                <w:sz w:val="24"/>
              </w:rPr>
              <w:t>的施工。</w:t>
            </w:r>
          </w:p>
          <w:p w14:paraId="2CCC6B9D">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3）渠道及建筑物工程全面完工并试运行后，进行施工场地的恢复整治，做好竣工验收的准备工作。</w:t>
            </w:r>
          </w:p>
          <w:p w14:paraId="614E46A4">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渠道工程的施工流程</w:t>
            </w:r>
          </w:p>
          <w:p w14:paraId="6817227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清基、</w:t>
            </w:r>
            <w:r>
              <w:rPr>
                <w:rFonts w:hint="default" w:ascii="Times New Roman" w:hAnsi="Times New Roman" w:eastAsia="宋体" w:cs="Times New Roman"/>
                <w:color w:val="auto"/>
                <w:sz w:val="24"/>
                <w:lang w:val="en-US" w:eastAsia="zh-CN"/>
              </w:rPr>
              <w:t>清淤</w:t>
            </w:r>
            <w:r>
              <w:rPr>
                <w:rFonts w:hint="default" w:ascii="Times New Roman" w:hAnsi="Times New Roman" w:eastAsia="宋体" w:cs="Times New Roman"/>
                <w:color w:val="auto"/>
                <w:sz w:val="24"/>
              </w:rPr>
              <w:t>—渠床开挖填筑—渠底防冻垫层施工—渠底砼浇筑—渠边坡防冻垫层施工—渠底边坡分缝材料铺筑—渠边坡砼浇筑—分缝填筑及伸缩缝处理—洒水养护—封顶板铺砌—洒水养护—渠堤修整、外边坡修整—清除施工垃圾--完工。</w:t>
            </w:r>
          </w:p>
          <w:p w14:paraId="548E9A4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施工中应特别注意的事项</w:t>
            </w:r>
          </w:p>
          <w:p w14:paraId="36370340">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1）施工交通应尽量利用农村已有道路，工区内的临时土路，应洒水压实，创造良好的施工环境。</w:t>
            </w:r>
          </w:p>
          <w:p w14:paraId="509A5A85">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2）管理单位应严格控制渠道输水，对抢修渠道的停水工作做到位，防止向施工渠道跑水影响施工进度与工程质量。</w:t>
            </w:r>
          </w:p>
          <w:p w14:paraId="590B36A2">
            <w:pPr>
              <w:spacing w:line="360" w:lineRule="auto"/>
              <w:ind w:firstLine="482" w:firstLineChars="200"/>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2.1现有渠道临时构筑物拆除</w:t>
            </w:r>
          </w:p>
          <w:p w14:paraId="21A5A574">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在渠道</w:t>
            </w:r>
            <w:r>
              <w:rPr>
                <w:rFonts w:hint="default" w:ascii="Times New Roman" w:hAnsi="Times New Roman" w:eastAsia="宋体" w:cs="Times New Roman"/>
                <w:color w:val="auto"/>
                <w:sz w:val="24"/>
                <w:lang w:val="en-US" w:eastAsia="zh-CN"/>
              </w:rPr>
              <w:t>改造</w:t>
            </w:r>
            <w:r>
              <w:rPr>
                <w:rFonts w:hint="default" w:ascii="Times New Roman" w:hAnsi="Times New Roman" w:eastAsia="宋体" w:cs="Times New Roman"/>
                <w:color w:val="auto"/>
                <w:sz w:val="24"/>
              </w:rPr>
              <w:t>前，现有工程临时构筑物需要进行拆除，产生的废物主要是砖块、混凝土等建筑垃圾，与渠道施工建筑</w:t>
            </w:r>
            <w:r>
              <w:rPr>
                <w:rFonts w:hint="default" w:ascii="Times New Roman" w:hAnsi="Times New Roman" w:eastAsia="宋体" w:cs="Times New Roman"/>
                <w:color w:val="auto"/>
                <w:sz w:val="24"/>
                <w:lang w:val="en-US" w:eastAsia="zh-CN"/>
              </w:rPr>
              <w:t>一起</w:t>
            </w:r>
            <w:r>
              <w:rPr>
                <w:rFonts w:hint="default" w:ascii="Times New Roman" w:hAnsi="Times New Roman" w:eastAsia="宋体" w:cs="Times New Roman"/>
                <w:color w:val="auto"/>
                <w:sz w:val="24"/>
              </w:rPr>
              <w:t>回收利用，无法利用的集中收集后运至</w:t>
            </w:r>
            <w:r>
              <w:rPr>
                <w:rFonts w:hint="eastAsia" w:ascii="Times New Roman" w:hAnsi="Times New Roman" w:cs="Times New Roman"/>
                <w:color w:val="auto"/>
                <w:sz w:val="24"/>
                <w:lang w:eastAsia="zh-CN"/>
              </w:rPr>
              <w:t>莎车县城市管理部门指定的建筑垃圾存放点</w:t>
            </w:r>
            <w:r>
              <w:rPr>
                <w:rFonts w:hint="default" w:ascii="Times New Roman" w:hAnsi="Times New Roman" w:eastAsia="宋体" w:cs="Times New Roman"/>
                <w:color w:val="auto"/>
                <w:sz w:val="24"/>
              </w:rPr>
              <w:t>处理。</w:t>
            </w:r>
          </w:p>
          <w:p w14:paraId="236E8AEC">
            <w:pPr>
              <w:spacing w:line="360" w:lineRule="auto"/>
              <w:ind w:firstLine="482" w:firstLineChars="200"/>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2.2渠道土石方施工</w:t>
            </w:r>
          </w:p>
          <w:p w14:paraId="3572655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土方开挖</w:t>
            </w:r>
          </w:p>
          <w:p w14:paraId="674BB34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土方开挖主要是指填方渠道的表层</w:t>
            </w:r>
            <w:r>
              <w:rPr>
                <w:rFonts w:hint="default" w:ascii="Times New Roman" w:hAnsi="Times New Roman" w:eastAsia="宋体" w:cs="Times New Roman"/>
                <w:color w:val="auto"/>
                <w:sz w:val="24"/>
                <w:lang w:val="en-US" w:eastAsia="zh-CN"/>
              </w:rPr>
              <w:t>清淤</w:t>
            </w:r>
            <w:r>
              <w:rPr>
                <w:rFonts w:hint="default" w:ascii="Times New Roman" w:hAnsi="Times New Roman" w:eastAsia="宋体" w:cs="Times New Roman"/>
                <w:color w:val="auto"/>
                <w:sz w:val="24"/>
              </w:rPr>
              <w:t>、挖方渠道的土方开挖、建筑物的地基开挖以及料场的清废。</w:t>
            </w:r>
          </w:p>
          <w:p w14:paraId="58D56499">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针对渠道防渗改建的特点，土方开挖主要为机械开挖。施工前应先将老渠中的淤积物及植物根系完全清除，表层清废厚度按30cm计。渠道挖方和建筑物基坑开挖可使用推土机配合挖掘机挖土，深挖方段尚须配备适量载重车拉运弃土至堆放地或用于填方段的土方填筑。渠道人工削坡成形后，须对渠坡上的大石、杂物等尖锐物体人工剔除，进行碾压后，铺抗冻体。针对各渠道防渗改建的特点，由于各渠道原状渠堤填筑质量差，应将所有渠堤全部挖除，将渠道整个断面重新填筑碾压，然后进行掏心，开挖出渠槽，渠底及边坡一律</w:t>
            </w:r>
            <w:r>
              <w:rPr>
                <w:rFonts w:hint="default" w:ascii="Times New Roman" w:hAnsi="Times New Roman" w:eastAsia="宋体" w:cs="Times New Roman"/>
                <w:color w:val="auto"/>
                <w:sz w:val="24"/>
                <w:lang w:eastAsia="zh-CN"/>
              </w:rPr>
              <w:t>预留</w:t>
            </w:r>
            <w:r>
              <w:rPr>
                <w:rFonts w:hint="default" w:ascii="Times New Roman" w:hAnsi="Times New Roman" w:eastAsia="宋体" w:cs="Times New Roman"/>
                <w:color w:val="auto"/>
                <w:sz w:val="24"/>
              </w:rPr>
              <w:t>10～15cm用人工清削，严禁超挖。</w:t>
            </w:r>
          </w:p>
          <w:p w14:paraId="36589FD4">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土方回填碾压</w:t>
            </w:r>
          </w:p>
          <w:p w14:paraId="5DEF445D">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土方填筑主要包括碾压土堤以及建筑物地基和周围的基坑回填。其工作内容包括：土料平衡；现场生产性开采和碾压试验；土料开采、加工和运输；各种垫层等的填筑、碾压和接缝处理等。</w:t>
            </w:r>
          </w:p>
          <w:p w14:paraId="13D28C34">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对填方渠段，利用老渠线的人工清基，为保证筑堤质量，必须将表层</w:t>
            </w:r>
            <w:r>
              <w:rPr>
                <w:rFonts w:hint="default" w:ascii="Times New Roman" w:hAnsi="Times New Roman" w:eastAsia="宋体" w:cs="Times New Roman"/>
                <w:color w:val="auto"/>
                <w:sz w:val="24"/>
                <w:lang w:val="en-US" w:eastAsia="zh-CN"/>
              </w:rPr>
              <w:t>淤泥</w:t>
            </w:r>
            <w:r>
              <w:rPr>
                <w:rFonts w:hint="default" w:ascii="Times New Roman" w:hAnsi="Times New Roman" w:eastAsia="宋体" w:cs="Times New Roman"/>
                <w:color w:val="auto"/>
                <w:sz w:val="24"/>
              </w:rPr>
              <w:t>、杂草及地物等清除，并用振动碾（或羊足碾）碾压渠堤及地基。</w:t>
            </w:r>
          </w:p>
          <w:p w14:paraId="77AAF618">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碾压后的地基的技术指标要求同填筑土方，其中老渠堤碾压后土压实度不小于0.96。</w:t>
            </w:r>
          </w:p>
          <w:p w14:paraId="53E60EE5">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渠道填方主要为渠堤回填碾压，</w:t>
            </w:r>
            <w:r>
              <w:rPr>
                <w:rFonts w:hint="default" w:ascii="Times New Roman" w:hAnsi="Times New Roman" w:eastAsia="宋体" w:cs="Times New Roman"/>
                <w:color w:val="auto"/>
                <w:sz w:val="24"/>
                <w:lang w:val="en-US" w:eastAsia="zh-CN"/>
              </w:rPr>
              <w:t>取土采用渠道施工产生的弃土</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不设置取土场</w:t>
            </w:r>
            <w:r>
              <w:rPr>
                <w:rFonts w:hint="default" w:ascii="Times New Roman" w:hAnsi="Times New Roman" w:eastAsia="宋体" w:cs="Times New Roman"/>
                <w:color w:val="auto"/>
                <w:sz w:val="24"/>
              </w:rPr>
              <w:t>。采用机械操作，人工配合。</w:t>
            </w:r>
          </w:p>
          <w:p w14:paraId="2EB03799">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渠道填筑土方应进行土方平衡，可用深挖方段的土料。土方填筑前应做压实试验或击实试验。土方填筑应遵守有关规范及招标文件技术条款中有关土方填筑的规定。</w:t>
            </w:r>
          </w:p>
          <w:p w14:paraId="084C298A">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对于建筑物原状土基，在达到开挖设计高程后，必须对其采用振动板夯实，然后铺筑防冻料，压实干容重满足规范要求。</w:t>
            </w:r>
          </w:p>
          <w:p w14:paraId="1A84EA49">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土方碾压：渠道渠堤填方土料为粉土、砂土，应采用履带进行碾压，碾压过程中应严格控制土料含水量，渠堤填筑应分层进行，碾压分层水平上升，不允许留有纵向接缝，横向接头的结合面采用1：5缓坡</w:t>
            </w:r>
            <w:r>
              <w:rPr>
                <w:rFonts w:hint="default" w:ascii="Times New Roman" w:hAnsi="Times New Roman" w:eastAsia="宋体" w:cs="Times New Roman"/>
                <w:color w:val="auto"/>
                <w:sz w:val="24"/>
                <w:lang w:eastAsia="zh-CN"/>
              </w:rPr>
              <w:t>连结</w:t>
            </w:r>
            <w:r>
              <w:rPr>
                <w:rFonts w:hint="default" w:ascii="Times New Roman" w:hAnsi="Times New Roman" w:eastAsia="宋体" w:cs="Times New Roman"/>
                <w:color w:val="auto"/>
                <w:sz w:val="24"/>
              </w:rPr>
              <w:t>，接头重叠长度不小于100cm，碾压土料必须控制含水率，若土料的含水率低，碾压必须洒水。分层厚度不能超过40cm，在第二层碾压前，应将前一层层面刨毛</w:t>
            </w:r>
            <w:r>
              <w:rPr>
                <w:rFonts w:hint="default" w:ascii="Times New Roman" w:hAnsi="Times New Roman" w:eastAsia="宋体" w:cs="Times New Roman"/>
                <w:color w:val="auto"/>
                <w:sz w:val="24"/>
                <w:lang w:eastAsia="zh-CN"/>
              </w:rPr>
              <w:t>以利接合</w:t>
            </w:r>
            <w:r>
              <w:rPr>
                <w:rFonts w:hint="default" w:ascii="Times New Roman" w:hAnsi="Times New Roman" w:eastAsia="宋体" w:cs="Times New Roman"/>
                <w:color w:val="auto"/>
                <w:sz w:val="24"/>
              </w:rPr>
              <w:t>。</w:t>
            </w:r>
          </w:p>
          <w:p w14:paraId="32339E7E">
            <w:pPr>
              <w:spacing w:line="360" w:lineRule="auto"/>
              <w:ind w:firstLine="482" w:firstLineChars="200"/>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2.3砼工程施工</w:t>
            </w:r>
          </w:p>
          <w:p w14:paraId="4C61F5A0">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渠道现浇砼的施工是整个工程的主体之一，分渠道现浇砼板浇筑和渠系建筑物浇筑两部分。</w:t>
            </w:r>
          </w:p>
          <w:p w14:paraId="6D4B83F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现浇砼板应按以下顺序进行：备料、立模、浇筑、振捣、压光、养护、脱模，从渠顶利用溜槽将砼送至需浇筑部位，施工中边浇筑边用2.2</w:t>
            </w:r>
            <w:r>
              <w:rPr>
                <w:rFonts w:hint="default" w:ascii="Times New Roman" w:hAnsi="Times New Roman" w:eastAsia="宋体" w:cs="Times New Roman"/>
                <w:color w:val="auto"/>
                <w:sz w:val="24"/>
                <w:lang w:eastAsia="zh-CN"/>
              </w:rPr>
              <w:t>kW</w:t>
            </w:r>
            <w:r>
              <w:rPr>
                <w:rFonts w:hint="default" w:ascii="Times New Roman" w:hAnsi="Times New Roman" w:eastAsia="宋体" w:cs="Times New Roman"/>
                <w:color w:val="auto"/>
                <w:sz w:val="24"/>
              </w:rPr>
              <w:t>平板振捣器振捣。</w:t>
            </w:r>
          </w:p>
          <w:p w14:paraId="5934B6E0">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渠系建筑物砼浇筑应按以下顺序进行施工：备料、扎筋、立模、刷脱模剂、浇筑、振捣、养护、脱模，利用溜槽将砼送至需浇筑部位，施工中边浇筑边用2.2</w:t>
            </w:r>
            <w:r>
              <w:rPr>
                <w:rFonts w:hint="default" w:ascii="Times New Roman" w:hAnsi="Times New Roman" w:eastAsia="宋体" w:cs="Times New Roman"/>
                <w:color w:val="auto"/>
                <w:sz w:val="24"/>
                <w:lang w:eastAsia="zh-CN"/>
              </w:rPr>
              <w:t>kW</w:t>
            </w:r>
            <w:r>
              <w:rPr>
                <w:rFonts w:hint="default" w:ascii="Times New Roman" w:hAnsi="Times New Roman" w:eastAsia="宋体" w:cs="Times New Roman"/>
                <w:color w:val="auto"/>
                <w:sz w:val="24"/>
              </w:rPr>
              <w:t>平板振捣器振捣。现浇砼可采用人工双胶轮车拉运。3）隔墙浇筑完后，在浇筑砼板前将SBS改性油毡垂直铺设好后，隔墙两侧分缝墙</w:t>
            </w:r>
            <w:r>
              <w:rPr>
                <w:rFonts w:hint="default" w:ascii="Times New Roman" w:hAnsi="Times New Roman" w:eastAsia="宋体" w:cs="Times New Roman"/>
                <w:color w:val="auto"/>
                <w:sz w:val="24"/>
                <w:lang w:eastAsia="zh-CN"/>
              </w:rPr>
              <w:t>可作为</w:t>
            </w:r>
            <w:r>
              <w:rPr>
                <w:rFonts w:hint="default" w:ascii="Times New Roman" w:hAnsi="Times New Roman" w:eastAsia="宋体" w:cs="Times New Roman"/>
                <w:color w:val="auto"/>
                <w:sz w:val="24"/>
              </w:rPr>
              <w:t>模板直接浇筑砼板。</w:t>
            </w:r>
          </w:p>
          <w:p w14:paraId="61ADCFE5">
            <w:pPr>
              <w:spacing w:line="360" w:lineRule="auto"/>
              <w:ind w:firstLine="482" w:firstLineChars="200"/>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2.4封顶板施工</w:t>
            </w:r>
          </w:p>
          <w:p w14:paraId="79931DE0">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封顶板的施工应等到现浇砼渠底板、边坡板施工完，经验收合格后，方可进行封顶板的施工，施工应按以下顺序进行施工：备料、立模、浇筑、振捣、压光、养护、脱模。</w:t>
            </w:r>
          </w:p>
          <w:p w14:paraId="33FFBD4D">
            <w:pPr>
              <w:spacing w:line="360" w:lineRule="auto"/>
              <w:ind w:firstLine="482" w:firstLineChars="200"/>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2.5砼板缝施工</w:t>
            </w:r>
          </w:p>
          <w:p w14:paraId="1196C6C2">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渠道现浇砼板间分缝处理是保障渠道工程质量的一个重要环节，针对板缝的处理拟采取以下工序及技术要求：</w:t>
            </w:r>
          </w:p>
          <w:p w14:paraId="362790A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1）原材料的质量控制：</w:t>
            </w:r>
            <w:r>
              <w:rPr>
                <w:rFonts w:hint="default" w:ascii="Times New Roman" w:hAnsi="Times New Roman" w:eastAsia="宋体" w:cs="Times New Roman"/>
                <w:color w:val="auto"/>
                <w:sz w:val="24"/>
                <w:lang w:eastAsia="zh-CN"/>
              </w:rPr>
              <w:t>防渗渠道工程</w:t>
            </w:r>
            <w:r>
              <w:rPr>
                <w:rFonts w:hint="default" w:ascii="Times New Roman" w:hAnsi="Times New Roman" w:eastAsia="宋体" w:cs="Times New Roman"/>
                <w:color w:val="auto"/>
                <w:sz w:val="24"/>
              </w:rPr>
              <w:t>推荐方案砼板分缝材料，缝下部采用闭</w:t>
            </w:r>
            <w:r>
              <w:rPr>
                <w:rFonts w:hint="default" w:ascii="Times New Roman" w:hAnsi="Times New Roman" w:eastAsia="宋体" w:cs="Times New Roman"/>
                <w:color w:val="auto"/>
                <w:sz w:val="24"/>
                <w:lang w:eastAsia="zh-CN"/>
              </w:rPr>
              <w:t>孔</w:t>
            </w:r>
            <w:r>
              <w:rPr>
                <w:rFonts w:hint="default" w:ascii="Times New Roman" w:hAnsi="Times New Roman" w:eastAsia="宋体" w:cs="Times New Roman"/>
                <w:color w:val="auto"/>
                <w:sz w:val="24"/>
              </w:rPr>
              <w:t>板，上部采用聚氨酯。施工前首先应对采购的材料进行质量抽检，不合格产品严禁使用，积极做好原材料的见证取样、送样工作。</w:t>
            </w:r>
          </w:p>
          <w:p w14:paraId="405AE959">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2）施工程序：首先清除缝内的泥土、杂物，使缝壁清洁、干燥，将聚氨酯灌入缝内，迅速用小铁铲或木棒向缝内壁抹压，使油膏与缝壁充分</w:t>
            </w:r>
            <w:r>
              <w:rPr>
                <w:rFonts w:hint="default" w:ascii="Times New Roman" w:hAnsi="Times New Roman" w:eastAsia="宋体" w:cs="Times New Roman"/>
                <w:color w:val="auto"/>
                <w:sz w:val="24"/>
                <w:lang w:eastAsia="zh-CN"/>
              </w:rPr>
              <w:t>黏结</w:t>
            </w:r>
            <w:r>
              <w:rPr>
                <w:rFonts w:hint="default" w:ascii="Times New Roman" w:hAnsi="Times New Roman" w:eastAsia="宋体" w:cs="Times New Roman"/>
                <w:color w:val="auto"/>
                <w:sz w:val="24"/>
              </w:rPr>
              <w:t>。填塞渠坡伸缩缝时，为防止流淌，可用充水的橡胶管（管径稍大于缝宽）堵住缝口，从顶部灌注，填满压实。最后用木板沿缝口刮压，使表面光滑平整与缝壁粘牢。</w:t>
            </w:r>
          </w:p>
          <w:p w14:paraId="4ED7505F">
            <w:pPr>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2.6</w:t>
            </w:r>
            <w:r>
              <w:rPr>
                <w:rFonts w:hint="default" w:ascii="Times New Roman" w:hAnsi="Times New Roman" w:eastAsia="宋体" w:cs="Times New Roman"/>
                <w:b/>
                <w:bCs/>
                <w:color w:val="auto"/>
                <w:sz w:val="24"/>
              </w:rPr>
              <w:t>砂砾石垫层工程施工</w:t>
            </w:r>
          </w:p>
          <w:p w14:paraId="6260423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在垫层铺设前，垫层基面表层的</w:t>
            </w:r>
            <w:r>
              <w:rPr>
                <w:rFonts w:hint="default" w:ascii="Times New Roman" w:hAnsi="Times New Roman" w:eastAsia="宋体" w:cs="Times New Roman"/>
                <w:color w:val="auto"/>
                <w:sz w:val="24"/>
                <w:lang w:eastAsia="zh-CN"/>
              </w:rPr>
              <w:t>腐殖土</w:t>
            </w:r>
            <w:r>
              <w:rPr>
                <w:rFonts w:hint="default" w:ascii="Times New Roman" w:hAnsi="Times New Roman" w:eastAsia="宋体" w:cs="Times New Roman"/>
                <w:color w:val="auto"/>
                <w:sz w:val="24"/>
              </w:rPr>
              <w:t>、草皮、杂物、垃圾等均应清除，基面应平整，并应按设计要求进行夯实，建筑物基础下铺设砂砾石垫层时，砂砾石垫层中小于0.075mm的粒径，不得超过10％，超过80mm的大颗粒不得使用，相对密度应大于0.75。在基面未经</w:t>
            </w:r>
            <w:r>
              <w:rPr>
                <w:rFonts w:hint="eastAsia" w:ascii="Times New Roman" w:hAnsi="Times New Roman" w:cs="Times New Roman"/>
                <w:color w:val="auto"/>
                <w:sz w:val="24"/>
                <w:lang w:eastAsia="zh-CN"/>
              </w:rPr>
              <w:t>验</w:t>
            </w:r>
            <w:r>
              <w:rPr>
                <w:rFonts w:hint="default" w:ascii="Times New Roman" w:hAnsi="Times New Roman" w:eastAsia="宋体" w:cs="Times New Roman"/>
                <w:color w:val="auto"/>
                <w:sz w:val="24"/>
              </w:rPr>
              <w:t>证之前，不得进行垫层施工。</w:t>
            </w:r>
          </w:p>
          <w:p w14:paraId="483F326B">
            <w:pPr>
              <w:spacing w:line="360" w:lineRule="auto"/>
              <w:ind w:firstLine="482" w:firstLineChars="200"/>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2.7渠系建筑物施工</w:t>
            </w:r>
          </w:p>
          <w:p w14:paraId="729C477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筑物施工应自下而上进行，模板应以钢模板为主，部分部位可使用木模板，但不应出现胀模、跑模等现象。在施工中应放线准确，模板平整，振捣均匀。渠系建筑物中的二期砼的施工应保证砼的质量，按设计图纸及相关规范的要求将偏差控制在允许的范围之内。</w:t>
            </w:r>
          </w:p>
          <w:p w14:paraId="27B4E06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施工后及时回填开挖面，并碾压密实，及时平整施工场地，清理建筑垃圾，以消除对环境的不利影响。</w:t>
            </w:r>
          </w:p>
          <w:p w14:paraId="5EB9C044">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建筑物施工时应配备强力式砼</w:t>
            </w:r>
            <w:r>
              <w:rPr>
                <w:rFonts w:hint="default" w:ascii="Times New Roman" w:hAnsi="Times New Roman" w:eastAsia="宋体" w:cs="Times New Roman"/>
                <w:color w:val="auto"/>
                <w:sz w:val="24"/>
                <w:lang w:eastAsia="zh-CN"/>
              </w:rPr>
              <w:t>拌和机</w:t>
            </w:r>
            <w:r>
              <w:rPr>
                <w:rFonts w:hint="default" w:ascii="Times New Roman" w:hAnsi="Times New Roman" w:eastAsia="宋体" w:cs="Times New Roman"/>
                <w:color w:val="auto"/>
                <w:sz w:val="24"/>
              </w:rPr>
              <w:t>，容量为0.4m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，采用人工配料，架子车运输砼入仓，机械进行振捣。建筑物回填砂砾石必须夯实，以防冻胀沉陷造成建筑物破坏。</w:t>
            </w:r>
          </w:p>
          <w:p w14:paraId="14401F60">
            <w:pPr>
              <w:pStyle w:val="146"/>
              <w:keepNext w:val="0"/>
              <w:keepLines w:val="0"/>
              <w:pageBreakBefore w:val="0"/>
              <w:widowControl w:val="0"/>
              <w:kinsoku/>
              <w:wordWrap/>
              <w:overflowPunct/>
              <w:topLinePunct w:val="0"/>
              <w:autoSpaceDE/>
              <w:autoSpaceDN/>
              <w:bidi w:val="0"/>
              <w:adjustRightInd/>
              <w:snapToGrid/>
              <w:spacing w:line="360" w:lineRule="auto"/>
              <w:ind w:left="0" w:leftChars="0" w:right="0" w:firstLine="474"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pacing w:val="-2"/>
                <w:sz w:val="24"/>
                <w:szCs w:val="24"/>
              </w:rPr>
              <w:t>2.</w:t>
            </w:r>
            <w:r>
              <w:rPr>
                <w:rFonts w:hint="default" w:ascii="Times New Roman" w:hAnsi="Times New Roman" w:eastAsia="宋体" w:cs="Times New Roman"/>
                <w:b/>
                <w:bCs/>
                <w:color w:val="auto"/>
                <w:spacing w:val="-2"/>
                <w:sz w:val="24"/>
                <w:szCs w:val="24"/>
                <w:lang w:val="en-US" w:eastAsia="zh-CN"/>
              </w:rPr>
              <w:t>8</w:t>
            </w:r>
            <w:r>
              <w:rPr>
                <w:rFonts w:hint="default" w:ascii="Times New Roman" w:hAnsi="Times New Roman" w:eastAsia="宋体" w:cs="Times New Roman"/>
                <w:b/>
                <w:bCs/>
                <w:color w:val="auto"/>
                <w:spacing w:val="-2"/>
                <w:sz w:val="24"/>
                <w:szCs w:val="24"/>
              </w:rPr>
              <w:t>混凝土拌合</w:t>
            </w:r>
          </w:p>
          <w:p w14:paraId="6532ED6F">
            <w:pPr>
              <w:pStyle w:val="146"/>
              <w:keepNext w:val="0"/>
              <w:keepLines w:val="0"/>
              <w:pageBreakBefore w:val="0"/>
              <w:widowControl w:val="0"/>
              <w:kinsoku/>
              <w:wordWrap/>
              <w:overflowPunct/>
              <w:topLinePunct w:val="0"/>
              <w:autoSpaceDE/>
              <w:autoSpaceDN/>
              <w:bidi w:val="0"/>
              <w:adjustRightInd/>
              <w:snapToGrid/>
              <w:spacing w:line="360" w:lineRule="auto"/>
              <w:ind w:left="0" w:leftChars="0" w:right="0" w:firstLine="476"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rPr>
              <w:t>本项目混凝土工程主要为建筑物混凝土工程，原料水泥为袋装水泥，本工程</w:t>
            </w:r>
            <w:r>
              <w:rPr>
                <w:rFonts w:hint="default" w:ascii="Times New Roman" w:hAnsi="Times New Roman" w:eastAsia="宋体" w:cs="Times New Roman"/>
                <w:color w:val="auto"/>
                <w:sz w:val="24"/>
                <w:szCs w:val="24"/>
              </w:rPr>
              <w:t>设置集中</w:t>
            </w:r>
            <w:r>
              <w:rPr>
                <w:rFonts w:hint="eastAsia" w:ascii="Times New Roman" w:hAnsi="Times New Roman" w:eastAsia="宋体" w:cs="Times New Roman"/>
                <w:color w:val="auto"/>
                <w:sz w:val="24"/>
                <w:szCs w:val="24"/>
                <w:lang w:eastAsia="zh-CN"/>
              </w:rPr>
              <w:t>拌和系统</w:t>
            </w:r>
            <w:r>
              <w:rPr>
                <w:rFonts w:hint="default" w:ascii="Times New Roman" w:hAnsi="Times New Roman" w:eastAsia="宋体" w:cs="Times New Roman"/>
                <w:color w:val="auto"/>
                <w:sz w:val="24"/>
                <w:szCs w:val="24"/>
              </w:rPr>
              <w:t>，砼骨料由自卸汽车自料场运至拌和站，采用搅拌机搅</w:t>
            </w:r>
            <w:r>
              <w:rPr>
                <w:rFonts w:hint="default" w:ascii="Times New Roman" w:hAnsi="Times New Roman" w:eastAsia="宋体" w:cs="Times New Roman"/>
                <w:color w:val="auto"/>
                <w:spacing w:val="-1"/>
                <w:sz w:val="24"/>
                <w:szCs w:val="24"/>
              </w:rPr>
              <w:t>拌，机动翻斗车将拌好的成品砼运至浇筑地点。本环评要求：混凝土</w:t>
            </w:r>
            <w:r>
              <w:rPr>
                <w:rFonts w:hint="eastAsia" w:ascii="Times New Roman" w:hAnsi="Times New Roman" w:eastAsia="宋体" w:cs="Times New Roman"/>
                <w:color w:val="auto"/>
                <w:spacing w:val="-1"/>
                <w:sz w:val="24"/>
                <w:szCs w:val="24"/>
                <w:lang w:eastAsia="zh-CN"/>
              </w:rPr>
              <w:t>拌和系统</w:t>
            </w:r>
            <w:r>
              <w:rPr>
                <w:rFonts w:hint="default" w:ascii="Times New Roman" w:hAnsi="Times New Roman" w:eastAsia="宋体" w:cs="Times New Roman"/>
                <w:color w:val="auto"/>
                <w:spacing w:val="-1"/>
                <w:sz w:val="24"/>
                <w:szCs w:val="24"/>
              </w:rPr>
              <w:t>选择所在区域周边的裸地或空闲地，不占用农田及林地，且需远离居民区。</w:t>
            </w:r>
          </w:p>
          <w:p w14:paraId="7841D31E">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3</w:t>
            </w:r>
            <w:r>
              <w:rPr>
                <w:rFonts w:hint="default" w:ascii="Times New Roman" w:hAnsi="Times New Roman" w:eastAsia="宋体" w:cs="Times New Roman"/>
                <w:b/>
                <w:color w:val="auto"/>
                <w:sz w:val="24"/>
              </w:rPr>
              <w:t>土石方平衡</w:t>
            </w:r>
          </w:p>
          <w:p w14:paraId="52B1759B">
            <w:pPr>
              <w:adjustRightInd/>
              <w:snapToGrid/>
              <w:spacing w:line="360" w:lineRule="auto"/>
              <w:ind w:firstLine="560"/>
              <w:rPr>
                <w:rFonts w:hint="default" w:ascii="Times New Roman" w:hAnsi="Times New Roman" w:eastAsia="宋体" w:cs="Times New Roman"/>
                <w:color w:val="auto"/>
                <w:kern w:val="0"/>
                <w:sz w:val="24"/>
                <w:lang w:val="zh-CN" w:eastAsia="zh-CN"/>
              </w:rPr>
            </w:pPr>
            <w:r>
              <w:rPr>
                <w:rFonts w:hint="eastAsia" w:ascii="Times New Roman" w:hAnsi="Times New Roman" w:cs="Times New Roman"/>
                <w:color w:val="auto"/>
                <w:kern w:val="0"/>
                <w:sz w:val="24"/>
                <w:lang w:eastAsia="zh-CN"/>
              </w:rPr>
              <w:t>弃土方及时用于土地平整和回填使用，无法利用的</w:t>
            </w:r>
            <w:r>
              <w:rPr>
                <w:rFonts w:hint="default" w:ascii="Times New Roman" w:hAnsi="Times New Roman" w:eastAsia="宋体" w:cs="Times New Roman"/>
                <w:color w:val="auto"/>
                <w:kern w:val="0"/>
                <w:sz w:val="24"/>
                <w:lang w:eastAsia="zh-CN"/>
              </w:rPr>
              <w:t>送至</w:t>
            </w:r>
            <w:r>
              <w:rPr>
                <w:rFonts w:hint="eastAsia" w:ascii="Times New Roman" w:hAnsi="Times New Roman" w:cs="Times New Roman"/>
                <w:color w:val="auto"/>
                <w:kern w:val="0"/>
                <w:sz w:val="24"/>
                <w:lang w:eastAsia="zh-CN"/>
              </w:rPr>
              <w:t>莎车县城市管理部门指定的建筑垃圾存放点</w:t>
            </w:r>
            <w:r>
              <w:rPr>
                <w:rFonts w:hint="default" w:ascii="Times New Roman" w:hAnsi="Times New Roman" w:eastAsia="宋体" w:cs="Times New Roman"/>
                <w:color w:val="auto"/>
                <w:kern w:val="0"/>
                <w:sz w:val="24"/>
                <w:lang w:eastAsia="zh-CN"/>
              </w:rPr>
              <w:t>处理，不得随意倾倒</w:t>
            </w:r>
            <w:r>
              <w:rPr>
                <w:rFonts w:hint="default" w:ascii="Times New Roman" w:hAnsi="Times New Roman" w:eastAsia="宋体" w:cs="Times New Roman"/>
                <w:color w:val="auto"/>
                <w:kern w:val="0"/>
                <w:sz w:val="24"/>
                <w:lang w:val="zh-CN" w:eastAsia="zh-CN"/>
              </w:rPr>
              <w:t>。</w:t>
            </w:r>
          </w:p>
          <w:p w14:paraId="0D08EF96">
            <w:pPr>
              <w:jc w:val="center"/>
              <w:rPr>
                <w:rFonts w:hint="eastAsia"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rPr>
              <w:t>表</w:t>
            </w:r>
            <w:r>
              <w:rPr>
                <w:rFonts w:hint="default" w:ascii="Times New Roman" w:hAnsi="Times New Roman" w:eastAsia="宋体" w:cs="Times New Roman"/>
                <w:b/>
                <w:color w:val="auto"/>
                <w:szCs w:val="21"/>
                <w:lang w:val="en-US" w:eastAsia="zh-CN"/>
              </w:rPr>
              <w:t>2-</w:t>
            </w:r>
            <w:r>
              <w:rPr>
                <w:rFonts w:hint="eastAsia" w:ascii="Times New Roman" w:hAnsi="Times New Roman" w:cs="Times New Roman"/>
                <w:b/>
                <w:color w:val="auto"/>
                <w:szCs w:val="21"/>
                <w:lang w:val="en-US" w:eastAsia="zh-CN"/>
              </w:rPr>
              <w:t xml:space="preserve">8 </w:t>
            </w:r>
            <w:r>
              <w:rPr>
                <w:rFonts w:hint="eastAsia" w:ascii="Times New Roman" w:hAnsi="Times New Roman" w:eastAsia="宋体" w:cs="Times New Roman"/>
                <w:b/>
                <w:color w:val="auto"/>
                <w:szCs w:val="21"/>
                <w:lang w:val="en-US" w:eastAsia="zh-CN"/>
              </w:rPr>
              <w:t xml:space="preserve">土石方平衡表 </w:t>
            </w:r>
          </w:p>
          <w:tbl>
            <w:tblPr>
              <w:tblStyle w:val="97"/>
              <w:tblW w:w="4998" w:type="pct"/>
              <w:tblInd w:w="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29"/>
              <w:gridCol w:w="1083"/>
              <w:gridCol w:w="1050"/>
              <w:gridCol w:w="988"/>
              <w:gridCol w:w="914"/>
              <w:gridCol w:w="900"/>
              <w:gridCol w:w="595"/>
              <w:gridCol w:w="717"/>
              <w:gridCol w:w="1253"/>
            </w:tblGrid>
            <w:tr w14:paraId="3BEA9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29" w:type="dxa"/>
                  <w:vMerge w:val="restart"/>
                  <w:tcBorders>
                    <w:bottom w:val="nil"/>
                  </w:tcBorders>
                  <w:vAlign w:val="center"/>
                </w:tcPr>
                <w:p w14:paraId="04AB364A">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序号</w:t>
                  </w:r>
                </w:p>
              </w:tc>
              <w:tc>
                <w:tcPr>
                  <w:tcW w:w="1083" w:type="dxa"/>
                  <w:vMerge w:val="restart"/>
                  <w:tcBorders>
                    <w:bottom w:val="nil"/>
                  </w:tcBorders>
                  <w:vAlign w:val="center"/>
                </w:tcPr>
                <w:p w14:paraId="75309642">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防治区</w:t>
                  </w:r>
                </w:p>
              </w:tc>
              <w:tc>
                <w:tcPr>
                  <w:tcW w:w="2952" w:type="dxa"/>
                  <w:gridSpan w:val="3"/>
                  <w:vAlign w:val="center"/>
                </w:tcPr>
                <w:p w14:paraId="33F0F410">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挖方</w:t>
                  </w:r>
                </w:p>
              </w:tc>
              <w:tc>
                <w:tcPr>
                  <w:tcW w:w="1495" w:type="dxa"/>
                  <w:gridSpan w:val="2"/>
                  <w:vAlign w:val="center"/>
                </w:tcPr>
                <w:p w14:paraId="0005BAC9">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填方</w:t>
                  </w:r>
                </w:p>
              </w:tc>
              <w:tc>
                <w:tcPr>
                  <w:tcW w:w="1970" w:type="dxa"/>
                  <w:gridSpan w:val="2"/>
                  <w:vAlign w:val="center"/>
                </w:tcPr>
                <w:p w14:paraId="6C19594A">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弃方</w:t>
                  </w:r>
                </w:p>
              </w:tc>
            </w:tr>
            <w:tr w14:paraId="22929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29" w:type="dxa"/>
                  <w:vMerge w:val="continue"/>
                  <w:tcBorders>
                    <w:top w:val="nil"/>
                  </w:tcBorders>
                  <w:vAlign w:val="center"/>
                </w:tcPr>
                <w:p w14:paraId="2E585CA4">
                  <w:pPr>
                    <w:pStyle w:val="111"/>
                    <w:jc w:val="center"/>
                    <w:rPr>
                      <w:rFonts w:hint="default" w:ascii="Times New Roman" w:hAnsi="Times New Roman" w:eastAsia="宋体" w:cs="Times New Roman"/>
                      <w:color w:val="auto"/>
                      <w:lang w:val="en-US" w:eastAsia="zh-CN"/>
                    </w:rPr>
                  </w:pPr>
                </w:p>
              </w:tc>
              <w:tc>
                <w:tcPr>
                  <w:tcW w:w="1083" w:type="dxa"/>
                  <w:vMerge w:val="continue"/>
                  <w:tcBorders>
                    <w:top w:val="nil"/>
                  </w:tcBorders>
                  <w:vAlign w:val="center"/>
                </w:tcPr>
                <w:p w14:paraId="56984AB1">
                  <w:pPr>
                    <w:pStyle w:val="111"/>
                    <w:jc w:val="center"/>
                    <w:rPr>
                      <w:rFonts w:hint="default" w:ascii="Times New Roman" w:hAnsi="Times New Roman" w:eastAsia="宋体" w:cs="Times New Roman"/>
                      <w:color w:val="auto"/>
                      <w:lang w:val="en-US" w:eastAsia="zh-CN"/>
                    </w:rPr>
                  </w:pPr>
                </w:p>
              </w:tc>
              <w:tc>
                <w:tcPr>
                  <w:tcW w:w="1050" w:type="dxa"/>
                  <w:vAlign w:val="center"/>
                </w:tcPr>
                <w:p w14:paraId="1176223F">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清废</w:t>
                  </w:r>
                </w:p>
              </w:tc>
              <w:tc>
                <w:tcPr>
                  <w:tcW w:w="988" w:type="dxa"/>
                  <w:vAlign w:val="center"/>
                </w:tcPr>
                <w:p w14:paraId="623A1EA2">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土方</w:t>
                  </w:r>
                </w:p>
              </w:tc>
              <w:tc>
                <w:tcPr>
                  <w:tcW w:w="914" w:type="dxa"/>
                  <w:vAlign w:val="center"/>
                </w:tcPr>
                <w:p w14:paraId="747667C7">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小计</w:t>
                  </w:r>
                </w:p>
              </w:tc>
              <w:tc>
                <w:tcPr>
                  <w:tcW w:w="900" w:type="dxa"/>
                  <w:vAlign w:val="center"/>
                </w:tcPr>
                <w:p w14:paraId="30BB1DD1">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土方</w:t>
                  </w:r>
                </w:p>
              </w:tc>
              <w:tc>
                <w:tcPr>
                  <w:tcW w:w="595" w:type="dxa"/>
                  <w:vAlign w:val="center"/>
                </w:tcPr>
                <w:p w14:paraId="5CF923AD">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小计</w:t>
                  </w:r>
                </w:p>
              </w:tc>
              <w:tc>
                <w:tcPr>
                  <w:tcW w:w="717" w:type="dxa"/>
                  <w:vAlign w:val="center"/>
                </w:tcPr>
                <w:p w14:paraId="61450B7C">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数量</w:t>
                  </w:r>
                </w:p>
              </w:tc>
              <w:tc>
                <w:tcPr>
                  <w:tcW w:w="1253" w:type="dxa"/>
                  <w:vAlign w:val="center"/>
                </w:tcPr>
                <w:p w14:paraId="2F400F01">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去向</w:t>
                  </w:r>
                </w:p>
              </w:tc>
            </w:tr>
            <w:tr w14:paraId="3B942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29" w:type="dxa"/>
                  <w:vAlign w:val="center"/>
                </w:tcPr>
                <w:p w14:paraId="1F1F02F7">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1083" w:type="dxa"/>
                  <w:vAlign w:val="center"/>
                </w:tcPr>
                <w:p w14:paraId="0CCCB43B">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渠道工程区</w:t>
                  </w:r>
                </w:p>
              </w:tc>
              <w:tc>
                <w:tcPr>
                  <w:tcW w:w="1050" w:type="dxa"/>
                  <w:vAlign w:val="center"/>
                </w:tcPr>
                <w:p w14:paraId="5AA7ADB9">
                  <w:pPr>
                    <w:pStyle w:val="111"/>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4258.04</w:t>
                  </w:r>
                </w:p>
              </w:tc>
              <w:tc>
                <w:tcPr>
                  <w:tcW w:w="988" w:type="dxa"/>
                  <w:vAlign w:val="center"/>
                </w:tcPr>
                <w:p w14:paraId="52C5205F">
                  <w:pPr>
                    <w:pStyle w:val="111"/>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18911.62</w:t>
                  </w:r>
                </w:p>
              </w:tc>
              <w:tc>
                <w:tcPr>
                  <w:tcW w:w="914" w:type="dxa"/>
                  <w:vAlign w:val="center"/>
                </w:tcPr>
                <w:p w14:paraId="41FAD9F6">
                  <w:pPr>
                    <w:pStyle w:val="111"/>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23169.67</w:t>
                  </w:r>
                </w:p>
              </w:tc>
              <w:tc>
                <w:tcPr>
                  <w:tcW w:w="900" w:type="dxa"/>
                  <w:vAlign w:val="center"/>
                </w:tcPr>
                <w:p w14:paraId="30D6DBB9">
                  <w:pPr>
                    <w:pStyle w:val="111"/>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15557.66</w:t>
                  </w:r>
                </w:p>
              </w:tc>
              <w:tc>
                <w:tcPr>
                  <w:tcW w:w="595" w:type="dxa"/>
                  <w:vAlign w:val="center"/>
                </w:tcPr>
                <w:p w14:paraId="76F5E0AC">
                  <w:pPr>
                    <w:pStyle w:val="111"/>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15557.66</w:t>
                  </w:r>
                </w:p>
              </w:tc>
              <w:tc>
                <w:tcPr>
                  <w:tcW w:w="717" w:type="dxa"/>
                  <w:vAlign w:val="center"/>
                </w:tcPr>
                <w:p w14:paraId="45C9382B">
                  <w:pPr>
                    <w:pStyle w:val="111"/>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7612.01</w:t>
                  </w:r>
                </w:p>
              </w:tc>
              <w:tc>
                <w:tcPr>
                  <w:tcW w:w="1253" w:type="dxa"/>
                  <w:vMerge w:val="restart"/>
                  <w:vAlign w:val="center"/>
                </w:tcPr>
                <w:p w14:paraId="628E5872">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尽可能回填使用，无法回填的送至建筑垃圾存放点处理进行综合利用</w:t>
                  </w:r>
                </w:p>
              </w:tc>
            </w:tr>
            <w:tr w14:paraId="54FE2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29" w:type="dxa"/>
                  <w:vAlign w:val="center"/>
                </w:tcPr>
                <w:p w14:paraId="4DBE40B1">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p>
              </w:tc>
              <w:tc>
                <w:tcPr>
                  <w:tcW w:w="1083" w:type="dxa"/>
                  <w:vAlign w:val="center"/>
                </w:tcPr>
                <w:p w14:paraId="2E10E2AA">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渠系建筑物区</w:t>
                  </w:r>
                </w:p>
              </w:tc>
              <w:tc>
                <w:tcPr>
                  <w:tcW w:w="1050" w:type="dxa"/>
                  <w:vAlign w:val="center"/>
                </w:tcPr>
                <w:p w14:paraId="69EEA73A">
                  <w:pPr>
                    <w:pStyle w:val="111"/>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0.00</w:t>
                  </w:r>
                </w:p>
              </w:tc>
              <w:tc>
                <w:tcPr>
                  <w:tcW w:w="988" w:type="dxa"/>
                  <w:vAlign w:val="center"/>
                </w:tcPr>
                <w:p w14:paraId="0849226F">
                  <w:pPr>
                    <w:pStyle w:val="111"/>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7393.93</w:t>
                  </w:r>
                </w:p>
              </w:tc>
              <w:tc>
                <w:tcPr>
                  <w:tcW w:w="914" w:type="dxa"/>
                  <w:vAlign w:val="center"/>
                </w:tcPr>
                <w:p w14:paraId="2308FE91">
                  <w:pPr>
                    <w:pStyle w:val="111"/>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7393.93</w:t>
                  </w:r>
                </w:p>
              </w:tc>
              <w:tc>
                <w:tcPr>
                  <w:tcW w:w="900" w:type="dxa"/>
                  <w:vAlign w:val="center"/>
                </w:tcPr>
                <w:p w14:paraId="5A6A9295">
                  <w:pPr>
                    <w:pStyle w:val="111"/>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3866.42</w:t>
                  </w:r>
                </w:p>
              </w:tc>
              <w:tc>
                <w:tcPr>
                  <w:tcW w:w="595" w:type="dxa"/>
                  <w:vAlign w:val="center"/>
                </w:tcPr>
                <w:p w14:paraId="7ACCBC69">
                  <w:pPr>
                    <w:pStyle w:val="111"/>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3866.42</w:t>
                  </w:r>
                </w:p>
              </w:tc>
              <w:tc>
                <w:tcPr>
                  <w:tcW w:w="717" w:type="dxa"/>
                  <w:vAlign w:val="center"/>
                </w:tcPr>
                <w:p w14:paraId="012268B1">
                  <w:pPr>
                    <w:pStyle w:val="111"/>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3527.52</w:t>
                  </w:r>
                </w:p>
              </w:tc>
              <w:tc>
                <w:tcPr>
                  <w:tcW w:w="1253" w:type="dxa"/>
                  <w:vMerge w:val="continue"/>
                  <w:vAlign w:val="center"/>
                </w:tcPr>
                <w:p w14:paraId="593E2100">
                  <w:pPr>
                    <w:pStyle w:val="111"/>
                    <w:jc w:val="center"/>
                    <w:rPr>
                      <w:rFonts w:hint="default" w:ascii="Times New Roman" w:hAnsi="Times New Roman" w:eastAsia="宋体" w:cs="Times New Roman"/>
                      <w:color w:val="auto"/>
                      <w:lang w:val="en-US" w:eastAsia="zh-CN"/>
                    </w:rPr>
                  </w:pPr>
                </w:p>
              </w:tc>
            </w:tr>
            <w:tr w14:paraId="1048E2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712" w:type="dxa"/>
                  <w:gridSpan w:val="2"/>
                  <w:vAlign w:val="center"/>
                </w:tcPr>
                <w:p w14:paraId="34EED88C">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合计</w:t>
                  </w:r>
                </w:p>
              </w:tc>
              <w:tc>
                <w:tcPr>
                  <w:tcW w:w="1050" w:type="dxa"/>
                  <w:vAlign w:val="center"/>
                </w:tcPr>
                <w:p w14:paraId="11B5CD25">
                  <w:pPr>
                    <w:pStyle w:val="111"/>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4258.04</w:t>
                  </w:r>
                </w:p>
              </w:tc>
              <w:tc>
                <w:tcPr>
                  <w:tcW w:w="988" w:type="dxa"/>
                  <w:vAlign w:val="center"/>
                </w:tcPr>
                <w:p w14:paraId="693983B7">
                  <w:pPr>
                    <w:pStyle w:val="111"/>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26305.56</w:t>
                  </w:r>
                </w:p>
              </w:tc>
              <w:tc>
                <w:tcPr>
                  <w:tcW w:w="914" w:type="dxa"/>
                  <w:vAlign w:val="center"/>
                </w:tcPr>
                <w:p w14:paraId="4E29BDC5">
                  <w:pPr>
                    <w:pStyle w:val="111"/>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30563.61</w:t>
                  </w:r>
                </w:p>
              </w:tc>
              <w:tc>
                <w:tcPr>
                  <w:tcW w:w="900" w:type="dxa"/>
                  <w:vAlign w:val="center"/>
                </w:tcPr>
                <w:p w14:paraId="46861835">
                  <w:pPr>
                    <w:pStyle w:val="111"/>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19424.08</w:t>
                  </w:r>
                </w:p>
              </w:tc>
              <w:tc>
                <w:tcPr>
                  <w:tcW w:w="595" w:type="dxa"/>
                  <w:vAlign w:val="center"/>
                </w:tcPr>
                <w:p w14:paraId="7B110D0A">
                  <w:pPr>
                    <w:pStyle w:val="111"/>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19424.08</w:t>
                  </w:r>
                </w:p>
              </w:tc>
              <w:tc>
                <w:tcPr>
                  <w:tcW w:w="717" w:type="dxa"/>
                  <w:vAlign w:val="center"/>
                </w:tcPr>
                <w:p w14:paraId="7483BCCD">
                  <w:pPr>
                    <w:pStyle w:val="111"/>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11139.53</w:t>
                  </w:r>
                </w:p>
              </w:tc>
              <w:tc>
                <w:tcPr>
                  <w:tcW w:w="1253" w:type="dxa"/>
                  <w:vMerge w:val="continue"/>
                  <w:vAlign w:val="center"/>
                </w:tcPr>
                <w:p w14:paraId="2421463D">
                  <w:pPr>
                    <w:pStyle w:val="111"/>
                    <w:jc w:val="center"/>
                    <w:rPr>
                      <w:rFonts w:hint="default" w:ascii="Times New Roman" w:hAnsi="Times New Roman" w:eastAsia="宋体" w:cs="Times New Roman"/>
                      <w:color w:val="auto"/>
                      <w:lang w:val="en-US" w:eastAsia="zh-CN"/>
                    </w:rPr>
                  </w:pPr>
                </w:p>
              </w:tc>
            </w:tr>
          </w:tbl>
          <w:p w14:paraId="74017666">
            <w:pPr>
              <w:jc w:val="center"/>
              <w:rPr>
                <w:rFonts w:hint="default" w:ascii="Times New Roman" w:hAnsi="Times New Roman" w:eastAsia="宋体" w:cs="Times New Roman"/>
                <w:b/>
                <w:color w:val="auto"/>
                <w:szCs w:val="21"/>
                <w:lang w:val="en-US" w:eastAsia="zh-CN"/>
              </w:rPr>
            </w:pPr>
          </w:p>
          <w:p w14:paraId="0175AFE2">
            <w:pPr>
              <w:spacing w:line="360" w:lineRule="auto"/>
              <w:ind w:firstLine="482" w:firstLineChars="200"/>
              <w:rPr>
                <w:rFonts w:hint="default" w:ascii="Times New Roman" w:hAnsi="Times New Roman" w:eastAsia="宋体" w:cs="Times New Roman"/>
                <w:b/>
                <w:color w:val="auto"/>
                <w:sz w:val="24"/>
                <w:lang w:eastAsia="zh-CN"/>
              </w:rPr>
            </w:pPr>
            <w:r>
              <w:rPr>
                <w:rFonts w:hint="default" w:ascii="Times New Roman" w:hAnsi="Times New Roman" w:eastAsia="宋体" w:cs="Times New Roman"/>
                <w:b/>
                <w:color w:val="auto"/>
                <w:sz w:val="24"/>
                <w:lang w:val="en-US" w:eastAsia="zh-CN"/>
              </w:rPr>
              <w:t>4</w:t>
            </w:r>
            <w:r>
              <w:rPr>
                <w:rFonts w:hint="default" w:ascii="Times New Roman" w:hAnsi="Times New Roman" w:eastAsia="宋体" w:cs="Times New Roman"/>
                <w:b/>
                <w:color w:val="auto"/>
                <w:sz w:val="24"/>
              </w:rPr>
              <w:t>施工</w:t>
            </w:r>
            <w:r>
              <w:rPr>
                <w:rFonts w:hint="default" w:ascii="Times New Roman" w:hAnsi="Times New Roman" w:eastAsia="宋体" w:cs="Times New Roman"/>
                <w:b/>
                <w:color w:val="auto"/>
                <w:sz w:val="24"/>
                <w:lang w:val="en-US" w:eastAsia="zh-CN"/>
              </w:rPr>
              <w:t>时序</w:t>
            </w:r>
          </w:p>
          <w:p w14:paraId="4F24C09A">
            <w:pPr>
              <w:pStyle w:val="113"/>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rPr>
              <w:t>（1）</w:t>
            </w:r>
            <w:r>
              <w:rPr>
                <w:rFonts w:hint="default" w:ascii="Times New Roman" w:hAnsi="Times New Roman" w:eastAsia="宋体" w:cs="Times New Roman"/>
                <w:color w:val="auto"/>
              </w:rPr>
              <w:t>筹备阶段：定于202</w:t>
            </w:r>
            <w:r>
              <w:rPr>
                <w:rFonts w:hint="eastAsia" w:ascii="Times New Roman" w:hAnsi="Times New Roman" w:cs="Times New Roman"/>
                <w:color w:val="auto"/>
                <w:lang w:val="en-US" w:eastAsia="zh-CN"/>
              </w:rPr>
              <w:t>5</w:t>
            </w:r>
            <w:r>
              <w:rPr>
                <w:rFonts w:hint="default" w:ascii="Times New Roman" w:hAnsi="Times New Roman" w:eastAsia="宋体" w:cs="Times New Roman"/>
                <w:color w:val="auto"/>
              </w:rPr>
              <w:t>年</w:t>
            </w:r>
            <w:r>
              <w:rPr>
                <w:rFonts w:hint="eastAsia" w:ascii="Times New Roman" w:hAnsi="Times New Roman" w:cs="Times New Roman"/>
                <w:color w:val="auto"/>
                <w:lang w:val="en-US" w:eastAsia="zh-CN"/>
              </w:rPr>
              <w:t>6</w:t>
            </w:r>
            <w:r>
              <w:rPr>
                <w:rFonts w:hint="default" w:ascii="Times New Roman" w:hAnsi="Times New Roman" w:eastAsia="宋体" w:cs="Times New Roman"/>
                <w:color w:val="auto"/>
              </w:rPr>
              <w:t>月</w:t>
            </w:r>
            <w:r>
              <w:rPr>
                <w:rFonts w:hint="default" w:ascii="Times New Roman" w:hAnsi="Times New Roman" w:eastAsia="宋体" w:cs="Times New Roman"/>
                <w:color w:val="auto"/>
                <w:lang w:val="en-US" w:eastAsia="zh-CN"/>
              </w:rPr>
              <w:t>20日</w:t>
            </w:r>
            <w:r>
              <w:rPr>
                <w:rFonts w:hint="default" w:ascii="Times New Roman" w:hAnsi="Times New Roman" w:eastAsia="宋体" w:cs="Times New Roman"/>
                <w:color w:val="auto"/>
              </w:rPr>
              <w:t>开始工程筹建，由建设单位负责完成对外交通、施工道路、通讯和施工征地以及招投标签约等筹建工作，施工单位进行临时工程建设。</w:t>
            </w:r>
          </w:p>
          <w:p w14:paraId="559DE44F">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rPr>
              <w:t>（</w:t>
            </w:r>
            <w:r>
              <w:rPr>
                <w:rFonts w:hint="default" w:ascii="Times New Roman" w:hAnsi="Times New Roman" w:eastAsia="宋体" w:cs="Times New Roman"/>
                <w:color w:val="auto"/>
                <w:kern w:val="0"/>
                <w:sz w:val="24"/>
                <w:lang w:val="en-US" w:eastAsia="zh-CN"/>
              </w:rPr>
              <w:t>2</w:t>
            </w:r>
            <w:r>
              <w:rPr>
                <w:rFonts w:hint="default" w:ascii="Times New Roman" w:hAnsi="Times New Roman" w:eastAsia="宋体" w:cs="Times New Roman"/>
                <w:color w:val="auto"/>
                <w:kern w:val="0"/>
                <w:sz w:val="24"/>
              </w:rPr>
              <w:t>）</w:t>
            </w:r>
            <w:r>
              <w:rPr>
                <w:rFonts w:hint="default" w:ascii="Times New Roman" w:hAnsi="Times New Roman" w:eastAsia="宋体" w:cs="Times New Roman"/>
                <w:color w:val="auto"/>
              </w:rPr>
              <w:t>202</w:t>
            </w:r>
            <w:r>
              <w:rPr>
                <w:rFonts w:hint="eastAsia" w:ascii="Times New Roman" w:hAnsi="Times New Roman" w:cs="Times New Roman"/>
                <w:color w:val="auto"/>
                <w:lang w:val="en-US" w:eastAsia="zh-CN"/>
              </w:rPr>
              <w:t>5</w:t>
            </w:r>
            <w:r>
              <w:rPr>
                <w:rFonts w:hint="default" w:ascii="Times New Roman" w:hAnsi="Times New Roman" w:eastAsia="宋体" w:cs="Times New Roman"/>
                <w:color w:val="auto"/>
              </w:rPr>
              <w:t>年</w:t>
            </w:r>
            <w:r>
              <w:rPr>
                <w:rFonts w:hint="eastAsia" w:ascii="Times New Roman" w:hAnsi="Times New Roman" w:cs="Times New Roman"/>
                <w:color w:val="auto"/>
                <w:lang w:val="en-US" w:eastAsia="zh-CN"/>
              </w:rPr>
              <w:t>7</w:t>
            </w:r>
            <w:r>
              <w:rPr>
                <w:rFonts w:hint="default" w:ascii="Times New Roman" w:hAnsi="Times New Roman" w:eastAsia="宋体" w:cs="Times New Roman"/>
                <w:color w:val="auto"/>
              </w:rPr>
              <w:t>月</w:t>
            </w:r>
            <w:r>
              <w:rPr>
                <w:rFonts w:hint="default" w:ascii="Times New Roman" w:hAnsi="Times New Roman" w:eastAsia="宋体" w:cs="Times New Roman"/>
                <w:color w:val="auto"/>
                <w:lang w:val="en-US" w:eastAsia="zh-CN"/>
              </w:rPr>
              <w:t>1日</w:t>
            </w:r>
            <w:r>
              <w:rPr>
                <w:rFonts w:hint="default" w:ascii="Times New Roman" w:hAnsi="Times New Roman" w:eastAsia="宋体" w:cs="Times New Roman"/>
                <w:color w:val="auto"/>
              </w:rPr>
              <w:t>开始，各施工单位进入施工现场。</w:t>
            </w:r>
          </w:p>
          <w:p w14:paraId="7BB87ECF">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rPr>
              <w:t>（</w:t>
            </w:r>
            <w:r>
              <w:rPr>
                <w:rFonts w:hint="default" w:ascii="Times New Roman" w:hAnsi="Times New Roman" w:eastAsia="宋体" w:cs="Times New Roman"/>
                <w:color w:val="auto"/>
                <w:kern w:val="0"/>
                <w:sz w:val="24"/>
                <w:lang w:val="en-US" w:eastAsia="zh-CN"/>
              </w:rPr>
              <w:t>3</w:t>
            </w:r>
            <w:r>
              <w:rPr>
                <w:rFonts w:hint="default" w:ascii="Times New Roman" w:hAnsi="Times New Roman" w:eastAsia="宋体" w:cs="Times New Roman"/>
                <w:color w:val="auto"/>
                <w:kern w:val="0"/>
                <w:sz w:val="24"/>
              </w:rPr>
              <w:t>）</w:t>
            </w:r>
            <w:r>
              <w:rPr>
                <w:rFonts w:hint="default" w:ascii="Times New Roman" w:hAnsi="Times New Roman" w:eastAsia="宋体" w:cs="Times New Roman"/>
                <w:color w:val="auto"/>
              </w:rPr>
              <w:t>工程施工工期</w:t>
            </w:r>
            <w:r>
              <w:rPr>
                <w:rFonts w:hint="eastAsia" w:ascii="Times New Roman" w:hAnsi="Times New Roman" w:cs="Times New Roman"/>
                <w:color w:val="auto"/>
                <w:lang w:val="en-US" w:eastAsia="zh-CN"/>
              </w:rPr>
              <w:t>240天</w:t>
            </w:r>
            <w:r>
              <w:rPr>
                <w:rFonts w:hint="default" w:ascii="Times New Roman" w:hAnsi="Times New Roman" w:eastAsia="宋体" w:cs="Times New Roman"/>
                <w:color w:val="auto"/>
              </w:rPr>
              <w:t>。</w:t>
            </w:r>
          </w:p>
          <w:p w14:paraId="723D1E16">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5</w:t>
            </w:r>
            <w:r>
              <w:rPr>
                <w:rFonts w:hint="default" w:ascii="Times New Roman" w:hAnsi="Times New Roman" w:eastAsia="宋体" w:cs="Times New Roman"/>
                <w:b/>
                <w:color w:val="auto"/>
                <w:sz w:val="24"/>
              </w:rPr>
              <w:t>施工期主要污染工序</w:t>
            </w:r>
          </w:p>
          <w:p w14:paraId="2CFDA0AC">
            <w:pPr>
              <w:autoSpaceDE w:val="0"/>
              <w:autoSpaceDN w:val="0"/>
              <w:spacing w:line="360" w:lineRule="auto"/>
              <w:ind w:firstLine="482" w:firstLineChars="200"/>
              <w:jc w:val="left"/>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lang w:val="en-US" w:eastAsia="zh-CN"/>
              </w:rPr>
              <w:t>5</w:t>
            </w:r>
            <w:r>
              <w:rPr>
                <w:rFonts w:hint="default" w:ascii="Times New Roman" w:hAnsi="Times New Roman" w:eastAsia="宋体" w:cs="Times New Roman"/>
                <w:b/>
                <w:bCs/>
                <w:color w:val="auto"/>
                <w:kern w:val="0"/>
                <w:sz w:val="24"/>
              </w:rPr>
              <w:t>.1生态环境影响因素</w:t>
            </w:r>
          </w:p>
          <w:p w14:paraId="63601B2A">
            <w:pPr>
              <w:autoSpaceDE w:val="0"/>
              <w:autoSpaceDN w:val="0"/>
              <w:spacing w:line="360" w:lineRule="auto"/>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（1）工程施工对植被的影响</w:t>
            </w:r>
          </w:p>
          <w:p w14:paraId="3A7F3996">
            <w:pPr>
              <w:autoSpaceDE w:val="0"/>
              <w:autoSpaceDN w:val="0"/>
              <w:spacing w:line="360" w:lineRule="auto"/>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lang w:val="en-US" w:eastAsia="zh-CN"/>
              </w:rPr>
              <w:t>防渗渠道工程</w:t>
            </w:r>
            <w:r>
              <w:rPr>
                <w:rFonts w:hint="default" w:ascii="Times New Roman" w:hAnsi="Times New Roman" w:eastAsia="宋体" w:cs="Times New Roman"/>
                <w:color w:val="auto"/>
                <w:kern w:val="0"/>
                <w:sz w:val="24"/>
              </w:rPr>
              <w:t>施工活动将破坏占地范围内的地表植被，在一定程度上将导致施工场地地表裸露，降低</w:t>
            </w:r>
            <w:r>
              <w:rPr>
                <w:rFonts w:hint="default" w:ascii="Times New Roman" w:hAnsi="Times New Roman" w:eastAsia="宋体" w:cs="Times New Roman"/>
                <w:color w:val="auto"/>
                <w:kern w:val="0"/>
                <w:sz w:val="24"/>
                <w:lang w:val="en-US" w:eastAsia="zh-CN"/>
              </w:rPr>
              <w:t>施工</w:t>
            </w:r>
            <w:r>
              <w:rPr>
                <w:rFonts w:hint="default" w:ascii="Times New Roman" w:hAnsi="Times New Roman" w:eastAsia="宋体" w:cs="Times New Roman"/>
                <w:color w:val="auto"/>
                <w:kern w:val="0"/>
                <w:sz w:val="24"/>
              </w:rPr>
              <w:t>区域的植被覆盖率，遇到雨季则会引起水土流失。其植被局部空间分布有所改变，但绿地调控环境质量的能力不会有太大的改变。同时，施工机械的进驻、运输车辆的往返等将破坏原有的植被。</w:t>
            </w:r>
          </w:p>
          <w:p w14:paraId="443FA894">
            <w:pPr>
              <w:autoSpaceDE w:val="0"/>
              <w:autoSpaceDN w:val="0"/>
              <w:spacing w:line="360" w:lineRule="auto"/>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（2）工程施工对动物的影响</w:t>
            </w:r>
          </w:p>
          <w:p w14:paraId="34A5F190">
            <w:pPr>
              <w:autoSpaceDE w:val="0"/>
              <w:autoSpaceDN w:val="0"/>
              <w:spacing w:line="360" w:lineRule="auto"/>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lang w:val="en-US" w:eastAsia="zh-CN"/>
              </w:rPr>
              <w:t>防渗渠道工程</w:t>
            </w:r>
            <w:r>
              <w:rPr>
                <w:rFonts w:hint="default" w:ascii="Times New Roman" w:hAnsi="Times New Roman" w:eastAsia="宋体" w:cs="Times New Roman"/>
                <w:color w:val="auto"/>
                <w:kern w:val="0"/>
                <w:sz w:val="24"/>
              </w:rPr>
              <w:t>施工期间，由于运输车辆的增加，土方开挖等各种施工噪声增多，施工造成空气中扬尘增加以及施工人员活动频繁等因素影响，会对施工场地周围的野生动物造成一定的干扰。项目区栖息的野生动物很少，</w:t>
            </w:r>
          </w:p>
          <w:p w14:paraId="296F4227">
            <w:pPr>
              <w:autoSpaceDE w:val="0"/>
              <w:autoSpaceDN w:val="0"/>
              <w:spacing w:line="360" w:lineRule="auto"/>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灌区内鸟类栖息和生存的生境属广布型，这些动物适应能力强，对干扰不敏感。施工结束后，随着原有地貌和植被的恢复，部分野生动物将会迁回此处，工程施工的影响并不大而且是可逆的，因此施工对评价区内动物的影响较小。</w:t>
            </w:r>
          </w:p>
          <w:p w14:paraId="5D633F4F">
            <w:pPr>
              <w:autoSpaceDE w:val="0"/>
              <w:autoSpaceDN w:val="0"/>
              <w:spacing w:line="360" w:lineRule="auto"/>
              <w:ind w:firstLine="482" w:firstLineChars="200"/>
              <w:jc w:val="left"/>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lang w:val="en-US" w:eastAsia="zh-CN"/>
              </w:rPr>
              <w:t>5</w:t>
            </w:r>
            <w:r>
              <w:rPr>
                <w:rFonts w:hint="default" w:ascii="Times New Roman" w:hAnsi="Times New Roman" w:eastAsia="宋体" w:cs="Times New Roman"/>
                <w:b/>
                <w:bCs/>
                <w:color w:val="auto"/>
                <w:kern w:val="0"/>
                <w:sz w:val="24"/>
              </w:rPr>
              <w:t>.2废水</w:t>
            </w:r>
          </w:p>
          <w:p w14:paraId="57ECB9A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rPr>
              <w:t>根据混凝土拌和系统冲洗废水产生量少，间断且短时间排放的特点，每台班末的混凝土拌和系统冲洗废水，排放进入</w:t>
            </w:r>
            <w:r>
              <w:rPr>
                <w:rFonts w:hint="eastAsia" w:ascii="Times New Roman" w:hAnsi="Times New Roman" w:cs="Times New Roman"/>
                <w:color w:val="auto"/>
                <w:sz w:val="24"/>
                <w:szCs w:val="24"/>
                <w:lang w:eastAsia="zh-CN"/>
              </w:rPr>
              <w:t>隔油沉淀</w:t>
            </w:r>
            <w:r>
              <w:rPr>
                <w:rFonts w:hint="default" w:ascii="Times New Roman" w:hAnsi="Times New Roman" w:eastAsia="宋体" w:cs="Times New Roman"/>
                <w:color w:val="auto"/>
                <w:sz w:val="24"/>
                <w:szCs w:val="24"/>
              </w:rPr>
              <w:t>池，静置</w:t>
            </w:r>
            <w:r>
              <w:rPr>
                <w:rFonts w:hint="eastAsia" w:ascii="Times New Roman" w:hAnsi="Times New Roman" w:cs="Times New Roman"/>
                <w:color w:val="auto"/>
                <w:sz w:val="24"/>
                <w:szCs w:val="24"/>
                <w:lang w:eastAsia="zh-CN"/>
              </w:rPr>
              <w:t>隔油沉淀</w:t>
            </w:r>
            <w:r>
              <w:rPr>
                <w:rFonts w:hint="default" w:ascii="Times New Roman" w:hAnsi="Times New Roman" w:eastAsia="宋体" w:cs="Times New Roman"/>
                <w:color w:val="auto"/>
                <w:sz w:val="24"/>
                <w:szCs w:val="24"/>
              </w:rPr>
              <w:t>到下一台班末，</w:t>
            </w:r>
            <w:r>
              <w:rPr>
                <w:rFonts w:hint="eastAsia" w:ascii="Times New Roman" w:hAnsi="Times New Roman" w:cs="Times New Roman"/>
                <w:color w:val="auto"/>
                <w:sz w:val="24"/>
                <w:szCs w:val="24"/>
                <w:lang w:eastAsia="zh-CN"/>
              </w:rPr>
              <w:t>隔油沉淀</w:t>
            </w:r>
            <w:r>
              <w:rPr>
                <w:rFonts w:hint="default" w:ascii="Times New Roman" w:hAnsi="Times New Roman" w:eastAsia="宋体" w:cs="Times New Roman"/>
                <w:color w:val="auto"/>
                <w:sz w:val="24"/>
                <w:szCs w:val="24"/>
              </w:rPr>
              <w:t>时间在6h以上，处理后的废水自流入蓄水池，循环利用于混凝土拌和，不外排。</w:t>
            </w:r>
            <w:r>
              <w:rPr>
                <w:rFonts w:hint="default" w:ascii="Times New Roman" w:hAnsi="Times New Roman" w:eastAsia="宋体" w:cs="Times New Roman"/>
                <w:color w:val="auto"/>
                <w:sz w:val="24"/>
                <w:lang w:eastAsia="zh-CN"/>
              </w:rPr>
              <w:t>施工场地设置临时化粪池，</w:t>
            </w:r>
            <w:r>
              <w:rPr>
                <w:rFonts w:hint="eastAsia" w:ascii="Times New Roman" w:hAnsi="Times New Roman" w:cs="Times New Roman"/>
                <w:color w:val="auto"/>
                <w:sz w:val="24"/>
                <w:lang w:val="en-US" w:eastAsia="zh-CN"/>
              </w:rPr>
              <w:t>生活污水由罐车</w:t>
            </w:r>
            <w:r>
              <w:rPr>
                <w:rFonts w:hint="eastAsia" w:ascii="Times New Roman" w:hAnsi="Times New Roman" w:cs="Times New Roman"/>
                <w:color w:val="auto"/>
                <w:sz w:val="24"/>
                <w:lang w:eastAsia="zh-CN"/>
              </w:rPr>
              <w:t>定期清运至莎车县污水处理厂处理</w:t>
            </w:r>
            <w:r>
              <w:rPr>
                <w:rFonts w:hint="default" w:ascii="Times New Roman" w:hAnsi="Times New Roman" w:eastAsia="宋体" w:cs="Times New Roman"/>
                <w:color w:val="auto"/>
                <w:sz w:val="24"/>
              </w:rPr>
              <w:t>；施工期车辆、机械设备清洗废水经</w:t>
            </w:r>
            <w:r>
              <w:rPr>
                <w:rFonts w:hint="eastAsia" w:ascii="Times New Roman" w:hAnsi="Times New Roman" w:cs="Times New Roman"/>
                <w:color w:val="auto"/>
                <w:sz w:val="24"/>
                <w:lang w:eastAsia="zh-CN"/>
              </w:rPr>
              <w:t>隔油沉淀</w:t>
            </w:r>
            <w:r>
              <w:rPr>
                <w:rFonts w:hint="default" w:ascii="Times New Roman" w:hAnsi="Times New Roman" w:eastAsia="宋体" w:cs="Times New Roman"/>
                <w:color w:val="auto"/>
                <w:sz w:val="24"/>
              </w:rPr>
              <w:t>池处理后</w:t>
            </w:r>
            <w:r>
              <w:rPr>
                <w:rFonts w:hint="default" w:ascii="Times New Roman" w:hAnsi="Times New Roman" w:eastAsia="宋体" w:cs="Times New Roman"/>
                <w:color w:val="auto"/>
                <w:sz w:val="24"/>
                <w:lang w:eastAsia="zh-CN"/>
              </w:rPr>
              <w:t>回用作砼拌和养护用水</w:t>
            </w:r>
            <w:r>
              <w:rPr>
                <w:rFonts w:hint="default" w:ascii="Times New Roman" w:hAnsi="Times New Roman" w:eastAsia="宋体" w:cs="Times New Roman"/>
                <w:color w:val="auto"/>
                <w:sz w:val="24"/>
              </w:rPr>
              <w:t>。</w:t>
            </w:r>
          </w:p>
          <w:p w14:paraId="3DFAA491">
            <w:pPr>
              <w:autoSpaceDE w:val="0"/>
              <w:autoSpaceDN w:val="0"/>
              <w:spacing w:line="360" w:lineRule="auto"/>
              <w:ind w:firstLine="482" w:firstLineChars="200"/>
              <w:jc w:val="left"/>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lang w:val="en-US" w:eastAsia="zh-CN"/>
              </w:rPr>
              <w:t>5</w:t>
            </w:r>
            <w:r>
              <w:rPr>
                <w:rFonts w:hint="default" w:ascii="Times New Roman" w:hAnsi="Times New Roman" w:eastAsia="宋体" w:cs="Times New Roman"/>
                <w:b/>
                <w:bCs/>
                <w:color w:val="auto"/>
                <w:kern w:val="0"/>
                <w:sz w:val="24"/>
              </w:rPr>
              <w:t>.3废气</w:t>
            </w:r>
          </w:p>
          <w:p w14:paraId="55545BDF">
            <w:pPr>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防渗渠道工程</w:t>
            </w:r>
            <w:r>
              <w:rPr>
                <w:rFonts w:hint="default" w:ascii="Times New Roman" w:hAnsi="Times New Roman" w:eastAsia="宋体" w:cs="Times New Roman"/>
                <w:color w:val="auto"/>
                <w:sz w:val="24"/>
              </w:rPr>
              <w:t>施工期大气污染源主要有扬尘、机动车尾气。扬尘主要是基础开挖、土石方回填、装卸作业</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混凝土</w:t>
            </w:r>
            <w:r>
              <w:rPr>
                <w:rFonts w:hint="eastAsia" w:ascii="Times New Roman" w:hAnsi="Times New Roman" w:cs="Times New Roman"/>
                <w:color w:val="auto"/>
                <w:sz w:val="24"/>
                <w:lang w:val="en-US" w:eastAsia="zh-CN"/>
              </w:rPr>
              <w:t>拌和系统</w:t>
            </w:r>
            <w:r>
              <w:rPr>
                <w:rFonts w:hint="default" w:ascii="Times New Roman" w:hAnsi="Times New Roman" w:eastAsia="宋体" w:cs="Times New Roman"/>
                <w:color w:val="auto"/>
                <w:sz w:val="24"/>
              </w:rPr>
              <w:t>和车辆运输等过程产生，其主要污染物为TSP；机动车尾气为燃油施工机械以及运输车辆产生，其主要污染物为SO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、NOx、CO等</w:t>
            </w:r>
            <w:r>
              <w:rPr>
                <w:rFonts w:hint="default" w:ascii="Times New Roman" w:hAnsi="Times New Roman" w:eastAsia="宋体" w:cs="Times New Roman"/>
                <w:color w:val="auto"/>
                <w:kern w:val="0"/>
                <w:sz w:val="24"/>
              </w:rPr>
              <w:t>。</w:t>
            </w:r>
          </w:p>
          <w:p w14:paraId="53E1454C">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（1）扬尘</w:t>
            </w:r>
          </w:p>
          <w:p w14:paraId="066E0CD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施工扬尘污染主要造成大气中TSP值增高，根据类比资料，施工扬尘的起尘量与许多因素有关。影响起尘量的因素包括：基础开挖起尘量、施工渣土堆场起尘量、进出车辆带</w:t>
            </w:r>
            <w:r>
              <w:rPr>
                <w:rFonts w:hint="default" w:ascii="Times New Roman" w:hAnsi="Times New Roman" w:eastAsia="宋体" w:cs="Times New Roman"/>
                <w:color w:val="auto"/>
                <w:sz w:val="24"/>
                <w:lang w:eastAsia="zh-CN"/>
              </w:rPr>
              <w:t>泥沙</w:t>
            </w:r>
            <w:r>
              <w:rPr>
                <w:rFonts w:hint="default" w:ascii="Times New Roman" w:hAnsi="Times New Roman" w:eastAsia="宋体" w:cs="Times New Roman"/>
                <w:color w:val="auto"/>
                <w:sz w:val="24"/>
              </w:rPr>
              <w:t>量、水泥搬运量</w:t>
            </w:r>
            <w:r>
              <w:rPr>
                <w:rFonts w:hint="default" w:ascii="Times New Roman" w:hAnsi="Times New Roman" w:eastAsia="宋体" w:cs="Times New Roman"/>
                <w:color w:val="auto"/>
                <w:sz w:val="24"/>
                <w:lang w:eastAsia="zh-CN"/>
              </w:rPr>
              <w:t>，以及</w:t>
            </w:r>
            <w:r>
              <w:rPr>
                <w:rFonts w:hint="default" w:ascii="Times New Roman" w:hAnsi="Times New Roman" w:eastAsia="宋体" w:cs="Times New Roman"/>
                <w:color w:val="auto"/>
                <w:sz w:val="24"/>
              </w:rPr>
              <w:t>起尘高度、采取的防护措施、空气湿度、风速等。</w:t>
            </w:r>
          </w:p>
          <w:p w14:paraId="49FEC85A">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土石方工程在开挖过程中，不采取任何措施，将会影响沿线200m范围内的大气环境，导致颗粒物浓度值增大；而通过采取防护措施如工程隔挡板、遮盖临时弃土，将会大大降低粉尘的排放。运输车辆产生的扬尘在风力较大、干燥气候条件、连续运输的情况下，运输车辆所经道路下风向距离50m、100m、150m的TSP浓度分别约为：0.45~0.50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，0.35</w:t>
            </w:r>
            <w:r>
              <w:rPr>
                <w:rFonts w:hint="eastAsia" w:ascii="Times New Roman" w:hAnsi="Times New Roman" w:cs="Times New Roman"/>
                <w:color w:val="auto"/>
                <w:sz w:val="24"/>
                <w:lang w:eastAsia="zh-CN"/>
              </w:rPr>
              <w:t>～</w:t>
            </w:r>
            <w:r>
              <w:rPr>
                <w:rFonts w:hint="default" w:ascii="Times New Roman" w:hAnsi="Times New Roman" w:eastAsia="宋体" w:cs="Times New Roman"/>
                <w:color w:val="auto"/>
                <w:sz w:val="24"/>
              </w:rPr>
              <w:t>0.38mg/m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，0.31</w:t>
            </w:r>
            <w:r>
              <w:rPr>
                <w:rFonts w:hint="eastAsia" w:ascii="Times New Roman" w:hAnsi="Times New Roman" w:cs="Times New Roman"/>
                <w:color w:val="auto"/>
                <w:sz w:val="24"/>
                <w:lang w:eastAsia="zh-CN"/>
              </w:rPr>
              <w:t>～</w:t>
            </w:r>
            <w:r>
              <w:rPr>
                <w:rFonts w:hint="default" w:ascii="Times New Roman" w:hAnsi="Times New Roman" w:eastAsia="宋体" w:cs="Times New Roman"/>
                <w:color w:val="auto"/>
                <w:sz w:val="24"/>
              </w:rPr>
              <w:t>0.34mg/m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，超过《环境空气质量标准》（GB3095-2012）日平均二级标准值0.30mg/m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。而一般情况下，施工运输过程中产生的扬尘在自然风作用下所影响的范围在100m以内，施工粉尘可使周围空气中TSP浓度明显升高的影响范围一般为50</w:t>
            </w:r>
            <w:r>
              <w:rPr>
                <w:rFonts w:hint="eastAsia" w:ascii="Times New Roman" w:hAnsi="Times New Roman" w:cs="Times New Roman"/>
                <w:color w:val="auto"/>
                <w:sz w:val="24"/>
                <w:lang w:eastAsia="zh-CN"/>
              </w:rPr>
              <w:t>～</w:t>
            </w:r>
            <w:r>
              <w:rPr>
                <w:rFonts w:hint="default" w:ascii="Times New Roman" w:hAnsi="Times New Roman" w:eastAsia="宋体" w:cs="Times New Roman"/>
                <w:color w:val="auto"/>
                <w:sz w:val="24"/>
              </w:rPr>
              <w:t>100m，在干燥的天气易造成尘土飞扬。</w:t>
            </w:r>
          </w:p>
          <w:p w14:paraId="3B209683">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（2）机动车尾气</w:t>
            </w:r>
          </w:p>
          <w:p w14:paraId="3879986C">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施工燃油机械和运输车辆运作过程中将产生含SO</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、NOx、CO等气体。由于此类废气系无组织流动性排放，废气经稀释扩散后不会对周边空气环境产生明显影响。</w:t>
            </w:r>
          </w:p>
          <w:p w14:paraId="7590BC8B">
            <w:pPr>
              <w:pStyle w:val="113"/>
              <w:ind w:firstLine="480"/>
              <w:rPr>
                <w:rFonts w:hint="default" w:ascii="Times New Roman" w:hAnsi="Times New Roman" w:eastAsia="宋体" w:cs="Times New Roman"/>
                <w:b/>
                <w:bCs/>
                <w:color w:val="auto"/>
                <w:kern w:val="0"/>
              </w:rPr>
            </w:pPr>
            <w:r>
              <w:rPr>
                <w:rFonts w:hint="default" w:ascii="Times New Roman" w:hAnsi="Times New Roman" w:eastAsia="宋体" w:cs="Times New Roman"/>
                <w:b/>
                <w:bCs/>
                <w:color w:val="auto"/>
                <w:kern w:val="0"/>
                <w:lang w:val="en-US" w:eastAsia="zh-CN"/>
              </w:rPr>
              <w:t>5</w:t>
            </w:r>
            <w:r>
              <w:rPr>
                <w:rFonts w:hint="default" w:ascii="Times New Roman" w:hAnsi="Times New Roman" w:eastAsia="宋体" w:cs="Times New Roman"/>
                <w:b/>
                <w:bCs/>
                <w:color w:val="auto"/>
                <w:kern w:val="0"/>
              </w:rPr>
              <w:t>.4噪声</w:t>
            </w:r>
          </w:p>
          <w:p w14:paraId="755CFB53">
            <w:pPr>
              <w:pStyle w:val="113"/>
              <w:ind w:firstLine="480"/>
              <w:rPr>
                <w:rFonts w:hint="default" w:ascii="Times New Roman" w:hAnsi="Times New Roman" w:eastAsia="宋体" w:cs="Times New Roman"/>
                <w:color w:val="auto"/>
                <w:kern w:val="0"/>
              </w:rPr>
            </w:pPr>
            <w:r>
              <w:rPr>
                <w:rFonts w:hint="default" w:ascii="Times New Roman" w:hAnsi="Times New Roman" w:eastAsia="宋体" w:cs="Times New Roman"/>
                <w:color w:val="auto"/>
              </w:rPr>
              <w:t>施工期间因施工活动产生的噪声主要来自施工机械噪声及施工开挖等施工作业噪声和运输车辆噪声。施工机械噪声由施工机械产生，如推土机、挖掘机、装卸机和运输车辆等。施工作业噪声主要来自施工开挖、运输、混凝土拌合等施工活动。</w:t>
            </w:r>
            <w:r>
              <w:rPr>
                <w:rFonts w:hint="default" w:ascii="Times New Roman" w:hAnsi="Times New Roman" w:eastAsia="宋体" w:cs="Times New Roman"/>
                <w:color w:val="auto"/>
                <w:kern w:val="0"/>
              </w:rPr>
              <w:t>噪声级为</w:t>
            </w:r>
            <w:r>
              <w:rPr>
                <w:rFonts w:hint="default" w:ascii="Times New Roman" w:hAnsi="Times New Roman" w:eastAsia="宋体" w:cs="Times New Roman"/>
                <w:color w:val="auto"/>
                <w:kern w:val="0"/>
                <w:lang w:val="en-US" w:eastAsia="zh-CN"/>
              </w:rPr>
              <w:t>85</w:t>
            </w:r>
            <w:r>
              <w:rPr>
                <w:rFonts w:hint="default" w:ascii="Times New Roman" w:hAnsi="Times New Roman" w:eastAsia="宋体" w:cs="Times New Roman"/>
                <w:color w:val="auto"/>
                <w:kern w:val="0"/>
              </w:rPr>
              <w:t>～</w:t>
            </w:r>
            <w:r>
              <w:rPr>
                <w:rFonts w:hint="default" w:ascii="Times New Roman" w:hAnsi="Times New Roman" w:eastAsia="宋体" w:cs="Times New Roman"/>
                <w:color w:val="auto"/>
                <w:kern w:val="0"/>
                <w:lang w:val="en-US" w:eastAsia="zh-CN"/>
              </w:rPr>
              <w:t>102</w:t>
            </w:r>
            <w:r>
              <w:rPr>
                <w:rFonts w:hint="default" w:ascii="Times New Roman" w:hAnsi="Times New Roman" w:eastAsia="宋体" w:cs="Times New Roman"/>
                <w:color w:val="auto"/>
                <w:kern w:val="0"/>
              </w:rPr>
              <w:t>dB（A）。</w:t>
            </w:r>
          </w:p>
          <w:p w14:paraId="35E73AC7">
            <w:pPr>
              <w:jc w:val="center"/>
              <w:rPr>
                <w:rFonts w:hint="default" w:ascii="Times New Roman" w:hAnsi="Times New Roman" w:eastAsia="宋体" w:cs="Times New Roman"/>
                <w:b/>
                <w:color w:val="auto"/>
                <w:szCs w:val="21"/>
                <w:lang w:eastAsia="zh-CN"/>
              </w:rPr>
            </w:pPr>
            <w:r>
              <w:rPr>
                <w:rFonts w:hint="default" w:ascii="Times New Roman" w:hAnsi="Times New Roman" w:eastAsia="宋体" w:cs="Times New Roman"/>
                <w:b/>
                <w:color w:val="auto"/>
                <w:szCs w:val="21"/>
              </w:rPr>
              <w:t>表</w:t>
            </w:r>
            <w:r>
              <w:rPr>
                <w:rFonts w:hint="default" w:ascii="Times New Roman" w:hAnsi="Times New Roman" w:eastAsia="宋体" w:cs="Times New Roman"/>
                <w:b/>
                <w:color w:val="auto"/>
                <w:szCs w:val="21"/>
                <w:lang w:val="en-US" w:eastAsia="zh-CN"/>
              </w:rPr>
              <w:t>2-</w:t>
            </w:r>
            <w:r>
              <w:rPr>
                <w:rFonts w:hint="eastAsia" w:ascii="Times New Roman" w:hAnsi="Times New Roman" w:cs="Times New Roman"/>
                <w:b/>
                <w:color w:val="auto"/>
                <w:szCs w:val="21"/>
                <w:lang w:val="en-US" w:eastAsia="zh-CN"/>
              </w:rPr>
              <w:t>9</w:t>
            </w:r>
            <w:r>
              <w:rPr>
                <w:rFonts w:hint="default" w:ascii="Times New Roman" w:hAnsi="Times New Roman" w:eastAsia="宋体" w:cs="Times New Roman"/>
                <w:b/>
                <w:color w:val="auto"/>
                <w:szCs w:val="21"/>
                <w:lang w:val="en-US" w:eastAsia="zh-CN"/>
              </w:rPr>
              <w:t xml:space="preserve"> </w:t>
            </w:r>
            <w:r>
              <w:rPr>
                <w:rFonts w:hint="default" w:ascii="Times New Roman" w:hAnsi="Times New Roman" w:eastAsia="宋体" w:cs="Times New Roman"/>
                <w:b/>
                <w:color w:val="auto"/>
                <w:szCs w:val="21"/>
              </w:rPr>
              <w:t>项目主要施工机械在不同距离处的噪声预测值</w:t>
            </w:r>
            <w:r>
              <w:rPr>
                <w:rFonts w:hint="default" w:ascii="Times New Roman" w:hAnsi="Times New Roman" w:eastAsia="宋体" w:cs="Times New Roman"/>
                <w:b/>
                <w:color w:val="auto"/>
                <w:szCs w:val="21"/>
                <w:lang w:val="en-US" w:eastAsia="zh-CN"/>
              </w:rPr>
              <w:t>单位：</w:t>
            </w:r>
            <w:r>
              <w:rPr>
                <w:rFonts w:hint="default" w:ascii="Times New Roman" w:hAnsi="Times New Roman" w:eastAsia="宋体" w:cs="Times New Roman"/>
                <w:b/>
                <w:color w:val="auto"/>
                <w:szCs w:val="21"/>
              </w:rPr>
              <w:t>dB</w:t>
            </w:r>
            <w:r>
              <w:rPr>
                <w:rFonts w:hint="default" w:ascii="Times New Roman" w:hAnsi="Times New Roman" w:eastAsia="宋体" w:cs="Times New Roman"/>
                <w:b/>
                <w:color w:val="auto"/>
                <w:szCs w:val="21"/>
                <w:lang w:eastAsia="zh-CN"/>
              </w:rPr>
              <w:t>（</w:t>
            </w:r>
            <w:r>
              <w:rPr>
                <w:rFonts w:hint="default" w:ascii="Times New Roman" w:hAnsi="Times New Roman" w:eastAsia="宋体" w:cs="Times New Roman"/>
                <w:b/>
                <w:color w:val="auto"/>
                <w:szCs w:val="21"/>
              </w:rPr>
              <w:t>A</w:t>
            </w:r>
            <w:r>
              <w:rPr>
                <w:rFonts w:hint="default" w:ascii="Times New Roman" w:hAnsi="Times New Roman" w:eastAsia="宋体" w:cs="Times New Roman"/>
                <w:b/>
                <w:color w:val="auto"/>
                <w:szCs w:val="21"/>
                <w:lang w:eastAsia="zh-CN"/>
              </w:rPr>
              <w:t>）</w:t>
            </w:r>
          </w:p>
          <w:tbl>
            <w:tblPr>
              <w:tblStyle w:val="33"/>
              <w:tblW w:w="813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60"/>
              <w:gridCol w:w="1016"/>
              <w:gridCol w:w="723"/>
              <w:gridCol w:w="802"/>
              <w:gridCol w:w="1089"/>
              <w:gridCol w:w="822"/>
              <w:gridCol w:w="955"/>
              <w:gridCol w:w="1363"/>
            </w:tblGrid>
            <w:tr w14:paraId="4BBD71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360" w:type="dxa"/>
                  <w:vMerge w:val="restart"/>
                  <w:tcBorders>
                    <w:top w:val="single" w:color="auto" w:sz="6" w:space="0"/>
                    <w:left w:val="single" w:color="auto" w:sz="6" w:space="0"/>
                    <w:bottom w:val="single" w:color="auto" w:sz="6" w:space="0"/>
                    <w:right w:val="single" w:color="auto" w:sz="6" w:space="0"/>
                  </w:tcBorders>
                  <w:vAlign w:val="center"/>
                </w:tcPr>
                <w:p w14:paraId="3157A2D3">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声源</w:t>
                  </w:r>
                </w:p>
              </w:tc>
              <w:tc>
                <w:tcPr>
                  <w:tcW w:w="1016" w:type="dxa"/>
                  <w:vMerge w:val="restart"/>
                  <w:tcBorders>
                    <w:top w:val="single" w:color="auto" w:sz="6" w:space="0"/>
                    <w:left w:val="nil"/>
                    <w:bottom w:val="single" w:color="auto" w:sz="6" w:space="0"/>
                    <w:right w:val="single" w:color="auto" w:sz="6" w:space="0"/>
                  </w:tcBorders>
                </w:tcPr>
                <w:p w14:paraId="2F71FA43">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噪声值</w:t>
                  </w:r>
                </w:p>
                <w:p w14:paraId="4383E34E">
                  <w:pPr>
                    <w:pStyle w:val="111"/>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峰值</w:t>
                  </w:r>
                  <w:r>
                    <w:rPr>
                      <w:rFonts w:hint="default" w:ascii="Times New Roman" w:hAnsi="Times New Roman" w:eastAsia="宋体" w:cs="Times New Roman"/>
                      <w:color w:val="auto"/>
                      <w:lang w:eastAsia="zh-CN"/>
                    </w:rPr>
                    <w:t>）</w:t>
                  </w:r>
                </w:p>
              </w:tc>
              <w:tc>
                <w:tcPr>
                  <w:tcW w:w="5754" w:type="dxa"/>
                  <w:gridSpan w:val="6"/>
                  <w:tcBorders>
                    <w:top w:val="single" w:color="auto" w:sz="6" w:space="0"/>
                    <w:left w:val="nil"/>
                    <w:bottom w:val="single" w:color="auto" w:sz="6" w:space="0"/>
                    <w:right w:val="single" w:color="auto" w:sz="6" w:space="0"/>
                  </w:tcBorders>
                  <w:vAlign w:val="center"/>
                </w:tcPr>
                <w:p w14:paraId="04FD0355">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距声源不同距离（m）的噪声值</w:t>
                  </w:r>
                </w:p>
              </w:tc>
            </w:tr>
            <w:tr w14:paraId="52AF24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360" w:type="dxa"/>
                  <w:vMerge w:val="continue"/>
                  <w:tcBorders>
                    <w:top w:val="single" w:color="auto" w:sz="6" w:space="0"/>
                    <w:left w:val="single" w:color="auto" w:sz="6" w:space="0"/>
                    <w:bottom w:val="single" w:color="auto" w:sz="6" w:space="0"/>
                    <w:right w:val="single" w:color="auto" w:sz="6" w:space="0"/>
                  </w:tcBorders>
                  <w:vAlign w:val="center"/>
                </w:tcPr>
                <w:p w14:paraId="6A113D97">
                  <w:pPr>
                    <w:widowControl/>
                    <w:jc w:val="left"/>
                    <w:rPr>
                      <w:rFonts w:hint="default" w:ascii="Times New Roman" w:hAnsi="Times New Roman" w:eastAsia="宋体" w:cs="Times New Roman"/>
                      <w:color w:val="auto"/>
                      <w:kern w:val="0"/>
                      <w:szCs w:val="21"/>
                    </w:rPr>
                  </w:pPr>
                </w:p>
              </w:tc>
              <w:tc>
                <w:tcPr>
                  <w:tcW w:w="1016" w:type="dxa"/>
                  <w:vMerge w:val="continue"/>
                  <w:tcBorders>
                    <w:top w:val="single" w:color="auto" w:sz="6" w:space="0"/>
                    <w:left w:val="nil"/>
                    <w:bottom w:val="single" w:color="auto" w:sz="6" w:space="0"/>
                    <w:right w:val="single" w:color="auto" w:sz="6" w:space="0"/>
                  </w:tcBorders>
                  <w:vAlign w:val="center"/>
                </w:tcPr>
                <w:p w14:paraId="04A6133C">
                  <w:pPr>
                    <w:widowControl/>
                    <w:jc w:val="left"/>
                    <w:rPr>
                      <w:rFonts w:hint="default" w:ascii="Times New Roman" w:hAnsi="Times New Roman" w:eastAsia="宋体" w:cs="Times New Roman"/>
                      <w:color w:val="auto"/>
                      <w:kern w:val="0"/>
                      <w:szCs w:val="21"/>
                    </w:rPr>
                  </w:pPr>
                </w:p>
              </w:tc>
              <w:tc>
                <w:tcPr>
                  <w:tcW w:w="723" w:type="dxa"/>
                  <w:tcBorders>
                    <w:top w:val="single" w:color="auto" w:sz="6" w:space="0"/>
                    <w:left w:val="nil"/>
                    <w:bottom w:val="single" w:color="auto" w:sz="6" w:space="0"/>
                    <w:right w:val="single" w:color="auto" w:sz="6" w:space="0"/>
                  </w:tcBorders>
                  <w:vAlign w:val="center"/>
                </w:tcPr>
                <w:p w14:paraId="7572DACE">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8</w:t>
                  </w:r>
                </w:p>
              </w:tc>
              <w:tc>
                <w:tcPr>
                  <w:tcW w:w="802" w:type="dxa"/>
                  <w:tcBorders>
                    <w:top w:val="single" w:color="auto" w:sz="6" w:space="0"/>
                    <w:left w:val="nil"/>
                    <w:bottom w:val="single" w:color="auto" w:sz="6" w:space="0"/>
                    <w:right w:val="single" w:color="auto" w:sz="6" w:space="0"/>
                  </w:tcBorders>
                  <w:vAlign w:val="center"/>
                </w:tcPr>
                <w:p w14:paraId="0F4315B4">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15</w:t>
                  </w:r>
                </w:p>
              </w:tc>
              <w:tc>
                <w:tcPr>
                  <w:tcW w:w="1089" w:type="dxa"/>
                  <w:tcBorders>
                    <w:top w:val="single" w:color="auto" w:sz="6" w:space="0"/>
                    <w:left w:val="nil"/>
                    <w:bottom w:val="single" w:color="auto" w:sz="6" w:space="0"/>
                    <w:right w:val="single" w:color="auto" w:sz="6" w:space="0"/>
                  </w:tcBorders>
                  <w:vAlign w:val="center"/>
                </w:tcPr>
                <w:p w14:paraId="54D8F1B3">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30</w:t>
                  </w:r>
                </w:p>
              </w:tc>
              <w:tc>
                <w:tcPr>
                  <w:tcW w:w="822" w:type="dxa"/>
                  <w:tcBorders>
                    <w:top w:val="single" w:color="auto" w:sz="6" w:space="0"/>
                    <w:left w:val="nil"/>
                    <w:bottom w:val="single" w:color="auto" w:sz="6" w:space="0"/>
                    <w:right w:val="single" w:color="auto" w:sz="6" w:space="0"/>
                  </w:tcBorders>
                  <w:vAlign w:val="center"/>
                </w:tcPr>
                <w:p w14:paraId="6A457EAB">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60</w:t>
                  </w:r>
                </w:p>
              </w:tc>
              <w:tc>
                <w:tcPr>
                  <w:tcW w:w="955" w:type="dxa"/>
                  <w:tcBorders>
                    <w:top w:val="single" w:color="auto" w:sz="6" w:space="0"/>
                    <w:left w:val="nil"/>
                    <w:bottom w:val="single" w:color="auto" w:sz="6" w:space="0"/>
                    <w:right w:val="single" w:color="auto" w:sz="6" w:space="0"/>
                  </w:tcBorders>
                  <w:vAlign w:val="center"/>
                </w:tcPr>
                <w:p w14:paraId="4CB19B6D">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120</w:t>
                  </w:r>
                </w:p>
              </w:tc>
              <w:tc>
                <w:tcPr>
                  <w:tcW w:w="1363" w:type="dxa"/>
                  <w:tcBorders>
                    <w:top w:val="single" w:color="auto" w:sz="6" w:space="0"/>
                    <w:left w:val="nil"/>
                    <w:bottom w:val="single" w:color="auto" w:sz="6" w:space="0"/>
                    <w:right w:val="single" w:color="auto" w:sz="6" w:space="0"/>
                  </w:tcBorders>
                  <w:vAlign w:val="center"/>
                </w:tcPr>
                <w:p w14:paraId="0F0AF229">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240</w:t>
                  </w:r>
                </w:p>
              </w:tc>
            </w:tr>
            <w:tr w14:paraId="6909C3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360" w:type="dxa"/>
                  <w:tcBorders>
                    <w:top w:val="single" w:color="auto" w:sz="6" w:space="0"/>
                    <w:left w:val="single" w:color="auto" w:sz="6" w:space="0"/>
                    <w:bottom w:val="single" w:color="auto" w:sz="6" w:space="0"/>
                    <w:right w:val="single" w:color="auto" w:sz="6" w:space="0"/>
                  </w:tcBorders>
                  <w:vAlign w:val="center"/>
                </w:tcPr>
                <w:p w14:paraId="37A34A47">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装载机</w:t>
                  </w:r>
                </w:p>
              </w:tc>
              <w:tc>
                <w:tcPr>
                  <w:tcW w:w="1016" w:type="dxa"/>
                  <w:tcBorders>
                    <w:top w:val="single" w:color="auto" w:sz="6" w:space="0"/>
                    <w:left w:val="nil"/>
                    <w:bottom w:val="single" w:color="auto" w:sz="6" w:space="0"/>
                    <w:right w:val="single" w:color="auto" w:sz="6" w:space="0"/>
                  </w:tcBorders>
                </w:tcPr>
                <w:p w14:paraId="5AB5A96A">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100</w:t>
                  </w:r>
                </w:p>
              </w:tc>
              <w:tc>
                <w:tcPr>
                  <w:tcW w:w="723" w:type="dxa"/>
                  <w:tcBorders>
                    <w:top w:val="single" w:color="auto" w:sz="6" w:space="0"/>
                    <w:left w:val="nil"/>
                    <w:bottom w:val="single" w:color="auto" w:sz="6" w:space="0"/>
                    <w:right w:val="single" w:color="auto" w:sz="6" w:space="0"/>
                  </w:tcBorders>
                  <w:vAlign w:val="center"/>
                </w:tcPr>
                <w:p w14:paraId="2074C7DF">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81</w:t>
                  </w:r>
                </w:p>
              </w:tc>
              <w:tc>
                <w:tcPr>
                  <w:tcW w:w="802" w:type="dxa"/>
                  <w:tcBorders>
                    <w:top w:val="single" w:color="auto" w:sz="6" w:space="0"/>
                    <w:left w:val="nil"/>
                    <w:bottom w:val="single" w:color="auto" w:sz="6" w:space="0"/>
                    <w:right w:val="single" w:color="auto" w:sz="6" w:space="0"/>
                  </w:tcBorders>
                  <w:vAlign w:val="center"/>
                </w:tcPr>
                <w:p w14:paraId="3D5121BE">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76</w:t>
                  </w:r>
                </w:p>
              </w:tc>
              <w:tc>
                <w:tcPr>
                  <w:tcW w:w="1089" w:type="dxa"/>
                  <w:tcBorders>
                    <w:top w:val="single" w:color="auto" w:sz="6" w:space="0"/>
                    <w:left w:val="nil"/>
                    <w:bottom w:val="single" w:color="auto" w:sz="6" w:space="0"/>
                    <w:right w:val="single" w:color="auto" w:sz="6" w:space="0"/>
                  </w:tcBorders>
                  <w:vAlign w:val="center"/>
                </w:tcPr>
                <w:p w14:paraId="2AB3C326">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70</w:t>
                  </w:r>
                </w:p>
              </w:tc>
              <w:tc>
                <w:tcPr>
                  <w:tcW w:w="822" w:type="dxa"/>
                  <w:tcBorders>
                    <w:top w:val="single" w:color="auto" w:sz="6" w:space="0"/>
                    <w:left w:val="nil"/>
                    <w:bottom w:val="single" w:color="auto" w:sz="6" w:space="0"/>
                    <w:right w:val="single" w:color="auto" w:sz="6" w:space="0"/>
                  </w:tcBorders>
                  <w:vAlign w:val="center"/>
                </w:tcPr>
                <w:p w14:paraId="102234A0">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64</w:t>
                  </w:r>
                </w:p>
              </w:tc>
              <w:tc>
                <w:tcPr>
                  <w:tcW w:w="955" w:type="dxa"/>
                  <w:tcBorders>
                    <w:top w:val="single" w:color="auto" w:sz="6" w:space="0"/>
                    <w:left w:val="nil"/>
                    <w:bottom w:val="single" w:color="auto" w:sz="6" w:space="0"/>
                    <w:right w:val="single" w:color="auto" w:sz="6" w:space="0"/>
                  </w:tcBorders>
                  <w:vAlign w:val="center"/>
                </w:tcPr>
                <w:p w14:paraId="018185ED">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58</w:t>
                  </w:r>
                </w:p>
              </w:tc>
              <w:tc>
                <w:tcPr>
                  <w:tcW w:w="1363" w:type="dxa"/>
                  <w:tcBorders>
                    <w:top w:val="single" w:color="auto" w:sz="6" w:space="0"/>
                    <w:left w:val="nil"/>
                    <w:bottom w:val="single" w:color="auto" w:sz="6" w:space="0"/>
                    <w:right w:val="single" w:color="auto" w:sz="6" w:space="0"/>
                  </w:tcBorders>
                  <w:vAlign w:val="center"/>
                </w:tcPr>
                <w:p w14:paraId="5F5A400E">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52</w:t>
                  </w:r>
                </w:p>
              </w:tc>
            </w:tr>
            <w:tr w14:paraId="49CFEA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360" w:type="dxa"/>
                  <w:tcBorders>
                    <w:top w:val="single" w:color="auto" w:sz="6" w:space="0"/>
                    <w:left w:val="single" w:color="auto" w:sz="6" w:space="0"/>
                    <w:bottom w:val="single" w:color="auto" w:sz="6" w:space="0"/>
                    <w:right w:val="single" w:color="auto" w:sz="6" w:space="0"/>
                  </w:tcBorders>
                  <w:vAlign w:val="center"/>
                </w:tcPr>
                <w:p w14:paraId="36E4E862">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挖掘机</w:t>
                  </w:r>
                </w:p>
              </w:tc>
              <w:tc>
                <w:tcPr>
                  <w:tcW w:w="1016" w:type="dxa"/>
                  <w:tcBorders>
                    <w:top w:val="single" w:color="auto" w:sz="6" w:space="0"/>
                    <w:left w:val="nil"/>
                    <w:bottom w:val="single" w:color="auto" w:sz="6" w:space="0"/>
                    <w:right w:val="single" w:color="auto" w:sz="6" w:space="0"/>
                  </w:tcBorders>
                </w:tcPr>
                <w:p w14:paraId="5D8452EA">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96</w:t>
                  </w:r>
                </w:p>
              </w:tc>
              <w:tc>
                <w:tcPr>
                  <w:tcW w:w="723" w:type="dxa"/>
                  <w:tcBorders>
                    <w:top w:val="single" w:color="auto" w:sz="6" w:space="0"/>
                    <w:left w:val="nil"/>
                    <w:bottom w:val="single" w:color="auto" w:sz="6" w:space="0"/>
                    <w:right w:val="single" w:color="auto" w:sz="6" w:space="0"/>
                  </w:tcBorders>
                  <w:vAlign w:val="center"/>
                </w:tcPr>
                <w:p w14:paraId="27D15A56">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77</w:t>
                  </w:r>
                </w:p>
              </w:tc>
              <w:tc>
                <w:tcPr>
                  <w:tcW w:w="802" w:type="dxa"/>
                  <w:tcBorders>
                    <w:top w:val="single" w:color="auto" w:sz="6" w:space="0"/>
                    <w:left w:val="nil"/>
                    <w:bottom w:val="single" w:color="auto" w:sz="6" w:space="0"/>
                    <w:right w:val="single" w:color="auto" w:sz="6" w:space="0"/>
                  </w:tcBorders>
                  <w:vAlign w:val="center"/>
                </w:tcPr>
                <w:p w14:paraId="43481221">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72</w:t>
                  </w:r>
                </w:p>
              </w:tc>
              <w:tc>
                <w:tcPr>
                  <w:tcW w:w="1089" w:type="dxa"/>
                  <w:tcBorders>
                    <w:top w:val="single" w:color="auto" w:sz="6" w:space="0"/>
                    <w:left w:val="nil"/>
                    <w:bottom w:val="single" w:color="auto" w:sz="6" w:space="0"/>
                    <w:right w:val="single" w:color="auto" w:sz="6" w:space="0"/>
                  </w:tcBorders>
                  <w:vAlign w:val="center"/>
                </w:tcPr>
                <w:p w14:paraId="467AA811">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66</w:t>
                  </w:r>
                </w:p>
              </w:tc>
              <w:tc>
                <w:tcPr>
                  <w:tcW w:w="822" w:type="dxa"/>
                  <w:tcBorders>
                    <w:top w:val="single" w:color="auto" w:sz="6" w:space="0"/>
                    <w:left w:val="nil"/>
                    <w:bottom w:val="single" w:color="auto" w:sz="6" w:space="0"/>
                    <w:right w:val="single" w:color="auto" w:sz="6" w:space="0"/>
                  </w:tcBorders>
                  <w:vAlign w:val="center"/>
                </w:tcPr>
                <w:p w14:paraId="23D0965E">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60</w:t>
                  </w:r>
                </w:p>
              </w:tc>
              <w:tc>
                <w:tcPr>
                  <w:tcW w:w="955" w:type="dxa"/>
                  <w:tcBorders>
                    <w:top w:val="single" w:color="auto" w:sz="6" w:space="0"/>
                    <w:left w:val="nil"/>
                    <w:bottom w:val="single" w:color="auto" w:sz="6" w:space="0"/>
                    <w:right w:val="single" w:color="auto" w:sz="6" w:space="0"/>
                  </w:tcBorders>
                  <w:vAlign w:val="center"/>
                </w:tcPr>
                <w:p w14:paraId="2D91AA16">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54</w:t>
                  </w:r>
                </w:p>
              </w:tc>
              <w:tc>
                <w:tcPr>
                  <w:tcW w:w="1363" w:type="dxa"/>
                  <w:tcBorders>
                    <w:top w:val="single" w:color="auto" w:sz="6" w:space="0"/>
                    <w:left w:val="nil"/>
                    <w:bottom w:val="single" w:color="auto" w:sz="6" w:space="0"/>
                    <w:right w:val="single" w:color="auto" w:sz="6" w:space="0"/>
                  </w:tcBorders>
                  <w:vAlign w:val="center"/>
                </w:tcPr>
                <w:p w14:paraId="77A63CC2">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48</w:t>
                  </w:r>
                </w:p>
              </w:tc>
            </w:tr>
            <w:tr w14:paraId="5A5B85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360" w:type="dxa"/>
                  <w:tcBorders>
                    <w:top w:val="single" w:color="auto" w:sz="6" w:space="0"/>
                    <w:left w:val="single" w:color="auto" w:sz="6" w:space="0"/>
                    <w:bottom w:val="single" w:color="auto" w:sz="6" w:space="0"/>
                    <w:right w:val="single" w:color="auto" w:sz="6" w:space="0"/>
                  </w:tcBorders>
                  <w:vAlign w:val="center"/>
                </w:tcPr>
                <w:p w14:paraId="1FF936FB">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推土机</w:t>
                  </w:r>
                </w:p>
              </w:tc>
              <w:tc>
                <w:tcPr>
                  <w:tcW w:w="1016" w:type="dxa"/>
                  <w:tcBorders>
                    <w:top w:val="single" w:color="auto" w:sz="6" w:space="0"/>
                    <w:left w:val="nil"/>
                    <w:bottom w:val="single" w:color="auto" w:sz="6" w:space="0"/>
                    <w:right w:val="single" w:color="auto" w:sz="6" w:space="0"/>
                  </w:tcBorders>
                </w:tcPr>
                <w:p w14:paraId="67299926">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102</w:t>
                  </w:r>
                </w:p>
              </w:tc>
              <w:tc>
                <w:tcPr>
                  <w:tcW w:w="723" w:type="dxa"/>
                  <w:tcBorders>
                    <w:top w:val="single" w:color="auto" w:sz="6" w:space="0"/>
                    <w:left w:val="nil"/>
                    <w:bottom w:val="single" w:color="auto" w:sz="6" w:space="0"/>
                    <w:right w:val="single" w:color="auto" w:sz="6" w:space="0"/>
                  </w:tcBorders>
                  <w:vAlign w:val="center"/>
                </w:tcPr>
                <w:p w14:paraId="1AC6234F">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83</w:t>
                  </w:r>
                </w:p>
              </w:tc>
              <w:tc>
                <w:tcPr>
                  <w:tcW w:w="802" w:type="dxa"/>
                  <w:tcBorders>
                    <w:top w:val="single" w:color="auto" w:sz="6" w:space="0"/>
                    <w:left w:val="nil"/>
                    <w:bottom w:val="single" w:color="auto" w:sz="6" w:space="0"/>
                    <w:right w:val="single" w:color="auto" w:sz="6" w:space="0"/>
                  </w:tcBorders>
                  <w:vAlign w:val="center"/>
                </w:tcPr>
                <w:p w14:paraId="4F6D8ECD">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78</w:t>
                  </w:r>
                </w:p>
              </w:tc>
              <w:tc>
                <w:tcPr>
                  <w:tcW w:w="1089" w:type="dxa"/>
                  <w:tcBorders>
                    <w:top w:val="single" w:color="auto" w:sz="6" w:space="0"/>
                    <w:left w:val="nil"/>
                    <w:bottom w:val="single" w:color="auto" w:sz="6" w:space="0"/>
                    <w:right w:val="single" w:color="auto" w:sz="6" w:space="0"/>
                  </w:tcBorders>
                  <w:vAlign w:val="center"/>
                </w:tcPr>
                <w:p w14:paraId="1217CA4D">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72</w:t>
                  </w:r>
                </w:p>
              </w:tc>
              <w:tc>
                <w:tcPr>
                  <w:tcW w:w="822" w:type="dxa"/>
                  <w:tcBorders>
                    <w:top w:val="single" w:color="auto" w:sz="6" w:space="0"/>
                    <w:left w:val="nil"/>
                    <w:bottom w:val="single" w:color="auto" w:sz="6" w:space="0"/>
                    <w:right w:val="single" w:color="auto" w:sz="6" w:space="0"/>
                  </w:tcBorders>
                  <w:vAlign w:val="center"/>
                </w:tcPr>
                <w:p w14:paraId="4E4194C0">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66</w:t>
                  </w:r>
                </w:p>
              </w:tc>
              <w:tc>
                <w:tcPr>
                  <w:tcW w:w="955" w:type="dxa"/>
                  <w:tcBorders>
                    <w:top w:val="single" w:color="auto" w:sz="6" w:space="0"/>
                    <w:left w:val="nil"/>
                    <w:bottom w:val="single" w:color="auto" w:sz="6" w:space="0"/>
                    <w:right w:val="single" w:color="auto" w:sz="6" w:space="0"/>
                  </w:tcBorders>
                  <w:vAlign w:val="center"/>
                </w:tcPr>
                <w:p w14:paraId="65C0489D">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60</w:t>
                  </w:r>
                </w:p>
              </w:tc>
              <w:tc>
                <w:tcPr>
                  <w:tcW w:w="1363" w:type="dxa"/>
                  <w:tcBorders>
                    <w:top w:val="single" w:color="auto" w:sz="6" w:space="0"/>
                    <w:left w:val="nil"/>
                    <w:bottom w:val="single" w:color="auto" w:sz="6" w:space="0"/>
                    <w:right w:val="single" w:color="auto" w:sz="6" w:space="0"/>
                  </w:tcBorders>
                  <w:vAlign w:val="center"/>
                </w:tcPr>
                <w:p w14:paraId="4ABA214A">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54</w:t>
                  </w:r>
                </w:p>
              </w:tc>
            </w:tr>
            <w:tr w14:paraId="44BED1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360" w:type="dxa"/>
                  <w:tcBorders>
                    <w:top w:val="single" w:color="auto" w:sz="6" w:space="0"/>
                    <w:left w:val="single" w:color="auto" w:sz="6" w:space="0"/>
                    <w:bottom w:val="single" w:color="auto" w:sz="6" w:space="0"/>
                    <w:right w:val="single" w:color="auto" w:sz="6" w:space="0"/>
                  </w:tcBorders>
                  <w:vAlign w:val="center"/>
                </w:tcPr>
                <w:p w14:paraId="342E5DCB">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搅拌机</w:t>
                  </w:r>
                </w:p>
              </w:tc>
              <w:tc>
                <w:tcPr>
                  <w:tcW w:w="1016" w:type="dxa"/>
                  <w:tcBorders>
                    <w:top w:val="single" w:color="auto" w:sz="6" w:space="0"/>
                    <w:left w:val="nil"/>
                    <w:bottom w:val="single" w:color="auto" w:sz="6" w:space="0"/>
                    <w:right w:val="single" w:color="auto" w:sz="6" w:space="0"/>
                  </w:tcBorders>
                </w:tcPr>
                <w:p w14:paraId="42172DFA">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95</w:t>
                  </w:r>
                </w:p>
              </w:tc>
              <w:tc>
                <w:tcPr>
                  <w:tcW w:w="723" w:type="dxa"/>
                  <w:tcBorders>
                    <w:top w:val="single" w:color="auto" w:sz="6" w:space="0"/>
                    <w:left w:val="nil"/>
                    <w:bottom w:val="single" w:color="auto" w:sz="6" w:space="0"/>
                    <w:right w:val="single" w:color="auto" w:sz="6" w:space="0"/>
                  </w:tcBorders>
                  <w:vAlign w:val="center"/>
                </w:tcPr>
                <w:p w14:paraId="0254CADE">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77</w:t>
                  </w:r>
                </w:p>
              </w:tc>
              <w:tc>
                <w:tcPr>
                  <w:tcW w:w="802" w:type="dxa"/>
                  <w:tcBorders>
                    <w:top w:val="single" w:color="auto" w:sz="6" w:space="0"/>
                    <w:left w:val="nil"/>
                    <w:bottom w:val="single" w:color="auto" w:sz="6" w:space="0"/>
                    <w:right w:val="single" w:color="auto" w:sz="6" w:space="0"/>
                  </w:tcBorders>
                  <w:vAlign w:val="center"/>
                </w:tcPr>
                <w:p w14:paraId="716B67C3">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71</w:t>
                  </w:r>
                </w:p>
              </w:tc>
              <w:tc>
                <w:tcPr>
                  <w:tcW w:w="1089" w:type="dxa"/>
                  <w:tcBorders>
                    <w:top w:val="single" w:color="auto" w:sz="6" w:space="0"/>
                    <w:left w:val="nil"/>
                    <w:bottom w:val="single" w:color="auto" w:sz="6" w:space="0"/>
                    <w:right w:val="single" w:color="auto" w:sz="6" w:space="0"/>
                  </w:tcBorders>
                  <w:vAlign w:val="center"/>
                </w:tcPr>
                <w:p w14:paraId="04EA5000">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65</w:t>
                  </w:r>
                </w:p>
              </w:tc>
              <w:tc>
                <w:tcPr>
                  <w:tcW w:w="822" w:type="dxa"/>
                  <w:tcBorders>
                    <w:top w:val="single" w:color="auto" w:sz="6" w:space="0"/>
                    <w:left w:val="nil"/>
                    <w:bottom w:val="single" w:color="auto" w:sz="6" w:space="0"/>
                    <w:right w:val="single" w:color="auto" w:sz="6" w:space="0"/>
                  </w:tcBorders>
                  <w:vAlign w:val="center"/>
                </w:tcPr>
                <w:p w14:paraId="36F154B1">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59</w:t>
                  </w:r>
                </w:p>
              </w:tc>
              <w:tc>
                <w:tcPr>
                  <w:tcW w:w="955" w:type="dxa"/>
                  <w:tcBorders>
                    <w:top w:val="single" w:color="auto" w:sz="6" w:space="0"/>
                    <w:left w:val="nil"/>
                    <w:bottom w:val="single" w:color="auto" w:sz="6" w:space="0"/>
                    <w:right w:val="single" w:color="auto" w:sz="6" w:space="0"/>
                  </w:tcBorders>
                  <w:vAlign w:val="center"/>
                </w:tcPr>
                <w:p w14:paraId="3724DEC8">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53</w:t>
                  </w:r>
                </w:p>
              </w:tc>
              <w:tc>
                <w:tcPr>
                  <w:tcW w:w="1363" w:type="dxa"/>
                  <w:tcBorders>
                    <w:top w:val="single" w:color="auto" w:sz="6" w:space="0"/>
                    <w:left w:val="nil"/>
                    <w:bottom w:val="single" w:color="auto" w:sz="6" w:space="0"/>
                    <w:right w:val="single" w:color="auto" w:sz="6" w:space="0"/>
                  </w:tcBorders>
                  <w:vAlign w:val="center"/>
                </w:tcPr>
                <w:p w14:paraId="37CFFB92">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47</w:t>
                  </w:r>
                </w:p>
              </w:tc>
            </w:tr>
            <w:tr w14:paraId="11259D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360" w:type="dxa"/>
                  <w:tcBorders>
                    <w:top w:val="single" w:color="auto" w:sz="6" w:space="0"/>
                    <w:left w:val="single" w:color="auto" w:sz="6" w:space="0"/>
                    <w:bottom w:val="single" w:color="auto" w:sz="6" w:space="0"/>
                    <w:right w:val="single" w:color="auto" w:sz="6" w:space="0"/>
                  </w:tcBorders>
                  <w:vAlign w:val="center"/>
                </w:tcPr>
                <w:p w14:paraId="7B76347A">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振动碾</w:t>
                  </w:r>
                </w:p>
              </w:tc>
              <w:tc>
                <w:tcPr>
                  <w:tcW w:w="1016" w:type="dxa"/>
                  <w:tcBorders>
                    <w:top w:val="single" w:color="auto" w:sz="6" w:space="0"/>
                    <w:left w:val="nil"/>
                    <w:bottom w:val="single" w:color="auto" w:sz="6" w:space="0"/>
                    <w:right w:val="single" w:color="auto" w:sz="6" w:space="0"/>
                  </w:tcBorders>
                </w:tcPr>
                <w:p w14:paraId="1576323A">
                  <w:pPr>
                    <w:pStyle w:val="11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95</w:t>
                  </w:r>
                </w:p>
              </w:tc>
              <w:tc>
                <w:tcPr>
                  <w:tcW w:w="723" w:type="dxa"/>
                  <w:tcBorders>
                    <w:top w:val="single" w:color="auto" w:sz="6" w:space="0"/>
                    <w:left w:val="nil"/>
                    <w:bottom w:val="single" w:color="auto" w:sz="6" w:space="0"/>
                    <w:right w:val="single" w:color="auto" w:sz="6" w:space="0"/>
                  </w:tcBorders>
                  <w:vAlign w:val="center"/>
                </w:tcPr>
                <w:p w14:paraId="59AFA31F">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77</w:t>
                  </w:r>
                </w:p>
              </w:tc>
              <w:tc>
                <w:tcPr>
                  <w:tcW w:w="802" w:type="dxa"/>
                  <w:tcBorders>
                    <w:top w:val="single" w:color="auto" w:sz="6" w:space="0"/>
                    <w:left w:val="nil"/>
                    <w:bottom w:val="single" w:color="auto" w:sz="6" w:space="0"/>
                    <w:right w:val="single" w:color="auto" w:sz="6" w:space="0"/>
                  </w:tcBorders>
                  <w:vAlign w:val="center"/>
                </w:tcPr>
                <w:p w14:paraId="17760101">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71</w:t>
                  </w:r>
                </w:p>
              </w:tc>
              <w:tc>
                <w:tcPr>
                  <w:tcW w:w="1089" w:type="dxa"/>
                  <w:tcBorders>
                    <w:top w:val="single" w:color="auto" w:sz="6" w:space="0"/>
                    <w:left w:val="nil"/>
                    <w:bottom w:val="single" w:color="auto" w:sz="6" w:space="0"/>
                    <w:right w:val="single" w:color="auto" w:sz="6" w:space="0"/>
                  </w:tcBorders>
                  <w:vAlign w:val="center"/>
                </w:tcPr>
                <w:p w14:paraId="5D9CAFB8">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65</w:t>
                  </w:r>
                </w:p>
              </w:tc>
              <w:tc>
                <w:tcPr>
                  <w:tcW w:w="822" w:type="dxa"/>
                  <w:tcBorders>
                    <w:top w:val="single" w:color="auto" w:sz="6" w:space="0"/>
                    <w:left w:val="nil"/>
                    <w:bottom w:val="single" w:color="auto" w:sz="6" w:space="0"/>
                    <w:right w:val="single" w:color="auto" w:sz="6" w:space="0"/>
                  </w:tcBorders>
                  <w:vAlign w:val="center"/>
                </w:tcPr>
                <w:p w14:paraId="0A820B5F">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59</w:t>
                  </w:r>
                </w:p>
              </w:tc>
              <w:tc>
                <w:tcPr>
                  <w:tcW w:w="955" w:type="dxa"/>
                  <w:tcBorders>
                    <w:top w:val="single" w:color="auto" w:sz="6" w:space="0"/>
                    <w:left w:val="nil"/>
                    <w:bottom w:val="single" w:color="auto" w:sz="6" w:space="0"/>
                    <w:right w:val="single" w:color="auto" w:sz="6" w:space="0"/>
                  </w:tcBorders>
                  <w:vAlign w:val="center"/>
                </w:tcPr>
                <w:p w14:paraId="3EB19B82">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53</w:t>
                  </w:r>
                </w:p>
              </w:tc>
              <w:tc>
                <w:tcPr>
                  <w:tcW w:w="1363" w:type="dxa"/>
                  <w:tcBorders>
                    <w:top w:val="single" w:color="auto" w:sz="6" w:space="0"/>
                    <w:left w:val="nil"/>
                    <w:bottom w:val="single" w:color="auto" w:sz="6" w:space="0"/>
                    <w:right w:val="single" w:color="auto" w:sz="6" w:space="0"/>
                  </w:tcBorders>
                  <w:vAlign w:val="center"/>
                </w:tcPr>
                <w:p w14:paraId="6FDED111">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47</w:t>
                  </w:r>
                </w:p>
              </w:tc>
            </w:tr>
            <w:tr w14:paraId="589A54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360" w:type="dxa"/>
                  <w:tcBorders>
                    <w:top w:val="single" w:color="auto" w:sz="6" w:space="0"/>
                    <w:left w:val="single" w:color="auto" w:sz="6" w:space="0"/>
                    <w:bottom w:val="single" w:color="auto" w:sz="6" w:space="0"/>
                    <w:right w:val="single" w:color="auto" w:sz="6" w:space="0"/>
                  </w:tcBorders>
                  <w:vAlign w:val="center"/>
                </w:tcPr>
                <w:p w14:paraId="2B750916">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插入式振捣</w:t>
                  </w:r>
                </w:p>
              </w:tc>
              <w:tc>
                <w:tcPr>
                  <w:tcW w:w="1016" w:type="dxa"/>
                  <w:tcBorders>
                    <w:top w:val="single" w:color="auto" w:sz="6" w:space="0"/>
                    <w:left w:val="nil"/>
                    <w:bottom w:val="single" w:color="auto" w:sz="6" w:space="0"/>
                    <w:right w:val="single" w:color="auto" w:sz="6" w:space="0"/>
                  </w:tcBorders>
                </w:tcPr>
                <w:p w14:paraId="71EA6110">
                  <w:pPr>
                    <w:pStyle w:val="11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95</w:t>
                  </w:r>
                </w:p>
              </w:tc>
              <w:tc>
                <w:tcPr>
                  <w:tcW w:w="723" w:type="dxa"/>
                  <w:tcBorders>
                    <w:top w:val="single" w:color="auto" w:sz="6" w:space="0"/>
                    <w:left w:val="nil"/>
                    <w:bottom w:val="single" w:color="auto" w:sz="6" w:space="0"/>
                    <w:right w:val="single" w:color="auto" w:sz="6" w:space="0"/>
                  </w:tcBorders>
                  <w:vAlign w:val="center"/>
                </w:tcPr>
                <w:p w14:paraId="2968A580">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77</w:t>
                  </w:r>
                </w:p>
              </w:tc>
              <w:tc>
                <w:tcPr>
                  <w:tcW w:w="802" w:type="dxa"/>
                  <w:tcBorders>
                    <w:top w:val="single" w:color="auto" w:sz="6" w:space="0"/>
                    <w:left w:val="nil"/>
                    <w:bottom w:val="single" w:color="auto" w:sz="6" w:space="0"/>
                    <w:right w:val="single" w:color="auto" w:sz="6" w:space="0"/>
                  </w:tcBorders>
                  <w:vAlign w:val="center"/>
                </w:tcPr>
                <w:p w14:paraId="7CC3B6CF">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71</w:t>
                  </w:r>
                </w:p>
              </w:tc>
              <w:tc>
                <w:tcPr>
                  <w:tcW w:w="1089" w:type="dxa"/>
                  <w:tcBorders>
                    <w:top w:val="single" w:color="auto" w:sz="6" w:space="0"/>
                    <w:left w:val="nil"/>
                    <w:bottom w:val="single" w:color="auto" w:sz="6" w:space="0"/>
                    <w:right w:val="single" w:color="auto" w:sz="6" w:space="0"/>
                  </w:tcBorders>
                  <w:vAlign w:val="center"/>
                </w:tcPr>
                <w:p w14:paraId="0788FB9F">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65</w:t>
                  </w:r>
                </w:p>
              </w:tc>
              <w:tc>
                <w:tcPr>
                  <w:tcW w:w="822" w:type="dxa"/>
                  <w:tcBorders>
                    <w:top w:val="single" w:color="auto" w:sz="6" w:space="0"/>
                    <w:left w:val="nil"/>
                    <w:bottom w:val="single" w:color="auto" w:sz="6" w:space="0"/>
                    <w:right w:val="single" w:color="auto" w:sz="6" w:space="0"/>
                  </w:tcBorders>
                  <w:vAlign w:val="center"/>
                </w:tcPr>
                <w:p w14:paraId="5AAA3F0D">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59</w:t>
                  </w:r>
                </w:p>
              </w:tc>
              <w:tc>
                <w:tcPr>
                  <w:tcW w:w="955" w:type="dxa"/>
                  <w:tcBorders>
                    <w:top w:val="single" w:color="auto" w:sz="6" w:space="0"/>
                    <w:left w:val="nil"/>
                    <w:bottom w:val="single" w:color="auto" w:sz="6" w:space="0"/>
                    <w:right w:val="single" w:color="auto" w:sz="6" w:space="0"/>
                  </w:tcBorders>
                  <w:vAlign w:val="center"/>
                </w:tcPr>
                <w:p w14:paraId="1D341269">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53</w:t>
                  </w:r>
                </w:p>
              </w:tc>
              <w:tc>
                <w:tcPr>
                  <w:tcW w:w="1363" w:type="dxa"/>
                  <w:tcBorders>
                    <w:top w:val="single" w:color="auto" w:sz="6" w:space="0"/>
                    <w:left w:val="nil"/>
                    <w:bottom w:val="single" w:color="auto" w:sz="6" w:space="0"/>
                    <w:right w:val="single" w:color="auto" w:sz="6" w:space="0"/>
                  </w:tcBorders>
                  <w:vAlign w:val="center"/>
                </w:tcPr>
                <w:p w14:paraId="70CE298B">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47</w:t>
                  </w:r>
                </w:p>
              </w:tc>
            </w:tr>
            <w:tr w14:paraId="5BF499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360" w:type="dxa"/>
                  <w:tcBorders>
                    <w:top w:val="single" w:color="auto" w:sz="6" w:space="0"/>
                    <w:left w:val="single" w:color="auto" w:sz="6" w:space="0"/>
                    <w:bottom w:val="single" w:color="auto" w:sz="6" w:space="0"/>
                    <w:right w:val="single" w:color="auto" w:sz="6" w:space="0"/>
                  </w:tcBorders>
                  <w:vAlign w:val="center"/>
                </w:tcPr>
                <w:p w14:paraId="597E1698">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直流弧焊机</w:t>
                  </w:r>
                </w:p>
              </w:tc>
              <w:tc>
                <w:tcPr>
                  <w:tcW w:w="1016" w:type="dxa"/>
                  <w:tcBorders>
                    <w:top w:val="single" w:color="auto" w:sz="6" w:space="0"/>
                    <w:left w:val="nil"/>
                    <w:bottom w:val="single" w:color="auto" w:sz="6" w:space="0"/>
                    <w:right w:val="single" w:color="auto" w:sz="6" w:space="0"/>
                  </w:tcBorders>
                </w:tcPr>
                <w:p w14:paraId="3775A2DC">
                  <w:pPr>
                    <w:pStyle w:val="11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85</w:t>
                  </w:r>
                </w:p>
              </w:tc>
              <w:tc>
                <w:tcPr>
                  <w:tcW w:w="723" w:type="dxa"/>
                  <w:tcBorders>
                    <w:top w:val="single" w:color="auto" w:sz="6" w:space="0"/>
                    <w:left w:val="nil"/>
                    <w:bottom w:val="single" w:color="auto" w:sz="6" w:space="0"/>
                    <w:right w:val="single" w:color="auto" w:sz="6" w:space="0"/>
                  </w:tcBorders>
                  <w:vAlign w:val="center"/>
                </w:tcPr>
                <w:p w14:paraId="67AD5464">
                  <w:pPr>
                    <w:pStyle w:val="111"/>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7</w:t>
                  </w:r>
                </w:p>
              </w:tc>
              <w:tc>
                <w:tcPr>
                  <w:tcW w:w="802" w:type="dxa"/>
                  <w:tcBorders>
                    <w:top w:val="single" w:color="auto" w:sz="6" w:space="0"/>
                    <w:left w:val="nil"/>
                    <w:bottom w:val="single" w:color="auto" w:sz="6" w:space="0"/>
                    <w:right w:val="single" w:color="auto" w:sz="6" w:space="0"/>
                  </w:tcBorders>
                  <w:vAlign w:val="center"/>
                </w:tcPr>
                <w:p w14:paraId="0C894F23">
                  <w:pPr>
                    <w:pStyle w:val="111"/>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1</w:t>
                  </w:r>
                </w:p>
              </w:tc>
              <w:tc>
                <w:tcPr>
                  <w:tcW w:w="1089" w:type="dxa"/>
                  <w:tcBorders>
                    <w:top w:val="single" w:color="auto" w:sz="6" w:space="0"/>
                    <w:left w:val="nil"/>
                    <w:bottom w:val="single" w:color="auto" w:sz="6" w:space="0"/>
                    <w:right w:val="single" w:color="auto" w:sz="6" w:space="0"/>
                  </w:tcBorders>
                  <w:vAlign w:val="center"/>
                </w:tcPr>
                <w:p w14:paraId="3DEBB7CC">
                  <w:pPr>
                    <w:pStyle w:val="111"/>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5</w:t>
                  </w:r>
                </w:p>
              </w:tc>
              <w:tc>
                <w:tcPr>
                  <w:tcW w:w="822" w:type="dxa"/>
                  <w:tcBorders>
                    <w:top w:val="single" w:color="auto" w:sz="6" w:space="0"/>
                    <w:left w:val="nil"/>
                    <w:bottom w:val="single" w:color="auto" w:sz="6" w:space="0"/>
                    <w:right w:val="single" w:color="auto" w:sz="6" w:space="0"/>
                  </w:tcBorders>
                  <w:vAlign w:val="center"/>
                </w:tcPr>
                <w:p w14:paraId="492F1C89">
                  <w:pPr>
                    <w:pStyle w:val="111"/>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9</w:t>
                  </w:r>
                </w:p>
              </w:tc>
              <w:tc>
                <w:tcPr>
                  <w:tcW w:w="955" w:type="dxa"/>
                  <w:tcBorders>
                    <w:top w:val="single" w:color="auto" w:sz="6" w:space="0"/>
                    <w:left w:val="nil"/>
                    <w:bottom w:val="single" w:color="auto" w:sz="6" w:space="0"/>
                    <w:right w:val="single" w:color="auto" w:sz="6" w:space="0"/>
                  </w:tcBorders>
                  <w:vAlign w:val="center"/>
                </w:tcPr>
                <w:p w14:paraId="2B6F5A8B">
                  <w:pPr>
                    <w:pStyle w:val="111"/>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3</w:t>
                  </w:r>
                </w:p>
              </w:tc>
              <w:tc>
                <w:tcPr>
                  <w:tcW w:w="1363" w:type="dxa"/>
                  <w:tcBorders>
                    <w:top w:val="single" w:color="auto" w:sz="6" w:space="0"/>
                    <w:left w:val="nil"/>
                    <w:bottom w:val="single" w:color="auto" w:sz="6" w:space="0"/>
                    <w:right w:val="single" w:color="auto" w:sz="6" w:space="0"/>
                  </w:tcBorders>
                  <w:vAlign w:val="center"/>
                </w:tcPr>
                <w:p w14:paraId="48861C70">
                  <w:pPr>
                    <w:pStyle w:val="111"/>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7</w:t>
                  </w:r>
                </w:p>
              </w:tc>
            </w:tr>
            <w:tr w14:paraId="05ADC5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360" w:type="dxa"/>
                  <w:tcBorders>
                    <w:top w:val="single" w:color="auto" w:sz="6" w:space="0"/>
                    <w:left w:val="single" w:color="auto" w:sz="6" w:space="0"/>
                    <w:bottom w:val="single" w:color="auto" w:sz="6" w:space="0"/>
                    <w:right w:val="single" w:color="auto" w:sz="6" w:space="0"/>
                  </w:tcBorders>
                  <w:vAlign w:val="center"/>
                </w:tcPr>
                <w:p w14:paraId="3CDCFB8C">
                  <w:pPr>
                    <w:pStyle w:val="11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钢筋调直机</w:t>
                  </w:r>
                </w:p>
              </w:tc>
              <w:tc>
                <w:tcPr>
                  <w:tcW w:w="1016" w:type="dxa"/>
                  <w:tcBorders>
                    <w:top w:val="single" w:color="auto" w:sz="6" w:space="0"/>
                    <w:left w:val="nil"/>
                    <w:bottom w:val="single" w:color="auto" w:sz="6" w:space="0"/>
                    <w:right w:val="single" w:color="auto" w:sz="6" w:space="0"/>
                  </w:tcBorders>
                  <w:vAlign w:val="top"/>
                </w:tcPr>
                <w:p w14:paraId="68D542B0">
                  <w:pPr>
                    <w:pStyle w:val="11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85</w:t>
                  </w:r>
                </w:p>
              </w:tc>
              <w:tc>
                <w:tcPr>
                  <w:tcW w:w="723" w:type="dxa"/>
                  <w:tcBorders>
                    <w:top w:val="single" w:color="auto" w:sz="6" w:space="0"/>
                    <w:left w:val="nil"/>
                    <w:bottom w:val="single" w:color="auto" w:sz="6" w:space="0"/>
                    <w:right w:val="single" w:color="auto" w:sz="6" w:space="0"/>
                  </w:tcBorders>
                  <w:vAlign w:val="center"/>
                </w:tcPr>
                <w:p w14:paraId="4AFF1F01">
                  <w:pPr>
                    <w:pStyle w:val="11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7</w:t>
                  </w:r>
                </w:p>
              </w:tc>
              <w:tc>
                <w:tcPr>
                  <w:tcW w:w="802" w:type="dxa"/>
                  <w:tcBorders>
                    <w:top w:val="single" w:color="auto" w:sz="6" w:space="0"/>
                    <w:left w:val="nil"/>
                    <w:bottom w:val="single" w:color="auto" w:sz="6" w:space="0"/>
                    <w:right w:val="single" w:color="auto" w:sz="6" w:space="0"/>
                  </w:tcBorders>
                  <w:vAlign w:val="center"/>
                </w:tcPr>
                <w:p w14:paraId="7322381B">
                  <w:pPr>
                    <w:pStyle w:val="11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1</w:t>
                  </w:r>
                </w:p>
              </w:tc>
              <w:tc>
                <w:tcPr>
                  <w:tcW w:w="1089" w:type="dxa"/>
                  <w:tcBorders>
                    <w:top w:val="single" w:color="auto" w:sz="6" w:space="0"/>
                    <w:left w:val="nil"/>
                    <w:bottom w:val="single" w:color="auto" w:sz="6" w:space="0"/>
                    <w:right w:val="single" w:color="auto" w:sz="6" w:space="0"/>
                  </w:tcBorders>
                  <w:vAlign w:val="center"/>
                </w:tcPr>
                <w:p w14:paraId="2850C10E">
                  <w:pPr>
                    <w:pStyle w:val="11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5</w:t>
                  </w:r>
                </w:p>
              </w:tc>
              <w:tc>
                <w:tcPr>
                  <w:tcW w:w="822" w:type="dxa"/>
                  <w:tcBorders>
                    <w:top w:val="single" w:color="auto" w:sz="6" w:space="0"/>
                    <w:left w:val="nil"/>
                    <w:bottom w:val="single" w:color="auto" w:sz="6" w:space="0"/>
                    <w:right w:val="single" w:color="auto" w:sz="6" w:space="0"/>
                  </w:tcBorders>
                  <w:vAlign w:val="center"/>
                </w:tcPr>
                <w:p w14:paraId="2D532DE7">
                  <w:pPr>
                    <w:pStyle w:val="11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9</w:t>
                  </w:r>
                </w:p>
              </w:tc>
              <w:tc>
                <w:tcPr>
                  <w:tcW w:w="955" w:type="dxa"/>
                  <w:tcBorders>
                    <w:top w:val="single" w:color="auto" w:sz="6" w:space="0"/>
                    <w:left w:val="nil"/>
                    <w:bottom w:val="single" w:color="auto" w:sz="6" w:space="0"/>
                    <w:right w:val="single" w:color="auto" w:sz="6" w:space="0"/>
                  </w:tcBorders>
                  <w:vAlign w:val="center"/>
                </w:tcPr>
                <w:p w14:paraId="4BD6F6C2">
                  <w:pPr>
                    <w:pStyle w:val="11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3</w:t>
                  </w:r>
                </w:p>
              </w:tc>
              <w:tc>
                <w:tcPr>
                  <w:tcW w:w="1363" w:type="dxa"/>
                  <w:tcBorders>
                    <w:top w:val="single" w:color="auto" w:sz="6" w:space="0"/>
                    <w:left w:val="nil"/>
                    <w:bottom w:val="single" w:color="auto" w:sz="6" w:space="0"/>
                    <w:right w:val="single" w:color="auto" w:sz="6" w:space="0"/>
                  </w:tcBorders>
                  <w:vAlign w:val="center"/>
                </w:tcPr>
                <w:p w14:paraId="227477BD">
                  <w:pPr>
                    <w:pStyle w:val="11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7</w:t>
                  </w:r>
                </w:p>
              </w:tc>
            </w:tr>
            <w:tr w14:paraId="260BEE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360" w:type="dxa"/>
                  <w:tcBorders>
                    <w:top w:val="single" w:color="auto" w:sz="6" w:space="0"/>
                    <w:left w:val="single" w:color="auto" w:sz="6" w:space="0"/>
                    <w:bottom w:val="single" w:color="auto" w:sz="6" w:space="0"/>
                    <w:right w:val="single" w:color="auto" w:sz="6" w:space="0"/>
                  </w:tcBorders>
                  <w:vAlign w:val="center"/>
                </w:tcPr>
                <w:p w14:paraId="5FB119F6">
                  <w:pPr>
                    <w:pStyle w:val="11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钢筋切断机</w:t>
                  </w:r>
                </w:p>
              </w:tc>
              <w:tc>
                <w:tcPr>
                  <w:tcW w:w="1016" w:type="dxa"/>
                  <w:tcBorders>
                    <w:top w:val="single" w:color="auto" w:sz="6" w:space="0"/>
                    <w:left w:val="nil"/>
                    <w:bottom w:val="single" w:color="auto" w:sz="6" w:space="0"/>
                    <w:right w:val="single" w:color="auto" w:sz="6" w:space="0"/>
                  </w:tcBorders>
                  <w:vAlign w:val="top"/>
                </w:tcPr>
                <w:p w14:paraId="3746B263">
                  <w:pPr>
                    <w:pStyle w:val="11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85</w:t>
                  </w:r>
                </w:p>
              </w:tc>
              <w:tc>
                <w:tcPr>
                  <w:tcW w:w="723" w:type="dxa"/>
                  <w:tcBorders>
                    <w:top w:val="single" w:color="auto" w:sz="6" w:space="0"/>
                    <w:left w:val="nil"/>
                    <w:bottom w:val="single" w:color="auto" w:sz="6" w:space="0"/>
                    <w:right w:val="single" w:color="auto" w:sz="6" w:space="0"/>
                  </w:tcBorders>
                  <w:vAlign w:val="center"/>
                </w:tcPr>
                <w:p w14:paraId="0896FED8">
                  <w:pPr>
                    <w:pStyle w:val="11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7</w:t>
                  </w:r>
                </w:p>
              </w:tc>
              <w:tc>
                <w:tcPr>
                  <w:tcW w:w="802" w:type="dxa"/>
                  <w:tcBorders>
                    <w:top w:val="single" w:color="auto" w:sz="6" w:space="0"/>
                    <w:left w:val="nil"/>
                    <w:bottom w:val="single" w:color="auto" w:sz="6" w:space="0"/>
                    <w:right w:val="single" w:color="auto" w:sz="6" w:space="0"/>
                  </w:tcBorders>
                  <w:vAlign w:val="center"/>
                </w:tcPr>
                <w:p w14:paraId="7380B7B8">
                  <w:pPr>
                    <w:pStyle w:val="11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1</w:t>
                  </w:r>
                </w:p>
              </w:tc>
              <w:tc>
                <w:tcPr>
                  <w:tcW w:w="1089" w:type="dxa"/>
                  <w:tcBorders>
                    <w:top w:val="single" w:color="auto" w:sz="6" w:space="0"/>
                    <w:left w:val="nil"/>
                    <w:bottom w:val="single" w:color="auto" w:sz="6" w:space="0"/>
                    <w:right w:val="single" w:color="auto" w:sz="6" w:space="0"/>
                  </w:tcBorders>
                  <w:vAlign w:val="center"/>
                </w:tcPr>
                <w:p w14:paraId="51EBA0CB">
                  <w:pPr>
                    <w:pStyle w:val="11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5</w:t>
                  </w:r>
                </w:p>
              </w:tc>
              <w:tc>
                <w:tcPr>
                  <w:tcW w:w="822" w:type="dxa"/>
                  <w:tcBorders>
                    <w:top w:val="single" w:color="auto" w:sz="6" w:space="0"/>
                    <w:left w:val="nil"/>
                    <w:bottom w:val="single" w:color="auto" w:sz="6" w:space="0"/>
                    <w:right w:val="single" w:color="auto" w:sz="6" w:space="0"/>
                  </w:tcBorders>
                  <w:vAlign w:val="center"/>
                </w:tcPr>
                <w:p w14:paraId="7B2340A4">
                  <w:pPr>
                    <w:pStyle w:val="11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9</w:t>
                  </w:r>
                </w:p>
              </w:tc>
              <w:tc>
                <w:tcPr>
                  <w:tcW w:w="955" w:type="dxa"/>
                  <w:tcBorders>
                    <w:top w:val="single" w:color="auto" w:sz="6" w:space="0"/>
                    <w:left w:val="nil"/>
                    <w:bottom w:val="single" w:color="auto" w:sz="6" w:space="0"/>
                    <w:right w:val="single" w:color="auto" w:sz="6" w:space="0"/>
                  </w:tcBorders>
                  <w:vAlign w:val="center"/>
                </w:tcPr>
                <w:p w14:paraId="02413D55">
                  <w:pPr>
                    <w:pStyle w:val="11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3</w:t>
                  </w:r>
                </w:p>
              </w:tc>
              <w:tc>
                <w:tcPr>
                  <w:tcW w:w="1363" w:type="dxa"/>
                  <w:tcBorders>
                    <w:top w:val="single" w:color="auto" w:sz="6" w:space="0"/>
                    <w:left w:val="nil"/>
                    <w:bottom w:val="single" w:color="auto" w:sz="6" w:space="0"/>
                    <w:right w:val="single" w:color="auto" w:sz="6" w:space="0"/>
                  </w:tcBorders>
                  <w:vAlign w:val="center"/>
                </w:tcPr>
                <w:p w14:paraId="4D26DA1E">
                  <w:pPr>
                    <w:pStyle w:val="11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7</w:t>
                  </w:r>
                </w:p>
              </w:tc>
            </w:tr>
          </w:tbl>
          <w:p w14:paraId="7719DD15">
            <w:pPr>
              <w:autoSpaceDE w:val="0"/>
              <w:autoSpaceDN w:val="0"/>
              <w:spacing w:line="360" w:lineRule="auto"/>
              <w:ind w:firstLine="482" w:firstLineChars="200"/>
              <w:jc w:val="left"/>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lang w:val="en-US" w:eastAsia="zh-CN"/>
              </w:rPr>
              <w:t>5</w:t>
            </w:r>
            <w:r>
              <w:rPr>
                <w:rFonts w:hint="default" w:ascii="Times New Roman" w:hAnsi="Times New Roman" w:eastAsia="宋体" w:cs="Times New Roman"/>
                <w:b/>
                <w:bCs/>
                <w:color w:val="auto"/>
                <w:kern w:val="0"/>
                <w:sz w:val="24"/>
              </w:rPr>
              <w:t>.5固废</w:t>
            </w:r>
          </w:p>
          <w:p w14:paraId="5E97ACFD">
            <w:pPr>
              <w:autoSpaceDE w:val="0"/>
              <w:autoSpaceDN w:val="0"/>
              <w:spacing w:line="360" w:lineRule="auto"/>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施工期固体废物主要包括生活垃圾、工程弃土和建筑垃圾。</w:t>
            </w:r>
          </w:p>
          <w:p w14:paraId="4BC5F364">
            <w:pPr>
              <w:autoSpaceDE w:val="0"/>
              <w:autoSpaceDN w:val="0"/>
              <w:spacing w:line="360" w:lineRule="auto"/>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（1）生活垃圾</w:t>
            </w:r>
          </w:p>
          <w:p w14:paraId="164B680D">
            <w:pPr>
              <w:autoSpaceDE w:val="0"/>
              <w:autoSpaceDN w:val="0"/>
              <w:spacing w:line="360" w:lineRule="auto"/>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lang w:val="en-US" w:eastAsia="zh-CN"/>
              </w:rPr>
              <w:t>防渗渠道工程</w:t>
            </w:r>
            <w:r>
              <w:rPr>
                <w:rFonts w:hint="default" w:ascii="Times New Roman" w:hAnsi="Times New Roman" w:eastAsia="宋体" w:cs="Times New Roman"/>
                <w:color w:val="auto"/>
                <w:kern w:val="0"/>
                <w:sz w:val="24"/>
              </w:rPr>
              <w:t>施工高峰期人数按</w:t>
            </w:r>
            <w:r>
              <w:rPr>
                <w:rFonts w:hint="eastAsia" w:ascii="Times New Roman" w:hAnsi="Times New Roman" w:cs="Times New Roman"/>
                <w:color w:val="auto"/>
                <w:kern w:val="0"/>
                <w:sz w:val="24"/>
                <w:lang w:val="en-US" w:eastAsia="zh-CN"/>
              </w:rPr>
              <w:t>30</w:t>
            </w:r>
            <w:r>
              <w:rPr>
                <w:rFonts w:hint="default" w:ascii="Times New Roman" w:hAnsi="Times New Roman" w:eastAsia="宋体" w:cs="Times New Roman"/>
                <w:color w:val="auto"/>
                <w:kern w:val="0"/>
                <w:sz w:val="24"/>
              </w:rPr>
              <w:t>人/d，以每人每天产生垃圾0.5kg定额计算，施工期生活垃圾产生量约为</w:t>
            </w:r>
            <w:r>
              <w:rPr>
                <w:rFonts w:hint="eastAsia" w:ascii="Times New Roman" w:hAnsi="Times New Roman" w:cs="Times New Roman"/>
                <w:color w:val="auto"/>
                <w:kern w:val="0"/>
                <w:sz w:val="24"/>
                <w:lang w:val="en-US" w:eastAsia="zh-CN"/>
              </w:rPr>
              <w:t>15</w:t>
            </w:r>
            <w:r>
              <w:rPr>
                <w:rFonts w:hint="default" w:ascii="Times New Roman" w:hAnsi="Times New Roman" w:eastAsia="宋体" w:cs="Times New Roman"/>
                <w:color w:val="auto"/>
                <w:kern w:val="0"/>
                <w:sz w:val="24"/>
              </w:rPr>
              <w:t>kg/d，施工期</w:t>
            </w:r>
            <w:r>
              <w:rPr>
                <w:rFonts w:hint="eastAsia" w:ascii="Times New Roman" w:hAnsi="Times New Roman" w:cs="Times New Roman"/>
                <w:color w:val="auto"/>
                <w:kern w:val="0"/>
                <w:sz w:val="24"/>
                <w:lang w:val="en-US" w:eastAsia="zh-CN"/>
              </w:rPr>
              <w:t>240天</w:t>
            </w:r>
            <w:r>
              <w:rPr>
                <w:rFonts w:hint="default" w:ascii="Times New Roman" w:hAnsi="Times New Roman" w:eastAsia="宋体" w:cs="Times New Roman"/>
                <w:color w:val="auto"/>
                <w:kern w:val="0"/>
                <w:sz w:val="24"/>
              </w:rPr>
              <w:t>，则生活垃圾产生量为</w:t>
            </w:r>
            <w:r>
              <w:rPr>
                <w:rFonts w:hint="eastAsia" w:ascii="Times New Roman" w:hAnsi="Times New Roman" w:cs="Times New Roman"/>
                <w:color w:val="auto"/>
                <w:kern w:val="0"/>
                <w:sz w:val="24"/>
                <w:lang w:val="en-US" w:eastAsia="zh-CN"/>
              </w:rPr>
              <w:t>3.6t</w:t>
            </w:r>
            <w:r>
              <w:rPr>
                <w:rFonts w:hint="default" w:ascii="Times New Roman" w:hAnsi="Times New Roman" w:eastAsia="宋体" w:cs="Times New Roman"/>
                <w:color w:val="auto"/>
                <w:kern w:val="0"/>
                <w:sz w:val="24"/>
              </w:rPr>
              <w:t>/a。为了避免生活垃圾随意堆弃，影响环境卫生和污染水体，应该在</w:t>
            </w:r>
            <w:r>
              <w:rPr>
                <w:rFonts w:hint="default" w:ascii="Times New Roman" w:hAnsi="Times New Roman" w:eastAsia="宋体" w:cs="Times New Roman"/>
                <w:color w:val="auto"/>
                <w:kern w:val="0"/>
                <w:sz w:val="24"/>
                <w:lang w:eastAsia="zh-CN"/>
              </w:rPr>
              <w:t>生活区设置垃圾收集系统，集中堆放，由</w:t>
            </w:r>
            <w:r>
              <w:rPr>
                <w:rFonts w:hint="eastAsia" w:ascii="Times New Roman" w:hAnsi="Times New Roman" w:cs="Times New Roman"/>
                <w:color w:val="auto"/>
                <w:kern w:val="0"/>
                <w:sz w:val="24"/>
                <w:lang w:eastAsia="zh-CN"/>
              </w:rPr>
              <w:t>环卫部门定期清运</w:t>
            </w:r>
            <w:r>
              <w:rPr>
                <w:rFonts w:hint="default" w:ascii="Times New Roman" w:hAnsi="Times New Roman" w:eastAsia="宋体" w:cs="Times New Roman"/>
                <w:color w:val="auto"/>
                <w:kern w:val="0"/>
                <w:sz w:val="24"/>
                <w:lang w:eastAsia="zh-CN"/>
              </w:rPr>
              <w:t>至莎车县生活垃圾处理厂</w:t>
            </w:r>
            <w:r>
              <w:rPr>
                <w:rFonts w:hint="default" w:ascii="Times New Roman" w:hAnsi="Times New Roman" w:eastAsia="宋体" w:cs="Times New Roman"/>
                <w:color w:val="auto"/>
                <w:kern w:val="0"/>
                <w:sz w:val="24"/>
              </w:rPr>
              <w:t>，同时对垃圾桶、垃圾集中存放处定期喷药消毒，防止苍蝇等害虫滋生。</w:t>
            </w:r>
          </w:p>
          <w:p w14:paraId="49E7D0F0">
            <w:pPr>
              <w:autoSpaceDE w:val="0"/>
              <w:autoSpaceDN w:val="0"/>
              <w:spacing w:line="360" w:lineRule="auto"/>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（2）工程弃土及建筑垃圾</w:t>
            </w:r>
          </w:p>
          <w:p w14:paraId="00A15E3F">
            <w:pPr>
              <w:autoSpaceDE w:val="0"/>
              <w:autoSpaceDN w:val="0"/>
              <w:spacing w:line="360" w:lineRule="auto"/>
              <w:ind w:firstLine="480" w:firstLineChars="200"/>
              <w:jc w:val="left"/>
              <w:rPr>
                <w:rFonts w:hint="default" w:ascii="Times New Roman" w:hAnsi="Times New Roman" w:eastAsia="宋体" w:cs="Times New Roman"/>
                <w:color w:val="auto"/>
                <w:kern w:val="0"/>
                <w:sz w:val="24"/>
                <w:lang w:val="zh-CN" w:eastAsia="zh-CN"/>
              </w:rPr>
            </w:pPr>
            <w:r>
              <w:rPr>
                <w:rFonts w:hint="default" w:ascii="Times New Roman" w:hAnsi="Times New Roman" w:eastAsia="宋体" w:cs="Times New Roman"/>
                <w:color w:val="auto"/>
                <w:kern w:val="0"/>
                <w:sz w:val="24"/>
              </w:rPr>
              <w:t>根据可研报告可知，</w:t>
            </w:r>
            <w:r>
              <w:rPr>
                <w:rFonts w:hint="default" w:ascii="Times New Roman" w:hAnsi="Times New Roman" w:eastAsia="宋体" w:cs="Times New Roman"/>
                <w:color w:val="auto"/>
                <w:kern w:val="0"/>
                <w:sz w:val="24"/>
                <w:lang w:val="en-US" w:eastAsia="zh-CN"/>
              </w:rPr>
              <w:t>防渗渠道工程</w:t>
            </w:r>
            <w:r>
              <w:rPr>
                <w:rFonts w:hint="default" w:ascii="Times New Roman" w:hAnsi="Times New Roman" w:eastAsia="宋体" w:cs="Times New Roman"/>
                <w:color w:val="auto"/>
                <w:kern w:val="0"/>
                <w:sz w:val="24"/>
              </w:rPr>
              <w:t>建设时工程的</w:t>
            </w:r>
            <w:r>
              <w:rPr>
                <w:rFonts w:hint="default" w:ascii="Times New Roman" w:hAnsi="Times New Roman" w:eastAsia="宋体" w:cs="Times New Roman"/>
                <w:color w:val="auto"/>
                <w:kern w:val="0"/>
                <w:sz w:val="24"/>
                <w:lang w:val="en-US" w:eastAsia="zh-CN"/>
              </w:rPr>
              <w:t>清废、</w:t>
            </w:r>
            <w:r>
              <w:rPr>
                <w:rFonts w:hint="default" w:ascii="Times New Roman" w:hAnsi="Times New Roman" w:eastAsia="宋体" w:cs="Times New Roman"/>
                <w:color w:val="auto"/>
                <w:kern w:val="0"/>
                <w:sz w:val="24"/>
              </w:rPr>
              <w:t>开挖产生少量的弃土。通过计算，主体工程建设将产生弃土约</w:t>
            </w:r>
            <w:r>
              <w:rPr>
                <w:rFonts w:hint="eastAsia" w:ascii="Times New Roman" w:hAnsi="Times New Roman" w:eastAsia="宋体" w:cs="Times New Roman"/>
                <w:color w:val="auto"/>
                <w:kern w:val="0"/>
                <w:sz w:val="24"/>
                <w:lang w:val="en-US" w:eastAsia="zh-CN"/>
              </w:rPr>
              <w:t>11199.28</w:t>
            </w:r>
            <w:r>
              <w:rPr>
                <w:rFonts w:hint="default" w:ascii="Times New Roman" w:hAnsi="Times New Roman" w:eastAsia="宋体" w:cs="Times New Roman"/>
                <w:color w:val="auto"/>
                <w:kern w:val="0"/>
                <w:sz w:val="24"/>
              </w:rPr>
              <w:t>m</w:t>
            </w:r>
            <w:r>
              <w:rPr>
                <w:rFonts w:hint="default" w:ascii="Times New Roman" w:hAnsi="Times New Roman" w:eastAsia="宋体" w:cs="Times New Roman"/>
                <w:color w:val="auto"/>
                <w:kern w:val="0"/>
                <w:sz w:val="24"/>
                <w:vertAlign w:val="superscript"/>
              </w:rPr>
              <w:t>3</w:t>
            </w:r>
            <w:r>
              <w:rPr>
                <w:rFonts w:hint="default" w:ascii="Times New Roman" w:hAnsi="Times New Roman" w:eastAsia="宋体" w:cs="Times New Roman"/>
                <w:color w:val="auto"/>
                <w:kern w:val="0"/>
                <w:sz w:val="24"/>
                <w:lang w:eastAsia="zh-CN"/>
              </w:rPr>
              <w:t>。</w:t>
            </w:r>
            <w:r>
              <w:rPr>
                <w:rFonts w:hint="eastAsia" w:ascii="Times New Roman" w:hAnsi="Times New Roman" w:cs="Times New Roman"/>
                <w:color w:val="auto"/>
                <w:kern w:val="0"/>
                <w:sz w:val="24"/>
                <w:lang w:eastAsia="zh-CN"/>
              </w:rPr>
              <w:t>弃土方及时用于土地平整和回填使用，无法利用的</w:t>
            </w:r>
            <w:r>
              <w:rPr>
                <w:rFonts w:hint="default" w:ascii="Times New Roman" w:hAnsi="Times New Roman" w:eastAsia="宋体" w:cs="Times New Roman"/>
                <w:color w:val="auto"/>
                <w:kern w:val="0"/>
                <w:sz w:val="24"/>
                <w:lang w:eastAsia="zh-CN"/>
              </w:rPr>
              <w:t>送至</w:t>
            </w:r>
            <w:r>
              <w:rPr>
                <w:rFonts w:hint="eastAsia" w:ascii="Times New Roman" w:hAnsi="Times New Roman" w:cs="Times New Roman"/>
                <w:color w:val="auto"/>
                <w:kern w:val="0"/>
                <w:sz w:val="24"/>
                <w:lang w:eastAsia="zh-CN"/>
              </w:rPr>
              <w:t>莎车县城市管理部门指定的建筑垃圾存放点</w:t>
            </w:r>
            <w:r>
              <w:rPr>
                <w:rFonts w:hint="default" w:ascii="Times New Roman" w:hAnsi="Times New Roman" w:eastAsia="宋体" w:cs="Times New Roman"/>
                <w:color w:val="auto"/>
                <w:kern w:val="0"/>
                <w:sz w:val="24"/>
                <w:lang w:eastAsia="zh-CN"/>
              </w:rPr>
              <w:t>处理进行综合利用，不得随意倾倒</w:t>
            </w:r>
            <w:r>
              <w:rPr>
                <w:rFonts w:hint="default" w:ascii="Times New Roman" w:hAnsi="Times New Roman" w:eastAsia="宋体" w:cs="Times New Roman"/>
                <w:color w:val="auto"/>
                <w:kern w:val="0"/>
                <w:sz w:val="24"/>
                <w:lang w:val="en-US" w:eastAsia="zh-CN"/>
              </w:rPr>
              <w:t>。</w:t>
            </w:r>
          </w:p>
          <w:p w14:paraId="4B7C6FAA">
            <w:pPr>
              <w:autoSpaceDE w:val="0"/>
              <w:autoSpaceDN w:val="0"/>
              <w:spacing w:line="360" w:lineRule="auto"/>
              <w:ind w:firstLine="48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4"/>
                <w:lang w:eastAsia="zh-CN"/>
              </w:rPr>
              <w:t>项目施工过程中产生的建筑垃圾主要包括废钢筋、废木材及混凝土块等，</w:t>
            </w:r>
            <w:r>
              <w:rPr>
                <w:rFonts w:hint="default" w:ascii="Times New Roman" w:hAnsi="Times New Roman" w:eastAsia="宋体" w:cs="Times New Roman"/>
                <w:color w:val="auto"/>
                <w:kern w:val="0"/>
                <w:sz w:val="24"/>
                <w:lang w:val="en-US" w:eastAsia="zh-CN"/>
              </w:rPr>
              <w:t>产生量约为</w:t>
            </w:r>
            <w:r>
              <w:rPr>
                <w:rFonts w:hint="eastAsia" w:ascii="Times New Roman" w:hAnsi="Times New Roman" w:cs="Times New Roman"/>
                <w:color w:val="auto"/>
                <w:kern w:val="0"/>
                <w:sz w:val="24"/>
                <w:lang w:val="en-US" w:eastAsia="zh-CN"/>
              </w:rPr>
              <w:t>10</w:t>
            </w:r>
            <w:r>
              <w:rPr>
                <w:rFonts w:hint="default" w:ascii="Times New Roman" w:hAnsi="Times New Roman" w:eastAsia="宋体" w:cs="Times New Roman"/>
                <w:color w:val="auto"/>
                <w:kern w:val="0"/>
                <w:sz w:val="24"/>
                <w:lang w:val="en-US" w:eastAsia="zh-CN"/>
              </w:rPr>
              <w:t>t/a，</w:t>
            </w:r>
            <w:r>
              <w:rPr>
                <w:rFonts w:hint="default" w:ascii="Times New Roman" w:hAnsi="Times New Roman" w:eastAsia="宋体" w:cs="Times New Roman"/>
                <w:color w:val="auto"/>
                <w:kern w:val="0"/>
                <w:sz w:val="24"/>
              </w:rPr>
              <w:t>对施工中产生的建筑垃圾回收利用，无法利用的集中收集后运至</w:t>
            </w:r>
            <w:r>
              <w:rPr>
                <w:rFonts w:hint="eastAsia" w:ascii="Times New Roman" w:hAnsi="Times New Roman" w:cs="Times New Roman"/>
                <w:color w:val="auto"/>
                <w:kern w:val="0"/>
                <w:sz w:val="24"/>
                <w:lang w:eastAsia="zh-CN"/>
              </w:rPr>
              <w:t>莎车县城市管理部门指定的建筑垃圾存放点</w:t>
            </w:r>
            <w:r>
              <w:rPr>
                <w:rFonts w:hint="default" w:ascii="Times New Roman" w:hAnsi="Times New Roman" w:eastAsia="宋体" w:cs="Times New Roman"/>
                <w:color w:val="auto"/>
                <w:kern w:val="0"/>
                <w:sz w:val="24"/>
              </w:rPr>
              <w:t>处理。</w:t>
            </w:r>
          </w:p>
        </w:tc>
      </w:tr>
      <w:tr w14:paraId="2E4979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728" w:type="dxa"/>
            <w:vAlign w:val="center"/>
          </w:tcPr>
          <w:p w14:paraId="09526C18">
            <w:pPr>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其他</w:t>
            </w:r>
          </w:p>
        </w:tc>
        <w:tc>
          <w:tcPr>
            <w:tcW w:w="8362" w:type="dxa"/>
            <w:vAlign w:val="center"/>
          </w:tcPr>
          <w:p w14:paraId="0DE7CC32">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无</w:t>
            </w:r>
          </w:p>
          <w:p w14:paraId="154F2F9D">
            <w:pPr>
              <w:rPr>
                <w:rFonts w:hint="default" w:ascii="Times New Roman" w:hAnsi="Times New Roman" w:eastAsia="宋体" w:cs="Times New Roman"/>
                <w:color w:val="auto"/>
              </w:rPr>
            </w:pPr>
          </w:p>
          <w:p w14:paraId="6A72F349">
            <w:pPr>
              <w:rPr>
                <w:rFonts w:hint="default" w:ascii="Times New Roman" w:hAnsi="Times New Roman" w:eastAsia="宋体" w:cs="Times New Roman"/>
                <w:color w:val="auto"/>
              </w:rPr>
            </w:pPr>
          </w:p>
        </w:tc>
      </w:tr>
    </w:tbl>
    <w:p w14:paraId="76E1A6FC">
      <w:pPr>
        <w:pStyle w:val="28"/>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b/>
          <w:bCs/>
          <w:color w:val="auto"/>
        </w:rPr>
        <w:br w:type="page"/>
      </w:r>
      <w:r>
        <w:rPr>
          <w:rFonts w:hint="default" w:ascii="Times New Roman" w:hAnsi="Times New Roman" w:eastAsia="宋体" w:cs="Times New Roman"/>
          <w:snapToGrid w:val="0"/>
          <w:color w:val="auto"/>
          <w:sz w:val="30"/>
          <w:szCs w:val="30"/>
        </w:rPr>
        <w:t>三、生态环境现状、保护目标及评价标准</w:t>
      </w:r>
    </w:p>
    <w:tbl>
      <w:tblPr>
        <w:tblStyle w:val="33"/>
        <w:tblW w:w="953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9075"/>
      </w:tblGrid>
      <w:tr w14:paraId="3AB25C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vAlign w:val="center"/>
          </w:tcPr>
          <w:p w14:paraId="25AF70C4">
            <w:pPr>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生态环境现状</w:t>
            </w:r>
          </w:p>
        </w:tc>
        <w:tc>
          <w:tcPr>
            <w:tcW w:w="9075" w:type="dxa"/>
            <w:vAlign w:val="center"/>
          </w:tcPr>
          <w:p w14:paraId="003A72FB">
            <w:pPr>
              <w:spacing w:line="360" w:lineRule="auto"/>
              <w:ind w:firstLine="482" w:firstLineChars="200"/>
              <w:rPr>
                <w:rFonts w:hint="default" w:ascii="Times New Roman" w:hAnsi="Times New Roman" w:eastAsia="宋体" w:cs="Times New Roman"/>
                <w:b/>
                <w:bCs/>
                <w:color w:val="auto"/>
                <w:sz w:val="24"/>
                <w:lang w:val="zh-CN"/>
              </w:rPr>
            </w:pPr>
            <w:r>
              <w:rPr>
                <w:rFonts w:hint="default" w:ascii="Times New Roman" w:hAnsi="Times New Roman" w:eastAsia="宋体" w:cs="Times New Roman"/>
                <w:b/>
                <w:bCs/>
                <w:color w:val="auto"/>
                <w:sz w:val="24"/>
                <w:lang w:val="zh-CN"/>
              </w:rPr>
              <w:t>1生态环境现状</w:t>
            </w:r>
          </w:p>
          <w:p w14:paraId="0E8A6B0E">
            <w:pPr>
              <w:adjustRightInd w:val="0"/>
              <w:spacing w:line="360" w:lineRule="auto"/>
              <w:ind w:firstLine="482" w:firstLineChars="200"/>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1.1生态环境功能区划</w:t>
            </w:r>
          </w:p>
          <w:p w14:paraId="476AE159">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防渗渠道工程</w:t>
            </w:r>
            <w:r>
              <w:rPr>
                <w:rFonts w:hint="default" w:ascii="Times New Roman" w:hAnsi="Times New Roman" w:eastAsia="宋体" w:cs="Times New Roman"/>
                <w:color w:val="auto"/>
                <w:sz w:val="24"/>
              </w:rPr>
              <w:t>建设地点位于莎车县。按照《新疆生态功能区划》，拟建项目区的生态功能区划见</w:t>
            </w:r>
            <w:r>
              <w:rPr>
                <w:rFonts w:hint="default" w:ascii="Times New Roman" w:hAnsi="Times New Roman" w:eastAsia="宋体" w:cs="Times New Roman"/>
                <w:color w:val="auto"/>
                <w:sz w:val="24"/>
                <w:lang w:val="en-US" w:eastAsia="zh-CN"/>
              </w:rPr>
              <w:t>下</w:t>
            </w:r>
            <w:r>
              <w:rPr>
                <w:rFonts w:hint="default" w:ascii="Times New Roman" w:hAnsi="Times New Roman" w:eastAsia="宋体" w:cs="Times New Roman"/>
                <w:color w:val="auto"/>
                <w:sz w:val="24"/>
              </w:rPr>
              <w:t>表</w:t>
            </w:r>
            <w:r>
              <w:rPr>
                <w:rFonts w:hint="default" w:ascii="Times New Roman" w:hAnsi="Times New Roman" w:eastAsia="宋体" w:cs="Times New Roman"/>
                <w:color w:val="auto"/>
                <w:sz w:val="24"/>
                <w:lang w:val="en-US" w:eastAsia="zh-CN"/>
              </w:rPr>
              <w:t>及</w:t>
            </w:r>
            <w:r>
              <w:rPr>
                <w:rFonts w:hint="default" w:ascii="Times New Roman" w:hAnsi="Times New Roman" w:eastAsia="宋体" w:cs="Times New Roman"/>
                <w:color w:val="auto"/>
                <w:sz w:val="24"/>
              </w:rPr>
              <w:t>附图。</w:t>
            </w:r>
          </w:p>
          <w:p w14:paraId="4EDD64A0">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表</w:t>
            </w:r>
            <w:r>
              <w:rPr>
                <w:rFonts w:hint="default" w:ascii="Times New Roman" w:hAnsi="Times New Roman" w:eastAsia="宋体" w:cs="Times New Roman"/>
                <w:b/>
                <w:color w:val="auto"/>
                <w:szCs w:val="21"/>
                <w:lang w:val="en-US" w:eastAsia="zh-CN"/>
              </w:rPr>
              <w:t>3-1</w:t>
            </w:r>
            <w:r>
              <w:rPr>
                <w:rFonts w:hint="default" w:ascii="Times New Roman" w:hAnsi="Times New Roman" w:eastAsia="宋体" w:cs="Times New Roman"/>
                <w:b/>
                <w:color w:val="auto"/>
                <w:szCs w:val="21"/>
              </w:rPr>
              <w:t>评价区生态功能区划简表</w:t>
            </w:r>
          </w:p>
          <w:tbl>
            <w:tblPr>
              <w:tblStyle w:val="33"/>
              <w:tblW w:w="88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2"/>
              <w:gridCol w:w="6347"/>
            </w:tblGrid>
            <w:tr w14:paraId="031F7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502" w:type="dxa"/>
                  <w:vAlign w:val="center"/>
                </w:tcPr>
                <w:p w14:paraId="53ED26F4">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项目</w:t>
                  </w:r>
                </w:p>
              </w:tc>
              <w:tc>
                <w:tcPr>
                  <w:tcW w:w="6347" w:type="dxa"/>
                  <w:vAlign w:val="center"/>
                </w:tcPr>
                <w:p w14:paraId="1CF62923">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区划</w:t>
                  </w:r>
                </w:p>
              </w:tc>
            </w:tr>
            <w:tr w14:paraId="77531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502" w:type="dxa"/>
                  <w:vAlign w:val="center"/>
                </w:tcPr>
                <w:p w14:paraId="126E8472">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生态区</w:t>
                  </w:r>
                </w:p>
              </w:tc>
              <w:tc>
                <w:tcPr>
                  <w:tcW w:w="6347" w:type="dxa"/>
                  <w:vAlign w:val="center"/>
                </w:tcPr>
                <w:p w14:paraId="6359C4D2">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4 \* ROMAN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IV</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塔里木盆地暖温荒漠及绿洲农业生态区</w:t>
                  </w:r>
                </w:p>
              </w:tc>
            </w:tr>
            <w:tr w14:paraId="45591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502" w:type="dxa"/>
                  <w:vAlign w:val="center"/>
                </w:tcPr>
                <w:p w14:paraId="035A02E8">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生态亚区</w:t>
                  </w:r>
                </w:p>
              </w:tc>
              <w:tc>
                <w:tcPr>
                  <w:tcW w:w="6347" w:type="dxa"/>
                  <w:vAlign w:val="center"/>
                </w:tcPr>
                <w:p w14:paraId="2339B151">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4 \* ROMAN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IV</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塔里木盆地西部、北部荒漠及绿洲农业生态亚区</w:t>
                  </w:r>
                </w:p>
              </w:tc>
            </w:tr>
            <w:tr w14:paraId="5DAA2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502" w:type="dxa"/>
                  <w:vAlign w:val="center"/>
                </w:tcPr>
                <w:p w14:paraId="7BAF4B5D">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生态功能区</w:t>
                  </w:r>
                </w:p>
              </w:tc>
              <w:tc>
                <w:tcPr>
                  <w:tcW w:w="6347" w:type="dxa"/>
                  <w:vAlign w:val="center"/>
                </w:tcPr>
                <w:p w14:paraId="7DD1B523">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58．叶尔羌河平原绿洲农业及荒漠河岸林保护生态功能区</w:t>
                  </w:r>
                </w:p>
              </w:tc>
            </w:tr>
            <w:tr w14:paraId="69C1C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502" w:type="dxa"/>
                  <w:vAlign w:val="center"/>
                </w:tcPr>
                <w:p w14:paraId="17E0F6AF">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主要生态服务功能</w:t>
                  </w:r>
                </w:p>
              </w:tc>
              <w:tc>
                <w:tcPr>
                  <w:tcW w:w="6347" w:type="dxa"/>
                  <w:vAlign w:val="center"/>
                </w:tcPr>
                <w:p w14:paraId="30103599">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农畜产品生产、油气资源开发、塔里木河水源补给</w:t>
                  </w:r>
                </w:p>
              </w:tc>
            </w:tr>
            <w:tr w14:paraId="4EF25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502" w:type="dxa"/>
                  <w:vAlign w:val="center"/>
                </w:tcPr>
                <w:p w14:paraId="72B3DC4B">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主要生态环境问题</w:t>
                  </w:r>
                </w:p>
              </w:tc>
              <w:tc>
                <w:tcPr>
                  <w:tcW w:w="6347" w:type="dxa"/>
                  <w:vAlign w:val="center"/>
                </w:tcPr>
                <w:p w14:paraId="1BBD0750">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土壤盐渍化、风沙危害、荒漠植被和胡杨林破坏、乱挖甘草、平原水库蒸发渗漏损失严重、油气开发污染环境、土壤环境质量下降</w:t>
                  </w:r>
                </w:p>
              </w:tc>
            </w:tr>
            <w:tr w14:paraId="2FAB4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502" w:type="dxa"/>
                  <w:vAlign w:val="center"/>
                </w:tcPr>
                <w:p w14:paraId="27678604">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生态敏感因子敏感程度</w:t>
                  </w:r>
                </w:p>
              </w:tc>
              <w:tc>
                <w:tcPr>
                  <w:tcW w:w="6347" w:type="dxa"/>
                  <w:vAlign w:val="center"/>
                </w:tcPr>
                <w:p w14:paraId="0528699D">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生物多样性及其生境中度敏感，土地沙漠化、土壤盐渍化轻度敏感</w:t>
                  </w:r>
                </w:p>
              </w:tc>
            </w:tr>
            <w:tr w14:paraId="23C69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502" w:type="dxa"/>
                  <w:vAlign w:val="center"/>
                </w:tcPr>
                <w:p w14:paraId="0B11D85A">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主要保护目标</w:t>
                  </w:r>
                </w:p>
              </w:tc>
              <w:tc>
                <w:tcPr>
                  <w:tcW w:w="6347" w:type="dxa"/>
                  <w:vAlign w:val="center"/>
                </w:tcPr>
                <w:p w14:paraId="7AC17B83">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保护荒漠植被、保护荒漠河岸林、保护</w:t>
                  </w:r>
                  <w:r>
                    <w:rPr>
                      <w:rFonts w:hint="default" w:ascii="Times New Roman" w:hAnsi="Times New Roman" w:eastAsia="宋体" w:cs="Times New Roman"/>
                      <w:color w:val="auto"/>
                      <w:lang w:eastAsia="zh-CN"/>
                    </w:rPr>
                    <w:t>耕地</w:t>
                  </w:r>
                  <w:r>
                    <w:rPr>
                      <w:rFonts w:hint="default" w:ascii="Times New Roman" w:hAnsi="Times New Roman" w:eastAsia="宋体" w:cs="Times New Roman"/>
                      <w:color w:val="auto"/>
                    </w:rPr>
                    <w:t>土壤环境质量</w:t>
                  </w:r>
                </w:p>
              </w:tc>
            </w:tr>
            <w:tr w14:paraId="179C7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502" w:type="dxa"/>
                  <w:vAlign w:val="center"/>
                </w:tcPr>
                <w:p w14:paraId="59332DE8">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主要保护措施</w:t>
                  </w:r>
                </w:p>
              </w:tc>
              <w:tc>
                <w:tcPr>
                  <w:tcW w:w="6347" w:type="dxa"/>
                  <w:vAlign w:val="center"/>
                </w:tcPr>
                <w:p w14:paraId="1C5224EC">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适度开发地下水、增加向塔河输水量、退耕还林还草、废除部分平原水库、节水灌溉、增加</w:t>
                  </w:r>
                  <w:r>
                    <w:rPr>
                      <w:rFonts w:hint="default" w:ascii="Times New Roman" w:hAnsi="Times New Roman" w:eastAsia="宋体" w:cs="Times New Roman"/>
                      <w:color w:val="auto"/>
                      <w:lang w:eastAsia="zh-CN"/>
                    </w:rPr>
                    <w:t>耕地</w:t>
                  </w:r>
                  <w:r>
                    <w:rPr>
                      <w:rFonts w:hint="default" w:ascii="Times New Roman" w:hAnsi="Times New Roman" w:eastAsia="宋体" w:cs="Times New Roman"/>
                      <w:color w:val="auto"/>
                    </w:rPr>
                    <w:t>投入品的使用管理</w:t>
                  </w:r>
                </w:p>
              </w:tc>
            </w:tr>
            <w:tr w14:paraId="56C3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02" w:type="dxa"/>
                  <w:vAlign w:val="center"/>
                </w:tcPr>
                <w:p w14:paraId="7430F719">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适宜发展方向</w:t>
                  </w:r>
                </w:p>
              </w:tc>
              <w:tc>
                <w:tcPr>
                  <w:tcW w:w="6347" w:type="dxa"/>
                  <w:vAlign w:val="center"/>
                </w:tcPr>
                <w:p w14:paraId="4082A565">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建成粮食、经济作物、林果业基地，发展农区畜牧业</w:t>
                  </w:r>
                </w:p>
              </w:tc>
            </w:tr>
          </w:tbl>
          <w:p w14:paraId="0995BAA2">
            <w:pPr>
              <w:spacing w:line="360" w:lineRule="auto"/>
              <w:ind w:firstLine="482" w:firstLineChars="200"/>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1.2生态现状调查</w:t>
            </w:r>
          </w:p>
          <w:p w14:paraId="32F0DFAD">
            <w:pPr>
              <w:pStyle w:val="113"/>
              <w:ind w:firstLine="480"/>
              <w:rPr>
                <w:rFonts w:hint="default" w:ascii="Times New Roman" w:hAnsi="Times New Roman" w:eastAsia="宋体" w:cs="Times New Roman"/>
                <w:color w:val="0000C7"/>
              </w:rPr>
            </w:pPr>
            <w:r>
              <w:rPr>
                <w:rFonts w:hint="default" w:ascii="Times New Roman" w:hAnsi="Times New Roman" w:eastAsia="宋体" w:cs="Times New Roman"/>
                <w:color w:val="0000C7"/>
              </w:rPr>
              <w:t>（1）土壤环境现状及评价</w:t>
            </w:r>
          </w:p>
          <w:p w14:paraId="5C1833D3">
            <w:pPr>
              <w:pStyle w:val="113"/>
              <w:ind w:firstLine="480"/>
              <w:rPr>
                <w:rFonts w:hint="default" w:ascii="Times New Roman" w:hAnsi="Times New Roman" w:eastAsia="宋体" w:cs="Times New Roman"/>
                <w:color w:val="0000C7"/>
              </w:rPr>
            </w:pPr>
            <w:r>
              <w:rPr>
                <w:rFonts w:hint="default" w:ascii="Times New Roman" w:hAnsi="Times New Roman" w:eastAsia="宋体" w:cs="Times New Roman"/>
                <w:color w:val="0000C7"/>
                <w:lang w:val="en-US" w:eastAsia="zh-CN"/>
              </w:rPr>
              <w:t>莎车县位于山前冲洪积扇下部，为山前平原过渡区，地形较平坦，地层岩性主要是第四系全新统灰色粉砂、粉土、细砂为主。灌区土壤在荒漠和半荒漠的生物气候条件下发育，是以灌淤土为主的地带性土壤。</w:t>
            </w:r>
            <w:r>
              <w:rPr>
                <w:rFonts w:hint="eastAsia" w:ascii="Times New Roman" w:hAnsi="Times New Roman" w:cs="Times New Roman"/>
                <w:color w:val="0000C7"/>
                <w:lang w:val="en-US" w:eastAsia="zh-CN"/>
              </w:rPr>
              <w:t>根据《喀什地区土壤类型分布图》，</w:t>
            </w:r>
            <w:r>
              <w:rPr>
                <w:rFonts w:hint="default" w:ascii="Times New Roman" w:hAnsi="Times New Roman" w:eastAsia="宋体" w:cs="Times New Roman"/>
                <w:color w:val="0000C7"/>
                <w:lang w:val="en-US" w:eastAsia="zh-CN"/>
              </w:rPr>
              <w:t>本项目区</w:t>
            </w:r>
            <w:r>
              <w:rPr>
                <w:rFonts w:hint="eastAsia" w:ascii="Times New Roman" w:hAnsi="Times New Roman" w:cs="Times New Roman"/>
                <w:color w:val="0000C7"/>
                <w:lang w:val="en-US" w:eastAsia="zh-CN"/>
              </w:rPr>
              <w:t>土壤类型为人为土，</w:t>
            </w:r>
            <w:r>
              <w:rPr>
                <w:rFonts w:hint="default" w:ascii="Times New Roman" w:hAnsi="Times New Roman" w:eastAsia="宋体" w:cs="Times New Roman"/>
                <w:color w:val="0000C7"/>
                <w:lang w:val="en-US" w:eastAsia="zh-CN"/>
              </w:rPr>
              <w:t>以灌淤土和潮土为主。土壤土层较厚，土壤肥力较高，质地适中，结构良好，土壤有机质含量平均 1.10%，分级为有机质含量低、氮少、缺磷、富含速效钾土壤，适宜耕作、栽植。</w:t>
            </w:r>
          </w:p>
          <w:p w14:paraId="6CA02726">
            <w:pPr>
              <w:pStyle w:val="113"/>
              <w:ind w:firstLine="480"/>
              <w:rPr>
                <w:rFonts w:hint="default" w:ascii="Times New Roman" w:hAnsi="Times New Roman" w:eastAsia="宋体" w:cs="Times New Roman"/>
                <w:color w:val="0000C7"/>
              </w:rPr>
            </w:pPr>
            <w:r>
              <w:rPr>
                <w:rFonts w:hint="default" w:ascii="Times New Roman" w:hAnsi="Times New Roman" w:eastAsia="宋体" w:cs="Times New Roman"/>
                <w:color w:val="0000C7"/>
              </w:rPr>
              <w:t>（2）植被现状及评价</w:t>
            </w:r>
          </w:p>
          <w:p w14:paraId="3EEA6E52">
            <w:pPr>
              <w:pStyle w:val="113"/>
              <w:ind w:firstLine="480"/>
              <w:rPr>
                <w:rFonts w:hint="default" w:ascii="Times New Roman" w:hAnsi="Times New Roman" w:eastAsia="宋体" w:cs="Times New Roman"/>
                <w:color w:val="0000C7"/>
                <w:lang w:val="en-US"/>
              </w:rPr>
            </w:pPr>
            <w:r>
              <w:rPr>
                <w:rFonts w:hint="default" w:ascii="Times New Roman" w:hAnsi="Times New Roman" w:cs="Times New Roman"/>
                <w:color w:val="0000C7"/>
                <w:lang w:val="en-US" w:eastAsia="zh-CN"/>
              </w:rPr>
              <w:t>本项目</w:t>
            </w:r>
            <w:r>
              <w:rPr>
                <w:rFonts w:hint="eastAsia" w:ascii="Times New Roman" w:hAnsi="Times New Roman" w:cs="Times New Roman"/>
                <w:color w:val="0000C7"/>
                <w:lang w:val="en-US" w:eastAsia="zh-CN"/>
              </w:rPr>
              <w:t>区域主要</w:t>
            </w:r>
            <w:r>
              <w:rPr>
                <w:rFonts w:hint="default" w:ascii="Times New Roman" w:hAnsi="Times New Roman" w:cs="Times New Roman"/>
                <w:color w:val="0000C7"/>
                <w:lang w:val="en-US" w:eastAsia="zh-CN"/>
              </w:rPr>
              <w:t>分布</w:t>
            </w:r>
            <w:r>
              <w:rPr>
                <w:rFonts w:hint="eastAsia" w:ascii="Times New Roman" w:hAnsi="Times New Roman" w:cs="Times New Roman"/>
                <w:color w:val="0000C7"/>
                <w:lang w:val="en-US" w:eastAsia="zh-CN"/>
              </w:rPr>
              <w:t>杨树、果树和</w:t>
            </w:r>
            <w:r>
              <w:rPr>
                <w:rFonts w:hint="default" w:ascii="Times New Roman" w:hAnsi="Times New Roman" w:eastAsia="宋体" w:cs="Times New Roman"/>
                <w:color w:val="0000C7"/>
              </w:rPr>
              <w:t>农作物</w:t>
            </w:r>
            <w:r>
              <w:rPr>
                <w:rFonts w:hint="eastAsia" w:ascii="Times New Roman" w:hAnsi="Times New Roman" w:cs="Times New Roman"/>
                <w:color w:val="0000C7"/>
                <w:lang w:eastAsia="zh-CN"/>
              </w:rPr>
              <w:t>，</w:t>
            </w:r>
            <w:r>
              <w:rPr>
                <w:rFonts w:hint="eastAsia" w:ascii="Times New Roman" w:hAnsi="Times New Roman" w:cs="Times New Roman"/>
                <w:color w:val="0000C7"/>
                <w:lang w:val="en-US" w:eastAsia="zh-CN"/>
              </w:rPr>
              <w:t>并有少量</w:t>
            </w:r>
            <w:r>
              <w:rPr>
                <w:rFonts w:hint="default" w:ascii="Times New Roman" w:hAnsi="Times New Roman" w:eastAsia="宋体" w:cs="Times New Roman"/>
                <w:color w:val="0000C7"/>
              </w:rPr>
              <w:t>旱生和多汁盐柴类荒漠植物。</w:t>
            </w:r>
            <w:r>
              <w:rPr>
                <w:rFonts w:hint="default" w:ascii="Times New Roman" w:hAnsi="Times New Roman" w:eastAsia="宋体" w:cs="Times New Roman"/>
                <w:color w:val="0000C7"/>
                <w:lang w:val="en-US" w:eastAsia="zh-CN"/>
              </w:rPr>
              <w:t>对照《新疆维吾尔自治区重点保护野生植物名录》（新政发〔2023〕63 号），项目区植被无重点保护野生植物</w:t>
            </w:r>
            <w:r>
              <w:rPr>
                <w:rFonts w:hint="default" w:ascii="Times New Roman" w:hAnsi="Times New Roman" w:eastAsia="宋体" w:cs="Times New Roman"/>
                <w:color w:val="0000C7"/>
                <w:kern w:val="2"/>
              </w:rPr>
              <w:t>。</w:t>
            </w:r>
          </w:p>
          <w:p w14:paraId="37FF61B4">
            <w:pPr>
              <w:pStyle w:val="113"/>
              <w:ind w:firstLine="480"/>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w:t>
            </w:r>
            <w:r>
              <w:rPr>
                <w:rFonts w:hint="eastAsia" w:ascii="Times New Roman" w:hAnsi="Times New Roman" w:eastAsia="宋体" w:cs="Times New Roman"/>
                <w:color w:val="0000FF"/>
                <w:lang w:val="en-US" w:eastAsia="zh-CN"/>
              </w:rPr>
              <w:t>3</w:t>
            </w:r>
            <w:r>
              <w:rPr>
                <w:rFonts w:hint="default" w:ascii="Times New Roman" w:hAnsi="Times New Roman" w:eastAsia="宋体" w:cs="Times New Roman"/>
                <w:color w:val="0000FF"/>
                <w:lang w:val="en-US" w:eastAsia="zh-CN"/>
              </w:rPr>
              <w:t>）</w:t>
            </w:r>
            <w:r>
              <w:rPr>
                <w:rFonts w:hint="eastAsia" w:ascii="Times New Roman" w:hAnsi="Times New Roman" w:eastAsia="宋体" w:cs="Times New Roman"/>
                <w:color w:val="0000FF"/>
                <w:lang w:val="en-US" w:eastAsia="zh-CN"/>
              </w:rPr>
              <w:t>土地利用现状</w:t>
            </w:r>
          </w:p>
          <w:p w14:paraId="5E87D83D">
            <w:pPr>
              <w:pStyle w:val="113"/>
              <w:ind w:firstLine="480"/>
              <w:rPr>
                <w:rFonts w:hint="eastAsia" w:ascii="Times New Roman" w:hAnsi="Times New Roman" w:eastAsia="宋体" w:cs="Times New Roman"/>
                <w:color w:val="0000FF"/>
                <w:lang w:val="en-US" w:eastAsia="zh-CN"/>
              </w:rPr>
            </w:pPr>
            <w:r>
              <w:rPr>
                <w:rFonts w:hint="eastAsia" w:ascii="Times New Roman" w:hAnsi="Times New Roman" w:cs="Times New Roman"/>
                <w:color w:val="0000FF"/>
                <w:lang w:val="en-US" w:eastAsia="zh-CN"/>
              </w:rPr>
              <w:t>根据现场踏勘</w:t>
            </w:r>
            <w:r>
              <w:rPr>
                <w:rFonts w:hint="eastAsia" w:ascii="Times New Roman" w:hAnsi="Times New Roman" w:eastAsia="宋体" w:cs="Times New Roman"/>
                <w:color w:val="0000FF"/>
                <w:lang w:val="en-US" w:eastAsia="zh-CN"/>
              </w:rPr>
              <w:t>，本项目</w:t>
            </w:r>
            <w:r>
              <w:rPr>
                <w:rFonts w:hint="eastAsia" w:ascii="Times New Roman" w:hAnsi="Times New Roman" w:cs="Times New Roman"/>
                <w:color w:val="0000FF"/>
                <w:lang w:val="en-US" w:eastAsia="zh-CN"/>
              </w:rPr>
              <w:t>占地</w:t>
            </w:r>
            <w:r>
              <w:rPr>
                <w:rFonts w:hint="eastAsia" w:ascii="Times New Roman" w:hAnsi="Times New Roman" w:eastAsia="宋体" w:cs="Times New Roman"/>
                <w:color w:val="0000FF"/>
                <w:lang w:val="en-US" w:eastAsia="zh-CN"/>
              </w:rPr>
              <w:t>土地利用现状为</w:t>
            </w:r>
            <w:r>
              <w:rPr>
                <w:rFonts w:hint="default" w:ascii="Times New Roman" w:hAnsi="Times New Roman" w:eastAsia="宋体" w:cs="Times New Roman"/>
                <w:color w:val="0000FF"/>
                <w:sz w:val="24"/>
                <w:lang w:val="en-US" w:eastAsia="zh-CN"/>
              </w:rPr>
              <w:t>耕地、沟渠、林地、园地</w:t>
            </w:r>
            <w:r>
              <w:rPr>
                <w:rFonts w:hint="default" w:ascii="Times New Roman" w:hAnsi="Times New Roman" w:eastAsia="宋体" w:cs="Times New Roman"/>
                <w:color w:val="0000FF"/>
                <w:kern w:val="2"/>
              </w:rPr>
              <w:t>。</w:t>
            </w:r>
          </w:p>
          <w:p w14:paraId="39887FDD">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eastAsia" w:ascii="Times New Roman" w:hAnsi="Times New Roman" w:cs="Times New Roman"/>
                <w:color w:val="auto"/>
                <w:lang w:val="en-US" w:eastAsia="zh-CN"/>
              </w:rPr>
              <w:t>4</w:t>
            </w:r>
            <w:r>
              <w:rPr>
                <w:rFonts w:hint="default" w:ascii="Times New Roman" w:hAnsi="Times New Roman" w:eastAsia="宋体" w:cs="Times New Roman"/>
                <w:color w:val="auto"/>
              </w:rPr>
              <w:t>）野生动物现状及评价</w:t>
            </w:r>
          </w:p>
          <w:p w14:paraId="39CF1ED3">
            <w:pPr>
              <w:pStyle w:val="113"/>
              <w:ind w:firstLine="480"/>
              <w:rPr>
                <w:rFonts w:hint="default" w:ascii="Times New Roman" w:hAnsi="Times New Roman" w:eastAsia="宋体" w:cs="Times New Roman"/>
                <w:color w:val="0000C7"/>
              </w:rPr>
            </w:pPr>
            <w:r>
              <w:rPr>
                <w:rFonts w:hint="default" w:ascii="Times New Roman" w:hAnsi="Times New Roman" w:eastAsia="宋体" w:cs="Times New Roman"/>
                <w:color w:val="0000C7"/>
              </w:rPr>
              <w:t>根据资料，项目区内野生动物主要有小家鼠、褐家鼠、野兔及小型鸟类等，</w:t>
            </w:r>
            <w:r>
              <w:rPr>
                <w:rFonts w:hint="default" w:ascii="Times New Roman" w:hAnsi="Times New Roman" w:eastAsia="宋体" w:cs="Times New Roman"/>
                <w:color w:val="0000C7"/>
                <w:lang w:val="en-US" w:eastAsia="zh-CN"/>
              </w:rPr>
              <w:t>对照根据《国家重点保护野生动物名录（2021 版）》及《新疆维吾尔自治区重点保护野生植物名录》，</w:t>
            </w:r>
            <w:r>
              <w:rPr>
                <w:rFonts w:hint="default" w:ascii="Times New Roman" w:hAnsi="Times New Roman" w:eastAsia="宋体" w:cs="Times New Roman"/>
                <w:color w:val="0000C7"/>
              </w:rPr>
              <w:t>无国家和自治区级野生保护动物。</w:t>
            </w:r>
          </w:p>
          <w:p w14:paraId="7E9DB701">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eastAsia" w:ascii="Times New Roman" w:hAnsi="Times New Roman" w:cs="Times New Roman"/>
                <w:color w:val="auto"/>
                <w:lang w:val="en-US" w:eastAsia="zh-CN"/>
              </w:rPr>
              <w:t>5</w:t>
            </w:r>
            <w:r>
              <w:rPr>
                <w:rFonts w:hint="default" w:ascii="Times New Roman" w:hAnsi="Times New Roman" w:eastAsia="宋体" w:cs="Times New Roman"/>
                <w:color w:val="auto"/>
              </w:rPr>
              <w:t>）水土流失</w:t>
            </w:r>
          </w:p>
          <w:p w14:paraId="6B063D08">
            <w:pPr>
              <w:pStyle w:val="113"/>
              <w:keepNext w:val="0"/>
              <w:keepLines w:val="0"/>
              <w:pageBreakBefore w:val="0"/>
              <w:widowControl/>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依据《新疆维吾尔自治区水土保持建设规划》，在对项目区实地调查的基础上，参照《土壤侵蚀分类分级标准》（SL190-2007）的土壤侵蚀强度分级标准和面蚀分级等指标，并考虑地形地貌、气候特征、土壤植被等特点，确定项目区水土流失类型为轻度风力、轻度水力侵蚀区，原生地貌侵蚀模数为1500t/（k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·a）。根据数学模型及取定的参数计算，则在项目建设施工期因扰动原生地貌，破坏地表植被造成的水土流失量为</w:t>
            </w:r>
            <w:r>
              <w:rPr>
                <w:rFonts w:hint="eastAsia" w:ascii="Times New Roman" w:hAnsi="Times New Roman" w:cs="Times New Roman"/>
                <w:color w:val="auto"/>
                <w:lang w:val="en-US" w:eastAsia="zh-CN"/>
              </w:rPr>
              <w:t>39.73</w:t>
            </w:r>
            <w:r>
              <w:rPr>
                <w:rFonts w:hint="default" w:ascii="Times New Roman" w:hAnsi="Times New Roman" w:eastAsia="宋体" w:cs="Times New Roman"/>
                <w:color w:val="auto"/>
              </w:rPr>
              <w:t>t。</w:t>
            </w:r>
          </w:p>
          <w:p w14:paraId="538F7328">
            <w:pPr>
              <w:pStyle w:val="113"/>
              <w:keepNext w:val="0"/>
              <w:keepLines w:val="0"/>
              <w:pageBreakBefore w:val="0"/>
              <w:widowControl/>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w:t>
            </w:r>
            <w:r>
              <w:rPr>
                <w:rFonts w:hint="eastAsia" w:ascii="Times New Roman" w:hAnsi="Times New Roman" w:cs="Times New Roman"/>
                <w:color w:val="auto"/>
                <w:lang w:val="en-US" w:eastAsia="zh-CN"/>
              </w:rPr>
              <w:t>6</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地表水</w:t>
            </w:r>
          </w:p>
          <w:p w14:paraId="25CC8004">
            <w:pPr>
              <w:pStyle w:val="113"/>
              <w:keepNext w:val="0"/>
              <w:keepLines w:val="0"/>
              <w:pageBreakBefore w:val="0"/>
              <w:widowControl/>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叶尔羌河流域灌区总面积为16042km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，灌区东西两侧处在塔克拉玛干大沙漠与布古里、托克拉克沙漠的挟持之中，呈带状分布，宽40～80km，长400km。叶尔羌河流域灌区水资源开发历史悠久，现已发展成为我国第四大灌区，灌溉面积753.39万亩。</w:t>
            </w:r>
            <w:r>
              <w:rPr>
                <w:rFonts w:hint="eastAsia" w:ascii="Times New Roman" w:hAnsi="Times New Roman" w:cs="Times New Roman"/>
                <w:color w:val="0000FF"/>
                <w:highlight w:val="none"/>
                <w:lang w:val="en-US" w:eastAsia="zh-CN"/>
              </w:rPr>
              <w:t>本项目距离叶尔羌河600m，上级渠道为团结渠和栏杆渠</w:t>
            </w:r>
            <w:r>
              <w:rPr>
                <w:rFonts w:hint="default" w:ascii="Times New Roman" w:hAnsi="Times New Roman" w:eastAsia="宋体" w:cs="Times New Roman"/>
                <w:color w:val="0000FF"/>
                <w:highlight w:val="none"/>
                <w:lang w:val="en-US" w:eastAsia="zh-CN"/>
              </w:rPr>
              <w:t>。</w:t>
            </w:r>
          </w:p>
          <w:p w14:paraId="13744C3A">
            <w:pPr>
              <w:spacing w:line="360" w:lineRule="auto"/>
              <w:ind w:firstLine="482" w:firstLineChars="200"/>
              <w:rPr>
                <w:rFonts w:hint="default" w:ascii="Times New Roman" w:hAnsi="Times New Roman" w:eastAsia="宋体" w:cs="Times New Roman"/>
                <w:b/>
                <w:bCs/>
                <w:color w:val="auto"/>
                <w:sz w:val="24"/>
                <w:lang w:val="zh-CN"/>
              </w:rPr>
            </w:pPr>
            <w:r>
              <w:rPr>
                <w:rFonts w:hint="default" w:ascii="Times New Roman" w:hAnsi="Times New Roman" w:eastAsia="宋体" w:cs="Times New Roman"/>
                <w:b/>
                <w:bCs/>
                <w:color w:val="auto"/>
                <w:sz w:val="24"/>
                <w:lang w:val="zh-CN"/>
              </w:rPr>
              <w:t>2水、气、声环境质量现状</w:t>
            </w:r>
          </w:p>
          <w:p w14:paraId="764B2316">
            <w:pPr>
              <w:spacing w:line="360" w:lineRule="auto"/>
              <w:ind w:firstLine="482" w:firstLineChars="200"/>
              <w:outlineLvl w:val="1"/>
              <w:rPr>
                <w:rFonts w:hint="default" w:ascii="Times New Roman" w:hAnsi="Times New Roman" w:eastAsia="宋体" w:cs="Times New Roman"/>
                <w:b/>
                <w:bCs/>
                <w:color w:val="auto"/>
                <w:sz w:val="24"/>
              </w:rPr>
            </w:pPr>
            <w:bookmarkStart w:id="3" w:name="_Toc327458768"/>
            <w:bookmarkStart w:id="4" w:name="_Toc354572453"/>
            <w:bookmarkStart w:id="5" w:name="_Toc335315150"/>
            <w:bookmarkStart w:id="6" w:name="_Toc448762846"/>
            <w:r>
              <w:rPr>
                <w:rFonts w:hint="default" w:ascii="Times New Roman" w:hAnsi="Times New Roman" w:eastAsia="宋体" w:cs="Times New Roman"/>
                <w:b/>
                <w:bCs/>
                <w:color w:val="auto"/>
                <w:sz w:val="24"/>
              </w:rPr>
              <w:t>2.1空气环境质量现状调查与评价</w:t>
            </w:r>
          </w:p>
          <w:p w14:paraId="0FF51773">
            <w:pPr>
              <w:pStyle w:val="26"/>
              <w:spacing w:after="0" w:line="360" w:lineRule="auto"/>
              <w:ind w:left="0" w:lef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（1）数据来源</w:t>
            </w:r>
          </w:p>
          <w:p w14:paraId="68D40D02">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选择中国环境影响评价网环境空气质量模型技术支持服务系统中</w:t>
            </w:r>
            <w:r>
              <w:rPr>
                <w:rFonts w:hint="default" w:ascii="Times New Roman" w:hAnsi="Times New Roman" w:eastAsia="宋体" w:cs="Times New Roman"/>
                <w:color w:val="auto"/>
                <w:sz w:val="24"/>
                <w:lang w:val="en-US" w:eastAsia="zh-CN"/>
              </w:rPr>
              <w:t>莎车县</w:t>
            </w:r>
            <w:r>
              <w:rPr>
                <w:rFonts w:hint="default" w:ascii="Times New Roman" w:hAnsi="Times New Roman" w:eastAsia="宋体" w:cs="Times New Roman"/>
                <w:color w:val="auto"/>
                <w:sz w:val="24"/>
              </w:rPr>
              <w:t>202</w:t>
            </w:r>
            <w:r>
              <w:rPr>
                <w:rFonts w:hint="eastAsia" w:ascii="Times New Roman" w:hAnsi="Times New Roman" w:cs="Times New Roman"/>
                <w:color w:val="auto"/>
                <w:sz w:val="24"/>
                <w:lang w:val="en-US" w:eastAsia="zh-CN"/>
              </w:rPr>
              <w:t>3</w:t>
            </w:r>
            <w:r>
              <w:rPr>
                <w:rFonts w:hint="default" w:ascii="Times New Roman" w:hAnsi="Times New Roman" w:eastAsia="宋体" w:cs="Times New Roman"/>
                <w:color w:val="auto"/>
                <w:sz w:val="24"/>
              </w:rPr>
              <w:t>年的监测数据，作为基本污染物SO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、NO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、PM</w:t>
            </w:r>
            <w:r>
              <w:rPr>
                <w:rFonts w:hint="default" w:ascii="Times New Roman" w:hAnsi="Times New Roman" w:eastAsia="宋体" w:cs="Times New Roman"/>
                <w:color w:val="auto"/>
                <w:sz w:val="24"/>
                <w:vertAlign w:val="subscript"/>
              </w:rPr>
              <w:t>10</w:t>
            </w:r>
            <w:r>
              <w:rPr>
                <w:rFonts w:hint="default" w:ascii="Times New Roman" w:hAnsi="Times New Roman" w:eastAsia="宋体" w:cs="Times New Roman"/>
                <w:color w:val="auto"/>
                <w:sz w:val="24"/>
              </w:rPr>
              <w:t>、PM</w:t>
            </w:r>
            <w:r>
              <w:rPr>
                <w:rFonts w:hint="default" w:ascii="Times New Roman" w:hAnsi="Times New Roman" w:eastAsia="宋体" w:cs="Times New Roman"/>
                <w:color w:val="auto"/>
                <w:sz w:val="24"/>
                <w:vertAlign w:val="subscript"/>
              </w:rPr>
              <w:t>2.5</w:t>
            </w:r>
            <w:r>
              <w:rPr>
                <w:rFonts w:hint="default" w:ascii="Times New Roman" w:hAnsi="Times New Roman" w:eastAsia="宋体" w:cs="Times New Roman"/>
                <w:color w:val="auto"/>
                <w:sz w:val="24"/>
              </w:rPr>
              <w:t>、CO和O</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的数据来源。</w:t>
            </w:r>
          </w:p>
          <w:p w14:paraId="704F2692">
            <w:pPr>
              <w:pStyle w:val="26"/>
              <w:spacing w:after="0" w:line="360" w:lineRule="auto"/>
              <w:ind w:left="0" w:leftChars="0" w:firstLine="480" w:firstLineChars="200"/>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（2）评价标准</w:t>
            </w:r>
          </w:p>
          <w:p w14:paraId="5A4682D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基本污染物SO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、NO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、PM</w:t>
            </w:r>
            <w:r>
              <w:rPr>
                <w:rFonts w:hint="default" w:ascii="Times New Roman" w:hAnsi="Times New Roman" w:eastAsia="宋体" w:cs="Times New Roman"/>
                <w:color w:val="auto"/>
                <w:sz w:val="24"/>
                <w:vertAlign w:val="subscript"/>
              </w:rPr>
              <w:t>10</w:t>
            </w:r>
            <w:r>
              <w:rPr>
                <w:rFonts w:hint="default" w:ascii="Times New Roman" w:hAnsi="Times New Roman" w:eastAsia="宋体" w:cs="Times New Roman"/>
                <w:color w:val="auto"/>
                <w:sz w:val="24"/>
              </w:rPr>
              <w:t>、PM</w:t>
            </w:r>
            <w:r>
              <w:rPr>
                <w:rFonts w:hint="default" w:ascii="Times New Roman" w:hAnsi="Times New Roman" w:eastAsia="宋体" w:cs="Times New Roman"/>
                <w:color w:val="auto"/>
                <w:sz w:val="24"/>
                <w:vertAlign w:val="subscript"/>
              </w:rPr>
              <w:t>2.5</w:t>
            </w:r>
            <w:r>
              <w:rPr>
                <w:rFonts w:hint="default" w:ascii="Times New Roman" w:hAnsi="Times New Roman" w:eastAsia="宋体" w:cs="Times New Roman"/>
                <w:color w:val="auto"/>
                <w:sz w:val="24"/>
              </w:rPr>
              <w:t>、CO和O</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执行《环境空气质量标准》（GB3095-2012）中的二级标准。</w:t>
            </w:r>
          </w:p>
          <w:p w14:paraId="0ADF130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（3）评价方法</w:t>
            </w:r>
          </w:p>
          <w:p w14:paraId="480D1AE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评价方法：基本污染物按照《环境空气质量评价技术规范（试行）》（HJ663-2013）中各评价项目的年评价指标进行判定。年评价指标中的年均浓度和相应百分位数24h平均或8h平均质量浓度满足GB3095中浓度限值要求的即为达标。对于超标的污染物，计算其超标倍数和超标率。</w:t>
            </w:r>
          </w:p>
          <w:p w14:paraId="0A72409D">
            <w:pPr>
              <w:numPr>
                <w:ilvl w:val="0"/>
                <w:numId w:val="3"/>
              </w:num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空气质量达标区判定</w:t>
            </w:r>
          </w:p>
          <w:p w14:paraId="4110F63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莎车县</w:t>
            </w:r>
            <w:r>
              <w:rPr>
                <w:rFonts w:hint="default" w:ascii="Times New Roman" w:hAnsi="Times New Roman" w:eastAsia="宋体" w:cs="Times New Roman"/>
                <w:color w:val="auto"/>
                <w:sz w:val="24"/>
              </w:rPr>
              <w:t>202</w:t>
            </w:r>
            <w:r>
              <w:rPr>
                <w:rFonts w:hint="eastAsia" w:ascii="Times New Roman" w:hAnsi="Times New Roman" w:cs="Times New Roman"/>
                <w:color w:val="auto"/>
                <w:sz w:val="24"/>
                <w:lang w:val="en-US" w:eastAsia="zh-CN"/>
              </w:rPr>
              <w:t>3</w:t>
            </w:r>
            <w:r>
              <w:rPr>
                <w:rFonts w:hint="default" w:ascii="Times New Roman" w:hAnsi="Times New Roman" w:eastAsia="宋体" w:cs="Times New Roman"/>
                <w:color w:val="auto"/>
                <w:sz w:val="24"/>
              </w:rPr>
              <w:t>空气质量达标区判定结果见表</w:t>
            </w:r>
            <w:r>
              <w:rPr>
                <w:rFonts w:hint="default" w:ascii="Times New Roman" w:hAnsi="Times New Roman" w:eastAsia="宋体" w:cs="Times New Roman"/>
                <w:color w:val="auto"/>
                <w:sz w:val="24"/>
                <w:lang w:val="en-US" w:eastAsia="zh-CN"/>
              </w:rPr>
              <w:t>3-2</w:t>
            </w:r>
            <w:r>
              <w:rPr>
                <w:rFonts w:hint="default" w:ascii="Times New Roman" w:hAnsi="Times New Roman" w:eastAsia="宋体" w:cs="Times New Roman"/>
                <w:color w:val="auto"/>
                <w:sz w:val="24"/>
              </w:rPr>
              <w:t>。</w:t>
            </w:r>
          </w:p>
          <w:p w14:paraId="0A5C2FAA">
            <w:pPr>
              <w:ind w:firstLine="482"/>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表</w:t>
            </w:r>
            <w:r>
              <w:rPr>
                <w:rFonts w:hint="default" w:ascii="Times New Roman" w:hAnsi="Times New Roman" w:eastAsia="宋体" w:cs="Times New Roman"/>
                <w:b/>
                <w:color w:val="auto"/>
                <w:szCs w:val="21"/>
                <w:lang w:val="en-US" w:eastAsia="zh-CN"/>
              </w:rPr>
              <w:t>3-2</w:t>
            </w:r>
            <w:r>
              <w:rPr>
                <w:rFonts w:hint="default" w:ascii="Times New Roman" w:hAnsi="Times New Roman" w:eastAsia="宋体" w:cs="Times New Roman"/>
                <w:b/>
                <w:color w:val="auto"/>
                <w:szCs w:val="21"/>
              </w:rPr>
              <w:t>区域空气质量现状评价结果一览表</w:t>
            </w:r>
          </w:p>
          <w:tbl>
            <w:tblPr>
              <w:tblStyle w:val="33"/>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1"/>
              <w:gridCol w:w="3485"/>
              <w:gridCol w:w="1313"/>
              <w:gridCol w:w="1307"/>
              <w:gridCol w:w="1504"/>
            </w:tblGrid>
            <w:tr w14:paraId="32AE6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6" w:type="pct"/>
                  <w:noWrap w:val="0"/>
                  <w:vAlign w:val="center"/>
                </w:tcPr>
                <w:p w14:paraId="14B0CFB3">
                  <w:pPr>
                    <w:pStyle w:val="111"/>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评价因子</w:t>
                  </w:r>
                </w:p>
              </w:tc>
              <w:tc>
                <w:tcPr>
                  <w:tcW w:w="1970" w:type="pct"/>
                  <w:noWrap w:val="0"/>
                  <w:vAlign w:val="center"/>
                </w:tcPr>
                <w:p w14:paraId="7BB2328A">
                  <w:pPr>
                    <w:pStyle w:val="111"/>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年评价指标</w:t>
                  </w:r>
                </w:p>
              </w:tc>
              <w:tc>
                <w:tcPr>
                  <w:tcW w:w="742" w:type="pct"/>
                  <w:noWrap w:val="0"/>
                  <w:vAlign w:val="center"/>
                </w:tcPr>
                <w:p w14:paraId="10F1C164">
                  <w:pPr>
                    <w:pStyle w:val="111"/>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现状浓度</w:t>
                  </w:r>
                </w:p>
              </w:tc>
              <w:tc>
                <w:tcPr>
                  <w:tcW w:w="739" w:type="pct"/>
                  <w:noWrap w:val="0"/>
                  <w:vAlign w:val="center"/>
                </w:tcPr>
                <w:p w14:paraId="0184E776">
                  <w:pPr>
                    <w:pStyle w:val="111"/>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标准限值</w:t>
                  </w:r>
                </w:p>
              </w:tc>
              <w:tc>
                <w:tcPr>
                  <w:tcW w:w="850" w:type="pct"/>
                  <w:noWrap w:val="0"/>
                  <w:vAlign w:val="center"/>
                </w:tcPr>
                <w:p w14:paraId="12E3E186">
                  <w:pPr>
                    <w:pStyle w:val="111"/>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达标情况</w:t>
                  </w:r>
                </w:p>
              </w:tc>
            </w:tr>
            <w:tr w14:paraId="6D4E3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6" w:type="pct"/>
                  <w:vMerge w:val="restart"/>
                  <w:noWrap w:val="0"/>
                  <w:vAlign w:val="center"/>
                </w:tcPr>
                <w:p w14:paraId="4B5F5F77">
                  <w:pPr>
                    <w:pStyle w:val="111"/>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SO</w:t>
                  </w:r>
                  <w:r>
                    <w:rPr>
                      <w:rFonts w:hint="default" w:ascii="Times New Roman" w:hAnsi="Times New Roman" w:cs="Times New Roman" w:eastAsiaTheme="minorEastAsia"/>
                      <w:color w:val="auto"/>
                      <w:sz w:val="21"/>
                      <w:szCs w:val="21"/>
                      <w:highlight w:val="none"/>
                      <w:vertAlign w:val="subscript"/>
                    </w:rPr>
                    <w:t>2</w:t>
                  </w:r>
                </w:p>
              </w:tc>
              <w:tc>
                <w:tcPr>
                  <w:tcW w:w="1970" w:type="pct"/>
                  <w:noWrap w:val="0"/>
                  <w:vAlign w:val="center"/>
                </w:tcPr>
                <w:p w14:paraId="2D595AF5">
                  <w:pPr>
                    <w:pStyle w:val="111"/>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年平均</w:t>
                  </w:r>
                </w:p>
              </w:tc>
              <w:tc>
                <w:tcPr>
                  <w:tcW w:w="742" w:type="pct"/>
                  <w:noWrap w:val="0"/>
                  <w:vAlign w:val="center"/>
                </w:tcPr>
                <w:p w14:paraId="0564572B">
                  <w:pPr>
                    <w:pStyle w:val="111"/>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6</w:t>
                  </w:r>
                  <w:r>
                    <w:rPr>
                      <w:rFonts w:hint="default" w:ascii="Times New Roman" w:hAnsi="Times New Roman" w:cs="Times New Roman" w:eastAsiaTheme="minorEastAsia"/>
                      <w:color w:val="auto"/>
                      <w:sz w:val="21"/>
                      <w:szCs w:val="21"/>
                      <w:highlight w:val="none"/>
                    </w:rPr>
                    <w:t>μg/m</w:t>
                  </w:r>
                  <w:r>
                    <w:rPr>
                      <w:rFonts w:hint="default" w:ascii="Times New Roman" w:hAnsi="Times New Roman" w:cs="Times New Roman" w:eastAsiaTheme="minorEastAsia"/>
                      <w:color w:val="auto"/>
                      <w:sz w:val="21"/>
                      <w:szCs w:val="21"/>
                      <w:highlight w:val="none"/>
                      <w:vertAlign w:val="superscript"/>
                    </w:rPr>
                    <w:t>3</w:t>
                  </w:r>
                </w:p>
              </w:tc>
              <w:tc>
                <w:tcPr>
                  <w:tcW w:w="739" w:type="pct"/>
                  <w:noWrap w:val="0"/>
                  <w:vAlign w:val="center"/>
                </w:tcPr>
                <w:p w14:paraId="6A9C409C">
                  <w:pPr>
                    <w:pStyle w:val="111"/>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60μg/m</w:t>
                  </w:r>
                  <w:r>
                    <w:rPr>
                      <w:rFonts w:hint="default" w:ascii="Times New Roman" w:hAnsi="Times New Roman" w:cs="Times New Roman" w:eastAsiaTheme="minorEastAsia"/>
                      <w:color w:val="auto"/>
                      <w:sz w:val="21"/>
                      <w:szCs w:val="21"/>
                      <w:highlight w:val="none"/>
                      <w:vertAlign w:val="superscript"/>
                    </w:rPr>
                    <w:t>3</w:t>
                  </w:r>
                </w:p>
              </w:tc>
              <w:tc>
                <w:tcPr>
                  <w:tcW w:w="850" w:type="pct"/>
                  <w:noWrap w:val="0"/>
                  <w:vAlign w:val="center"/>
                </w:tcPr>
                <w:p w14:paraId="1BEE6F9C">
                  <w:pPr>
                    <w:pStyle w:val="111"/>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达标</w:t>
                  </w:r>
                </w:p>
              </w:tc>
            </w:tr>
            <w:tr w14:paraId="47388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6" w:type="pct"/>
                  <w:vMerge w:val="continue"/>
                  <w:noWrap w:val="0"/>
                  <w:vAlign w:val="center"/>
                </w:tcPr>
                <w:p w14:paraId="5B681E4A">
                  <w:pPr>
                    <w:pStyle w:val="111"/>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rPr>
                  </w:pPr>
                </w:p>
              </w:tc>
              <w:tc>
                <w:tcPr>
                  <w:tcW w:w="1970" w:type="pct"/>
                  <w:noWrap w:val="0"/>
                  <w:vAlign w:val="center"/>
                </w:tcPr>
                <w:p w14:paraId="57C9C0B7">
                  <w:pPr>
                    <w:pStyle w:val="111"/>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第98百分位数日平均浓度</w:t>
                  </w:r>
                </w:p>
              </w:tc>
              <w:tc>
                <w:tcPr>
                  <w:tcW w:w="742" w:type="pct"/>
                  <w:noWrap w:val="0"/>
                  <w:vAlign w:val="center"/>
                </w:tcPr>
                <w:p w14:paraId="0C1B6FC0">
                  <w:pPr>
                    <w:pStyle w:val="111"/>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w:t>
                  </w:r>
                </w:p>
              </w:tc>
              <w:tc>
                <w:tcPr>
                  <w:tcW w:w="739" w:type="pct"/>
                  <w:noWrap w:val="0"/>
                  <w:vAlign w:val="center"/>
                </w:tcPr>
                <w:p w14:paraId="6F9BFE48">
                  <w:pPr>
                    <w:pStyle w:val="111"/>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150μg/m</w:t>
                  </w:r>
                  <w:r>
                    <w:rPr>
                      <w:rFonts w:hint="default" w:ascii="Times New Roman" w:hAnsi="Times New Roman" w:cs="Times New Roman" w:eastAsiaTheme="minorEastAsia"/>
                      <w:color w:val="auto"/>
                      <w:sz w:val="21"/>
                      <w:szCs w:val="21"/>
                      <w:highlight w:val="none"/>
                      <w:vertAlign w:val="superscript"/>
                    </w:rPr>
                    <w:t>3</w:t>
                  </w:r>
                </w:p>
              </w:tc>
              <w:tc>
                <w:tcPr>
                  <w:tcW w:w="850" w:type="pct"/>
                  <w:noWrap w:val="0"/>
                  <w:vAlign w:val="center"/>
                </w:tcPr>
                <w:p w14:paraId="5D67E31E">
                  <w:pPr>
                    <w:pStyle w:val="111"/>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w:t>
                  </w:r>
                </w:p>
              </w:tc>
            </w:tr>
            <w:tr w14:paraId="45128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6" w:type="pct"/>
                  <w:vMerge w:val="restart"/>
                  <w:noWrap w:val="0"/>
                  <w:vAlign w:val="center"/>
                </w:tcPr>
                <w:p w14:paraId="594FC151">
                  <w:pPr>
                    <w:pStyle w:val="111"/>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NO</w:t>
                  </w:r>
                  <w:r>
                    <w:rPr>
                      <w:rFonts w:hint="default" w:ascii="Times New Roman" w:hAnsi="Times New Roman" w:cs="Times New Roman" w:eastAsiaTheme="minorEastAsia"/>
                      <w:color w:val="auto"/>
                      <w:sz w:val="21"/>
                      <w:szCs w:val="21"/>
                      <w:highlight w:val="none"/>
                      <w:vertAlign w:val="subscript"/>
                    </w:rPr>
                    <w:t>2</w:t>
                  </w:r>
                </w:p>
              </w:tc>
              <w:tc>
                <w:tcPr>
                  <w:tcW w:w="1970" w:type="pct"/>
                  <w:noWrap w:val="0"/>
                  <w:vAlign w:val="center"/>
                </w:tcPr>
                <w:p w14:paraId="38A1E29D">
                  <w:pPr>
                    <w:pStyle w:val="111"/>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年平均</w:t>
                  </w:r>
                </w:p>
              </w:tc>
              <w:tc>
                <w:tcPr>
                  <w:tcW w:w="742" w:type="pct"/>
                  <w:noWrap w:val="0"/>
                  <w:vAlign w:val="center"/>
                </w:tcPr>
                <w:p w14:paraId="4030BD55">
                  <w:pPr>
                    <w:pStyle w:val="111"/>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w:t>
                  </w:r>
                  <w:r>
                    <w:rPr>
                      <w:rFonts w:hint="default" w:ascii="Times New Roman" w:hAnsi="Times New Roman" w:cs="Times New Roman" w:eastAsiaTheme="minorEastAsia"/>
                      <w:color w:val="auto"/>
                      <w:sz w:val="21"/>
                      <w:szCs w:val="21"/>
                      <w:highlight w:val="none"/>
                      <w:lang w:val="en-US" w:eastAsia="zh-CN"/>
                    </w:rPr>
                    <w:t>1</w:t>
                  </w:r>
                  <w:r>
                    <w:rPr>
                      <w:rFonts w:hint="default" w:ascii="Times New Roman" w:hAnsi="Times New Roman" w:cs="Times New Roman" w:eastAsiaTheme="minorEastAsia"/>
                      <w:color w:val="auto"/>
                      <w:sz w:val="21"/>
                      <w:szCs w:val="21"/>
                      <w:highlight w:val="none"/>
                    </w:rPr>
                    <w:t>μg/m</w:t>
                  </w:r>
                  <w:r>
                    <w:rPr>
                      <w:rFonts w:hint="default" w:ascii="Times New Roman" w:hAnsi="Times New Roman" w:cs="Times New Roman" w:eastAsiaTheme="minorEastAsia"/>
                      <w:color w:val="auto"/>
                      <w:sz w:val="21"/>
                      <w:szCs w:val="21"/>
                      <w:highlight w:val="none"/>
                      <w:vertAlign w:val="superscript"/>
                    </w:rPr>
                    <w:t>3</w:t>
                  </w:r>
                </w:p>
              </w:tc>
              <w:tc>
                <w:tcPr>
                  <w:tcW w:w="739" w:type="pct"/>
                  <w:noWrap w:val="0"/>
                  <w:vAlign w:val="center"/>
                </w:tcPr>
                <w:p w14:paraId="1D9EC994">
                  <w:pPr>
                    <w:pStyle w:val="111"/>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40μg/m</w:t>
                  </w:r>
                  <w:r>
                    <w:rPr>
                      <w:rFonts w:hint="default" w:ascii="Times New Roman" w:hAnsi="Times New Roman" w:cs="Times New Roman" w:eastAsiaTheme="minorEastAsia"/>
                      <w:color w:val="auto"/>
                      <w:sz w:val="21"/>
                      <w:szCs w:val="21"/>
                      <w:highlight w:val="none"/>
                      <w:vertAlign w:val="superscript"/>
                    </w:rPr>
                    <w:t>3</w:t>
                  </w:r>
                </w:p>
              </w:tc>
              <w:tc>
                <w:tcPr>
                  <w:tcW w:w="850" w:type="pct"/>
                  <w:noWrap w:val="0"/>
                  <w:vAlign w:val="center"/>
                </w:tcPr>
                <w:p w14:paraId="223C4397">
                  <w:pPr>
                    <w:pStyle w:val="111"/>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达标</w:t>
                  </w:r>
                </w:p>
              </w:tc>
            </w:tr>
            <w:tr w14:paraId="6618A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6" w:type="pct"/>
                  <w:vMerge w:val="continue"/>
                  <w:noWrap w:val="0"/>
                  <w:vAlign w:val="center"/>
                </w:tcPr>
                <w:p w14:paraId="245C463B">
                  <w:pPr>
                    <w:pStyle w:val="111"/>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rPr>
                  </w:pPr>
                </w:p>
              </w:tc>
              <w:tc>
                <w:tcPr>
                  <w:tcW w:w="1970" w:type="pct"/>
                  <w:noWrap w:val="0"/>
                  <w:vAlign w:val="center"/>
                </w:tcPr>
                <w:p w14:paraId="12D2C449">
                  <w:pPr>
                    <w:pStyle w:val="111"/>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第98百分位数日平均浓度</w:t>
                  </w:r>
                </w:p>
              </w:tc>
              <w:tc>
                <w:tcPr>
                  <w:tcW w:w="742" w:type="pct"/>
                  <w:noWrap w:val="0"/>
                  <w:vAlign w:val="center"/>
                </w:tcPr>
                <w:p w14:paraId="6C552FF6">
                  <w:pPr>
                    <w:pStyle w:val="111"/>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w:t>
                  </w:r>
                </w:p>
              </w:tc>
              <w:tc>
                <w:tcPr>
                  <w:tcW w:w="739" w:type="pct"/>
                  <w:noWrap w:val="0"/>
                  <w:vAlign w:val="center"/>
                </w:tcPr>
                <w:p w14:paraId="4D92BD23">
                  <w:pPr>
                    <w:pStyle w:val="111"/>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8</w:t>
                  </w:r>
                  <w:r>
                    <w:rPr>
                      <w:rFonts w:hint="default" w:ascii="Times New Roman" w:hAnsi="Times New Roman" w:cs="Times New Roman" w:eastAsiaTheme="minorEastAsia"/>
                      <w:color w:val="auto"/>
                      <w:sz w:val="21"/>
                      <w:szCs w:val="21"/>
                      <w:highlight w:val="none"/>
                    </w:rPr>
                    <w:t>0μg/m</w:t>
                  </w:r>
                  <w:r>
                    <w:rPr>
                      <w:rFonts w:hint="default" w:ascii="Times New Roman" w:hAnsi="Times New Roman" w:cs="Times New Roman" w:eastAsiaTheme="minorEastAsia"/>
                      <w:color w:val="auto"/>
                      <w:sz w:val="21"/>
                      <w:szCs w:val="21"/>
                      <w:highlight w:val="none"/>
                      <w:vertAlign w:val="superscript"/>
                    </w:rPr>
                    <w:t>3</w:t>
                  </w:r>
                </w:p>
              </w:tc>
              <w:tc>
                <w:tcPr>
                  <w:tcW w:w="850" w:type="pct"/>
                  <w:noWrap w:val="0"/>
                  <w:vAlign w:val="center"/>
                </w:tcPr>
                <w:p w14:paraId="72AE8AD1">
                  <w:pPr>
                    <w:pStyle w:val="111"/>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w:t>
                  </w:r>
                </w:p>
              </w:tc>
            </w:tr>
            <w:tr w14:paraId="0AB0C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6" w:type="pct"/>
                  <w:noWrap w:val="0"/>
                  <w:vAlign w:val="center"/>
                </w:tcPr>
                <w:p w14:paraId="774868E7">
                  <w:pPr>
                    <w:pStyle w:val="111"/>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CO</w:t>
                  </w:r>
                </w:p>
              </w:tc>
              <w:tc>
                <w:tcPr>
                  <w:tcW w:w="1970" w:type="pct"/>
                  <w:noWrap w:val="0"/>
                  <w:vAlign w:val="center"/>
                </w:tcPr>
                <w:p w14:paraId="3E0A7864">
                  <w:pPr>
                    <w:pStyle w:val="111"/>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24h平均第95百分位数</w:t>
                  </w:r>
                </w:p>
              </w:tc>
              <w:tc>
                <w:tcPr>
                  <w:tcW w:w="742" w:type="pct"/>
                  <w:noWrap w:val="0"/>
                  <w:vAlign w:val="center"/>
                </w:tcPr>
                <w:p w14:paraId="666505A8">
                  <w:pPr>
                    <w:pStyle w:val="111"/>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3.2</w:t>
                  </w:r>
                  <w:r>
                    <w:rPr>
                      <w:rFonts w:hint="default" w:ascii="Times New Roman" w:hAnsi="Times New Roman" w:cs="Times New Roman" w:eastAsiaTheme="minorEastAsia"/>
                      <w:color w:val="auto"/>
                      <w:sz w:val="21"/>
                      <w:szCs w:val="21"/>
                      <w:highlight w:val="none"/>
                    </w:rPr>
                    <w:t>mg/m</w:t>
                  </w:r>
                  <w:r>
                    <w:rPr>
                      <w:rFonts w:hint="default" w:ascii="Times New Roman" w:hAnsi="Times New Roman" w:cs="Times New Roman" w:eastAsiaTheme="minorEastAsia"/>
                      <w:color w:val="auto"/>
                      <w:sz w:val="21"/>
                      <w:szCs w:val="21"/>
                      <w:highlight w:val="none"/>
                      <w:vertAlign w:val="superscript"/>
                    </w:rPr>
                    <w:t>3</w:t>
                  </w:r>
                </w:p>
              </w:tc>
              <w:tc>
                <w:tcPr>
                  <w:tcW w:w="739" w:type="pct"/>
                  <w:noWrap w:val="0"/>
                  <w:vAlign w:val="center"/>
                </w:tcPr>
                <w:p w14:paraId="0DEA8F92">
                  <w:pPr>
                    <w:pStyle w:val="111"/>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4mg/m</w:t>
                  </w:r>
                  <w:r>
                    <w:rPr>
                      <w:rFonts w:hint="default" w:ascii="Times New Roman" w:hAnsi="Times New Roman" w:cs="Times New Roman" w:eastAsiaTheme="minorEastAsia"/>
                      <w:color w:val="auto"/>
                      <w:sz w:val="21"/>
                      <w:szCs w:val="21"/>
                      <w:highlight w:val="none"/>
                      <w:vertAlign w:val="superscript"/>
                    </w:rPr>
                    <w:t>3</w:t>
                  </w:r>
                </w:p>
              </w:tc>
              <w:tc>
                <w:tcPr>
                  <w:tcW w:w="850" w:type="pct"/>
                  <w:noWrap w:val="0"/>
                  <w:vAlign w:val="center"/>
                </w:tcPr>
                <w:p w14:paraId="3C2EC741">
                  <w:pPr>
                    <w:pStyle w:val="111"/>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达标</w:t>
                  </w:r>
                </w:p>
              </w:tc>
            </w:tr>
            <w:tr w14:paraId="17960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6" w:type="pct"/>
                  <w:noWrap w:val="0"/>
                  <w:vAlign w:val="center"/>
                </w:tcPr>
                <w:p w14:paraId="190CCBA0">
                  <w:pPr>
                    <w:pStyle w:val="111"/>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O</w:t>
                  </w:r>
                  <w:r>
                    <w:rPr>
                      <w:rFonts w:hint="default" w:ascii="Times New Roman" w:hAnsi="Times New Roman" w:cs="Times New Roman" w:eastAsiaTheme="minorEastAsia"/>
                      <w:color w:val="auto"/>
                      <w:sz w:val="21"/>
                      <w:szCs w:val="21"/>
                      <w:highlight w:val="none"/>
                      <w:vertAlign w:val="subscript"/>
                    </w:rPr>
                    <w:t>3</w:t>
                  </w:r>
                </w:p>
              </w:tc>
              <w:tc>
                <w:tcPr>
                  <w:tcW w:w="1970" w:type="pct"/>
                  <w:noWrap w:val="0"/>
                  <w:vAlign w:val="center"/>
                </w:tcPr>
                <w:p w14:paraId="7BF728C1">
                  <w:pPr>
                    <w:pStyle w:val="111"/>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日最大8h平均第90百分位数</w:t>
                  </w:r>
                </w:p>
              </w:tc>
              <w:tc>
                <w:tcPr>
                  <w:tcW w:w="742" w:type="pct"/>
                  <w:noWrap w:val="0"/>
                  <w:vAlign w:val="center"/>
                </w:tcPr>
                <w:p w14:paraId="481CDD1A">
                  <w:pPr>
                    <w:pStyle w:val="111"/>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141</w:t>
                  </w:r>
                  <w:r>
                    <w:rPr>
                      <w:rFonts w:hint="default" w:ascii="Times New Roman" w:hAnsi="Times New Roman" w:cs="Times New Roman" w:eastAsiaTheme="minorEastAsia"/>
                      <w:color w:val="auto"/>
                      <w:sz w:val="21"/>
                      <w:szCs w:val="21"/>
                      <w:highlight w:val="none"/>
                    </w:rPr>
                    <w:t>μg/m</w:t>
                  </w:r>
                  <w:r>
                    <w:rPr>
                      <w:rFonts w:hint="default" w:ascii="Times New Roman" w:hAnsi="Times New Roman" w:cs="Times New Roman" w:eastAsiaTheme="minorEastAsia"/>
                      <w:color w:val="auto"/>
                      <w:sz w:val="21"/>
                      <w:szCs w:val="21"/>
                      <w:highlight w:val="none"/>
                      <w:vertAlign w:val="superscript"/>
                    </w:rPr>
                    <w:t>3</w:t>
                  </w:r>
                </w:p>
              </w:tc>
              <w:tc>
                <w:tcPr>
                  <w:tcW w:w="739" w:type="pct"/>
                  <w:noWrap w:val="0"/>
                  <w:vAlign w:val="center"/>
                </w:tcPr>
                <w:p w14:paraId="4A1B0920">
                  <w:pPr>
                    <w:pStyle w:val="111"/>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160μg/m</w:t>
                  </w:r>
                  <w:r>
                    <w:rPr>
                      <w:rFonts w:hint="default" w:ascii="Times New Roman" w:hAnsi="Times New Roman" w:cs="Times New Roman" w:eastAsiaTheme="minorEastAsia"/>
                      <w:color w:val="auto"/>
                      <w:sz w:val="21"/>
                      <w:szCs w:val="21"/>
                      <w:highlight w:val="none"/>
                      <w:vertAlign w:val="superscript"/>
                    </w:rPr>
                    <w:t>3</w:t>
                  </w:r>
                </w:p>
              </w:tc>
              <w:tc>
                <w:tcPr>
                  <w:tcW w:w="850" w:type="pct"/>
                  <w:noWrap w:val="0"/>
                  <w:vAlign w:val="center"/>
                </w:tcPr>
                <w:p w14:paraId="4971148D">
                  <w:pPr>
                    <w:pStyle w:val="111"/>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达标</w:t>
                  </w:r>
                </w:p>
              </w:tc>
            </w:tr>
            <w:tr w14:paraId="252E4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6" w:type="pct"/>
                  <w:noWrap w:val="0"/>
                  <w:vAlign w:val="center"/>
                </w:tcPr>
                <w:p w14:paraId="6DD05617">
                  <w:pPr>
                    <w:pStyle w:val="111"/>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PM</w:t>
                  </w:r>
                  <w:r>
                    <w:rPr>
                      <w:rFonts w:hint="default" w:ascii="Times New Roman" w:hAnsi="Times New Roman" w:cs="Times New Roman" w:eastAsiaTheme="minorEastAsia"/>
                      <w:color w:val="auto"/>
                      <w:sz w:val="21"/>
                      <w:szCs w:val="21"/>
                      <w:highlight w:val="none"/>
                      <w:vertAlign w:val="subscript"/>
                    </w:rPr>
                    <w:t>10</w:t>
                  </w:r>
                </w:p>
              </w:tc>
              <w:tc>
                <w:tcPr>
                  <w:tcW w:w="1970" w:type="pct"/>
                  <w:noWrap w:val="0"/>
                  <w:vAlign w:val="center"/>
                </w:tcPr>
                <w:p w14:paraId="41901CAA">
                  <w:pPr>
                    <w:pStyle w:val="111"/>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年平均</w:t>
                  </w:r>
                </w:p>
              </w:tc>
              <w:tc>
                <w:tcPr>
                  <w:tcW w:w="742" w:type="pct"/>
                  <w:noWrap w:val="0"/>
                  <w:vAlign w:val="center"/>
                </w:tcPr>
                <w:p w14:paraId="3FC1FAEA">
                  <w:pPr>
                    <w:pStyle w:val="111"/>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132</w:t>
                  </w:r>
                  <w:r>
                    <w:rPr>
                      <w:rFonts w:hint="default" w:ascii="Times New Roman" w:hAnsi="Times New Roman" w:cs="Times New Roman" w:eastAsiaTheme="minorEastAsia"/>
                      <w:color w:val="auto"/>
                      <w:sz w:val="21"/>
                      <w:szCs w:val="21"/>
                      <w:highlight w:val="none"/>
                    </w:rPr>
                    <w:t>μg/m</w:t>
                  </w:r>
                  <w:r>
                    <w:rPr>
                      <w:rFonts w:hint="default" w:ascii="Times New Roman" w:hAnsi="Times New Roman" w:cs="Times New Roman" w:eastAsiaTheme="minorEastAsia"/>
                      <w:color w:val="auto"/>
                      <w:sz w:val="21"/>
                      <w:szCs w:val="21"/>
                      <w:highlight w:val="none"/>
                      <w:vertAlign w:val="superscript"/>
                    </w:rPr>
                    <w:t>3</w:t>
                  </w:r>
                </w:p>
              </w:tc>
              <w:tc>
                <w:tcPr>
                  <w:tcW w:w="739" w:type="pct"/>
                  <w:noWrap w:val="0"/>
                  <w:vAlign w:val="center"/>
                </w:tcPr>
                <w:p w14:paraId="68FE6DAE">
                  <w:pPr>
                    <w:pStyle w:val="111"/>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70μg/m</w:t>
                  </w:r>
                  <w:r>
                    <w:rPr>
                      <w:rFonts w:hint="default" w:ascii="Times New Roman" w:hAnsi="Times New Roman" w:cs="Times New Roman" w:eastAsiaTheme="minorEastAsia"/>
                      <w:color w:val="auto"/>
                      <w:sz w:val="21"/>
                      <w:szCs w:val="21"/>
                      <w:highlight w:val="none"/>
                      <w:vertAlign w:val="superscript"/>
                    </w:rPr>
                    <w:t>3</w:t>
                  </w:r>
                </w:p>
              </w:tc>
              <w:tc>
                <w:tcPr>
                  <w:tcW w:w="850" w:type="pct"/>
                  <w:noWrap w:val="0"/>
                  <w:vAlign w:val="center"/>
                </w:tcPr>
                <w:p w14:paraId="166EC63C">
                  <w:pPr>
                    <w:pStyle w:val="111"/>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超标</w:t>
                  </w:r>
                </w:p>
              </w:tc>
            </w:tr>
            <w:tr w14:paraId="5A448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6" w:type="pct"/>
                  <w:noWrap w:val="0"/>
                  <w:vAlign w:val="center"/>
                </w:tcPr>
                <w:p w14:paraId="3C7ADCFB">
                  <w:pPr>
                    <w:pStyle w:val="111"/>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PM</w:t>
                  </w:r>
                  <w:r>
                    <w:rPr>
                      <w:rFonts w:hint="default" w:ascii="Times New Roman" w:hAnsi="Times New Roman" w:cs="Times New Roman" w:eastAsiaTheme="minorEastAsia"/>
                      <w:color w:val="auto"/>
                      <w:sz w:val="21"/>
                      <w:szCs w:val="21"/>
                      <w:highlight w:val="none"/>
                      <w:vertAlign w:val="subscript"/>
                    </w:rPr>
                    <w:t>2.5</w:t>
                  </w:r>
                </w:p>
              </w:tc>
              <w:tc>
                <w:tcPr>
                  <w:tcW w:w="1970" w:type="pct"/>
                  <w:noWrap w:val="0"/>
                  <w:vAlign w:val="center"/>
                </w:tcPr>
                <w:p w14:paraId="43360398">
                  <w:pPr>
                    <w:pStyle w:val="111"/>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年平均</w:t>
                  </w:r>
                </w:p>
              </w:tc>
              <w:tc>
                <w:tcPr>
                  <w:tcW w:w="742" w:type="pct"/>
                  <w:noWrap w:val="0"/>
                  <w:vAlign w:val="center"/>
                </w:tcPr>
                <w:p w14:paraId="7127B0D6">
                  <w:pPr>
                    <w:pStyle w:val="111"/>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47</w:t>
                  </w:r>
                  <w:r>
                    <w:rPr>
                      <w:rFonts w:hint="default" w:ascii="Times New Roman" w:hAnsi="Times New Roman" w:cs="Times New Roman" w:eastAsiaTheme="minorEastAsia"/>
                      <w:color w:val="auto"/>
                      <w:sz w:val="21"/>
                      <w:szCs w:val="21"/>
                      <w:highlight w:val="none"/>
                    </w:rPr>
                    <w:t>μg/m</w:t>
                  </w:r>
                  <w:r>
                    <w:rPr>
                      <w:rFonts w:hint="default" w:ascii="Times New Roman" w:hAnsi="Times New Roman" w:cs="Times New Roman" w:eastAsiaTheme="minorEastAsia"/>
                      <w:color w:val="auto"/>
                      <w:sz w:val="21"/>
                      <w:szCs w:val="21"/>
                      <w:highlight w:val="none"/>
                      <w:vertAlign w:val="superscript"/>
                    </w:rPr>
                    <w:t>3</w:t>
                  </w:r>
                </w:p>
              </w:tc>
              <w:tc>
                <w:tcPr>
                  <w:tcW w:w="739" w:type="pct"/>
                  <w:noWrap w:val="0"/>
                  <w:vAlign w:val="center"/>
                </w:tcPr>
                <w:p w14:paraId="7123C176">
                  <w:pPr>
                    <w:pStyle w:val="111"/>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35μg/m</w:t>
                  </w:r>
                  <w:r>
                    <w:rPr>
                      <w:rFonts w:hint="default" w:ascii="Times New Roman" w:hAnsi="Times New Roman" w:cs="Times New Roman" w:eastAsiaTheme="minorEastAsia"/>
                      <w:color w:val="auto"/>
                      <w:sz w:val="21"/>
                      <w:szCs w:val="21"/>
                      <w:highlight w:val="none"/>
                      <w:vertAlign w:val="superscript"/>
                    </w:rPr>
                    <w:t>3</w:t>
                  </w:r>
                </w:p>
              </w:tc>
              <w:tc>
                <w:tcPr>
                  <w:tcW w:w="850" w:type="pct"/>
                  <w:noWrap w:val="0"/>
                  <w:vAlign w:val="center"/>
                </w:tcPr>
                <w:p w14:paraId="4AFE987E">
                  <w:pPr>
                    <w:pStyle w:val="111"/>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超标</w:t>
                  </w:r>
                </w:p>
              </w:tc>
            </w:tr>
          </w:tbl>
          <w:p w14:paraId="0BE2B85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莎车县</w:t>
            </w:r>
            <w:r>
              <w:rPr>
                <w:rFonts w:hint="default" w:ascii="Times New Roman" w:hAnsi="Times New Roman" w:eastAsia="宋体" w:cs="Times New Roman"/>
                <w:color w:val="auto"/>
                <w:sz w:val="24"/>
              </w:rPr>
              <w:t>PM</w:t>
            </w:r>
            <w:r>
              <w:rPr>
                <w:rFonts w:hint="default" w:ascii="Times New Roman" w:hAnsi="Times New Roman" w:eastAsia="宋体" w:cs="Times New Roman"/>
                <w:color w:val="auto"/>
                <w:sz w:val="24"/>
                <w:vertAlign w:val="subscript"/>
              </w:rPr>
              <w:t>10</w:t>
            </w:r>
            <w:r>
              <w:rPr>
                <w:rFonts w:hint="default" w:ascii="Times New Roman" w:hAnsi="Times New Roman" w:eastAsia="宋体" w:cs="Times New Roman"/>
                <w:color w:val="auto"/>
                <w:sz w:val="24"/>
              </w:rPr>
              <w:t>、PM</w:t>
            </w:r>
            <w:r>
              <w:rPr>
                <w:rFonts w:hint="default" w:ascii="Times New Roman" w:hAnsi="Times New Roman" w:eastAsia="宋体" w:cs="Times New Roman"/>
                <w:color w:val="auto"/>
                <w:sz w:val="24"/>
                <w:vertAlign w:val="subscript"/>
              </w:rPr>
              <w:t>2.5</w:t>
            </w:r>
            <w:r>
              <w:rPr>
                <w:rFonts w:hint="default" w:ascii="Times New Roman" w:hAnsi="Times New Roman" w:eastAsia="宋体" w:cs="Times New Roman"/>
                <w:color w:val="auto"/>
                <w:sz w:val="24"/>
              </w:rPr>
              <w:t>年平均浓度均超过《环境空气质量标准》（GB3095-2012）的二级标准要求；O</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第90百分位数日平均浓度及CO第95百分位数日平均浓度满足《环境空气质量标准》（GB3095-2012）的二级标准要求；NO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、SO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的年均浓度均满足《环境空气质量标准》（GB3095-2012）的二级标准要求，</w:t>
            </w:r>
            <w:r>
              <w:rPr>
                <w:rFonts w:hint="default" w:ascii="Times New Roman" w:hAnsi="Times New Roman" w:eastAsia="宋体" w:cs="Times New Roman"/>
                <w:color w:val="auto"/>
                <w:sz w:val="24"/>
                <w:lang w:eastAsia="zh-CN"/>
              </w:rPr>
              <w:t>防渗渠道工程</w:t>
            </w:r>
            <w:r>
              <w:rPr>
                <w:rFonts w:hint="default" w:ascii="Times New Roman" w:hAnsi="Times New Roman" w:eastAsia="宋体" w:cs="Times New Roman"/>
                <w:color w:val="auto"/>
                <w:sz w:val="24"/>
              </w:rPr>
              <w:t>所在区域为非达标区域，超标原因是监测区域气候干燥，风起扬尘所致。</w:t>
            </w:r>
          </w:p>
          <w:p w14:paraId="68A64976">
            <w:pPr>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2.2地下水环境现状调查及分析</w:t>
            </w:r>
          </w:p>
          <w:p w14:paraId="28B66A90">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经查阅《环境影响评价技术导则地下水环境》（HJ610-2016）中附录A（规范性附录）地下水环境影响评价行业分类表，根据地下水导则附录A《地下水环境影响评价行业分类表》</w:t>
            </w:r>
            <w:r>
              <w:rPr>
                <w:rFonts w:hint="default" w:ascii="Times New Roman" w:hAnsi="Times New Roman" w:eastAsia="宋体" w:cs="Times New Roman"/>
                <w:bCs/>
                <w:color w:val="auto"/>
                <w:sz w:val="24"/>
                <w:lang w:eastAsia="zh-CN"/>
              </w:rPr>
              <w:t>防渗渠道工程</w:t>
            </w:r>
            <w:r>
              <w:rPr>
                <w:rFonts w:hint="default" w:ascii="Times New Roman" w:hAnsi="Times New Roman" w:eastAsia="宋体" w:cs="Times New Roman"/>
                <w:bCs/>
                <w:color w:val="auto"/>
                <w:sz w:val="24"/>
              </w:rPr>
              <w:t>行业类别为Ⅳ类</w:t>
            </w:r>
            <w:r>
              <w:rPr>
                <w:rFonts w:hint="eastAsia" w:ascii="Times New Roman" w:hAnsi="Times New Roman" w:cs="Times New Roman"/>
                <w:bCs/>
                <w:color w:val="auto"/>
                <w:sz w:val="24"/>
                <w:lang w:eastAsia="zh-CN"/>
              </w:rPr>
              <w:t>，</w:t>
            </w:r>
            <w:r>
              <w:rPr>
                <w:rFonts w:hint="default" w:ascii="Times New Roman" w:hAnsi="Times New Roman" w:eastAsia="宋体" w:cs="Times New Roman"/>
                <w:bCs/>
                <w:color w:val="auto"/>
                <w:sz w:val="24"/>
              </w:rPr>
              <w:t>《环境影响评价技术导则地下水环境》（HJ610-2016）中规</w:t>
            </w:r>
            <w:r>
              <w:rPr>
                <w:rFonts w:hint="eastAsia" w:ascii="Times New Roman" w:hAnsi="Times New Roman" w:cs="Times New Roman"/>
                <w:bCs/>
                <w:color w:val="auto"/>
                <w:sz w:val="24"/>
                <w:lang w:val="en-US" w:eastAsia="zh-CN"/>
              </w:rPr>
              <w:t>定</w:t>
            </w:r>
            <w:r>
              <w:rPr>
                <w:rFonts w:hint="default" w:ascii="Times New Roman" w:hAnsi="Times New Roman" w:eastAsia="宋体" w:cs="Times New Roman"/>
                <w:bCs/>
                <w:color w:val="auto"/>
                <w:sz w:val="24"/>
                <w:lang w:eastAsia="zh-CN"/>
              </w:rPr>
              <w:t>Ⅳ类</w:t>
            </w:r>
            <w:r>
              <w:rPr>
                <w:rFonts w:hint="default" w:ascii="Times New Roman" w:hAnsi="Times New Roman" w:eastAsia="宋体" w:cs="Times New Roman"/>
                <w:bCs/>
                <w:color w:val="auto"/>
                <w:sz w:val="24"/>
              </w:rPr>
              <w:t>建设项目不开展地下水环境影响评价。</w:t>
            </w:r>
          </w:p>
          <w:p w14:paraId="2F1656BF">
            <w:pPr>
              <w:spacing w:line="360" w:lineRule="auto"/>
              <w:ind w:firstLine="482" w:firstLineChars="200"/>
              <w:rPr>
                <w:rFonts w:hint="eastAsia"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rPr>
              <w:t>2.3地表水环境现状调查及分析</w:t>
            </w:r>
            <w:r>
              <w:rPr>
                <w:rFonts w:hint="eastAsia" w:ascii="Times New Roman" w:hAnsi="Times New Roman" w:cs="Times New Roman"/>
                <w:b/>
                <w:bCs/>
                <w:color w:val="auto"/>
                <w:sz w:val="24"/>
                <w:highlight w:val="none"/>
                <w:lang w:eastAsia="zh-CN"/>
              </w:rPr>
              <w:t>（</w:t>
            </w:r>
            <w:r>
              <w:rPr>
                <w:rFonts w:hint="eastAsia" w:ascii="Times New Roman" w:hAnsi="Times New Roman" w:cs="Times New Roman"/>
                <w:b/>
                <w:bCs/>
                <w:color w:val="auto"/>
                <w:kern w:val="24"/>
                <w:sz w:val="24"/>
                <w:highlight w:val="none"/>
                <w:lang w:val="en-US" w:eastAsia="zh-CN"/>
              </w:rPr>
              <w:t>引用</w:t>
            </w:r>
            <w:r>
              <w:rPr>
                <w:rFonts w:hint="default" w:ascii="Times New Roman" w:hAnsi="Times New Roman" w:cs="Times New Roman"/>
                <w:b/>
                <w:bCs/>
                <w:color w:val="auto"/>
                <w:kern w:val="24"/>
                <w:sz w:val="24"/>
                <w:highlight w:val="none"/>
                <w:lang w:val="en-US" w:eastAsia="zh-CN"/>
              </w:rPr>
              <w:t>地表水现状监测数据</w:t>
            </w:r>
            <w:r>
              <w:rPr>
                <w:rFonts w:hint="eastAsia" w:ascii="Times New Roman" w:hAnsi="Times New Roman" w:cs="Times New Roman"/>
                <w:b/>
                <w:bCs/>
                <w:color w:val="auto"/>
                <w:sz w:val="24"/>
                <w:highlight w:val="none"/>
                <w:lang w:eastAsia="zh-CN"/>
              </w:rPr>
              <w:t>）</w:t>
            </w:r>
          </w:p>
          <w:bookmarkEnd w:id="3"/>
          <w:bookmarkEnd w:id="4"/>
          <w:bookmarkEnd w:id="5"/>
          <w:bookmarkEnd w:id="6"/>
          <w:p w14:paraId="73E2C1E3">
            <w:pPr>
              <w:spacing w:line="360" w:lineRule="auto"/>
              <w:ind w:firstLine="480" w:firstLineChars="200"/>
              <w:rPr>
                <w:rFonts w:hint="default" w:ascii="Times New Roman" w:hAnsi="Times New Roman" w:eastAsia="宋体" w:cs="Times New Roman"/>
                <w:color w:val="0000FF"/>
                <w:kern w:val="24"/>
                <w:sz w:val="24"/>
                <w:highlight w:val="none"/>
                <w:lang w:val="en-US" w:eastAsia="zh-CN"/>
              </w:rPr>
            </w:pPr>
            <w:r>
              <w:rPr>
                <w:rFonts w:hint="eastAsia" w:ascii="Times New Roman" w:hAnsi="Times New Roman" w:cs="Times New Roman"/>
                <w:color w:val="0000FF"/>
                <w:kern w:val="24"/>
                <w:sz w:val="24"/>
                <w:highlight w:val="none"/>
                <w:lang w:val="en-US" w:eastAsia="zh-CN"/>
              </w:rPr>
              <w:t>本项目运营期无废水排放，根据《环境影响评价技术导则 地表水环境》（HJ2.3-2018），地表水环境质量可不进行实测，本次收集已有监测资料说明区域地表水环境质量现状。</w:t>
            </w:r>
          </w:p>
          <w:p w14:paraId="5B79798D">
            <w:pPr>
              <w:spacing w:line="360" w:lineRule="auto"/>
              <w:ind w:firstLine="480" w:firstLineChars="200"/>
              <w:rPr>
                <w:rFonts w:hint="default" w:ascii="Times New Roman" w:hAnsi="Times New Roman" w:eastAsia="宋体" w:cs="Times New Roman"/>
                <w:color w:val="auto"/>
                <w:kern w:val="24"/>
                <w:sz w:val="24"/>
                <w:highlight w:val="none"/>
                <w:lang w:val="en-US" w:eastAsia="zh-CN"/>
              </w:rPr>
            </w:pPr>
            <w:r>
              <w:rPr>
                <w:rFonts w:hint="default" w:ascii="Times New Roman" w:hAnsi="Times New Roman" w:eastAsia="宋体" w:cs="Times New Roman"/>
                <w:color w:val="auto"/>
                <w:kern w:val="24"/>
                <w:sz w:val="24"/>
                <w:highlight w:val="none"/>
                <w:lang w:eastAsia="zh-CN"/>
              </w:rPr>
              <w:t>（</w:t>
            </w:r>
            <w:r>
              <w:rPr>
                <w:rFonts w:hint="default" w:ascii="Times New Roman" w:hAnsi="Times New Roman" w:eastAsia="宋体" w:cs="Times New Roman"/>
                <w:color w:val="auto"/>
                <w:kern w:val="24"/>
                <w:sz w:val="24"/>
                <w:highlight w:val="none"/>
                <w:lang w:val="en-US" w:eastAsia="zh-CN"/>
              </w:rPr>
              <w:t>1</w:t>
            </w:r>
            <w:r>
              <w:rPr>
                <w:rFonts w:hint="default" w:ascii="Times New Roman" w:hAnsi="Times New Roman" w:eastAsia="宋体" w:cs="Times New Roman"/>
                <w:color w:val="auto"/>
                <w:kern w:val="24"/>
                <w:sz w:val="24"/>
                <w:highlight w:val="none"/>
                <w:lang w:eastAsia="zh-CN"/>
              </w:rPr>
              <w:t>）</w:t>
            </w:r>
            <w:r>
              <w:rPr>
                <w:rFonts w:hint="default" w:ascii="Times New Roman" w:hAnsi="Times New Roman" w:eastAsia="宋体" w:cs="Times New Roman"/>
                <w:color w:val="auto"/>
                <w:kern w:val="24"/>
                <w:sz w:val="24"/>
                <w:highlight w:val="none"/>
                <w:lang w:val="en-US" w:eastAsia="zh-CN"/>
              </w:rPr>
              <w:t>监测单位及监测时间</w:t>
            </w:r>
          </w:p>
          <w:p w14:paraId="3FB428D4">
            <w:pPr>
              <w:spacing w:line="360" w:lineRule="auto"/>
              <w:ind w:firstLine="480" w:firstLineChars="200"/>
              <w:rPr>
                <w:rFonts w:hint="default" w:ascii="Times New Roman" w:hAnsi="Times New Roman" w:cs="Times New Roman"/>
                <w:color w:val="auto"/>
                <w:kern w:val="24"/>
                <w:sz w:val="24"/>
                <w:highlight w:val="none"/>
                <w:lang w:val="en-US" w:eastAsia="zh-CN"/>
              </w:rPr>
            </w:pPr>
            <w:r>
              <w:rPr>
                <w:rFonts w:hint="default" w:ascii="Times New Roman" w:hAnsi="Times New Roman" w:cs="Times New Roman"/>
                <w:color w:val="auto"/>
                <w:kern w:val="24"/>
                <w:sz w:val="24"/>
                <w:highlight w:val="none"/>
                <w:lang w:val="en-US" w:eastAsia="zh-CN"/>
              </w:rPr>
              <w:t>监测单位：新疆天蓝蓝环保技术服务有限公司，监测时间：2023年8月17日，报告编号TLL</w:t>
            </w:r>
            <w:r>
              <w:rPr>
                <w:rFonts w:hint="eastAsia" w:ascii="Times New Roman" w:hAnsi="Times New Roman" w:cs="Times New Roman"/>
                <w:color w:val="auto"/>
                <w:kern w:val="24"/>
                <w:sz w:val="24"/>
                <w:highlight w:val="none"/>
                <w:lang w:val="en-US" w:eastAsia="zh-CN"/>
              </w:rPr>
              <w:t>1165</w:t>
            </w:r>
            <w:r>
              <w:rPr>
                <w:rFonts w:hint="default" w:ascii="Times New Roman" w:hAnsi="Times New Roman" w:cs="Times New Roman"/>
                <w:color w:val="auto"/>
                <w:kern w:val="24"/>
                <w:sz w:val="24"/>
                <w:highlight w:val="none"/>
                <w:lang w:val="en-US" w:eastAsia="zh-CN"/>
              </w:rPr>
              <w:t>12。</w:t>
            </w:r>
          </w:p>
          <w:p w14:paraId="29A26715">
            <w:pPr>
              <w:spacing w:line="360" w:lineRule="auto"/>
              <w:ind w:firstLine="480" w:firstLineChars="200"/>
              <w:rPr>
                <w:rFonts w:hint="default" w:ascii="Times New Roman" w:hAnsi="Times New Roman" w:eastAsia="宋体" w:cs="Times New Roman"/>
                <w:color w:val="auto"/>
                <w:kern w:val="24"/>
                <w:sz w:val="24"/>
                <w:highlight w:val="none"/>
                <w:lang w:eastAsia="zh-CN"/>
              </w:rPr>
            </w:pPr>
            <w:r>
              <w:rPr>
                <w:rFonts w:hint="default" w:ascii="Times New Roman" w:hAnsi="Times New Roman" w:eastAsia="宋体" w:cs="Times New Roman"/>
                <w:color w:val="auto"/>
                <w:kern w:val="24"/>
                <w:sz w:val="24"/>
                <w:highlight w:val="none"/>
                <w:lang w:eastAsia="zh-CN"/>
              </w:rPr>
              <w:t>（</w:t>
            </w:r>
            <w:r>
              <w:rPr>
                <w:rFonts w:hint="default" w:ascii="Times New Roman" w:hAnsi="Times New Roman" w:eastAsia="宋体" w:cs="Times New Roman"/>
                <w:color w:val="auto"/>
                <w:kern w:val="24"/>
                <w:sz w:val="24"/>
                <w:highlight w:val="none"/>
                <w:lang w:val="en-US" w:eastAsia="zh-CN"/>
              </w:rPr>
              <w:t>2</w:t>
            </w:r>
            <w:r>
              <w:rPr>
                <w:rFonts w:hint="default" w:ascii="Times New Roman" w:hAnsi="Times New Roman" w:eastAsia="宋体" w:cs="Times New Roman"/>
                <w:color w:val="auto"/>
                <w:kern w:val="24"/>
                <w:sz w:val="24"/>
                <w:highlight w:val="none"/>
                <w:lang w:eastAsia="zh-CN"/>
              </w:rPr>
              <w:t>）</w:t>
            </w:r>
            <w:r>
              <w:rPr>
                <w:rFonts w:hint="default" w:ascii="Times New Roman" w:hAnsi="Times New Roman" w:eastAsia="宋体" w:cs="Times New Roman"/>
                <w:color w:val="auto"/>
                <w:kern w:val="24"/>
                <w:sz w:val="24"/>
                <w:highlight w:val="none"/>
                <w:lang w:val="en-US" w:eastAsia="zh-CN"/>
              </w:rPr>
              <w:t>采样点位</w:t>
            </w:r>
          </w:p>
          <w:p w14:paraId="1F5BF5F7">
            <w:pPr>
              <w:spacing w:line="360" w:lineRule="auto"/>
              <w:ind w:firstLine="480" w:firstLineChars="200"/>
              <w:rPr>
                <w:rFonts w:hint="default" w:ascii="Times New Roman" w:hAnsi="Times New Roman" w:cs="Times New Roman"/>
                <w:color w:val="0000FF"/>
                <w:kern w:val="24"/>
                <w:sz w:val="24"/>
                <w:highlight w:val="none"/>
                <w:lang w:val="en-US" w:eastAsia="zh-CN"/>
              </w:rPr>
            </w:pPr>
            <w:r>
              <w:rPr>
                <w:rFonts w:hint="default" w:ascii="Times New Roman" w:hAnsi="Times New Roman" w:cs="Times New Roman"/>
                <w:color w:val="0000FF"/>
                <w:kern w:val="24"/>
                <w:sz w:val="24"/>
                <w:highlight w:val="none"/>
                <w:lang w:val="en-US" w:eastAsia="zh-CN"/>
              </w:rPr>
              <w:t>采样点位：叶尔羌河</w:t>
            </w:r>
            <w:r>
              <w:rPr>
                <w:rFonts w:hint="eastAsia" w:ascii="Times New Roman" w:hAnsi="Times New Roman" w:cs="Times New Roman"/>
                <w:color w:val="0000FF"/>
                <w:kern w:val="24"/>
                <w:sz w:val="24"/>
                <w:highlight w:val="none"/>
                <w:lang w:val="en-US" w:eastAsia="zh-CN"/>
              </w:rPr>
              <w:t>依盖尔其镇</w:t>
            </w:r>
            <w:r>
              <w:rPr>
                <w:rFonts w:hint="default" w:ascii="Times New Roman" w:hAnsi="Times New Roman" w:cs="Times New Roman"/>
                <w:color w:val="0000FF"/>
                <w:kern w:val="24"/>
                <w:sz w:val="24"/>
                <w:highlight w:val="none"/>
                <w:lang w:val="en-US" w:eastAsia="zh-CN"/>
              </w:rPr>
              <w:t>断面</w:t>
            </w:r>
            <w:r>
              <w:rPr>
                <w:rFonts w:hint="eastAsia" w:ascii="Times New Roman" w:hAnsi="Times New Roman" w:cs="Times New Roman"/>
                <w:color w:val="0000FF"/>
                <w:kern w:val="24"/>
                <w:sz w:val="24"/>
                <w:highlight w:val="none"/>
                <w:lang w:val="en-US" w:eastAsia="zh-CN"/>
              </w:rPr>
              <w:t>，位于本项目上游75km</w:t>
            </w:r>
            <w:r>
              <w:rPr>
                <w:rFonts w:hint="default" w:ascii="Times New Roman" w:hAnsi="Times New Roman" w:cs="Times New Roman"/>
                <w:color w:val="0000FF"/>
                <w:kern w:val="24"/>
                <w:sz w:val="24"/>
                <w:highlight w:val="none"/>
                <w:lang w:val="en-US" w:eastAsia="zh-CN"/>
              </w:rPr>
              <w:t>。</w:t>
            </w:r>
          </w:p>
          <w:p w14:paraId="175CCCD9">
            <w:pPr>
              <w:spacing w:line="360" w:lineRule="auto"/>
              <w:ind w:firstLine="480" w:firstLineChars="200"/>
              <w:rPr>
                <w:rFonts w:hint="default" w:ascii="Times New Roman" w:hAnsi="Times New Roman" w:eastAsia="宋体" w:cs="Times New Roman"/>
                <w:color w:val="auto"/>
                <w:kern w:val="24"/>
                <w:sz w:val="24"/>
                <w:highlight w:val="none"/>
                <w:lang w:eastAsia="zh-CN"/>
              </w:rPr>
            </w:pPr>
            <w:r>
              <w:rPr>
                <w:rFonts w:hint="default" w:ascii="Times New Roman" w:hAnsi="Times New Roman" w:eastAsia="宋体" w:cs="Times New Roman"/>
                <w:color w:val="auto"/>
                <w:kern w:val="24"/>
                <w:sz w:val="24"/>
                <w:highlight w:val="none"/>
                <w:lang w:eastAsia="zh-CN"/>
              </w:rPr>
              <w:t>（</w:t>
            </w:r>
            <w:r>
              <w:rPr>
                <w:rFonts w:hint="default" w:ascii="Times New Roman" w:hAnsi="Times New Roman" w:eastAsia="宋体" w:cs="Times New Roman"/>
                <w:color w:val="auto"/>
                <w:kern w:val="24"/>
                <w:sz w:val="24"/>
                <w:highlight w:val="none"/>
                <w:lang w:val="en-US" w:eastAsia="zh-CN"/>
              </w:rPr>
              <w:t>3</w:t>
            </w:r>
            <w:r>
              <w:rPr>
                <w:rFonts w:hint="default" w:ascii="Times New Roman" w:hAnsi="Times New Roman" w:eastAsia="宋体" w:cs="Times New Roman"/>
                <w:color w:val="auto"/>
                <w:kern w:val="24"/>
                <w:sz w:val="24"/>
                <w:highlight w:val="none"/>
                <w:lang w:eastAsia="zh-CN"/>
              </w:rPr>
              <w:t>）监测项目</w:t>
            </w:r>
          </w:p>
          <w:p w14:paraId="00A33DA7">
            <w:pPr>
              <w:spacing w:line="360" w:lineRule="auto"/>
              <w:ind w:firstLine="480" w:firstLineChars="200"/>
              <w:rPr>
                <w:rFonts w:hint="default" w:ascii="Times New Roman" w:hAnsi="Times New Roman" w:cs="Times New Roman"/>
                <w:color w:val="auto"/>
                <w:kern w:val="24"/>
                <w:sz w:val="24"/>
                <w:highlight w:val="none"/>
                <w:lang w:val="en-US" w:eastAsia="zh-CN"/>
              </w:rPr>
            </w:pPr>
            <w:r>
              <w:rPr>
                <w:rFonts w:hint="default" w:ascii="Times New Roman" w:hAnsi="Times New Roman" w:cs="Times New Roman"/>
                <w:color w:val="auto"/>
                <w:kern w:val="24"/>
                <w:sz w:val="24"/>
                <w:highlight w:val="none"/>
                <w:lang w:val="en-US" w:eastAsia="zh-CN"/>
              </w:rPr>
              <w:t>监测项目为pH、COD</w:t>
            </w:r>
            <w:r>
              <w:rPr>
                <w:rFonts w:hint="default" w:ascii="Times New Roman" w:hAnsi="Times New Roman" w:cs="Times New Roman"/>
                <w:color w:val="auto"/>
                <w:kern w:val="24"/>
                <w:sz w:val="24"/>
                <w:highlight w:val="none"/>
                <w:vertAlign w:val="subscript"/>
                <w:lang w:val="en-US" w:eastAsia="zh-CN"/>
              </w:rPr>
              <w:t>cr</w:t>
            </w:r>
            <w:r>
              <w:rPr>
                <w:rFonts w:hint="default" w:ascii="Times New Roman" w:hAnsi="Times New Roman" w:cs="Times New Roman"/>
                <w:color w:val="auto"/>
                <w:kern w:val="24"/>
                <w:sz w:val="24"/>
                <w:highlight w:val="none"/>
                <w:lang w:val="en-US" w:eastAsia="zh-CN"/>
              </w:rPr>
              <w:t>、BOD</w:t>
            </w:r>
            <w:r>
              <w:rPr>
                <w:rFonts w:hint="default" w:ascii="Times New Roman" w:hAnsi="Times New Roman" w:cs="Times New Roman"/>
                <w:color w:val="auto"/>
                <w:kern w:val="24"/>
                <w:sz w:val="24"/>
                <w:highlight w:val="none"/>
                <w:vertAlign w:val="subscript"/>
                <w:lang w:val="en-US" w:eastAsia="zh-CN"/>
              </w:rPr>
              <w:t>5</w:t>
            </w:r>
            <w:r>
              <w:rPr>
                <w:rFonts w:hint="default" w:ascii="Times New Roman" w:hAnsi="Times New Roman" w:cs="Times New Roman"/>
                <w:color w:val="auto"/>
                <w:kern w:val="24"/>
                <w:sz w:val="24"/>
                <w:highlight w:val="none"/>
                <w:lang w:val="en-US" w:eastAsia="zh-CN"/>
              </w:rPr>
              <w:t>、氨氮、TP、DO、LAS、石油类共7项，同时测量各断面的水温、流量、河宽、流速等水文参数。</w:t>
            </w:r>
          </w:p>
          <w:p w14:paraId="2581DBCD">
            <w:pPr>
              <w:spacing w:line="360" w:lineRule="auto"/>
              <w:ind w:firstLine="480" w:firstLineChars="200"/>
              <w:rPr>
                <w:rFonts w:hint="default" w:ascii="Times New Roman" w:hAnsi="Times New Roman" w:eastAsia="宋体" w:cs="Times New Roman"/>
                <w:color w:val="auto"/>
                <w:kern w:val="24"/>
                <w:sz w:val="24"/>
                <w:highlight w:val="none"/>
              </w:rPr>
            </w:pPr>
            <w:r>
              <w:rPr>
                <w:rFonts w:hint="default" w:ascii="Times New Roman" w:hAnsi="Times New Roman" w:eastAsia="宋体" w:cs="Times New Roman"/>
                <w:color w:val="auto"/>
                <w:kern w:val="24"/>
                <w:sz w:val="24"/>
                <w:highlight w:val="none"/>
                <w:lang w:eastAsia="zh-CN"/>
              </w:rPr>
              <w:t>（</w:t>
            </w:r>
            <w:r>
              <w:rPr>
                <w:rFonts w:hint="default" w:ascii="Times New Roman" w:hAnsi="Times New Roman" w:eastAsia="宋体" w:cs="Times New Roman"/>
                <w:color w:val="auto"/>
                <w:kern w:val="24"/>
                <w:sz w:val="24"/>
                <w:highlight w:val="none"/>
                <w:lang w:val="en-US" w:eastAsia="zh-CN"/>
              </w:rPr>
              <w:t>4</w:t>
            </w:r>
            <w:r>
              <w:rPr>
                <w:rFonts w:hint="default" w:ascii="Times New Roman" w:hAnsi="Times New Roman" w:eastAsia="宋体" w:cs="Times New Roman"/>
                <w:color w:val="auto"/>
                <w:kern w:val="24"/>
                <w:sz w:val="24"/>
                <w:highlight w:val="none"/>
                <w:lang w:eastAsia="zh-CN"/>
              </w:rPr>
              <w:t>）</w:t>
            </w:r>
            <w:r>
              <w:rPr>
                <w:rFonts w:hint="default" w:ascii="Times New Roman" w:hAnsi="Times New Roman" w:eastAsia="宋体" w:cs="Times New Roman"/>
                <w:color w:val="auto"/>
                <w:kern w:val="24"/>
                <w:sz w:val="24"/>
                <w:highlight w:val="none"/>
              </w:rPr>
              <w:t>监测结果统计</w:t>
            </w:r>
          </w:p>
          <w:p w14:paraId="07EEA1DD">
            <w:pPr>
              <w:spacing w:line="360" w:lineRule="auto"/>
              <w:ind w:firstLine="480" w:firstLineChars="200"/>
              <w:rPr>
                <w:rFonts w:hint="default" w:ascii="Times New Roman" w:hAnsi="Times New Roman" w:eastAsia="宋体" w:cs="Times New Roman"/>
                <w:color w:val="auto"/>
                <w:kern w:val="24"/>
                <w:sz w:val="24"/>
                <w:highlight w:val="none"/>
              </w:rPr>
            </w:pPr>
            <w:r>
              <w:rPr>
                <w:rFonts w:hint="default" w:ascii="Times New Roman" w:hAnsi="Times New Roman" w:eastAsia="宋体" w:cs="Times New Roman"/>
                <w:color w:val="auto"/>
                <w:kern w:val="24"/>
                <w:sz w:val="24"/>
                <w:highlight w:val="none"/>
              </w:rPr>
              <w:t>监测结果统计见表</w:t>
            </w:r>
            <w:r>
              <w:rPr>
                <w:rFonts w:hint="default" w:ascii="Times New Roman" w:hAnsi="Times New Roman" w:cs="Times New Roman"/>
                <w:color w:val="auto"/>
                <w:kern w:val="24"/>
                <w:sz w:val="24"/>
                <w:highlight w:val="none"/>
                <w:lang w:val="en-US" w:eastAsia="zh-CN"/>
              </w:rPr>
              <w:t>3-</w:t>
            </w:r>
            <w:r>
              <w:rPr>
                <w:rFonts w:hint="eastAsia" w:ascii="Times New Roman" w:hAnsi="Times New Roman" w:cs="Times New Roman"/>
                <w:color w:val="auto"/>
                <w:kern w:val="24"/>
                <w:sz w:val="24"/>
                <w:highlight w:val="none"/>
                <w:lang w:val="en-US" w:eastAsia="zh-CN"/>
              </w:rPr>
              <w:t>3</w:t>
            </w:r>
            <w:r>
              <w:rPr>
                <w:rFonts w:hint="default" w:ascii="Times New Roman" w:hAnsi="Times New Roman" w:eastAsia="宋体" w:cs="Times New Roman"/>
                <w:color w:val="auto"/>
                <w:kern w:val="24"/>
                <w:sz w:val="24"/>
                <w:highlight w:val="none"/>
              </w:rPr>
              <w:t>。</w:t>
            </w:r>
          </w:p>
          <w:p w14:paraId="546B0BEA">
            <w:pPr>
              <w:spacing w:line="360" w:lineRule="auto"/>
              <w:ind w:firstLine="480" w:firstLineChars="200"/>
              <w:rPr>
                <w:rFonts w:hint="default" w:ascii="Times New Roman" w:hAnsi="Times New Roman" w:eastAsia="宋体" w:cs="Times New Roman"/>
                <w:color w:val="auto"/>
                <w:kern w:val="24"/>
                <w:sz w:val="24"/>
                <w:highlight w:val="none"/>
              </w:rPr>
            </w:pPr>
            <w:r>
              <w:rPr>
                <w:rFonts w:hint="default" w:ascii="Times New Roman" w:hAnsi="Times New Roman" w:eastAsia="宋体" w:cs="Times New Roman"/>
                <w:color w:val="auto"/>
                <w:kern w:val="24"/>
                <w:sz w:val="24"/>
                <w:highlight w:val="none"/>
                <w:lang w:eastAsia="zh-CN"/>
              </w:rPr>
              <w:t>（</w:t>
            </w:r>
            <w:r>
              <w:rPr>
                <w:rFonts w:hint="default" w:ascii="Times New Roman" w:hAnsi="Times New Roman" w:eastAsia="宋体" w:cs="Times New Roman"/>
                <w:color w:val="auto"/>
                <w:kern w:val="24"/>
                <w:sz w:val="24"/>
                <w:highlight w:val="none"/>
                <w:lang w:val="en-US" w:eastAsia="zh-CN"/>
              </w:rPr>
              <w:t>5</w:t>
            </w:r>
            <w:r>
              <w:rPr>
                <w:rFonts w:hint="default" w:ascii="Times New Roman" w:hAnsi="Times New Roman" w:eastAsia="宋体" w:cs="Times New Roman"/>
                <w:color w:val="auto"/>
                <w:kern w:val="24"/>
                <w:sz w:val="24"/>
                <w:highlight w:val="none"/>
                <w:lang w:eastAsia="zh-CN"/>
              </w:rPr>
              <w:t>）</w:t>
            </w:r>
            <w:r>
              <w:rPr>
                <w:rFonts w:hint="default" w:ascii="Times New Roman" w:hAnsi="Times New Roman" w:eastAsia="宋体" w:cs="Times New Roman"/>
                <w:color w:val="auto"/>
                <w:kern w:val="24"/>
                <w:sz w:val="24"/>
                <w:highlight w:val="none"/>
              </w:rPr>
              <w:t>水质现状评价</w:t>
            </w:r>
          </w:p>
          <w:p w14:paraId="1A807B05">
            <w:pPr>
              <w:spacing w:line="360" w:lineRule="auto"/>
              <w:ind w:firstLine="480" w:firstLineChars="200"/>
              <w:rPr>
                <w:rFonts w:hint="default" w:ascii="Times New Roman" w:hAnsi="Times New Roman" w:eastAsia="宋体" w:cs="Times New Roman"/>
                <w:color w:val="auto"/>
                <w:kern w:val="24"/>
                <w:sz w:val="24"/>
                <w:highlight w:val="none"/>
              </w:rPr>
            </w:pPr>
            <w:r>
              <w:rPr>
                <w:rFonts w:hint="default" w:ascii="Times New Roman" w:hAnsi="Times New Roman" w:eastAsia="宋体" w:cs="Times New Roman"/>
                <w:color w:val="auto"/>
                <w:kern w:val="24"/>
                <w:sz w:val="24"/>
                <w:highlight w:val="none"/>
              </w:rPr>
              <w:t>本次评价采用标准指数法进行评价。如水质参数的标准指数＞1，则说明该水质参数超过了规定的水质标准，已不能满足使用功能要求。评价标准采用《地表水环境质量标准》（GB3838-2002）</w:t>
            </w:r>
            <w:r>
              <w:rPr>
                <w:rFonts w:hint="default" w:ascii="Times New Roman" w:hAnsi="Times New Roman" w:eastAsia="宋体" w:cs="Times New Roman"/>
                <w:color w:val="auto"/>
                <w:kern w:val="24"/>
                <w:sz w:val="24"/>
                <w:highlight w:val="none"/>
              </w:rPr>
              <w:fldChar w:fldCharType="begin"/>
            </w:r>
            <w:r>
              <w:rPr>
                <w:rFonts w:hint="default" w:ascii="Times New Roman" w:hAnsi="Times New Roman" w:eastAsia="宋体" w:cs="Times New Roman"/>
                <w:color w:val="auto"/>
                <w:kern w:val="24"/>
                <w:sz w:val="24"/>
                <w:highlight w:val="none"/>
              </w:rPr>
              <w:instrText xml:space="preserve"> = 3 \* ROMAN \* MERGEFORMAT </w:instrText>
            </w:r>
            <w:r>
              <w:rPr>
                <w:rFonts w:hint="default" w:ascii="Times New Roman" w:hAnsi="Times New Roman" w:eastAsia="宋体" w:cs="Times New Roman"/>
                <w:color w:val="auto"/>
                <w:kern w:val="24"/>
                <w:sz w:val="24"/>
                <w:highlight w:val="none"/>
              </w:rPr>
              <w:fldChar w:fldCharType="separate"/>
            </w:r>
            <w:r>
              <w:rPr>
                <w:rFonts w:hint="default" w:ascii="Times New Roman" w:hAnsi="Times New Roman" w:eastAsia="宋体" w:cs="Times New Roman"/>
                <w:color w:val="auto"/>
                <w:kern w:val="24"/>
                <w:sz w:val="24"/>
                <w:highlight w:val="none"/>
              </w:rPr>
              <w:t>III</w:t>
            </w:r>
            <w:r>
              <w:rPr>
                <w:rFonts w:hint="default" w:ascii="Times New Roman" w:hAnsi="Times New Roman" w:eastAsia="宋体" w:cs="Times New Roman"/>
                <w:color w:val="auto"/>
                <w:kern w:val="24"/>
                <w:sz w:val="24"/>
                <w:highlight w:val="none"/>
              </w:rPr>
              <w:fldChar w:fldCharType="end"/>
            </w:r>
            <w:r>
              <w:rPr>
                <w:rFonts w:hint="default" w:ascii="Times New Roman" w:hAnsi="Times New Roman" w:eastAsia="宋体" w:cs="Times New Roman"/>
                <w:color w:val="auto"/>
                <w:kern w:val="24"/>
                <w:sz w:val="24"/>
                <w:highlight w:val="none"/>
              </w:rPr>
              <w:t>类标准，水质现状评价结果列于表</w:t>
            </w:r>
            <w:r>
              <w:rPr>
                <w:rFonts w:hint="default" w:ascii="Times New Roman" w:hAnsi="Times New Roman" w:eastAsia="宋体" w:cs="Times New Roman"/>
                <w:color w:val="auto"/>
                <w:kern w:val="24"/>
                <w:sz w:val="24"/>
                <w:highlight w:val="none"/>
                <w:lang w:val="en-US" w:eastAsia="zh-CN"/>
              </w:rPr>
              <w:t>3-3</w:t>
            </w:r>
            <w:r>
              <w:rPr>
                <w:rFonts w:hint="default" w:ascii="Times New Roman" w:hAnsi="Times New Roman" w:eastAsia="宋体" w:cs="Times New Roman"/>
                <w:color w:val="auto"/>
                <w:kern w:val="24"/>
                <w:sz w:val="24"/>
                <w:highlight w:val="none"/>
              </w:rPr>
              <w:t>。</w:t>
            </w:r>
            <w:r>
              <w:rPr>
                <w:rFonts w:hint="default" w:ascii="Times New Roman" w:hAnsi="Times New Roman" w:eastAsia="宋体" w:cs="Times New Roman"/>
                <w:color w:val="auto"/>
                <w:kern w:val="24"/>
                <w:sz w:val="24"/>
                <w:highlight w:val="none"/>
              </w:rPr>
              <w:tab/>
            </w:r>
          </w:p>
          <w:p w14:paraId="520D0780">
            <w:pPr>
              <w:spacing w:line="360" w:lineRule="auto"/>
              <w:ind w:firstLine="480" w:firstLineChars="200"/>
              <w:rPr>
                <w:rFonts w:hint="default" w:ascii="Times New Roman" w:hAnsi="Times New Roman" w:eastAsia="宋体" w:cs="Times New Roman"/>
                <w:color w:val="auto"/>
                <w:kern w:val="24"/>
                <w:sz w:val="24"/>
                <w:highlight w:val="none"/>
              </w:rPr>
            </w:pPr>
            <w:r>
              <w:rPr>
                <w:rFonts w:hint="default" w:ascii="Times New Roman" w:hAnsi="Times New Roman" w:eastAsia="宋体" w:cs="Times New Roman"/>
                <w:color w:val="auto"/>
                <w:kern w:val="24"/>
                <w:sz w:val="24"/>
                <w:highlight w:val="none"/>
              </w:rPr>
              <w:t>单因子水质参数评价模式：</w:t>
            </w:r>
          </w:p>
          <w:p w14:paraId="7F7001F3">
            <w:pPr>
              <w:spacing w:line="360" w:lineRule="auto"/>
              <w:ind w:firstLine="480" w:firstLineChars="200"/>
              <w:rPr>
                <w:rFonts w:hint="default" w:ascii="Times New Roman" w:hAnsi="Times New Roman" w:eastAsia="宋体" w:cs="Times New Roman"/>
                <w:color w:val="auto"/>
                <w:kern w:val="24"/>
                <w:sz w:val="24"/>
                <w:highlight w:val="none"/>
              </w:rPr>
            </w:pPr>
            <w:r>
              <w:rPr>
                <w:rFonts w:hint="default" w:ascii="Times New Roman" w:hAnsi="Times New Roman" w:eastAsia="宋体" w:cs="Times New Roman"/>
                <w:color w:val="auto"/>
                <w:kern w:val="24"/>
                <w:sz w:val="24"/>
                <w:highlight w:val="none"/>
              </w:rPr>
              <w:t>S</w:t>
            </w:r>
            <w:r>
              <w:rPr>
                <w:rFonts w:hint="default" w:ascii="Times New Roman" w:hAnsi="Times New Roman" w:eastAsia="宋体" w:cs="Times New Roman"/>
                <w:color w:val="auto"/>
                <w:kern w:val="24"/>
                <w:sz w:val="24"/>
                <w:highlight w:val="none"/>
                <w:vertAlign w:val="subscript"/>
              </w:rPr>
              <w:t>ij</w:t>
            </w:r>
            <w:r>
              <w:rPr>
                <w:rFonts w:hint="default" w:ascii="Times New Roman" w:hAnsi="Times New Roman" w:eastAsia="宋体" w:cs="Times New Roman"/>
                <w:color w:val="auto"/>
                <w:kern w:val="24"/>
                <w:sz w:val="24"/>
                <w:highlight w:val="none"/>
              </w:rPr>
              <w:t>=C</w:t>
            </w:r>
            <w:r>
              <w:rPr>
                <w:rFonts w:hint="default" w:ascii="Times New Roman" w:hAnsi="Times New Roman" w:eastAsia="宋体" w:cs="Times New Roman"/>
                <w:color w:val="auto"/>
                <w:kern w:val="24"/>
                <w:sz w:val="24"/>
                <w:highlight w:val="none"/>
                <w:vertAlign w:val="subscript"/>
              </w:rPr>
              <w:t>ij</w:t>
            </w:r>
            <w:r>
              <w:rPr>
                <w:rFonts w:hint="default" w:ascii="Times New Roman" w:hAnsi="Times New Roman" w:eastAsia="宋体" w:cs="Times New Roman"/>
                <w:color w:val="auto"/>
                <w:kern w:val="24"/>
                <w:sz w:val="24"/>
                <w:highlight w:val="none"/>
              </w:rPr>
              <w:t>/C</w:t>
            </w:r>
            <w:r>
              <w:rPr>
                <w:rFonts w:hint="default" w:ascii="Times New Roman" w:hAnsi="Times New Roman" w:eastAsia="宋体" w:cs="Times New Roman"/>
                <w:color w:val="auto"/>
                <w:kern w:val="24"/>
                <w:sz w:val="24"/>
                <w:highlight w:val="none"/>
                <w:vertAlign w:val="subscript"/>
              </w:rPr>
              <w:t>sj</w:t>
            </w:r>
          </w:p>
          <w:p w14:paraId="0FA461FC">
            <w:pPr>
              <w:spacing w:line="360" w:lineRule="auto"/>
              <w:ind w:firstLine="480" w:firstLineChars="200"/>
              <w:rPr>
                <w:rFonts w:hint="default" w:ascii="Times New Roman" w:hAnsi="Times New Roman" w:eastAsia="宋体" w:cs="Times New Roman"/>
                <w:color w:val="auto"/>
                <w:kern w:val="24"/>
                <w:sz w:val="24"/>
                <w:highlight w:val="none"/>
              </w:rPr>
            </w:pPr>
            <w:r>
              <w:rPr>
                <w:rFonts w:hint="default" w:ascii="Times New Roman" w:hAnsi="Times New Roman" w:eastAsia="宋体" w:cs="Times New Roman"/>
                <w:color w:val="auto"/>
                <w:kern w:val="24"/>
                <w:sz w:val="24"/>
                <w:highlight w:val="none"/>
              </w:rPr>
              <w:t>式中：S</w:t>
            </w:r>
            <w:r>
              <w:rPr>
                <w:rFonts w:hint="default" w:ascii="Times New Roman" w:hAnsi="Times New Roman" w:eastAsia="宋体" w:cs="Times New Roman"/>
                <w:color w:val="auto"/>
                <w:kern w:val="24"/>
                <w:sz w:val="24"/>
                <w:highlight w:val="none"/>
                <w:vertAlign w:val="subscript"/>
              </w:rPr>
              <w:t>ij</w:t>
            </w:r>
            <w:r>
              <w:rPr>
                <w:rFonts w:hint="default" w:ascii="Times New Roman" w:hAnsi="Times New Roman" w:eastAsia="宋体" w:cs="Times New Roman"/>
                <w:color w:val="auto"/>
                <w:kern w:val="24"/>
                <w:sz w:val="24"/>
                <w:highlight w:val="none"/>
              </w:rPr>
              <w:t>：第i种污染物在第j点的标准指数；</w:t>
            </w:r>
          </w:p>
          <w:p w14:paraId="490A79B5">
            <w:pPr>
              <w:spacing w:line="360" w:lineRule="auto"/>
              <w:ind w:firstLine="480" w:firstLineChars="200"/>
              <w:rPr>
                <w:rFonts w:hint="default" w:ascii="Times New Roman" w:hAnsi="Times New Roman" w:eastAsia="宋体" w:cs="Times New Roman"/>
                <w:color w:val="auto"/>
                <w:kern w:val="24"/>
                <w:sz w:val="24"/>
                <w:highlight w:val="none"/>
              </w:rPr>
            </w:pPr>
            <w:r>
              <w:rPr>
                <w:rFonts w:hint="default" w:ascii="Times New Roman" w:hAnsi="Times New Roman" w:eastAsia="宋体" w:cs="Times New Roman"/>
                <w:color w:val="auto"/>
                <w:kern w:val="24"/>
                <w:sz w:val="24"/>
                <w:highlight w:val="none"/>
              </w:rPr>
              <w:t>C</w:t>
            </w:r>
            <w:r>
              <w:rPr>
                <w:rFonts w:hint="default" w:ascii="Times New Roman" w:hAnsi="Times New Roman" w:eastAsia="宋体" w:cs="Times New Roman"/>
                <w:color w:val="auto"/>
                <w:kern w:val="24"/>
                <w:sz w:val="24"/>
                <w:highlight w:val="none"/>
                <w:vertAlign w:val="subscript"/>
              </w:rPr>
              <w:t>ij</w:t>
            </w:r>
            <w:r>
              <w:rPr>
                <w:rFonts w:hint="default" w:ascii="Times New Roman" w:hAnsi="Times New Roman" w:eastAsia="宋体" w:cs="Times New Roman"/>
                <w:color w:val="auto"/>
                <w:kern w:val="24"/>
                <w:sz w:val="24"/>
                <w:highlight w:val="none"/>
              </w:rPr>
              <w:t>：第i种污染物在第j点的监测平均浓度值，mg/L；</w:t>
            </w:r>
          </w:p>
          <w:p w14:paraId="212EFDA8">
            <w:pPr>
              <w:spacing w:line="360" w:lineRule="auto"/>
              <w:ind w:firstLine="480" w:firstLineChars="200"/>
              <w:rPr>
                <w:rFonts w:hint="default" w:ascii="Times New Roman" w:hAnsi="Times New Roman" w:eastAsia="宋体" w:cs="Times New Roman"/>
                <w:color w:val="auto"/>
                <w:kern w:val="24"/>
                <w:sz w:val="24"/>
                <w:highlight w:val="none"/>
              </w:rPr>
            </w:pPr>
            <w:r>
              <w:rPr>
                <w:rFonts w:hint="default" w:ascii="Times New Roman" w:hAnsi="Times New Roman" w:eastAsia="宋体" w:cs="Times New Roman"/>
                <w:color w:val="auto"/>
                <w:kern w:val="24"/>
                <w:sz w:val="24"/>
                <w:highlight w:val="none"/>
              </w:rPr>
              <w:t>C</w:t>
            </w:r>
            <w:r>
              <w:rPr>
                <w:rFonts w:hint="default" w:ascii="Times New Roman" w:hAnsi="Times New Roman" w:eastAsia="宋体" w:cs="Times New Roman"/>
                <w:color w:val="auto"/>
                <w:kern w:val="24"/>
                <w:sz w:val="24"/>
                <w:highlight w:val="none"/>
                <w:vertAlign w:val="subscript"/>
              </w:rPr>
              <w:t>Sj</w:t>
            </w:r>
            <w:r>
              <w:rPr>
                <w:rFonts w:hint="default" w:ascii="Times New Roman" w:hAnsi="Times New Roman" w:eastAsia="宋体" w:cs="Times New Roman"/>
                <w:color w:val="auto"/>
                <w:kern w:val="24"/>
                <w:sz w:val="24"/>
                <w:highlight w:val="none"/>
              </w:rPr>
              <w:t>：第i种污染物的地表水水质标准值，mg/L；</w:t>
            </w:r>
          </w:p>
          <w:p w14:paraId="168BBFAB">
            <w:pPr>
              <w:spacing w:line="360" w:lineRule="auto"/>
              <w:ind w:firstLine="480" w:firstLineChars="200"/>
              <w:rPr>
                <w:rFonts w:hint="eastAsia" w:ascii="Times New Roman" w:hAnsi="Times New Roman" w:eastAsia="宋体" w:cs="Times New Roman"/>
                <w:color w:val="auto"/>
                <w:kern w:val="24"/>
                <w:sz w:val="24"/>
                <w:highlight w:val="none"/>
                <w:lang w:eastAsia="zh-CN"/>
              </w:rPr>
            </w:pPr>
            <w:r>
              <w:rPr>
                <w:rFonts w:hint="default" w:ascii="Times New Roman" w:hAnsi="Times New Roman" w:eastAsia="宋体" w:cs="Times New Roman"/>
                <w:color w:val="auto"/>
                <w:kern w:val="24"/>
                <w:sz w:val="24"/>
                <w:highlight w:val="none"/>
              </w:rPr>
              <w:t>其中溶解氧为</w:t>
            </w:r>
            <w:r>
              <w:rPr>
                <w:rFonts w:hint="eastAsia" w:ascii="Times New Roman" w:hAnsi="Times New Roman" w:cs="Times New Roman"/>
                <w:color w:val="auto"/>
                <w:kern w:val="24"/>
                <w:sz w:val="24"/>
                <w:highlight w:val="none"/>
                <w:lang w:eastAsia="zh-CN"/>
              </w:rPr>
              <w:t>：</w:t>
            </w:r>
          </w:p>
          <w:p w14:paraId="4D0735B7">
            <w:pPr>
              <w:spacing w:line="360" w:lineRule="auto"/>
              <w:ind w:firstLine="480" w:firstLineChars="200"/>
              <w:rPr>
                <w:rFonts w:hint="default" w:ascii="Times New Roman" w:hAnsi="Times New Roman" w:eastAsia="宋体" w:cs="Times New Roman"/>
                <w:color w:val="auto"/>
                <w:kern w:val="24"/>
                <w:sz w:val="24"/>
                <w:highlight w:val="none"/>
              </w:rPr>
            </w:pPr>
            <w:r>
              <w:rPr>
                <w:rFonts w:hint="default" w:ascii="Times New Roman" w:hAnsi="Times New Roman" w:eastAsia="宋体" w:cs="Times New Roman"/>
                <w:color w:val="auto"/>
                <w:kern w:val="24"/>
                <w:sz w:val="24"/>
                <w:highlight w:val="none"/>
              </w:rPr>
              <w:drawing>
                <wp:inline distT="0" distB="0" distL="114300" distR="114300">
                  <wp:extent cx="1341755" cy="498475"/>
                  <wp:effectExtent l="0" t="0" r="10795" b="158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7"/>
                          <a:stretch>
                            <a:fillRect/>
                          </a:stretch>
                        </pic:blipFill>
                        <pic:spPr>
                          <a:xfrm>
                            <a:off x="0" y="0"/>
                            <a:ext cx="1341755" cy="498475"/>
                          </a:xfrm>
                          <a:prstGeom prst="rect">
                            <a:avLst/>
                          </a:prstGeom>
                          <a:noFill/>
                          <a:ln>
                            <a:noFill/>
                          </a:ln>
                        </pic:spPr>
                      </pic:pic>
                    </a:graphicData>
                  </a:graphic>
                </wp:inline>
              </w:drawing>
            </w:r>
            <w:r>
              <w:rPr>
                <w:rFonts w:hint="default" w:ascii="Times New Roman" w:hAnsi="Times New Roman" w:eastAsia="宋体" w:cs="Times New Roman"/>
                <w:color w:val="auto"/>
                <w:kern w:val="24"/>
                <w:sz w:val="24"/>
                <w:highlight w:val="none"/>
              </w:rPr>
              <w:t>DOj≥DOs</w:t>
            </w:r>
          </w:p>
          <w:p w14:paraId="5E53ADA5">
            <w:pPr>
              <w:spacing w:line="360" w:lineRule="auto"/>
              <w:ind w:firstLine="480" w:firstLineChars="200"/>
              <w:rPr>
                <w:rFonts w:hint="default" w:ascii="Times New Roman" w:hAnsi="Times New Roman" w:eastAsia="宋体" w:cs="Times New Roman"/>
                <w:color w:val="auto"/>
                <w:kern w:val="24"/>
                <w:sz w:val="24"/>
                <w:highlight w:val="none"/>
              </w:rPr>
            </w:pPr>
            <w:r>
              <w:rPr>
                <w:rFonts w:hint="default" w:ascii="Times New Roman" w:hAnsi="Times New Roman" w:eastAsia="宋体" w:cs="Times New Roman"/>
                <w:color w:val="auto"/>
                <w:kern w:val="24"/>
                <w:sz w:val="24"/>
                <w:highlight w:val="none"/>
              </w:rPr>
              <w:drawing>
                <wp:inline distT="0" distB="0" distL="114300" distR="114300">
                  <wp:extent cx="1235075" cy="474980"/>
                  <wp:effectExtent l="0" t="0" r="0" b="127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8"/>
                          <a:stretch>
                            <a:fillRect/>
                          </a:stretch>
                        </pic:blipFill>
                        <pic:spPr>
                          <a:xfrm>
                            <a:off x="0" y="0"/>
                            <a:ext cx="1235075" cy="474980"/>
                          </a:xfrm>
                          <a:prstGeom prst="rect">
                            <a:avLst/>
                          </a:prstGeom>
                          <a:noFill/>
                          <a:ln>
                            <a:noFill/>
                          </a:ln>
                        </pic:spPr>
                      </pic:pic>
                    </a:graphicData>
                  </a:graphic>
                </wp:inline>
              </w:drawing>
            </w:r>
            <w:r>
              <w:rPr>
                <w:rFonts w:hint="default" w:ascii="Times New Roman" w:hAnsi="Times New Roman" w:eastAsia="宋体" w:cs="Times New Roman"/>
                <w:color w:val="auto"/>
                <w:kern w:val="24"/>
                <w:sz w:val="24"/>
                <w:highlight w:val="none"/>
              </w:rPr>
              <w:t>DOj＜DOs</w:t>
            </w:r>
          </w:p>
          <w:p w14:paraId="336B025C">
            <w:pPr>
              <w:spacing w:line="360" w:lineRule="auto"/>
              <w:ind w:firstLine="480" w:firstLineChars="200"/>
              <w:rPr>
                <w:rFonts w:hint="default" w:ascii="Times New Roman" w:hAnsi="Times New Roman" w:eastAsia="宋体" w:cs="Times New Roman"/>
                <w:color w:val="auto"/>
                <w:kern w:val="24"/>
                <w:sz w:val="24"/>
                <w:highlight w:val="none"/>
              </w:rPr>
            </w:pPr>
            <w:r>
              <w:rPr>
                <w:rFonts w:hint="default" w:ascii="Times New Roman" w:hAnsi="Times New Roman" w:eastAsia="宋体" w:cs="Times New Roman"/>
                <w:color w:val="auto"/>
                <w:kern w:val="24"/>
                <w:sz w:val="24"/>
                <w:highlight w:val="none"/>
              </w:rPr>
              <w:drawing>
                <wp:inline distT="0" distB="0" distL="114300" distR="114300">
                  <wp:extent cx="1056640" cy="391795"/>
                  <wp:effectExtent l="0" t="0" r="0" b="762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9"/>
                          <a:stretch>
                            <a:fillRect/>
                          </a:stretch>
                        </pic:blipFill>
                        <pic:spPr>
                          <a:xfrm>
                            <a:off x="0" y="0"/>
                            <a:ext cx="1056640" cy="391795"/>
                          </a:xfrm>
                          <a:prstGeom prst="rect">
                            <a:avLst/>
                          </a:prstGeom>
                          <a:noFill/>
                          <a:ln>
                            <a:noFill/>
                          </a:ln>
                        </pic:spPr>
                      </pic:pic>
                    </a:graphicData>
                  </a:graphic>
                </wp:inline>
              </w:drawing>
            </w:r>
          </w:p>
          <w:p w14:paraId="0139F7DD">
            <w:pPr>
              <w:spacing w:line="360" w:lineRule="auto"/>
              <w:ind w:firstLine="480" w:firstLineChars="200"/>
              <w:rPr>
                <w:rFonts w:hint="default" w:ascii="Times New Roman" w:hAnsi="Times New Roman" w:eastAsia="宋体" w:cs="Times New Roman"/>
                <w:color w:val="auto"/>
                <w:kern w:val="24"/>
                <w:sz w:val="24"/>
                <w:highlight w:val="none"/>
              </w:rPr>
            </w:pPr>
            <w:r>
              <w:rPr>
                <w:rFonts w:hint="default" w:ascii="Times New Roman" w:hAnsi="Times New Roman" w:eastAsia="宋体" w:cs="Times New Roman"/>
                <w:color w:val="auto"/>
                <w:kern w:val="24"/>
                <w:sz w:val="24"/>
                <w:highlight w:val="none"/>
              </w:rPr>
              <w:t>PH为：</w:t>
            </w:r>
          </w:p>
          <w:p w14:paraId="541E61C0">
            <w:pPr>
              <w:spacing w:line="360" w:lineRule="auto"/>
              <w:ind w:firstLine="480" w:firstLineChars="200"/>
              <w:rPr>
                <w:rFonts w:hint="default" w:ascii="Times New Roman" w:hAnsi="Times New Roman" w:eastAsia="宋体" w:cs="Times New Roman"/>
                <w:color w:val="auto"/>
                <w:kern w:val="24"/>
                <w:sz w:val="24"/>
                <w:highlight w:val="none"/>
              </w:rPr>
            </w:pPr>
            <w:r>
              <w:rPr>
                <w:rFonts w:hint="default" w:ascii="Times New Roman" w:hAnsi="Times New Roman" w:eastAsia="宋体" w:cs="Times New Roman"/>
                <w:color w:val="auto"/>
                <w:kern w:val="24"/>
                <w:sz w:val="24"/>
                <w:highlight w:val="none"/>
              </w:rPr>
              <w:drawing>
                <wp:inline distT="0" distB="0" distL="114300" distR="114300">
                  <wp:extent cx="1247140" cy="474980"/>
                  <wp:effectExtent l="0" t="0" r="10160" b="127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0"/>
                          <a:stretch>
                            <a:fillRect/>
                          </a:stretch>
                        </pic:blipFill>
                        <pic:spPr>
                          <a:xfrm>
                            <a:off x="0" y="0"/>
                            <a:ext cx="1247140" cy="474980"/>
                          </a:xfrm>
                          <a:prstGeom prst="rect">
                            <a:avLst/>
                          </a:prstGeom>
                          <a:noFill/>
                          <a:ln>
                            <a:noFill/>
                          </a:ln>
                        </pic:spPr>
                      </pic:pic>
                    </a:graphicData>
                  </a:graphic>
                </wp:inline>
              </w:drawing>
            </w:r>
            <w:r>
              <w:rPr>
                <w:rFonts w:hint="default" w:ascii="Times New Roman" w:hAnsi="Times New Roman" w:eastAsia="宋体" w:cs="Times New Roman"/>
                <w:color w:val="auto"/>
                <w:kern w:val="24"/>
                <w:sz w:val="24"/>
                <w:highlight w:val="none"/>
              </w:rPr>
              <w:t>PH</w:t>
            </w:r>
            <w:r>
              <w:rPr>
                <w:rFonts w:hint="default" w:ascii="Times New Roman" w:hAnsi="Times New Roman" w:eastAsia="宋体" w:cs="Times New Roman"/>
                <w:color w:val="auto"/>
                <w:kern w:val="24"/>
                <w:sz w:val="24"/>
                <w:highlight w:val="none"/>
                <w:vertAlign w:val="subscript"/>
              </w:rPr>
              <w:t>j</w:t>
            </w:r>
            <w:r>
              <w:rPr>
                <w:rFonts w:hint="default" w:ascii="Times New Roman" w:hAnsi="Times New Roman" w:eastAsia="宋体" w:cs="Times New Roman"/>
                <w:color w:val="auto"/>
                <w:kern w:val="24"/>
                <w:sz w:val="24"/>
                <w:highlight w:val="none"/>
              </w:rPr>
              <w:t>≤7.0</w:t>
            </w:r>
          </w:p>
          <w:p w14:paraId="547EC037">
            <w:pPr>
              <w:spacing w:line="360" w:lineRule="auto"/>
              <w:ind w:firstLine="480" w:firstLineChars="200"/>
              <w:rPr>
                <w:rFonts w:hint="default" w:ascii="Times New Roman" w:hAnsi="Times New Roman" w:eastAsia="宋体" w:cs="Times New Roman"/>
                <w:color w:val="auto"/>
                <w:kern w:val="24"/>
                <w:sz w:val="24"/>
                <w:highlight w:val="none"/>
              </w:rPr>
            </w:pPr>
            <w:r>
              <w:rPr>
                <w:rFonts w:hint="default" w:ascii="Times New Roman" w:hAnsi="Times New Roman" w:eastAsia="宋体" w:cs="Times New Roman"/>
                <w:color w:val="auto"/>
                <w:kern w:val="24"/>
                <w:sz w:val="24"/>
                <w:highlight w:val="none"/>
              </w:rPr>
              <w:drawing>
                <wp:inline distT="0" distB="0" distL="114300" distR="114300">
                  <wp:extent cx="1235075" cy="474980"/>
                  <wp:effectExtent l="0" t="0" r="3175" b="127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1"/>
                          <a:stretch>
                            <a:fillRect/>
                          </a:stretch>
                        </pic:blipFill>
                        <pic:spPr>
                          <a:xfrm>
                            <a:off x="0" y="0"/>
                            <a:ext cx="1235075" cy="474980"/>
                          </a:xfrm>
                          <a:prstGeom prst="rect">
                            <a:avLst/>
                          </a:prstGeom>
                          <a:noFill/>
                          <a:ln>
                            <a:noFill/>
                          </a:ln>
                        </pic:spPr>
                      </pic:pic>
                    </a:graphicData>
                  </a:graphic>
                </wp:inline>
              </w:drawing>
            </w:r>
            <w:r>
              <w:rPr>
                <w:rFonts w:hint="default" w:ascii="Times New Roman" w:hAnsi="Times New Roman" w:eastAsia="宋体" w:cs="Times New Roman"/>
                <w:color w:val="auto"/>
                <w:kern w:val="24"/>
                <w:sz w:val="24"/>
                <w:highlight w:val="none"/>
              </w:rPr>
              <w:t>PH</w:t>
            </w:r>
            <w:r>
              <w:rPr>
                <w:rFonts w:hint="default" w:ascii="Times New Roman" w:hAnsi="Times New Roman" w:eastAsia="宋体" w:cs="Times New Roman"/>
                <w:color w:val="auto"/>
                <w:kern w:val="24"/>
                <w:sz w:val="24"/>
                <w:highlight w:val="none"/>
                <w:vertAlign w:val="subscript"/>
              </w:rPr>
              <w:t>j</w:t>
            </w:r>
            <w:r>
              <w:rPr>
                <w:rFonts w:hint="default" w:ascii="Times New Roman" w:hAnsi="Times New Roman" w:eastAsia="宋体" w:cs="Times New Roman"/>
                <w:color w:val="auto"/>
                <w:kern w:val="24"/>
                <w:sz w:val="24"/>
                <w:highlight w:val="none"/>
              </w:rPr>
              <w:t>＞7.0</w:t>
            </w:r>
          </w:p>
          <w:p w14:paraId="4791DB1D">
            <w:pPr>
              <w:spacing w:line="360" w:lineRule="auto"/>
              <w:ind w:firstLine="480" w:firstLineChars="200"/>
              <w:rPr>
                <w:rFonts w:hint="eastAsia" w:ascii="Times New Roman" w:hAnsi="Times New Roman" w:eastAsia="宋体" w:cs="Times New Roman"/>
                <w:color w:val="auto"/>
                <w:kern w:val="24"/>
                <w:sz w:val="24"/>
                <w:highlight w:val="none"/>
                <w:lang w:eastAsia="zh-CN"/>
              </w:rPr>
            </w:pPr>
          </w:p>
          <w:p w14:paraId="64D0BFBE">
            <w:pPr>
              <w:spacing w:line="360" w:lineRule="auto"/>
              <w:ind w:firstLine="480" w:firstLineChars="200"/>
              <w:rPr>
                <w:rFonts w:hint="default" w:ascii="Times New Roman" w:hAnsi="Times New Roman" w:eastAsia="宋体" w:cs="Times New Roman"/>
                <w:color w:val="auto"/>
                <w:kern w:val="24"/>
                <w:sz w:val="24"/>
                <w:highlight w:val="none"/>
              </w:rPr>
            </w:pPr>
            <w:r>
              <w:rPr>
                <w:rFonts w:hint="default" w:ascii="Times New Roman" w:hAnsi="Times New Roman" w:eastAsia="宋体" w:cs="Times New Roman"/>
                <w:color w:val="auto"/>
                <w:kern w:val="24"/>
                <w:sz w:val="24"/>
                <w:highlight w:val="none"/>
              </w:rPr>
              <w:t>式中：SPH</w:t>
            </w:r>
            <w:r>
              <w:rPr>
                <w:rFonts w:hint="default" w:ascii="Times New Roman" w:hAnsi="Times New Roman" w:eastAsia="宋体" w:cs="Times New Roman"/>
                <w:color w:val="auto"/>
                <w:kern w:val="24"/>
                <w:sz w:val="24"/>
                <w:highlight w:val="none"/>
                <w:vertAlign w:val="subscript"/>
              </w:rPr>
              <w:t>j</w:t>
            </w:r>
            <w:r>
              <w:rPr>
                <w:rFonts w:hint="default" w:ascii="Times New Roman" w:hAnsi="Times New Roman" w:eastAsia="宋体" w:cs="Times New Roman"/>
                <w:color w:val="auto"/>
                <w:kern w:val="24"/>
                <w:sz w:val="24"/>
                <w:highlight w:val="none"/>
              </w:rPr>
              <w:t>：为水质参数PH在j点的标准指数；</w:t>
            </w:r>
          </w:p>
          <w:p w14:paraId="6611CBD4">
            <w:pPr>
              <w:spacing w:line="360" w:lineRule="auto"/>
              <w:ind w:firstLine="480" w:firstLineChars="200"/>
              <w:rPr>
                <w:rFonts w:hint="default" w:ascii="Times New Roman" w:hAnsi="Times New Roman" w:eastAsia="宋体" w:cs="Times New Roman"/>
                <w:color w:val="auto"/>
                <w:kern w:val="24"/>
                <w:sz w:val="24"/>
                <w:highlight w:val="none"/>
              </w:rPr>
            </w:pPr>
            <w:r>
              <w:rPr>
                <w:rFonts w:hint="default" w:ascii="Times New Roman" w:hAnsi="Times New Roman" w:eastAsia="宋体" w:cs="Times New Roman"/>
                <w:color w:val="auto"/>
                <w:kern w:val="24"/>
                <w:sz w:val="24"/>
                <w:highlight w:val="none"/>
              </w:rPr>
              <w:t>PH</w:t>
            </w:r>
            <w:r>
              <w:rPr>
                <w:rFonts w:hint="default" w:ascii="Times New Roman" w:hAnsi="Times New Roman" w:eastAsia="宋体" w:cs="Times New Roman"/>
                <w:color w:val="auto"/>
                <w:kern w:val="24"/>
                <w:sz w:val="24"/>
                <w:highlight w:val="none"/>
                <w:vertAlign w:val="subscript"/>
              </w:rPr>
              <w:t>j</w:t>
            </w:r>
            <w:r>
              <w:rPr>
                <w:rFonts w:hint="default" w:ascii="Times New Roman" w:hAnsi="Times New Roman" w:eastAsia="宋体" w:cs="Times New Roman"/>
                <w:color w:val="auto"/>
                <w:kern w:val="24"/>
                <w:sz w:val="24"/>
                <w:highlight w:val="none"/>
              </w:rPr>
              <w:t>：为j点的</w:t>
            </w:r>
            <w:r>
              <w:rPr>
                <w:rFonts w:hint="eastAsia" w:ascii="Times New Roman" w:hAnsi="Times New Roman" w:cs="Times New Roman"/>
                <w:color w:val="auto"/>
                <w:kern w:val="24"/>
                <w:sz w:val="24"/>
                <w:highlight w:val="none"/>
                <w:lang w:eastAsia="zh-CN"/>
              </w:rPr>
              <w:t>pH值</w:t>
            </w:r>
            <w:r>
              <w:rPr>
                <w:rFonts w:hint="default" w:ascii="Times New Roman" w:hAnsi="Times New Roman" w:eastAsia="宋体" w:cs="Times New Roman"/>
                <w:color w:val="auto"/>
                <w:kern w:val="24"/>
                <w:sz w:val="24"/>
                <w:highlight w:val="none"/>
              </w:rPr>
              <w:t>；</w:t>
            </w:r>
          </w:p>
          <w:p w14:paraId="56680BB7">
            <w:pPr>
              <w:spacing w:line="360" w:lineRule="auto"/>
              <w:ind w:firstLine="480" w:firstLineChars="200"/>
              <w:rPr>
                <w:rFonts w:hint="default" w:ascii="Times New Roman" w:hAnsi="Times New Roman" w:eastAsia="宋体" w:cs="Times New Roman"/>
                <w:color w:val="auto"/>
                <w:kern w:val="24"/>
                <w:sz w:val="24"/>
                <w:highlight w:val="none"/>
              </w:rPr>
            </w:pPr>
            <w:r>
              <w:rPr>
                <w:rFonts w:hint="default" w:ascii="Times New Roman" w:hAnsi="Times New Roman" w:eastAsia="宋体" w:cs="Times New Roman"/>
                <w:color w:val="auto"/>
                <w:kern w:val="24"/>
                <w:sz w:val="24"/>
                <w:highlight w:val="none"/>
              </w:rPr>
              <w:t>PH</w:t>
            </w:r>
            <w:r>
              <w:rPr>
                <w:rFonts w:hint="default" w:ascii="Times New Roman" w:hAnsi="Times New Roman" w:eastAsia="宋体" w:cs="Times New Roman"/>
                <w:color w:val="auto"/>
                <w:kern w:val="24"/>
                <w:sz w:val="24"/>
                <w:highlight w:val="none"/>
                <w:vertAlign w:val="subscript"/>
              </w:rPr>
              <w:t>su</w:t>
            </w:r>
            <w:r>
              <w:rPr>
                <w:rFonts w:hint="default" w:ascii="Times New Roman" w:hAnsi="Times New Roman" w:eastAsia="宋体" w:cs="Times New Roman"/>
                <w:color w:val="auto"/>
                <w:kern w:val="24"/>
                <w:sz w:val="24"/>
                <w:highlight w:val="none"/>
              </w:rPr>
              <w:t>：为地表水水质标准中规定的</w:t>
            </w:r>
            <w:r>
              <w:rPr>
                <w:rFonts w:hint="eastAsia" w:ascii="Times New Roman" w:hAnsi="Times New Roman" w:cs="Times New Roman"/>
                <w:color w:val="auto"/>
                <w:kern w:val="24"/>
                <w:sz w:val="24"/>
                <w:highlight w:val="none"/>
                <w:lang w:eastAsia="zh-CN"/>
              </w:rPr>
              <w:t>pH值</w:t>
            </w:r>
            <w:r>
              <w:rPr>
                <w:rFonts w:hint="default" w:ascii="Times New Roman" w:hAnsi="Times New Roman" w:eastAsia="宋体" w:cs="Times New Roman"/>
                <w:color w:val="auto"/>
                <w:kern w:val="24"/>
                <w:sz w:val="24"/>
                <w:highlight w:val="none"/>
              </w:rPr>
              <w:t>上限；</w:t>
            </w:r>
          </w:p>
          <w:p w14:paraId="15A4FE50">
            <w:pPr>
              <w:spacing w:line="360" w:lineRule="auto"/>
              <w:ind w:firstLine="480" w:firstLineChars="200"/>
              <w:rPr>
                <w:rFonts w:hint="default" w:ascii="Times New Roman" w:hAnsi="Times New Roman" w:eastAsia="宋体" w:cs="Times New Roman"/>
                <w:color w:val="auto"/>
                <w:kern w:val="24"/>
                <w:sz w:val="24"/>
                <w:highlight w:val="none"/>
              </w:rPr>
            </w:pPr>
            <w:r>
              <w:rPr>
                <w:rFonts w:hint="default" w:ascii="Times New Roman" w:hAnsi="Times New Roman" w:eastAsia="宋体" w:cs="Times New Roman"/>
                <w:color w:val="auto"/>
                <w:kern w:val="24"/>
                <w:sz w:val="24"/>
                <w:highlight w:val="none"/>
              </w:rPr>
              <w:t>PH</w:t>
            </w:r>
            <w:r>
              <w:rPr>
                <w:rFonts w:hint="default" w:ascii="Times New Roman" w:hAnsi="Times New Roman" w:eastAsia="宋体" w:cs="Times New Roman"/>
                <w:color w:val="auto"/>
                <w:kern w:val="24"/>
                <w:sz w:val="24"/>
                <w:highlight w:val="none"/>
                <w:vertAlign w:val="subscript"/>
              </w:rPr>
              <w:t>sd</w:t>
            </w:r>
            <w:r>
              <w:rPr>
                <w:rFonts w:hint="default" w:ascii="Times New Roman" w:hAnsi="Times New Roman" w:eastAsia="宋体" w:cs="Times New Roman"/>
                <w:color w:val="auto"/>
                <w:kern w:val="24"/>
                <w:sz w:val="24"/>
                <w:highlight w:val="none"/>
              </w:rPr>
              <w:t>：为地表水水质标准中规定的</w:t>
            </w:r>
            <w:r>
              <w:rPr>
                <w:rFonts w:hint="eastAsia" w:ascii="Times New Roman" w:hAnsi="Times New Roman" w:cs="Times New Roman"/>
                <w:color w:val="auto"/>
                <w:kern w:val="24"/>
                <w:sz w:val="24"/>
                <w:highlight w:val="none"/>
                <w:lang w:eastAsia="zh-CN"/>
              </w:rPr>
              <w:t>pH值</w:t>
            </w:r>
            <w:r>
              <w:rPr>
                <w:rFonts w:hint="default" w:ascii="Times New Roman" w:hAnsi="Times New Roman" w:eastAsia="宋体" w:cs="Times New Roman"/>
                <w:color w:val="auto"/>
                <w:kern w:val="24"/>
                <w:sz w:val="24"/>
                <w:highlight w:val="none"/>
              </w:rPr>
              <w:t>下限；</w:t>
            </w:r>
          </w:p>
          <w:p w14:paraId="2683AB60">
            <w:pPr>
              <w:spacing w:line="360" w:lineRule="auto"/>
              <w:ind w:firstLine="480" w:firstLineChars="200"/>
              <w:rPr>
                <w:rFonts w:hint="default" w:ascii="Times New Roman" w:hAnsi="Times New Roman" w:eastAsia="宋体" w:cs="Times New Roman"/>
                <w:color w:val="auto"/>
                <w:kern w:val="24"/>
                <w:sz w:val="24"/>
                <w:highlight w:val="none"/>
              </w:rPr>
            </w:pPr>
            <w:r>
              <w:rPr>
                <w:rFonts w:hint="default" w:ascii="Times New Roman" w:hAnsi="Times New Roman" w:eastAsia="宋体" w:cs="Times New Roman"/>
                <w:color w:val="auto"/>
                <w:kern w:val="24"/>
                <w:sz w:val="24"/>
                <w:highlight w:val="none"/>
              </w:rPr>
              <w:t>SDO</w:t>
            </w:r>
            <w:r>
              <w:rPr>
                <w:rFonts w:hint="default" w:ascii="Times New Roman" w:hAnsi="Times New Roman" w:eastAsia="宋体" w:cs="Times New Roman"/>
                <w:color w:val="auto"/>
                <w:kern w:val="24"/>
                <w:sz w:val="24"/>
                <w:highlight w:val="none"/>
                <w:vertAlign w:val="subscript"/>
              </w:rPr>
              <w:t>j</w:t>
            </w:r>
            <w:r>
              <w:rPr>
                <w:rFonts w:hint="default" w:ascii="Times New Roman" w:hAnsi="Times New Roman" w:eastAsia="宋体" w:cs="Times New Roman"/>
                <w:color w:val="auto"/>
                <w:kern w:val="24"/>
                <w:sz w:val="24"/>
                <w:highlight w:val="none"/>
              </w:rPr>
              <w:t>：为水质参数DO在j点的标准指数；</w:t>
            </w:r>
          </w:p>
          <w:p w14:paraId="176819D4">
            <w:pPr>
              <w:spacing w:line="360" w:lineRule="auto"/>
              <w:ind w:firstLine="480" w:firstLineChars="200"/>
              <w:rPr>
                <w:rFonts w:hint="default" w:ascii="Times New Roman" w:hAnsi="Times New Roman" w:eastAsia="宋体" w:cs="Times New Roman"/>
                <w:color w:val="auto"/>
                <w:kern w:val="24"/>
                <w:sz w:val="24"/>
                <w:highlight w:val="none"/>
              </w:rPr>
            </w:pPr>
            <w:r>
              <w:rPr>
                <w:rFonts w:hint="default" w:ascii="Times New Roman" w:hAnsi="Times New Roman" w:eastAsia="宋体" w:cs="Times New Roman"/>
                <w:color w:val="auto"/>
                <w:kern w:val="24"/>
                <w:sz w:val="24"/>
                <w:highlight w:val="none"/>
              </w:rPr>
              <w:t>DO</w:t>
            </w:r>
            <w:r>
              <w:rPr>
                <w:rFonts w:hint="default" w:ascii="Times New Roman" w:hAnsi="Times New Roman" w:eastAsia="宋体" w:cs="Times New Roman"/>
                <w:color w:val="auto"/>
                <w:kern w:val="24"/>
                <w:sz w:val="24"/>
                <w:highlight w:val="none"/>
                <w:vertAlign w:val="subscript"/>
              </w:rPr>
              <w:t>f</w:t>
            </w:r>
            <w:r>
              <w:rPr>
                <w:rFonts w:hint="default" w:ascii="Times New Roman" w:hAnsi="Times New Roman" w:eastAsia="宋体" w:cs="Times New Roman"/>
                <w:color w:val="auto"/>
                <w:kern w:val="24"/>
                <w:sz w:val="24"/>
                <w:highlight w:val="none"/>
              </w:rPr>
              <w:t>：为该水温的饱和溶解氧值，mg/L；</w:t>
            </w:r>
          </w:p>
          <w:p w14:paraId="64A93EC1">
            <w:pPr>
              <w:spacing w:line="360" w:lineRule="auto"/>
              <w:ind w:firstLine="480" w:firstLineChars="200"/>
              <w:rPr>
                <w:rFonts w:hint="default" w:ascii="Times New Roman" w:hAnsi="Times New Roman" w:eastAsia="宋体" w:cs="Times New Roman"/>
                <w:color w:val="auto"/>
                <w:kern w:val="24"/>
                <w:sz w:val="24"/>
                <w:highlight w:val="none"/>
              </w:rPr>
            </w:pPr>
            <w:r>
              <w:rPr>
                <w:rFonts w:hint="default" w:ascii="Times New Roman" w:hAnsi="Times New Roman" w:eastAsia="宋体" w:cs="Times New Roman"/>
                <w:color w:val="auto"/>
                <w:kern w:val="24"/>
                <w:sz w:val="24"/>
                <w:highlight w:val="none"/>
              </w:rPr>
              <w:t>DO</w:t>
            </w:r>
            <w:r>
              <w:rPr>
                <w:rFonts w:hint="default" w:ascii="Times New Roman" w:hAnsi="Times New Roman" w:eastAsia="宋体" w:cs="Times New Roman"/>
                <w:color w:val="auto"/>
                <w:kern w:val="24"/>
                <w:sz w:val="24"/>
                <w:highlight w:val="none"/>
                <w:vertAlign w:val="subscript"/>
              </w:rPr>
              <w:t>j</w:t>
            </w:r>
            <w:r>
              <w:rPr>
                <w:rFonts w:hint="default" w:ascii="Times New Roman" w:hAnsi="Times New Roman" w:eastAsia="宋体" w:cs="Times New Roman"/>
                <w:color w:val="auto"/>
                <w:kern w:val="24"/>
                <w:sz w:val="24"/>
                <w:highlight w:val="none"/>
              </w:rPr>
              <w:t>：为实测溶解氧值，mg/L；</w:t>
            </w:r>
          </w:p>
          <w:p w14:paraId="0B0238C2">
            <w:pPr>
              <w:spacing w:line="360" w:lineRule="auto"/>
              <w:ind w:firstLine="480" w:firstLineChars="200"/>
              <w:rPr>
                <w:rFonts w:hint="default" w:ascii="Times New Roman" w:hAnsi="Times New Roman" w:eastAsia="宋体" w:cs="Times New Roman"/>
                <w:color w:val="auto"/>
                <w:kern w:val="24"/>
                <w:sz w:val="24"/>
                <w:highlight w:val="none"/>
              </w:rPr>
            </w:pPr>
            <w:r>
              <w:rPr>
                <w:rFonts w:hint="default" w:ascii="Times New Roman" w:hAnsi="Times New Roman" w:eastAsia="宋体" w:cs="Times New Roman"/>
                <w:color w:val="auto"/>
                <w:kern w:val="24"/>
                <w:sz w:val="24"/>
                <w:highlight w:val="none"/>
              </w:rPr>
              <w:t>DO</w:t>
            </w:r>
            <w:r>
              <w:rPr>
                <w:rFonts w:hint="default" w:ascii="Times New Roman" w:hAnsi="Times New Roman" w:eastAsia="宋体" w:cs="Times New Roman"/>
                <w:color w:val="auto"/>
                <w:kern w:val="24"/>
                <w:sz w:val="24"/>
                <w:highlight w:val="none"/>
                <w:vertAlign w:val="subscript"/>
              </w:rPr>
              <w:t>s</w:t>
            </w:r>
            <w:r>
              <w:rPr>
                <w:rFonts w:hint="default" w:ascii="Times New Roman" w:hAnsi="Times New Roman" w:eastAsia="宋体" w:cs="Times New Roman"/>
                <w:color w:val="auto"/>
                <w:kern w:val="24"/>
                <w:sz w:val="24"/>
                <w:highlight w:val="none"/>
              </w:rPr>
              <w:t>：为溶解氧的标准值，mg/L；</w:t>
            </w:r>
          </w:p>
          <w:p w14:paraId="09A69D37">
            <w:pPr>
              <w:spacing w:line="360" w:lineRule="auto"/>
              <w:ind w:firstLine="480" w:firstLineChars="200"/>
              <w:rPr>
                <w:rFonts w:hint="default" w:ascii="Times New Roman" w:hAnsi="Times New Roman" w:eastAsia="宋体" w:cs="Times New Roman"/>
                <w:color w:val="auto"/>
                <w:kern w:val="24"/>
                <w:sz w:val="24"/>
                <w:highlight w:val="none"/>
              </w:rPr>
            </w:pPr>
            <w:r>
              <w:rPr>
                <w:rFonts w:hint="default" w:ascii="Times New Roman" w:hAnsi="Times New Roman" w:eastAsia="宋体" w:cs="Times New Roman"/>
                <w:color w:val="auto"/>
                <w:kern w:val="24"/>
                <w:sz w:val="24"/>
                <w:highlight w:val="none"/>
              </w:rPr>
              <w:t>T</w:t>
            </w:r>
            <w:r>
              <w:rPr>
                <w:rFonts w:hint="default" w:ascii="Times New Roman" w:hAnsi="Times New Roman" w:eastAsia="宋体" w:cs="Times New Roman"/>
                <w:color w:val="auto"/>
                <w:kern w:val="24"/>
                <w:sz w:val="24"/>
                <w:highlight w:val="none"/>
                <w:vertAlign w:val="subscript"/>
              </w:rPr>
              <w:t>j</w:t>
            </w:r>
            <w:r>
              <w:rPr>
                <w:rFonts w:hint="default" w:ascii="Times New Roman" w:hAnsi="Times New Roman" w:eastAsia="宋体" w:cs="Times New Roman"/>
                <w:color w:val="auto"/>
                <w:kern w:val="24"/>
                <w:sz w:val="24"/>
                <w:highlight w:val="none"/>
              </w:rPr>
              <w:t>：为在j点水温，t℃。</w:t>
            </w:r>
          </w:p>
          <w:p w14:paraId="53CD1069">
            <w:pPr>
              <w:spacing w:line="240" w:lineRule="auto"/>
              <w:jc w:val="center"/>
              <w:textAlignment w:val="baseline"/>
              <w:rPr>
                <w:rFonts w:hint="default" w:ascii="Times New Roman" w:hAnsi="Times New Roman" w:cs="Times New Roman"/>
                <w:b/>
                <w:color w:val="0000FF"/>
                <w:szCs w:val="20"/>
                <w:highlight w:val="none"/>
              </w:rPr>
            </w:pPr>
            <w:r>
              <w:rPr>
                <w:rFonts w:hint="default" w:ascii="Times New Roman" w:hAnsi="Times New Roman" w:cs="Times New Roman"/>
                <w:b/>
                <w:color w:val="0000FF"/>
                <w:szCs w:val="20"/>
                <w:highlight w:val="none"/>
              </w:rPr>
              <w:t>表</w:t>
            </w:r>
            <w:r>
              <w:rPr>
                <w:rFonts w:hint="default" w:ascii="Times New Roman" w:hAnsi="Times New Roman" w:cs="Times New Roman"/>
                <w:b/>
                <w:color w:val="0000FF"/>
                <w:szCs w:val="20"/>
                <w:highlight w:val="none"/>
                <w:lang w:val="en-US" w:eastAsia="zh-CN"/>
              </w:rPr>
              <w:t>3-3</w:t>
            </w:r>
            <w:r>
              <w:rPr>
                <w:rFonts w:hint="default" w:ascii="Times New Roman" w:hAnsi="Times New Roman" w:cs="Times New Roman"/>
                <w:b/>
                <w:color w:val="0000FF"/>
                <w:szCs w:val="20"/>
                <w:highlight w:val="none"/>
              </w:rPr>
              <w:t>评价区地表水水质现状监测结果</w:t>
            </w:r>
            <w:r>
              <w:rPr>
                <w:rFonts w:hint="default" w:ascii="Times New Roman" w:hAnsi="Times New Roman" w:cs="Times New Roman"/>
                <w:b/>
                <w:color w:val="0000FF"/>
                <w:szCs w:val="20"/>
                <w:highlight w:val="none"/>
                <w:lang w:val="en-US" w:eastAsia="zh-CN"/>
              </w:rPr>
              <w:t>及</w:t>
            </w:r>
            <w:r>
              <w:rPr>
                <w:rFonts w:hint="default" w:ascii="Times New Roman" w:hAnsi="Times New Roman" w:cs="Times New Roman"/>
                <w:b/>
                <w:color w:val="0000FF"/>
                <w:szCs w:val="20"/>
                <w:highlight w:val="none"/>
              </w:rPr>
              <w:t>现状评价结果（标准指数）</w:t>
            </w:r>
          </w:p>
          <w:tbl>
            <w:tblPr>
              <w:tblStyle w:val="97"/>
              <w:tblW w:w="5000" w:type="pct"/>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92"/>
              <w:gridCol w:w="2005"/>
              <w:gridCol w:w="1204"/>
              <w:gridCol w:w="1639"/>
              <w:gridCol w:w="1514"/>
            </w:tblGrid>
            <w:tr w14:paraId="5DC8F1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 w:hRule="atLeast"/>
              </w:trPr>
              <w:tc>
                <w:tcPr>
                  <w:tcW w:w="1802" w:type="dxa"/>
                  <w:vMerge w:val="restart"/>
                  <w:vAlign w:val="center"/>
                </w:tcPr>
                <w:p w14:paraId="4009CC00">
                  <w:pPr>
                    <w:pStyle w:val="144"/>
                    <w:bidi w:val="0"/>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检测项目</w:t>
                  </w:r>
                </w:p>
              </w:tc>
              <w:tc>
                <w:tcPr>
                  <w:tcW w:w="1450" w:type="dxa"/>
                  <w:vMerge w:val="restart"/>
                  <w:vAlign w:val="center"/>
                </w:tcPr>
                <w:p w14:paraId="5E67AC31">
                  <w:pPr>
                    <w:pStyle w:val="144"/>
                    <w:bidi w:val="0"/>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单位</w:t>
                  </w:r>
                </w:p>
              </w:tc>
              <w:tc>
                <w:tcPr>
                  <w:tcW w:w="871" w:type="dxa"/>
                  <w:vMerge w:val="restart"/>
                  <w:vAlign w:val="center"/>
                </w:tcPr>
                <w:p w14:paraId="02E287A2">
                  <w:pPr>
                    <w:pStyle w:val="144"/>
                    <w:bidi w:val="0"/>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标准限值</w:t>
                  </w:r>
                </w:p>
              </w:tc>
              <w:tc>
                <w:tcPr>
                  <w:tcW w:w="2280" w:type="dxa"/>
                  <w:gridSpan w:val="2"/>
                  <w:tcBorders>
                    <w:bottom w:val="single" w:color="auto" w:sz="4" w:space="0"/>
                    <w:right w:val="single" w:color="auto" w:sz="4" w:space="0"/>
                  </w:tcBorders>
                  <w:vAlign w:val="center"/>
                </w:tcPr>
                <w:p w14:paraId="3EABD235">
                  <w:pPr>
                    <w:pStyle w:val="144"/>
                    <w:bidi w:val="0"/>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叶尔羌河依盖尔其断面</w:t>
                  </w:r>
                </w:p>
              </w:tc>
            </w:tr>
            <w:tr w14:paraId="61C23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 w:hRule="atLeast"/>
              </w:trPr>
              <w:tc>
                <w:tcPr>
                  <w:tcW w:w="1802" w:type="dxa"/>
                  <w:vMerge w:val="continue"/>
                  <w:vAlign w:val="center"/>
                </w:tcPr>
                <w:p w14:paraId="22E57889">
                  <w:pPr>
                    <w:pStyle w:val="144"/>
                    <w:bidi w:val="0"/>
                    <w:jc w:val="center"/>
                    <w:rPr>
                      <w:rFonts w:hint="default" w:ascii="Times New Roman" w:hAnsi="Times New Roman" w:eastAsia="宋体" w:cs="Times New Roman"/>
                      <w:color w:val="0000FF"/>
                      <w:sz w:val="21"/>
                      <w:szCs w:val="21"/>
                      <w:highlight w:val="none"/>
                      <w:lang w:val="en-US" w:eastAsia="zh-CN"/>
                    </w:rPr>
                  </w:pPr>
                </w:p>
              </w:tc>
              <w:tc>
                <w:tcPr>
                  <w:tcW w:w="1450" w:type="dxa"/>
                  <w:vMerge w:val="continue"/>
                  <w:vAlign w:val="center"/>
                </w:tcPr>
                <w:p w14:paraId="4592429A">
                  <w:pPr>
                    <w:pStyle w:val="144"/>
                    <w:bidi w:val="0"/>
                    <w:jc w:val="center"/>
                    <w:rPr>
                      <w:rFonts w:hint="default" w:ascii="Times New Roman" w:hAnsi="Times New Roman" w:eastAsia="宋体" w:cs="Times New Roman"/>
                      <w:color w:val="0000FF"/>
                      <w:sz w:val="21"/>
                      <w:szCs w:val="21"/>
                      <w:highlight w:val="none"/>
                      <w:lang w:val="en-US" w:eastAsia="zh-CN"/>
                    </w:rPr>
                  </w:pPr>
                </w:p>
              </w:tc>
              <w:tc>
                <w:tcPr>
                  <w:tcW w:w="871" w:type="dxa"/>
                  <w:vMerge w:val="continue"/>
                  <w:vAlign w:val="center"/>
                </w:tcPr>
                <w:p w14:paraId="4A76788A">
                  <w:pPr>
                    <w:pStyle w:val="144"/>
                    <w:bidi w:val="0"/>
                    <w:jc w:val="center"/>
                    <w:rPr>
                      <w:rFonts w:hint="default" w:ascii="Times New Roman" w:hAnsi="Times New Roman" w:eastAsia="宋体" w:cs="Times New Roman"/>
                      <w:color w:val="0000FF"/>
                      <w:sz w:val="21"/>
                      <w:szCs w:val="21"/>
                      <w:highlight w:val="none"/>
                      <w:lang w:val="en-US" w:eastAsia="zh-CN"/>
                    </w:rPr>
                  </w:pPr>
                </w:p>
              </w:tc>
              <w:tc>
                <w:tcPr>
                  <w:tcW w:w="1185" w:type="dxa"/>
                  <w:tcBorders>
                    <w:top w:val="single" w:color="auto" w:sz="4" w:space="0"/>
                    <w:right w:val="single" w:color="auto" w:sz="4" w:space="0"/>
                  </w:tcBorders>
                  <w:vAlign w:val="center"/>
                </w:tcPr>
                <w:p w14:paraId="74705B87">
                  <w:pPr>
                    <w:pStyle w:val="144"/>
                    <w:bidi w:val="0"/>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检测结果</w:t>
                  </w:r>
                </w:p>
              </w:tc>
              <w:tc>
                <w:tcPr>
                  <w:tcW w:w="1095" w:type="dxa"/>
                  <w:tcBorders>
                    <w:top w:val="single" w:color="auto" w:sz="4" w:space="0"/>
                    <w:left w:val="single" w:color="auto" w:sz="4" w:space="0"/>
                    <w:right w:val="single" w:color="auto" w:sz="4" w:space="0"/>
                  </w:tcBorders>
                  <w:vAlign w:val="center"/>
                </w:tcPr>
                <w:p w14:paraId="2A102819">
                  <w:pPr>
                    <w:pStyle w:val="144"/>
                    <w:bidi w:val="0"/>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单因子指数</w:t>
                  </w:r>
                </w:p>
              </w:tc>
            </w:tr>
            <w:tr w14:paraId="46599B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802" w:type="dxa"/>
                  <w:vAlign w:val="center"/>
                </w:tcPr>
                <w:p w14:paraId="6E8F441B">
                  <w:pPr>
                    <w:pStyle w:val="144"/>
                    <w:bidi w:val="0"/>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水温</w:t>
                  </w:r>
                </w:p>
              </w:tc>
              <w:tc>
                <w:tcPr>
                  <w:tcW w:w="1450" w:type="dxa"/>
                  <w:vAlign w:val="center"/>
                </w:tcPr>
                <w:p w14:paraId="311197BB">
                  <w:pPr>
                    <w:pStyle w:val="144"/>
                    <w:bidi w:val="0"/>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w:t>
                  </w:r>
                </w:p>
              </w:tc>
              <w:tc>
                <w:tcPr>
                  <w:tcW w:w="871" w:type="dxa"/>
                  <w:vAlign w:val="center"/>
                </w:tcPr>
                <w:p w14:paraId="036D16D0">
                  <w:pPr>
                    <w:pStyle w:val="144"/>
                    <w:bidi w:val="0"/>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w:t>
                  </w:r>
                </w:p>
              </w:tc>
              <w:tc>
                <w:tcPr>
                  <w:tcW w:w="1185" w:type="dxa"/>
                  <w:tcBorders>
                    <w:right w:val="single" w:color="auto" w:sz="4" w:space="0"/>
                  </w:tcBorders>
                  <w:vAlign w:val="center"/>
                </w:tcPr>
                <w:p w14:paraId="3B69A7D7">
                  <w:pPr>
                    <w:pStyle w:val="144"/>
                    <w:bidi w:val="0"/>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18.2</w:t>
                  </w:r>
                </w:p>
              </w:tc>
              <w:tc>
                <w:tcPr>
                  <w:tcW w:w="1095" w:type="dxa"/>
                  <w:tcBorders>
                    <w:left w:val="single" w:color="auto" w:sz="4" w:space="0"/>
                    <w:right w:val="single" w:color="auto" w:sz="4" w:space="0"/>
                  </w:tcBorders>
                  <w:vAlign w:val="center"/>
                </w:tcPr>
                <w:p w14:paraId="707EEBE4">
                  <w:pPr>
                    <w:pStyle w:val="144"/>
                    <w:bidi w:val="0"/>
                    <w:jc w:val="center"/>
                    <w:rPr>
                      <w:rFonts w:hint="default" w:ascii="Times New Roman" w:hAnsi="Times New Roman" w:eastAsia="宋体" w:cs="Times New Roman"/>
                      <w:color w:val="0000FF"/>
                      <w:sz w:val="21"/>
                      <w:szCs w:val="21"/>
                      <w:highlight w:val="none"/>
                      <w:lang w:val="en-US" w:eastAsia="zh-CN"/>
                    </w:rPr>
                  </w:pPr>
                </w:p>
              </w:tc>
            </w:tr>
            <w:tr w14:paraId="268BF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802" w:type="dxa"/>
                  <w:vAlign w:val="center"/>
                </w:tcPr>
                <w:p w14:paraId="6AEDAD8C">
                  <w:pPr>
                    <w:pStyle w:val="144"/>
                    <w:bidi w:val="0"/>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pH值</w:t>
                  </w:r>
                </w:p>
              </w:tc>
              <w:tc>
                <w:tcPr>
                  <w:tcW w:w="1450" w:type="dxa"/>
                  <w:vAlign w:val="center"/>
                </w:tcPr>
                <w:p w14:paraId="095F0C6B">
                  <w:pPr>
                    <w:pStyle w:val="144"/>
                    <w:bidi w:val="0"/>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无量纲</w:t>
                  </w:r>
                </w:p>
              </w:tc>
              <w:tc>
                <w:tcPr>
                  <w:tcW w:w="871" w:type="dxa"/>
                  <w:vAlign w:val="center"/>
                </w:tcPr>
                <w:p w14:paraId="386352B0">
                  <w:pPr>
                    <w:pStyle w:val="144"/>
                    <w:bidi w:val="0"/>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6~9</w:t>
                  </w:r>
                </w:p>
              </w:tc>
              <w:tc>
                <w:tcPr>
                  <w:tcW w:w="1185" w:type="dxa"/>
                  <w:tcBorders>
                    <w:right w:val="single" w:color="auto" w:sz="4" w:space="0"/>
                  </w:tcBorders>
                  <w:vAlign w:val="center"/>
                </w:tcPr>
                <w:p w14:paraId="61802704">
                  <w:pPr>
                    <w:pStyle w:val="144"/>
                    <w:bidi w:val="0"/>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8.0</w:t>
                  </w:r>
                </w:p>
              </w:tc>
              <w:tc>
                <w:tcPr>
                  <w:tcW w:w="1095" w:type="dxa"/>
                  <w:tcBorders>
                    <w:left w:val="single" w:color="auto" w:sz="4" w:space="0"/>
                    <w:right w:val="single" w:color="auto" w:sz="4" w:space="0"/>
                  </w:tcBorders>
                  <w:vAlign w:val="center"/>
                </w:tcPr>
                <w:p w14:paraId="17D45278">
                  <w:pPr>
                    <w:keepNext w:val="0"/>
                    <w:keepLines w:val="0"/>
                    <w:widowControl/>
                    <w:suppressLineNumbers w:val="0"/>
                    <w:jc w:val="center"/>
                    <w:textAlignment w:val="bottom"/>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0.5</w:t>
                  </w:r>
                </w:p>
              </w:tc>
            </w:tr>
            <w:tr w14:paraId="1AFD61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802" w:type="dxa"/>
                  <w:vAlign w:val="center"/>
                </w:tcPr>
                <w:p w14:paraId="2748C179">
                  <w:pPr>
                    <w:pStyle w:val="144"/>
                    <w:bidi w:val="0"/>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溶解氧</w:t>
                  </w:r>
                </w:p>
              </w:tc>
              <w:tc>
                <w:tcPr>
                  <w:tcW w:w="1450" w:type="dxa"/>
                  <w:vAlign w:val="center"/>
                </w:tcPr>
                <w:p w14:paraId="32385F65">
                  <w:pPr>
                    <w:pStyle w:val="144"/>
                    <w:bidi w:val="0"/>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mg/L</w:t>
                  </w:r>
                </w:p>
              </w:tc>
              <w:tc>
                <w:tcPr>
                  <w:tcW w:w="871" w:type="dxa"/>
                  <w:vAlign w:val="center"/>
                </w:tcPr>
                <w:p w14:paraId="256E67EB">
                  <w:pPr>
                    <w:pStyle w:val="144"/>
                    <w:bidi w:val="0"/>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≥5</w:t>
                  </w:r>
                </w:p>
              </w:tc>
              <w:tc>
                <w:tcPr>
                  <w:tcW w:w="1185" w:type="dxa"/>
                  <w:tcBorders>
                    <w:right w:val="single" w:color="auto" w:sz="4" w:space="0"/>
                  </w:tcBorders>
                  <w:vAlign w:val="center"/>
                </w:tcPr>
                <w:p w14:paraId="48698F3D">
                  <w:pPr>
                    <w:pStyle w:val="144"/>
                    <w:bidi w:val="0"/>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7.3</w:t>
                  </w:r>
                </w:p>
              </w:tc>
              <w:tc>
                <w:tcPr>
                  <w:tcW w:w="1095" w:type="dxa"/>
                  <w:tcBorders>
                    <w:left w:val="single" w:color="auto" w:sz="4" w:space="0"/>
                    <w:right w:val="single" w:color="auto" w:sz="4" w:space="0"/>
                  </w:tcBorders>
                  <w:vAlign w:val="center"/>
                </w:tcPr>
                <w:p w14:paraId="236F4E33">
                  <w:pPr>
                    <w:keepNext w:val="0"/>
                    <w:keepLines w:val="0"/>
                    <w:widowControl/>
                    <w:suppressLineNumbers w:val="0"/>
                    <w:jc w:val="center"/>
                    <w:textAlignment w:val="bottom"/>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0.87</w:t>
                  </w:r>
                </w:p>
              </w:tc>
            </w:tr>
            <w:tr w14:paraId="691C2C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802" w:type="dxa"/>
                  <w:vAlign w:val="center"/>
                </w:tcPr>
                <w:p w14:paraId="6EEF1472">
                  <w:pPr>
                    <w:pStyle w:val="144"/>
                    <w:bidi w:val="0"/>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化学需氧量</w:t>
                  </w:r>
                </w:p>
              </w:tc>
              <w:tc>
                <w:tcPr>
                  <w:tcW w:w="1450" w:type="dxa"/>
                  <w:vAlign w:val="center"/>
                </w:tcPr>
                <w:p w14:paraId="5A2D8409">
                  <w:pPr>
                    <w:pStyle w:val="144"/>
                    <w:bidi w:val="0"/>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mg/L</w:t>
                  </w:r>
                </w:p>
              </w:tc>
              <w:tc>
                <w:tcPr>
                  <w:tcW w:w="871" w:type="dxa"/>
                  <w:vAlign w:val="center"/>
                </w:tcPr>
                <w:p w14:paraId="46F50B86">
                  <w:pPr>
                    <w:pStyle w:val="144"/>
                    <w:bidi w:val="0"/>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20</w:t>
                  </w:r>
                </w:p>
              </w:tc>
              <w:tc>
                <w:tcPr>
                  <w:tcW w:w="1185" w:type="dxa"/>
                  <w:tcBorders>
                    <w:right w:val="single" w:color="auto" w:sz="4" w:space="0"/>
                  </w:tcBorders>
                  <w:vAlign w:val="center"/>
                </w:tcPr>
                <w:p w14:paraId="6B8DA936">
                  <w:pPr>
                    <w:pStyle w:val="144"/>
                    <w:bidi w:val="0"/>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7</w:t>
                  </w:r>
                </w:p>
              </w:tc>
              <w:tc>
                <w:tcPr>
                  <w:tcW w:w="1095" w:type="dxa"/>
                  <w:tcBorders>
                    <w:left w:val="single" w:color="auto" w:sz="4" w:space="0"/>
                    <w:right w:val="single" w:color="auto" w:sz="4" w:space="0"/>
                  </w:tcBorders>
                  <w:vAlign w:val="center"/>
                </w:tcPr>
                <w:p w14:paraId="79D903A4">
                  <w:pPr>
                    <w:keepNext w:val="0"/>
                    <w:keepLines w:val="0"/>
                    <w:widowControl/>
                    <w:suppressLineNumbers w:val="0"/>
                    <w:jc w:val="center"/>
                    <w:textAlignment w:val="bottom"/>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0.35</w:t>
                  </w:r>
                </w:p>
              </w:tc>
            </w:tr>
            <w:tr w14:paraId="3B988D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802" w:type="dxa"/>
                  <w:vAlign w:val="center"/>
                </w:tcPr>
                <w:p w14:paraId="2980DEBB">
                  <w:pPr>
                    <w:pStyle w:val="144"/>
                    <w:bidi w:val="0"/>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五日生化需氧量</w:t>
                  </w:r>
                </w:p>
              </w:tc>
              <w:tc>
                <w:tcPr>
                  <w:tcW w:w="1450" w:type="dxa"/>
                  <w:vAlign w:val="center"/>
                </w:tcPr>
                <w:p w14:paraId="688A3D59">
                  <w:pPr>
                    <w:pStyle w:val="144"/>
                    <w:bidi w:val="0"/>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mg/L</w:t>
                  </w:r>
                </w:p>
              </w:tc>
              <w:tc>
                <w:tcPr>
                  <w:tcW w:w="871" w:type="dxa"/>
                  <w:vAlign w:val="center"/>
                </w:tcPr>
                <w:p w14:paraId="032C8897">
                  <w:pPr>
                    <w:pStyle w:val="144"/>
                    <w:bidi w:val="0"/>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4</w:t>
                  </w:r>
                </w:p>
              </w:tc>
              <w:tc>
                <w:tcPr>
                  <w:tcW w:w="1185" w:type="dxa"/>
                  <w:tcBorders>
                    <w:right w:val="single" w:color="auto" w:sz="4" w:space="0"/>
                  </w:tcBorders>
                  <w:vAlign w:val="center"/>
                </w:tcPr>
                <w:p w14:paraId="058A9E0B">
                  <w:pPr>
                    <w:pStyle w:val="144"/>
                    <w:bidi w:val="0"/>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2.8</w:t>
                  </w:r>
                </w:p>
              </w:tc>
              <w:tc>
                <w:tcPr>
                  <w:tcW w:w="1095" w:type="dxa"/>
                  <w:tcBorders>
                    <w:left w:val="single" w:color="auto" w:sz="4" w:space="0"/>
                    <w:right w:val="single" w:color="auto" w:sz="4" w:space="0"/>
                  </w:tcBorders>
                  <w:vAlign w:val="center"/>
                </w:tcPr>
                <w:p w14:paraId="2ECD9900">
                  <w:pPr>
                    <w:keepNext w:val="0"/>
                    <w:keepLines w:val="0"/>
                    <w:widowControl/>
                    <w:suppressLineNumbers w:val="0"/>
                    <w:jc w:val="center"/>
                    <w:textAlignment w:val="bottom"/>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0.7</w:t>
                  </w:r>
                </w:p>
              </w:tc>
            </w:tr>
            <w:tr w14:paraId="39EFD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802" w:type="dxa"/>
                  <w:vAlign w:val="center"/>
                </w:tcPr>
                <w:p w14:paraId="59EAAB6E">
                  <w:pPr>
                    <w:pStyle w:val="144"/>
                    <w:bidi w:val="0"/>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氨氮</w:t>
                  </w:r>
                </w:p>
              </w:tc>
              <w:tc>
                <w:tcPr>
                  <w:tcW w:w="1450" w:type="dxa"/>
                  <w:vAlign w:val="center"/>
                </w:tcPr>
                <w:p w14:paraId="6987D96E">
                  <w:pPr>
                    <w:pStyle w:val="144"/>
                    <w:bidi w:val="0"/>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mg/L</w:t>
                  </w:r>
                </w:p>
              </w:tc>
              <w:tc>
                <w:tcPr>
                  <w:tcW w:w="871" w:type="dxa"/>
                  <w:vAlign w:val="center"/>
                </w:tcPr>
                <w:p w14:paraId="7E782451">
                  <w:pPr>
                    <w:pStyle w:val="144"/>
                    <w:bidi w:val="0"/>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1.0</w:t>
                  </w:r>
                </w:p>
              </w:tc>
              <w:tc>
                <w:tcPr>
                  <w:tcW w:w="1185" w:type="dxa"/>
                  <w:tcBorders>
                    <w:right w:val="single" w:color="auto" w:sz="4" w:space="0"/>
                  </w:tcBorders>
                  <w:vAlign w:val="center"/>
                </w:tcPr>
                <w:p w14:paraId="3939705C">
                  <w:pPr>
                    <w:pStyle w:val="144"/>
                    <w:bidi w:val="0"/>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0.027</w:t>
                  </w:r>
                </w:p>
              </w:tc>
              <w:tc>
                <w:tcPr>
                  <w:tcW w:w="1095" w:type="dxa"/>
                  <w:tcBorders>
                    <w:left w:val="single" w:color="auto" w:sz="4" w:space="0"/>
                    <w:right w:val="single" w:color="auto" w:sz="4" w:space="0"/>
                  </w:tcBorders>
                  <w:vAlign w:val="center"/>
                </w:tcPr>
                <w:p w14:paraId="445F8079">
                  <w:pPr>
                    <w:keepNext w:val="0"/>
                    <w:keepLines w:val="0"/>
                    <w:widowControl/>
                    <w:suppressLineNumbers w:val="0"/>
                    <w:jc w:val="center"/>
                    <w:textAlignment w:val="bottom"/>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0.027</w:t>
                  </w:r>
                </w:p>
              </w:tc>
            </w:tr>
            <w:tr w14:paraId="78590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802" w:type="dxa"/>
                  <w:vAlign w:val="center"/>
                </w:tcPr>
                <w:p w14:paraId="2821EE55">
                  <w:pPr>
                    <w:pStyle w:val="144"/>
                    <w:bidi w:val="0"/>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总磷</w:t>
                  </w:r>
                  <w:r>
                    <w:rPr>
                      <w:rFonts w:hint="default" w:ascii="Times New Roman" w:hAnsi="Times New Roman" w:cs="Times New Roman"/>
                      <w:color w:val="0000FF"/>
                      <w:sz w:val="21"/>
                      <w:szCs w:val="21"/>
                      <w:highlight w:val="none"/>
                      <w:lang w:val="en-US" w:eastAsia="zh-CN"/>
                    </w:rPr>
                    <w:t>（</w:t>
                  </w:r>
                  <w:r>
                    <w:rPr>
                      <w:rFonts w:hint="default" w:ascii="Times New Roman" w:hAnsi="Times New Roman" w:eastAsia="宋体" w:cs="Times New Roman"/>
                      <w:color w:val="0000FF"/>
                      <w:sz w:val="21"/>
                      <w:szCs w:val="21"/>
                      <w:highlight w:val="none"/>
                      <w:lang w:val="en-US" w:eastAsia="zh-CN"/>
                    </w:rPr>
                    <w:t>以P计</w:t>
                  </w:r>
                  <w:r>
                    <w:rPr>
                      <w:rFonts w:hint="default" w:ascii="Times New Roman" w:hAnsi="Times New Roman" w:cs="Times New Roman"/>
                      <w:color w:val="0000FF"/>
                      <w:sz w:val="21"/>
                      <w:szCs w:val="21"/>
                      <w:highlight w:val="none"/>
                      <w:lang w:val="en-US" w:eastAsia="zh-CN"/>
                    </w:rPr>
                    <w:t>）</w:t>
                  </w:r>
                </w:p>
              </w:tc>
              <w:tc>
                <w:tcPr>
                  <w:tcW w:w="1450" w:type="dxa"/>
                  <w:vAlign w:val="center"/>
                </w:tcPr>
                <w:p w14:paraId="39F2B791">
                  <w:pPr>
                    <w:pStyle w:val="144"/>
                    <w:bidi w:val="0"/>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mg/L</w:t>
                  </w:r>
                </w:p>
              </w:tc>
              <w:tc>
                <w:tcPr>
                  <w:tcW w:w="871" w:type="dxa"/>
                  <w:vAlign w:val="center"/>
                </w:tcPr>
                <w:p w14:paraId="2A8186AF">
                  <w:pPr>
                    <w:pStyle w:val="144"/>
                    <w:bidi w:val="0"/>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0.2</w:t>
                  </w:r>
                </w:p>
              </w:tc>
              <w:tc>
                <w:tcPr>
                  <w:tcW w:w="1185" w:type="dxa"/>
                  <w:tcBorders>
                    <w:right w:val="single" w:color="auto" w:sz="4" w:space="0"/>
                  </w:tcBorders>
                  <w:vAlign w:val="center"/>
                </w:tcPr>
                <w:p w14:paraId="77192892">
                  <w:pPr>
                    <w:pStyle w:val="144"/>
                    <w:bidi w:val="0"/>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&lt;0.01</w:t>
                  </w:r>
                </w:p>
              </w:tc>
              <w:tc>
                <w:tcPr>
                  <w:tcW w:w="1095" w:type="dxa"/>
                  <w:tcBorders>
                    <w:left w:val="single" w:color="auto" w:sz="4" w:space="0"/>
                    <w:right w:val="single" w:color="auto" w:sz="4" w:space="0"/>
                  </w:tcBorders>
                  <w:vAlign w:val="center"/>
                </w:tcPr>
                <w:p w14:paraId="3EF5D323">
                  <w:pPr>
                    <w:keepNext w:val="0"/>
                    <w:keepLines w:val="0"/>
                    <w:widowControl/>
                    <w:suppressLineNumbers w:val="0"/>
                    <w:jc w:val="center"/>
                    <w:textAlignment w:val="bottom"/>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0.025</w:t>
                  </w:r>
                </w:p>
              </w:tc>
            </w:tr>
            <w:tr w14:paraId="22AA2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802" w:type="dxa"/>
                  <w:vAlign w:val="center"/>
                </w:tcPr>
                <w:p w14:paraId="4C693EB5">
                  <w:pPr>
                    <w:pStyle w:val="144"/>
                    <w:bidi w:val="0"/>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石油类</w:t>
                  </w:r>
                </w:p>
              </w:tc>
              <w:tc>
                <w:tcPr>
                  <w:tcW w:w="1450" w:type="dxa"/>
                  <w:vAlign w:val="center"/>
                </w:tcPr>
                <w:p w14:paraId="28110A09">
                  <w:pPr>
                    <w:pStyle w:val="144"/>
                    <w:bidi w:val="0"/>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mg/L</w:t>
                  </w:r>
                </w:p>
              </w:tc>
              <w:tc>
                <w:tcPr>
                  <w:tcW w:w="871" w:type="dxa"/>
                  <w:vAlign w:val="center"/>
                </w:tcPr>
                <w:p w14:paraId="71B28D95">
                  <w:pPr>
                    <w:pStyle w:val="144"/>
                    <w:bidi w:val="0"/>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0.05</w:t>
                  </w:r>
                </w:p>
              </w:tc>
              <w:tc>
                <w:tcPr>
                  <w:tcW w:w="1185" w:type="dxa"/>
                  <w:tcBorders>
                    <w:right w:val="single" w:color="auto" w:sz="4" w:space="0"/>
                  </w:tcBorders>
                  <w:vAlign w:val="center"/>
                </w:tcPr>
                <w:p w14:paraId="33BD867A">
                  <w:pPr>
                    <w:pStyle w:val="144"/>
                    <w:bidi w:val="0"/>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&lt;0.05</w:t>
                  </w:r>
                </w:p>
              </w:tc>
              <w:tc>
                <w:tcPr>
                  <w:tcW w:w="1095" w:type="dxa"/>
                  <w:tcBorders>
                    <w:left w:val="single" w:color="auto" w:sz="4" w:space="0"/>
                    <w:right w:val="single" w:color="auto" w:sz="4" w:space="0"/>
                  </w:tcBorders>
                  <w:vAlign w:val="center"/>
                </w:tcPr>
                <w:p w14:paraId="0B3C227C">
                  <w:pPr>
                    <w:keepNext w:val="0"/>
                    <w:keepLines w:val="0"/>
                    <w:widowControl/>
                    <w:suppressLineNumbers w:val="0"/>
                    <w:jc w:val="center"/>
                    <w:textAlignment w:val="bottom"/>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0.5</w:t>
                  </w:r>
                </w:p>
              </w:tc>
            </w:tr>
          </w:tbl>
          <w:p w14:paraId="013BEE1B">
            <w:pPr>
              <w:rPr>
                <w:rFonts w:hint="default" w:ascii="Times New Roman" w:hAnsi="Times New Roman" w:eastAsia="宋体" w:cs="Times New Roman"/>
                <w:color w:val="0000FF"/>
                <w:highlight w:val="none"/>
                <w:lang w:val="en-US" w:eastAsia="zh-CN"/>
              </w:rPr>
            </w:pPr>
            <w:r>
              <w:rPr>
                <w:rFonts w:hint="default" w:ascii="Times New Roman" w:hAnsi="Times New Roman" w:cs="Times New Roman"/>
                <w:color w:val="0000FF"/>
                <w:highlight w:val="none"/>
                <w:lang w:val="en-US" w:eastAsia="zh-CN"/>
              </w:rPr>
              <w:t>备注：未检出因子均按照检出限的一般进行评价。</w:t>
            </w:r>
          </w:p>
          <w:p w14:paraId="23943BC0">
            <w:pPr>
              <w:pStyle w:val="82"/>
              <w:spacing w:before="0" w:beforeAutospacing="0"/>
              <w:ind w:firstLine="482"/>
              <w:rPr>
                <w:rFonts w:hint="default" w:ascii="Times New Roman" w:hAnsi="Times New Roman" w:eastAsia="宋体" w:cs="Times New Roman"/>
                <w:color w:val="0000FF"/>
                <w:kern w:val="24"/>
                <w:sz w:val="24"/>
                <w:highlight w:val="none"/>
              </w:rPr>
            </w:pPr>
            <w:r>
              <w:rPr>
                <w:rFonts w:hint="default" w:ascii="Times New Roman" w:hAnsi="Times New Roman" w:eastAsia="宋体" w:cs="Times New Roman"/>
                <w:color w:val="0000FF"/>
                <w:kern w:val="24"/>
                <w:sz w:val="24"/>
                <w:highlight w:val="none"/>
              </w:rPr>
              <w:t>由上表可见</w:t>
            </w:r>
            <w:r>
              <w:rPr>
                <w:rFonts w:hint="default" w:ascii="Times New Roman" w:hAnsi="Times New Roman" w:cs="Times New Roman"/>
                <w:color w:val="0000FF"/>
                <w:kern w:val="24"/>
                <w:sz w:val="24"/>
                <w:highlight w:val="none"/>
                <w:lang w:eastAsia="zh-CN"/>
              </w:rPr>
              <w:t>，</w:t>
            </w:r>
            <w:r>
              <w:rPr>
                <w:rFonts w:hint="default" w:ascii="Times New Roman" w:hAnsi="Times New Roman" w:cs="Times New Roman"/>
                <w:color w:val="0000FF"/>
                <w:kern w:val="24"/>
                <w:sz w:val="24"/>
                <w:highlight w:val="none"/>
                <w:lang w:val="en-US" w:eastAsia="zh-CN"/>
              </w:rPr>
              <w:t>引用的地表水监测</w:t>
            </w:r>
            <w:r>
              <w:rPr>
                <w:rFonts w:hint="default" w:ascii="Times New Roman" w:hAnsi="Times New Roman" w:eastAsia="宋体" w:cs="Times New Roman"/>
                <w:color w:val="0000FF"/>
                <w:kern w:val="24"/>
                <w:sz w:val="24"/>
                <w:highlight w:val="none"/>
              </w:rPr>
              <w:t>指标</w:t>
            </w:r>
            <w:r>
              <w:rPr>
                <w:rFonts w:hint="default" w:ascii="Times New Roman" w:hAnsi="Times New Roman" w:eastAsia="宋体" w:cs="Times New Roman"/>
                <w:color w:val="0000FF"/>
                <w:kern w:val="24"/>
                <w:sz w:val="24"/>
                <w:highlight w:val="none"/>
                <w:lang w:val="en-US" w:eastAsia="zh-CN"/>
              </w:rPr>
              <w:t>均</w:t>
            </w:r>
            <w:r>
              <w:rPr>
                <w:rFonts w:hint="default" w:ascii="Times New Roman" w:hAnsi="Times New Roman" w:eastAsia="宋体" w:cs="Times New Roman"/>
                <w:color w:val="0000FF"/>
                <w:kern w:val="24"/>
                <w:sz w:val="24"/>
                <w:highlight w:val="none"/>
              </w:rPr>
              <w:t>满足《地表水环境质量标准》（GB3838-2002）</w:t>
            </w:r>
            <w:r>
              <w:rPr>
                <w:rFonts w:hint="default" w:ascii="Times New Roman" w:hAnsi="Times New Roman" w:eastAsia="宋体" w:cs="Times New Roman"/>
                <w:color w:val="0000FF"/>
                <w:kern w:val="24"/>
                <w:sz w:val="24"/>
                <w:highlight w:val="none"/>
              </w:rPr>
              <w:fldChar w:fldCharType="begin"/>
            </w:r>
            <w:r>
              <w:rPr>
                <w:rFonts w:hint="default" w:ascii="Times New Roman" w:hAnsi="Times New Roman" w:eastAsia="宋体" w:cs="Times New Roman"/>
                <w:color w:val="0000FF"/>
                <w:kern w:val="24"/>
                <w:sz w:val="24"/>
                <w:highlight w:val="none"/>
              </w:rPr>
              <w:instrText xml:space="preserve"> = 3 \* ROMAN \* MERGEFORMAT </w:instrText>
            </w:r>
            <w:r>
              <w:rPr>
                <w:rFonts w:hint="default" w:ascii="Times New Roman" w:hAnsi="Times New Roman" w:eastAsia="宋体" w:cs="Times New Roman"/>
                <w:color w:val="0000FF"/>
                <w:kern w:val="24"/>
                <w:sz w:val="24"/>
                <w:highlight w:val="none"/>
              </w:rPr>
              <w:fldChar w:fldCharType="separate"/>
            </w:r>
            <w:r>
              <w:rPr>
                <w:rFonts w:hint="default" w:ascii="Times New Roman" w:hAnsi="Times New Roman" w:eastAsia="宋体" w:cs="Times New Roman"/>
                <w:color w:val="0000FF"/>
                <w:kern w:val="24"/>
                <w:sz w:val="24"/>
                <w:highlight w:val="none"/>
              </w:rPr>
              <w:t>III</w:t>
            </w:r>
            <w:r>
              <w:rPr>
                <w:rFonts w:hint="default" w:ascii="Times New Roman" w:hAnsi="Times New Roman" w:eastAsia="宋体" w:cs="Times New Roman"/>
                <w:color w:val="0000FF"/>
                <w:kern w:val="24"/>
                <w:sz w:val="24"/>
                <w:highlight w:val="none"/>
              </w:rPr>
              <w:fldChar w:fldCharType="end"/>
            </w:r>
            <w:r>
              <w:rPr>
                <w:rFonts w:hint="default" w:ascii="Times New Roman" w:hAnsi="Times New Roman" w:eastAsia="宋体" w:cs="Times New Roman"/>
                <w:color w:val="0000FF"/>
                <w:kern w:val="24"/>
                <w:sz w:val="24"/>
                <w:highlight w:val="none"/>
              </w:rPr>
              <w:t>类标准要求。</w:t>
            </w:r>
          </w:p>
          <w:p w14:paraId="5868F7F9">
            <w:pPr>
              <w:pStyle w:val="82"/>
              <w:spacing w:before="0" w:beforeAutospacing="0"/>
              <w:ind w:firstLine="482"/>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2.4声环境质量现状调查</w:t>
            </w:r>
          </w:p>
          <w:p w14:paraId="03B53C75">
            <w:pPr>
              <w:spacing w:line="360" w:lineRule="auto"/>
              <w:ind w:firstLine="480" w:firstLineChars="200"/>
              <w:rPr>
                <w:rFonts w:hint="default" w:ascii="Times New Roman" w:hAnsi="Times New Roman" w:eastAsia="宋体" w:cs="Times New Roman"/>
                <w:color w:val="auto"/>
                <w:kern w:val="24"/>
                <w:sz w:val="24"/>
                <w:highlight w:val="none"/>
              </w:rPr>
            </w:pPr>
            <w:r>
              <w:rPr>
                <w:rFonts w:hint="default" w:ascii="Times New Roman" w:hAnsi="Times New Roman" w:eastAsia="宋体" w:cs="Times New Roman"/>
                <w:color w:val="auto"/>
                <w:kern w:val="24"/>
                <w:sz w:val="24"/>
                <w:highlight w:val="none"/>
              </w:rPr>
              <w:t>（1）现状监测项目与方法</w:t>
            </w:r>
          </w:p>
          <w:p w14:paraId="11B08E91">
            <w:pPr>
              <w:spacing w:line="360" w:lineRule="auto"/>
              <w:ind w:firstLine="480" w:firstLineChars="200"/>
              <w:rPr>
                <w:rFonts w:hint="default" w:ascii="Times New Roman" w:hAnsi="Times New Roman" w:eastAsia="宋体" w:cs="Times New Roman"/>
                <w:color w:val="auto"/>
                <w:kern w:val="24"/>
                <w:sz w:val="24"/>
                <w:highlight w:val="none"/>
              </w:rPr>
            </w:pPr>
            <w:r>
              <w:rPr>
                <w:rFonts w:hint="default" w:ascii="Times New Roman" w:hAnsi="Times New Roman" w:eastAsia="宋体" w:cs="Times New Roman"/>
                <w:color w:val="auto"/>
                <w:kern w:val="24"/>
                <w:sz w:val="24"/>
                <w:highlight w:val="none"/>
              </w:rPr>
              <w:t>监测项目：等效连续A声级</w:t>
            </w:r>
          </w:p>
          <w:p w14:paraId="0216E2AF">
            <w:pPr>
              <w:spacing w:line="360" w:lineRule="auto"/>
              <w:ind w:firstLine="480" w:firstLineChars="200"/>
              <w:rPr>
                <w:rFonts w:hint="default" w:ascii="Times New Roman" w:hAnsi="Times New Roman" w:eastAsia="宋体" w:cs="Times New Roman"/>
                <w:color w:val="auto"/>
                <w:kern w:val="24"/>
                <w:sz w:val="24"/>
                <w:highlight w:val="none"/>
              </w:rPr>
            </w:pPr>
            <w:r>
              <w:rPr>
                <w:rFonts w:hint="default" w:ascii="Times New Roman" w:hAnsi="Times New Roman" w:eastAsia="宋体" w:cs="Times New Roman"/>
                <w:color w:val="auto"/>
                <w:kern w:val="24"/>
                <w:sz w:val="24"/>
                <w:highlight w:val="none"/>
              </w:rPr>
              <w:t>监测方法：按照《声环境质量标准》（GB3096-2008）进行，监测仪器使用AWA5688型噪声级计，监测前用声级校准器校准，测量时传声器距地面1.0m，传声器戴风罩。</w:t>
            </w:r>
          </w:p>
          <w:p w14:paraId="09299C7C">
            <w:pPr>
              <w:spacing w:line="360" w:lineRule="auto"/>
              <w:ind w:firstLine="480" w:firstLineChars="200"/>
              <w:rPr>
                <w:rFonts w:hint="default" w:ascii="Times New Roman" w:hAnsi="Times New Roman" w:eastAsia="宋体" w:cs="Times New Roman"/>
                <w:color w:val="auto"/>
                <w:kern w:val="24"/>
                <w:sz w:val="24"/>
                <w:highlight w:val="none"/>
              </w:rPr>
            </w:pPr>
            <w:r>
              <w:rPr>
                <w:rFonts w:hint="default" w:ascii="Times New Roman" w:hAnsi="Times New Roman" w:eastAsia="宋体" w:cs="Times New Roman"/>
                <w:color w:val="auto"/>
                <w:kern w:val="24"/>
                <w:sz w:val="24"/>
                <w:highlight w:val="none"/>
              </w:rPr>
              <w:t>（2）监测方法及监测点位布设</w:t>
            </w:r>
          </w:p>
          <w:p w14:paraId="078EE35F">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根据本项目所在位置、所在区域声环境功能及当地气象、地形等因素，于202</w:t>
            </w:r>
            <w:r>
              <w:rPr>
                <w:rFonts w:hint="eastAsia"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年</w:t>
            </w:r>
            <w:r>
              <w:rPr>
                <w:rFonts w:hint="eastAsia" w:ascii="Times New Roman" w:hAnsi="Times New Roman" w:cs="Times New Roman"/>
                <w:color w:val="auto"/>
                <w:sz w:val="24"/>
                <w:highlight w:val="none"/>
                <w:lang w:val="en-US" w:eastAsia="zh-CN"/>
              </w:rPr>
              <w:t>4</w:t>
            </w:r>
            <w:r>
              <w:rPr>
                <w:rFonts w:hint="default" w:ascii="Times New Roman" w:hAnsi="Times New Roman" w:eastAsia="宋体" w:cs="Times New Roman"/>
                <w:color w:val="auto"/>
                <w:sz w:val="24"/>
                <w:highlight w:val="none"/>
              </w:rPr>
              <w:t>月</w:t>
            </w:r>
            <w:r>
              <w:rPr>
                <w:rFonts w:hint="eastAsia" w:ascii="Times New Roman" w:hAnsi="Times New Roman"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9</w:t>
            </w:r>
            <w:r>
              <w:rPr>
                <w:rFonts w:hint="default" w:ascii="Times New Roman" w:hAnsi="Times New Roman" w:eastAsia="宋体" w:cs="Times New Roman"/>
                <w:color w:val="auto"/>
                <w:sz w:val="24"/>
                <w:highlight w:val="none"/>
              </w:rPr>
              <w:t>日在</w:t>
            </w:r>
            <w:r>
              <w:rPr>
                <w:rFonts w:hint="eastAsia" w:ascii="Times New Roman" w:hAnsi="Times New Roman" w:cs="Times New Roman"/>
                <w:color w:val="auto"/>
                <w:sz w:val="24"/>
                <w:highlight w:val="none"/>
                <w:lang w:val="en-US" w:eastAsia="zh-CN"/>
              </w:rPr>
              <w:t>阿热塔什村</w:t>
            </w:r>
            <w:r>
              <w:rPr>
                <w:rFonts w:hint="default" w:ascii="Times New Roman" w:hAnsi="Times New Roman" w:eastAsia="宋体" w:cs="Times New Roman"/>
                <w:color w:val="auto"/>
                <w:sz w:val="24"/>
                <w:highlight w:val="none"/>
              </w:rPr>
              <w:t>监测区域噪声背景值，分昼、夜两时段监测。监测及分析方法按照《环境</w:t>
            </w:r>
            <w:r>
              <w:rPr>
                <w:rFonts w:hint="default" w:ascii="Times New Roman" w:hAnsi="Times New Roman" w:eastAsia="宋体" w:cs="Times New Roman"/>
                <w:color w:val="auto"/>
                <w:kern w:val="24"/>
                <w:sz w:val="24"/>
                <w:highlight w:val="none"/>
              </w:rPr>
              <w:t>监测技术规范》中有关规定进行。</w:t>
            </w:r>
          </w:p>
          <w:p w14:paraId="27533F6C">
            <w:pPr>
              <w:spacing w:line="360" w:lineRule="auto"/>
              <w:ind w:firstLine="480" w:firstLineChars="200"/>
              <w:rPr>
                <w:rFonts w:hint="default" w:ascii="Times New Roman" w:hAnsi="Times New Roman" w:eastAsia="宋体" w:cs="Times New Roman"/>
                <w:color w:val="auto"/>
                <w:kern w:val="24"/>
                <w:sz w:val="24"/>
                <w:highlight w:val="none"/>
              </w:rPr>
            </w:pPr>
            <w:r>
              <w:rPr>
                <w:rFonts w:hint="default" w:ascii="Times New Roman" w:hAnsi="Times New Roman" w:eastAsia="宋体" w:cs="Times New Roman"/>
                <w:color w:val="auto"/>
                <w:kern w:val="24"/>
                <w:sz w:val="24"/>
                <w:highlight w:val="none"/>
              </w:rPr>
              <w:t>（3）评价标准</w:t>
            </w:r>
          </w:p>
          <w:p w14:paraId="33473611">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项目区</w:t>
            </w:r>
            <w:r>
              <w:rPr>
                <w:rFonts w:hint="default" w:ascii="Times New Roman" w:hAnsi="Times New Roman" w:eastAsia="宋体" w:cs="Times New Roman"/>
                <w:color w:val="auto"/>
                <w:sz w:val="24"/>
                <w:highlight w:val="none"/>
                <w:lang w:eastAsia="zh-CN"/>
              </w:rPr>
              <w:t>位于</w:t>
            </w:r>
            <w:r>
              <w:rPr>
                <w:rFonts w:hint="default" w:ascii="Times New Roman" w:hAnsi="Times New Roman" w:eastAsia="宋体" w:cs="Times New Roman"/>
                <w:color w:val="auto"/>
                <w:sz w:val="24"/>
                <w:highlight w:val="none"/>
              </w:rPr>
              <w:t>《声环境质量标准》</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GB3096-2008</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中</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类</w:t>
            </w:r>
            <w:r>
              <w:rPr>
                <w:rFonts w:hint="default" w:ascii="Times New Roman" w:hAnsi="Times New Roman" w:eastAsia="宋体" w:cs="Times New Roman"/>
                <w:color w:val="auto"/>
                <w:sz w:val="24"/>
                <w:highlight w:val="none"/>
                <w:lang w:eastAsia="zh-CN"/>
              </w:rPr>
              <w:t>功能区</w:t>
            </w:r>
            <w:r>
              <w:rPr>
                <w:rFonts w:hint="default" w:ascii="Times New Roman" w:hAnsi="Times New Roman" w:eastAsia="宋体" w:cs="Times New Roman"/>
                <w:color w:val="auto"/>
                <w:sz w:val="24"/>
                <w:highlight w:val="none"/>
              </w:rPr>
              <w:t>，执行《声环境质量标准》</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GB3096-2008</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类标准。</w:t>
            </w:r>
          </w:p>
          <w:p w14:paraId="18028E56">
            <w:pPr>
              <w:spacing w:line="360" w:lineRule="auto"/>
              <w:ind w:firstLine="480" w:firstLineChars="200"/>
              <w:rPr>
                <w:rFonts w:hint="default" w:ascii="Times New Roman" w:hAnsi="Times New Roman" w:eastAsia="宋体" w:cs="Times New Roman"/>
                <w:color w:val="auto"/>
                <w:kern w:val="24"/>
                <w:sz w:val="24"/>
                <w:highlight w:val="none"/>
              </w:rPr>
            </w:pPr>
            <w:r>
              <w:rPr>
                <w:rFonts w:hint="default" w:ascii="Times New Roman" w:hAnsi="Times New Roman" w:eastAsia="宋体" w:cs="Times New Roman"/>
                <w:color w:val="auto"/>
                <w:kern w:val="24"/>
                <w:sz w:val="24"/>
                <w:highlight w:val="none"/>
              </w:rPr>
              <w:t>（4）评价结果</w:t>
            </w:r>
          </w:p>
          <w:p w14:paraId="0304532E">
            <w:pPr>
              <w:spacing w:line="360" w:lineRule="auto"/>
              <w:ind w:firstLine="480" w:firstLineChars="200"/>
              <w:rPr>
                <w:rFonts w:hint="default" w:ascii="Times New Roman" w:hAnsi="Times New Roman" w:eastAsia="宋体" w:cs="Times New Roman"/>
                <w:color w:val="auto"/>
                <w:kern w:val="24"/>
                <w:szCs w:val="21"/>
                <w:highlight w:val="none"/>
              </w:rPr>
            </w:pPr>
            <w:r>
              <w:rPr>
                <w:rFonts w:hint="default" w:ascii="Times New Roman" w:hAnsi="Times New Roman" w:eastAsia="宋体" w:cs="Times New Roman"/>
                <w:color w:val="auto"/>
                <w:kern w:val="24"/>
                <w:sz w:val="24"/>
                <w:highlight w:val="none"/>
              </w:rPr>
              <w:t>项目区噪声评价结果见表3-</w:t>
            </w:r>
            <w:r>
              <w:rPr>
                <w:rFonts w:hint="default" w:ascii="Times New Roman" w:hAnsi="Times New Roman" w:eastAsia="宋体" w:cs="Times New Roman"/>
                <w:color w:val="auto"/>
                <w:kern w:val="24"/>
                <w:sz w:val="24"/>
                <w:highlight w:val="none"/>
                <w:lang w:val="en-US" w:eastAsia="zh-CN"/>
              </w:rPr>
              <w:t>4</w:t>
            </w:r>
            <w:r>
              <w:rPr>
                <w:rFonts w:hint="default" w:ascii="Times New Roman" w:hAnsi="Times New Roman" w:eastAsia="宋体" w:cs="Times New Roman"/>
                <w:color w:val="auto"/>
                <w:kern w:val="24"/>
                <w:sz w:val="24"/>
                <w:highlight w:val="none"/>
              </w:rPr>
              <w:t>。</w:t>
            </w:r>
          </w:p>
          <w:p w14:paraId="734A51BC">
            <w:pPr>
              <w:spacing w:line="240" w:lineRule="auto"/>
              <w:jc w:val="center"/>
              <w:textAlignment w:val="baseline"/>
              <w:rPr>
                <w:rFonts w:hint="default" w:ascii="Times New Roman" w:hAnsi="Times New Roman" w:eastAsia="宋体" w:cs="Times New Roman"/>
                <w:b/>
                <w:color w:val="auto"/>
                <w:szCs w:val="20"/>
                <w:highlight w:val="none"/>
              </w:rPr>
            </w:pPr>
          </w:p>
          <w:p w14:paraId="4DB78CCA">
            <w:pPr>
              <w:spacing w:line="240" w:lineRule="auto"/>
              <w:jc w:val="center"/>
              <w:textAlignment w:val="baseline"/>
              <w:rPr>
                <w:rFonts w:hint="default" w:ascii="Times New Roman" w:hAnsi="Times New Roman" w:eastAsia="宋体" w:cs="Times New Roman"/>
                <w:b/>
                <w:color w:val="auto"/>
                <w:szCs w:val="20"/>
                <w:highlight w:val="none"/>
              </w:rPr>
            </w:pPr>
          </w:p>
          <w:p w14:paraId="3FDCA487">
            <w:pPr>
              <w:spacing w:line="240" w:lineRule="auto"/>
              <w:jc w:val="center"/>
              <w:textAlignment w:val="baseline"/>
              <w:rPr>
                <w:rFonts w:hint="default" w:ascii="Times New Roman" w:hAnsi="Times New Roman" w:eastAsia="宋体" w:cs="Times New Roman"/>
                <w:b/>
                <w:color w:val="auto"/>
                <w:szCs w:val="20"/>
                <w:highlight w:val="none"/>
              </w:rPr>
            </w:pPr>
          </w:p>
          <w:p w14:paraId="22FE8326">
            <w:pPr>
              <w:spacing w:line="240" w:lineRule="auto"/>
              <w:jc w:val="center"/>
              <w:textAlignment w:val="baseline"/>
              <w:rPr>
                <w:rFonts w:hint="default" w:ascii="Times New Roman" w:hAnsi="Times New Roman" w:eastAsia="宋体" w:cs="Times New Roman"/>
                <w:b/>
                <w:color w:val="auto"/>
                <w:szCs w:val="20"/>
                <w:highlight w:val="none"/>
              </w:rPr>
            </w:pPr>
          </w:p>
          <w:p w14:paraId="564C1894">
            <w:pPr>
              <w:spacing w:line="240" w:lineRule="auto"/>
              <w:jc w:val="center"/>
              <w:textAlignment w:val="baseline"/>
              <w:rPr>
                <w:rFonts w:hint="default" w:ascii="Times New Roman" w:hAnsi="Times New Roman" w:eastAsia="宋体" w:cs="Times New Roman"/>
                <w:b/>
                <w:color w:val="auto"/>
                <w:szCs w:val="20"/>
                <w:highlight w:val="none"/>
              </w:rPr>
            </w:pPr>
            <w:r>
              <w:rPr>
                <w:rFonts w:hint="default" w:ascii="Times New Roman" w:hAnsi="Times New Roman" w:eastAsia="宋体" w:cs="Times New Roman"/>
                <w:b/>
                <w:color w:val="auto"/>
                <w:szCs w:val="20"/>
                <w:highlight w:val="none"/>
              </w:rPr>
              <w:t>表3-</w:t>
            </w:r>
            <w:r>
              <w:rPr>
                <w:rFonts w:hint="default" w:ascii="Times New Roman" w:hAnsi="Times New Roman" w:eastAsia="宋体" w:cs="Times New Roman"/>
                <w:b/>
                <w:color w:val="auto"/>
                <w:szCs w:val="20"/>
                <w:highlight w:val="none"/>
                <w:lang w:val="en-US" w:eastAsia="zh-CN"/>
              </w:rPr>
              <w:t>4</w:t>
            </w:r>
            <w:r>
              <w:rPr>
                <w:rFonts w:hint="default" w:ascii="Times New Roman" w:hAnsi="Times New Roman" w:eastAsia="宋体" w:cs="Times New Roman"/>
                <w:b/>
                <w:color w:val="auto"/>
                <w:szCs w:val="20"/>
                <w:highlight w:val="none"/>
              </w:rPr>
              <w:t>噪声环境质量现状监测及评价结果表</w:t>
            </w:r>
          </w:p>
          <w:tbl>
            <w:tblPr>
              <w:tblStyle w:val="33"/>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024"/>
              <w:gridCol w:w="856"/>
              <w:gridCol w:w="1204"/>
              <w:gridCol w:w="1072"/>
              <w:gridCol w:w="856"/>
              <w:gridCol w:w="1415"/>
              <w:gridCol w:w="1412"/>
            </w:tblGrid>
            <w:tr w14:paraId="00BC04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2024" w:type="dxa"/>
                  <w:vMerge w:val="restart"/>
                  <w:tcBorders>
                    <w:right w:val="single" w:color="auto" w:sz="4" w:space="0"/>
                  </w:tcBorders>
                  <w:vAlign w:val="center"/>
                </w:tcPr>
                <w:p w14:paraId="6035B4B3">
                  <w:pPr>
                    <w:pStyle w:val="144"/>
                    <w:bidi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监测点</w:t>
                  </w:r>
                </w:p>
              </w:tc>
              <w:tc>
                <w:tcPr>
                  <w:tcW w:w="3132" w:type="dxa"/>
                  <w:gridSpan w:val="3"/>
                  <w:tcBorders>
                    <w:left w:val="single" w:color="auto" w:sz="4" w:space="0"/>
                  </w:tcBorders>
                  <w:vAlign w:val="center"/>
                </w:tcPr>
                <w:p w14:paraId="380C069C">
                  <w:pPr>
                    <w:pStyle w:val="144"/>
                    <w:bidi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昼间</w:t>
                  </w:r>
                </w:p>
              </w:tc>
              <w:tc>
                <w:tcPr>
                  <w:tcW w:w="3683" w:type="dxa"/>
                  <w:gridSpan w:val="3"/>
                  <w:tcBorders>
                    <w:left w:val="single" w:color="auto" w:sz="4" w:space="0"/>
                  </w:tcBorders>
                  <w:vAlign w:val="center"/>
                </w:tcPr>
                <w:p w14:paraId="223E6EAB">
                  <w:pPr>
                    <w:pStyle w:val="144"/>
                    <w:bidi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夜间</w:t>
                  </w:r>
                </w:p>
              </w:tc>
            </w:tr>
            <w:tr w14:paraId="23F5E4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2024" w:type="dxa"/>
                  <w:vMerge w:val="continue"/>
                  <w:tcBorders>
                    <w:right w:val="single" w:color="auto" w:sz="4" w:space="0"/>
                  </w:tcBorders>
                  <w:vAlign w:val="center"/>
                </w:tcPr>
                <w:p w14:paraId="0A4674BA">
                  <w:pPr>
                    <w:pStyle w:val="144"/>
                    <w:bidi w:val="0"/>
                    <w:jc w:val="center"/>
                    <w:rPr>
                      <w:rFonts w:hint="default" w:ascii="Times New Roman" w:hAnsi="Times New Roman" w:eastAsia="宋体" w:cs="Times New Roman"/>
                      <w:color w:val="auto"/>
                      <w:kern w:val="0"/>
                      <w:sz w:val="21"/>
                      <w:szCs w:val="21"/>
                      <w:highlight w:val="none"/>
                      <w:lang w:val="en-US" w:eastAsia="zh-CN" w:bidi="ar-SA"/>
                    </w:rPr>
                  </w:pPr>
                </w:p>
              </w:tc>
              <w:tc>
                <w:tcPr>
                  <w:tcW w:w="856" w:type="dxa"/>
                  <w:tcBorders>
                    <w:left w:val="single" w:color="auto" w:sz="4" w:space="0"/>
                  </w:tcBorders>
                  <w:vAlign w:val="center"/>
                </w:tcPr>
                <w:p w14:paraId="5E169EF7">
                  <w:pPr>
                    <w:pStyle w:val="144"/>
                    <w:bidi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标准</w:t>
                  </w:r>
                </w:p>
              </w:tc>
              <w:tc>
                <w:tcPr>
                  <w:tcW w:w="1204" w:type="dxa"/>
                  <w:vAlign w:val="center"/>
                </w:tcPr>
                <w:p w14:paraId="3CB7166B">
                  <w:pPr>
                    <w:pStyle w:val="144"/>
                    <w:bidi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监测结果</w:t>
                  </w:r>
                </w:p>
              </w:tc>
              <w:tc>
                <w:tcPr>
                  <w:tcW w:w="1072" w:type="dxa"/>
                  <w:vAlign w:val="center"/>
                </w:tcPr>
                <w:p w14:paraId="269E7255">
                  <w:pPr>
                    <w:pStyle w:val="144"/>
                    <w:bidi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评价结果</w:t>
                  </w:r>
                </w:p>
              </w:tc>
              <w:tc>
                <w:tcPr>
                  <w:tcW w:w="856" w:type="dxa"/>
                  <w:tcBorders>
                    <w:left w:val="single" w:color="auto" w:sz="4" w:space="0"/>
                  </w:tcBorders>
                  <w:vAlign w:val="center"/>
                </w:tcPr>
                <w:p w14:paraId="649353F0">
                  <w:pPr>
                    <w:pStyle w:val="144"/>
                    <w:bidi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标准</w:t>
                  </w:r>
                </w:p>
              </w:tc>
              <w:tc>
                <w:tcPr>
                  <w:tcW w:w="1415" w:type="dxa"/>
                  <w:vAlign w:val="center"/>
                </w:tcPr>
                <w:p w14:paraId="7533D55D">
                  <w:pPr>
                    <w:pStyle w:val="144"/>
                    <w:bidi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监测结果</w:t>
                  </w:r>
                </w:p>
              </w:tc>
              <w:tc>
                <w:tcPr>
                  <w:tcW w:w="1412" w:type="dxa"/>
                  <w:vAlign w:val="center"/>
                </w:tcPr>
                <w:p w14:paraId="4B2E59CA">
                  <w:pPr>
                    <w:pStyle w:val="144"/>
                    <w:bidi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评价结果</w:t>
                  </w:r>
                </w:p>
              </w:tc>
            </w:tr>
            <w:tr w14:paraId="441BDE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2024" w:type="dxa"/>
                  <w:vAlign w:val="center"/>
                </w:tcPr>
                <w:p w14:paraId="6A86ECC3">
                  <w:pPr>
                    <w:pStyle w:val="144"/>
                    <w:bidi w:val="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阿热塔什村</w:t>
                  </w:r>
                </w:p>
              </w:tc>
              <w:tc>
                <w:tcPr>
                  <w:tcW w:w="856" w:type="dxa"/>
                  <w:vAlign w:val="center"/>
                </w:tcPr>
                <w:p w14:paraId="5E6D45D3">
                  <w:pPr>
                    <w:pStyle w:val="144"/>
                    <w:bidi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55</w:t>
                  </w:r>
                </w:p>
              </w:tc>
              <w:tc>
                <w:tcPr>
                  <w:tcW w:w="1204" w:type="dxa"/>
                  <w:vAlign w:val="center"/>
                </w:tcPr>
                <w:p w14:paraId="54AE5802">
                  <w:pPr>
                    <w:pStyle w:val="144"/>
                    <w:bidi w:val="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51</w:t>
                  </w:r>
                </w:p>
              </w:tc>
              <w:tc>
                <w:tcPr>
                  <w:tcW w:w="1072" w:type="dxa"/>
                  <w:vAlign w:val="center"/>
                </w:tcPr>
                <w:p w14:paraId="254B81A5">
                  <w:pPr>
                    <w:pStyle w:val="144"/>
                    <w:bidi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达标</w:t>
                  </w:r>
                </w:p>
              </w:tc>
              <w:tc>
                <w:tcPr>
                  <w:tcW w:w="856" w:type="dxa"/>
                  <w:vAlign w:val="center"/>
                </w:tcPr>
                <w:p w14:paraId="4269E8F9">
                  <w:pPr>
                    <w:pStyle w:val="144"/>
                    <w:bidi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45</w:t>
                  </w:r>
                </w:p>
              </w:tc>
              <w:tc>
                <w:tcPr>
                  <w:tcW w:w="1415" w:type="dxa"/>
                  <w:vAlign w:val="center"/>
                </w:tcPr>
                <w:p w14:paraId="73B47A17">
                  <w:pPr>
                    <w:pStyle w:val="144"/>
                    <w:bidi w:val="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43</w:t>
                  </w:r>
                </w:p>
              </w:tc>
              <w:tc>
                <w:tcPr>
                  <w:tcW w:w="1412" w:type="dxa"/>
                  <w:vAlign w:val="center"/>
                </w:tcPr>
                <w:p w14:paraId="7339292C">
                  <w:pPr>
                    <w:pStyle w:val="144"/>
                    <w:bidi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达标</w:t>
                  </w:r>
                </w:p>
              </w:tc>
            </w:tr>
          </w:tbl>
          <w:p w14:paraId="60B4D51A">
            <w:pPr>
              <w:adjustRightInd w:val="0"/>
              <w:snapToGrid w:val="0"/>
              <w:spacing w:line="360" w:lineRule="auto"/>
              <w:ind w:firstLine="480" w:firstLineChars="200"/>
              <w:jc w:val="left"/>
              <w:rPr>
                <w:rFonts w:hint="default" w:ascii="Times New Roman" w:hAnsi="Times New Roman" w:eastAsia="宋体" w:cs="Times New Roman"/>
                <w:b/>
                <w:bCs/>
                <w:color w:val="auto"/>
              </w:rPr>
            </w:pP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color w:val="auto"/>
                <w:sz w:val="24"/>
                <w:szCs w:val="24"/>
                <w:highlight w:val="none"/>
                <w:lang w:val="en-US" w:eastAsia="zh-CN"/>
              </w:rPr>
              <w:t>声环境</w:t>
            </w:r>
            <w:r>
              <w:rPr>
                <w:rFonts w:hint="default" w:ascii="Times New Roman" w:hAnsi="Times New Roman" w:eastAsia="宋体" w:cs="Times New Roman"/>
                <w:color w:val="auto"/>
                <w:sz w:val="24"/>
                <w:szCs w:val="24"/>
                <w:highlight w:val="none"/>
              </w:rPr>
              <w:t>监测结果可知，项目区</w:t>
            </w:r>
            <w:r>
              <w:rPr>
                <w:rFonts w:hint="default" w:ascii="Times New Roman" w:hAnsi="Times New Roman" w:eastAsia="宋体" w:cs="Times New Roman"/>
                <w:color w:val="auto"/>
                <w:sz w:val="24"/>
                <w:szCs w:val="24"/>
                <w:highlight w:val="none"/>
                <w:lang w:val="en-US" w:eastAsia="zh-CN"/>
              </w:rPr>
              <w:t>声环境背景</w:t>
            </w:r>
            <w:r>
              <w:rPr>
                <w:rFonts w:hint="default" w:ascii="Times New Roman" w:hAnsi="Times New Roman" w:eastAsia="宋体" w:cs="Times New Roman"/>
                <w:color w:val="auto"/>
                <w:sz w:val="24"/>
                <w:szCs w:val="24"/>
                <w:highlight w:val="none"/>
              </w:rPr>
              <w:t>值满足《声环境质量标准》（GB3096-2008）中</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类区标准，表明区域声环境质量现状良好。</w:t>
            </w:r>
          </w:p>
        </w:tc>
      </w:tr>
      <w:tr w14:paraId="1211FA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56" w:type="dxa"/>
            <w:vAlign w:val="center"/>
          </w:tcPr>
          <w:p w14:paraId="5B77C115">
            <w:pPr>
              <w:adjustRightInd w:val="0"/>
              <w:snapToGrid w:val="0"/>
              <w:jc w:val="center"/>
              <w:rPr>
                <w:rFonts w:hint="default" w:ascii="Times New Roman" w:hAnsi="Times New Roman" w:eastAsia="宋体" w:cs="Times New Roman"/>
                <w:b/>
                <w:bCs/>
                <w:color w:val="auto"/>
                <w:kern w:val="0"/>
                <w:sz w:val="24"/>
              </w:rPr>
            </w:pPr>
            <w:r>
              <w:rPr>
                <w:rFonts w:hint="default" w:ascii="Times New Roman" w:hAnsi="Times New Roman" w:eastAsia="宋体" w:cs="Times New Roman"/>
                <w:bCs/>
                <w:color w:val="auto"/>
                <w:sz w:val="24"/>
              </w:rPr>
              <w:t>与项目有关的原有环境污染和生态破坏问题</w:t>
            </w:r>
          </w:p>
        </w:tc>
        <w:tc>
          <w:tcPr>
            <w:tcW w:w="9075" w:type="dxa"/>
            <w:vAlign w:val="center"/>
          </w:tcPr>
          <w:p w14:paraId="5384889A">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FF"/>
                <w:kern w:val="2"/>
                <w:sz w:val="24"/>
                <w:szCs w:val="24"/>
                <w:lang w:val="en-US" w:eastAsia="zh-CN" w:bidi="ar-SA"/>
              </w:rPr>
            </w:pPr>
            <w:r>
              <w:rPr>
                <w:rFonts w:hint="default" w:ascii="Times New Roman" w:hAnsi="Times New Roman" w:eastAsia="宋体" w:cs="Times New Roman"/>
                <w:color w:val="0000FF"/>
                <w:kern w:val="2"/>
                <w:sz w:val="24"/>
                <w:szCs w:val="24"/>
                <w:lang w:val="en-US" w:eastAsia="zh-CN" w:bidi="ar-SA"/>
              </w:rPr>
              <w:t>经现场踏勘，目前工程存在的主要问题包括：</w:t>
            </w:r>
          </w:p>
          <w:p w14:paraId="46C0355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FF"/>
                <w:kern w:val="2"/>
                <w:sz w:val="24"/>
                <w:szCs w:val="24"/>
                <w:lang w:val="en-US" w:eastAsia="zh-CN" w:bidi="ar-SA"/>
              </w:rPr>
            </w:pPr>
            <w:r>
              <w:rPr>
                <w:rFonts w:hint="default" w:ascii="Times New Roman" w:hAnsi="Times New Roman" w:eastAsia="宋体" w:cs="Times New Roman"/>
                <w:color w:val="0000FF"/>
                <w:kern w:val="2"/>
                <w:sz w:val="24"/>
                <w:szCs w:val="24"/>
                <w:lang w:val="en-US" w:eastAsia="zh-CN" w:bidi="ar-SA"/>
              </w:rPr>
              <w:t>（1）本次改建渠道</w:t>
            </w:r>
            <w:r>
              <w:rPr>
                <w:rFonts w:hint="eastAsia" w:ascii="Times New Roman" w:hAnsi="Times New Roman" w:eastAsia="宋体" w:cs="Times New Roman"/>
                <w:color w:val="0000FF"/>
                <w:kern w:val="2"/>
                <w:sz w:val="24"/>
                <w:szCs w:val="24"/>
                <w:lang w:val="en-US" w:eastAsia="zh-CN" w:bidi="ar-SA"/>
              </w:rPr>
              <w:t>现状</w:t>
            </w:r>
            <w:r>
              <w:rPr>
                <w:rFonts w:hint="default" w:ascii="Times New Roman" w:hAnsi="Times New Roman" w:eastAsia="宋体" w:cs="Times New Roman"/>
                <w:color w:val="0000FF"/>
                <w:kern w:val="2"/>
                <w:sz w:val="24"/>
                <w:szCs w:val="24"/>
                <w:lang w:val="en-US" w:eastAsia="zh-CN" w:bidi="ar-SA"/>
              </w:rPr>
              <w:t>均为土渠，</w:t>
            </w:r>
            <w:r>
              <w:rPr>
                <w:rFonts w:hint="eastAsia" w:ascii="Times New Roman" w:hAnsi="Times New Roman" w:eastAsia="宋体" w:cs="Times New Roman"/>
                <w:color w:val="0000FF"/>
                <w:kern w:val="2"/>
                <w:sz w:val="24"/>
                <w:szCs w:val="24"/>
                <w:lang w:val="en-US" w:eastAsia="zh-CN" w:bidi="ar-SA"/>
              </w:rPr>
              <w:t>底宽在</w:t>
            </w:r>
            <w:r>
              <w:rPr>
                <w:rFonts w:hint="default" w:ascii="Times New Roman" w:hAnsi="Times New Roman" w:eastAsia="宋体" w:cs="Times New Roman"/>
                <w:color w:val="0000FF"/>
                <w:kern w:val="2"/>
                <w:sz w:val="24"/>
                <w:szCs w:val="24"/>
                <w:lang w:val="en-US" w:eastAsia="zh-CN" w:bidi="ar-SA"/>
              </w:rPr>
              <w:t>0.5</w:t>
            </w:r>
            <w:r>
              <w:rPr>
                <w:rFonts w:hint="eastAsia" w:ascii="Times New Roman" w:hAnsi="Times New Roman" w:eastAsia="宋体" w:cs="Times New Roman"/>
                <w:color w:val="0000FF"/>
                <w:kern w:val="2"/>
                <w:sz w:val="24"/>
                <w:szCs w:val="24"/>
                <w:lang w:val="en-US" w:eastAsia="zh-CN" w:bidi="ar-SA"/>
              </w:rPr>
              <w:t>～</w:t>
            </w:r>
            <w:r>
              <w:rPr>
                <w:rFonts w:hint="default" w:ascii="Times New Roman" w:hAnsi="Times New Roman" w:eastAsia="宋体" w:cs="Times New Roman"/>
                <w:color w:val="0000FF"/>
                <w:kern w:val="2"/>
                <w:sz w:val="24"/>
                <w:szCs w:val="24"/>
                <w:lang w:val="en-US" w:eastAsia="zh-CN" w:bidi="ar-SA"/>
              </w:rPr>
              <w:t>1.2m</w:t>
            </w:r>
            <w:r>
              <w:rPr>
                <w:rFonts w:hint="eastAsia" w:ascii="Times New Roman" w:hAnsi="Times New Roman" w:eastAsia="宋体" w:cs="Times New Roman"/>
                <w:color w:val="0000FF"/>
                <w:kern w:val="2"/>
                <w:sz w:val="24"/>
                <w:szCs w:val="24"/>
                <w:lang w:val="en-US" w:eastAsia="zh-CN" w:bidi="ar-SA"/>
              </w:rPr>
              <w:t>之间，渠深在</w:t>
            </w:r>
            <w:r>
              <w:rPr>
                <w:rFonts w:hint="default" w:ascii="Times New Roman" w:hAnsi="Times New Roman" w:eastAsia="宋体" w:cs="Times New Roman"/>
                <w:color w:val="0000FF"/>
                <w:kern w:val="2"/>
                <w:sz w:val="24"/>
                <w:szCs w:val="24"/>
                <w:lang w:val="en-US" w:eastAsia="zh-CN" w:bidi="ar-SA"/>
              </w:rPr>
              <w:t>0.5</w:t>
            </w:r>
            <w:r>
              <w:rPr>
                <w:rFonts w:hint="eastAsia" w:ascii="Times New Roman" w:hAnsi="Times New Roman" w:eastAsia="宋体" w:cs="Times New Roman"/>
                <w:color w:val="0000FF"/>
                <w:kern w:val="2"/>
                <w:sz w:val="24"/>
                <w:szCs w:val="24"/>
                <w:lang w:val="en-US" w:eastAsia="zh-CN" w:bidi="ar-SA"/>
              </w:rPr>
              <w:t>～</w:t>
            </w:r>
            <w:r>
              <w:rPr>
                <w:rFonts w:hint="default" w:ascii="Times New Roman" w:hAnsi="Times New Roman" w:eastAsia="宋体" w:cs="Times New Roman"/>
                <w:color w:val="0000FF"/>
                <w:kern w:val="2"/>
                <w:sz w:val="24"/>
                <w:szCs w:val="24"/>
                <w:lang w:val="en-US" w:eastAsia="zh-CN" w:bidi="ar-SA"/>
              </w:rPr>
              <w:t>1.5m</w:t>
            </w:r>
            <w:r>
              <w:rPr>
                <w:rFonts w:hint="eastAsia" w:ascii="Times New Roman" w:hAnsi="Times New Roman" w:eastAsia="宋体" w:cs="Times New Roman"/>
                <w:color w:val="0000FF"/>
                <w:kern w:val="2"/>
                <w:sz w:val="24"/>
                <w:szCs w:val="24"/>
                <w:lang w:val="en-US" w:eastAsia="zh-CN" w:bidi="ar-SA"/>
              </w:rPr>
              <w:t>之间，上口宽在</w:t>
            </w:r>
            <w:r>
              <w:rPr>
                <w:rFonts w:hint="default" w:ascii="Times New Roman" w:hAnsi="Times New Roman" w:eastAsia="宋体" w:cs="Times New Roman"/>
                <w:color w:val="0000FF"/>
                <w:kern w:val="2"/>
                <w:sz w:val="24"/>
                <w:szCs w:val="24"/>
                <w:lang w:val="en-US" w:eastAsia="zh-CN" w:bidi="ar-SA"/>
              </w:rPr>
              <w:t>1.0</w:t>
            </w:r>
            <w:r>
              <w:rPr>
                <w:rFonts w:hint="eastAsia" w:ascii="Times New Roman" w:hAnsi="Times New Roman" w:eastAsia="宋体" w:cs="Times New Roman"/>
                <w:color w:val="0000FF"/>
                <w:kern w:val="2"/>
                <w:sz w:val="24"/>
                <w:szCs w:val="24"/>
                <w:lang w:val="en-US" w:eastAsia="zh-CN" w:bidi="ar-SA"/>
              </w:rPr>
              <w:t>～</w:t>
            </w:r>
            <w:r>
              <w:rPr>
                <w:rFonts w:hint="default" w:ascii="Times New Roman" w:hAnsi="Times New Roman" w:eastAsia="宋体" w:cs="Times New Roman"/>
                <w:color w:val="0000FF"/>
                <w:kern w:val="2"/>
                <w:sz w:val="24"/>
                <w:szCs w:val="24"/>
                <w:lang w:val="en-US" w:eastAsia="zh-CN" w:bidi="ar-SA"/>
              </w:rPr>
              <w:t>4.0m</w:t>
            </w:r>
            <w:r>
              <w:rPr>
                <w:rFonts w:hint="eastAsia" w:ascii="Times New Roman" w:hAnsi="Times New Roman" w:eastAsia="宋体" w:cs="Times New Roman"/>
                <w:color w:val="0000FF"/>
                <w:kern w:val="2"/>
                <w:sz w:val="24"/>
                <w:szCs w:val="24"/>
                <w:lang w:val="en-US" w:eastAsia="zh-CN" w:bidi="ar-SA"/>
              </w:rPr>
              <w:t>之间，</w:t>
            </w:r>
            <w:r>
              <w:rPr>
                <w:rFonts w:hint="default" w:ascii="Times New Roman" w:hAnsi="Times New Roman" w:eastAsia="宋体" w:cs="Times New Roman"/>
                <w:color w:val="0000FF"/>
                <w:kern w:val="2"/>
                <w:sz w:val="24"/>
                <w:szCs w:val="24"/>
                <w:lang w:val="en-US" w:eastAsia="zh-CN" w:bidi="ar-SA"/>
              </w:rPr>
              <w:t>抗冲和防渗能力差，冲刷、塌陷、水土流失较为严重，造成渠道渗漏量大，渠系水利用系数低</w:t>
            </w:r>
            <w:r>
              <w:rPr>
                <w:rFonts w:hint="eastAsia" w:ascii="Times New Roman" w:hAnsi="Times New Roman" w:cs="Times New Roman"/>
                <w:color w:val="0000FF"/>
                <w:kern w:val="2"/>
                <w:sz w:val="24"/>
                <w:szCs w:val="24"/>
                <w:lang w:val="en-US" w:eastAsia="zh-CN" w:bidi="ar-SA"/>
              </w:rPr>
              <w:t>，</w:t>
            </w:r>
            <w:r>
              <w:rPr>
                <w:rFonts w:hint="default" w:ascii="Times New Roman" w:hAnsi="Times New Roman" w:eastAsia="宋体" w:cs="Times New Roman"/>
                <w:color w:val="0000FF"/>
                <w:kern w:val="2"/>
                <w:sz w:val="24"/>
                <w:szCs w:val="24"/>
                <w:lang w:val="en-US" w:eastAsia="zh-CN" w:bidi="ar-SA"/>
              </w:rPr>
              <w:t>严重制约了该灌区的农牧业经济发展。</w:t>
            </w:r>
          </w:p>
          <w:p w14:paraId="785F773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FF"/>
                <w:kern w:val="2"/>
                <w:sz w:val="24"/>
                <w:szCs w:val="24"/>
                <w:lang w:val="en-US" w:eastAsia="zh-CN" w:bidi="ar-SA"/>
              </w:rPr>
            </w:pPr>
            <w:r>
              <w:rPr>
                <w:rFonts w:hint="default" w:ascii="Times New Roman" w:hAnsi="Times New Roman" w:eastAsia="宋体" w:cs="Times New Roman"/>
                <w:color w:val="0000FF"/>
                <w:kern w:val="2"/>
                <w:sz w:val="24"/>
                <w:szCs w:val="24"/>
                <w:lang w:val="en-US" w:eastAsia="zh-CN" w:bidi="ar-SA"/>
              </w:rPr>
              <w:t>（2）原渠系建筑物设计标准低，经过多年运行后，建筑物破损老化严重，临时性</w:t>
            </w:r>
            <w:r>
              <w:rPr>
                <w:rFonts w:hint="eastAsia" w:ascii="Times New Roman" w:hAnsi="Times New Roman" w:cs="Times New Roman"/>
                <w:color w:val="0000FF"/>
                <w:kern w:val="2"/>
                <w:sz w:val="24"/>
                <w:szCs w:val="24"/>
                <w:lang w:val="en-US" w:eastAsia="zh-CN" w:bidi="ar-SA"/>
              </w:rPr>
              <w:t>配套相关渠系建筑物</w:t>
            </w:r>
            <w:r>
              <w:rPr>
                <w:rFonts w:hint="default" w:ascii="Times New Roman" w:hAnsi="Times New Roman" w:eastAsia="宋体" w:cs="Times New Roman"/>
                <w:color w:val="0000FF"/>
                <w:kern w:val="2"/>
                <w:sz w:val="24"/>
                <w:szCs w:val="24"/>
                <w:lang w:val="en-US" w:eastAsia="zh-CN" w:bidi="ar-SA"/>
              </w:rPr>
              <w:t>较多，影响了渠道灌溉分水和沿线交通。</w:t>
            </w:r>
          </w:p>
          <w:p w14:paraId="3EA86990">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lang w:eastAsia="zh-CN"/>
              </w:rPr>
            </w:pPr>
            <w:r>
              <w:rPr>
                <w:rFonts w:hint="default" w:ascii="Times New Roman" w:hAnsi="Times New Roman" w:eastAsia="宋体" w:cs="Times New Roman"/>
                <w:color w:val="0000FF"/>
                <w:kern w:val="2"/>
                <w:sz w:val="24"/>
                <w:szCs w:val="24"/>
                <w:lang w:val="en-US" w:eastAsia="zh-CN" w:bidi="ar-SA"/>
              </w:rPr>
              <w:t>现有工程未履行环境影响评价，无竣工环境保护验收，本次评价经过环保部门批复后应积极开展环保验收，根据《固定污染源排污许可分类管理名录（2019年版）》，防渗渠道工程不涉及排污许可申请。本项目渠道防渗工程即为现有工程“以新带老”环保措施，本项目建设完成后可以解决渠系水利用系数低、原渠系建筑物设计标准低、无序用水、水资源浪费现象严重等环保节水问题。</w:t>
            </w:r>
          </w:p>
        </w:tc>
      </w:tr>
      <w:tr w14:paraId="3420C6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456" w:type="dxa"/>
            <w:vAlign w:val="center"/>
          </w:tcPr>
          <w:p w14:paraId="3D18453E">
            <w:pPr>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生态环境保护目标</w:t>
            </w:r>
          </w:p>
        </w:tc>
        <w:tc>
          <w:tcPr>
            <w:tcW w:w="9075" w:type="dxa"/>
            <w:vAlign w:val="center"/>
          </w:tcPr>
          <w:p w14:paraId="6C8CC223">
            <w:pPr>
              <w:spacing w:line="360" w:lineRule="auto"/>
              <w:ind w:firstLine="480" w:firstLineChars="200"/>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val="en-US" w:eastAsia="zh-CN"/>
              </w:rPr>
              <w:t>本项目渠道现状为土渠，沿线多为耕地、林地、</w:t>
            </w:r>
            <w:r>
              <w:rPr>
                <w:rFonts w:hint="eastAsia" w:ascii="Times New Roman" w:hAnsi="Times New Roman" w:eastAsia="宋体" w:cs="Times New Roman"/>
                <w:color w:val="auto"/>
                <w:sz w:val="24"/>
                <w:szCs w:val="24"/>
                <w:lang w:val="en-US" w:eastAsia="zh-CN"/>
              </w:rPr>
              <w:t>园地</w:t>
            </w:r>
            <w:r>
              <w:rPr>
                <w:rFonts w:hint="default" w:ascii="Times New Roman" w:hAnsi="Times New Roman" w:eastAsia="宋体" w:cs="Times New Roman"/>
                <w:color w:val="auto"/>
                <w:sz w:val="24"/>
                <w:szCs w:val="24"/>
                <w:lang w:val="en-US" w:eastAsia="zh-CN"/>
              </w:rPr>
              <w:t>、居民点，本项目在原渠道范围进行改建。本项目紧邻乡村道路，不涉及饮用水水源保护区、油气管线等</w:t>
            </w:r>
            <w:r>
              <w:rPr>
                <w:rFonts w:hint="default" w:ascii="Times New Roman" w:hAnsi="Times New Roman" w:eastAsia="宋体" w:cs="Times New Roman"/>
                <w:color w:val="auto"/>
                <w:sz w:val="24"/>
                <w:szCs w:val="24"/>
                <w:lang w:val="zh-CN" w:eastAsia="zh-CN"/>
              </w:rPr>
              <w:t>。防渗渠道工程主要环境保护目标如下：</w:t>
            </w:r>
          </w:p>
          <w:p w14:paraId="2ED2DD15">
            <w:pPr>
              <w:spacing w:line="360" w:lineRule="auto"/>
              <w:ind w:firstLine="480" w:firstLineChars="200"/>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zh-CN" w:eastAsia="zh-CN"/>
              </w:rPr>
              <w:t>环境空气</w:t>
            </w:r>
          </w:p>
          <w:p w14:paraId="3B4937AE">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zh-CN" w:eastAsia="zh-CN"/>
              </w:rPr>
              <w:t>评价区环境空气质量满足《环境空</w:t>
            </w:r>
            <w:r>
              <w:rPr>
                <w:rFonts w:hint="default" w:ascii="Times New Roman" w:hAnsi="Times New Roman" w:eastAsia="宋体" w:cs="Times New Roman"/>
                <w:color w:val="auto"/>
                <w:sz w:val="24"/>
                <w:szCs w:val="24"/>
                <w:lang w:val="zh-CN"/>
              </w:rPr>
              <w:t>气质量标准》（GB3095-2012）二级标准，</w:t>
            </w:r>
            <w:r>
              <w:rPr>
                <w:rFonts w:hint="default" w:ascii="Times New Roman" w:hAnsi="Times New Roman" w:eastAsia="宋体" w:cs="Times New Roman"/>
                <w:color w:val="auto"/>
                <w:sz w:val="24"/>
                <w:szCs w:val="24"/>
                <w:lang w:val="en-US" w:eastAsia="zh-CN"/>
              </w:rPr>
              <w:t>周边敏感目标分布见下表。</w:t>
            </w:r>
          </w:p>
          <w:p w14:paraId="6632F07B">
            <w:pPr>
              <w:spacing w:line="240" w:lineRule="auto"/>
              <w:jc w:val="center"/>
              <w:textAlignment w:val="baseline"/>
              <w:rPr>
                <w:rFonts w:hint="default" w:ascii="Times New Roman" w:hAnsi="Times New Roman" w:eastAsia="宋体" w:cs="Times New Roman"/>
                <w:b/>
                <w:color w:val="auto"/>
                <w:szCs w:val="20"/>
                <w:highlight w:val="none"/>
              </w:rPr>
            </w:pPr>
            <w:r>
              <w:rPr>
                <w:rFonts w:hint="default" w:ascii="Times New Roman" w:hAnsi="Times New Roman" w:eastAsia="宋体" w:cs="Times New Roman"/>
                <w:b/>
                <w:color w:val="auto"/>
                <w:szCs w:val="20"/>
                <w:highlight w:val="none"/>
              </w:rPr>
              <w:t>表3-</w:t>
            </w:r>
            <w:r>
              <w:rPr>
                <w:rFonts w:hint="default" w:ascii="Times New Roman" w:hAnsi="Times New Roman" w:eastAsia="宋体" w:cs="Times New Roman"/>
                <w:b/>
                <w:color w:val="auto"/>
                <w:szCs w:val="20"/>
                <w:highlight w:val="none"/>
                <w:lang w:val="en-US" w:eastAsia="zh-CN"/>
              </w:rPr>
              <w:t xml:space="preserve">5 </w:t>
            </w:r>
            <w:r>
              <w:rPr>
                <w:rFonts w:hint="default" w:ascii="Times New Roman" w:hAnsi="Times New Roman" w:eastAsia="宋体" w:cs="Times New Roman"/>
                <w:b/>
                <w:color w:val="auto"/>
                <w:szCs w:val="20"/>
                <w:highlight w:val="none"/>
              </w:rPr>
              <w:t>项目周边大气环境保护目标表</w:t>
            </w:r>
          </w:p>
          <w:tbl>
            <w:tblPr>
              <w:tblStyle w:val="33"/>
              <w:tblW w:w="494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47"/>
              <w:gridCol w:w="1513"/>
              <w:gridCol w:w="787"/>
              <w:gridCol w:w="850"/>
              <w:gridCol w:w="963"/>
              <w:gridCol w:w="1425"/>
              <w:gridCol w:w="1123"/>
              <w:gridCol w:w="1337"/>
            </w:tblGrid>
            <w:tr w14:paraId="24025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47" w:type="dxa"/>
                  <w:vMerge w:val="restart"/>
                  <w:vAlign w:val="center"/>
                </w:tcPr>
                <w:p w14:paraId="64F34154">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环境要素</w:t>
                  </w:r>
                </w:p>
              </w:tc>
              <w:tc>
                <w:tcPr>
                  <w:tcW w:w="1513" w:type="dxa"/>
                  <w:vMerge w:val="restart"/>
                  <w:vAlign w:val="center"/>
                </w:tcPr>
                <w:p w14:paraId="6E5E330C">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名称</w:t>
                  </w:r>
                </w:p>
              </w:tc>
              <w:tc>
                <w:tcPr>
                  <w:tcW w:w="787" w:type="dxa"/>
                  <w:vMerge w:val="restart"/>
                  <w:vAlign w:val="center"/>
                </w:tcPr>
                <w:p w14:paraId="53E0648F">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保护</w:t>
                  </w:r>
                </w:p>
                <w:p w14:paraId="2B5BEF10">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对象</w:t>
                  </w:r>
                </w:p>
              </w:tc>
              <w:tc>
                <w:tcPr>
                  <w:tcW w:w="850" w:type="dxa"/>
                  <w:vMerge w:val="restart"/>
                  <w:vAlign w:val="center"/>
                </w:tcPr>
                <w:p w14:paraId="12764A6F">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规模（人）</w:t>
                  </w:r>
                </w:p>
              </w:tc>
              <w:tc>
                <w:tcPr>
                  <w:tcW w:w="963" w:type="dxa"/>
                  <w:vMerge w:val="restart"/>
                  <w:vAlign w:val="center"/>
                </w:tcPr>
                <w:p w14:paraId="39BCF3F6">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保护内容</w:t>
                  </w:r>
                </w:p>
              </w:tc>
              <w:tc>
                <w:tcPr>
                  <w:tcW w:w="1425" w:type="dxa"/>
                  <w:vMerge w:val="restart"/>
                  <w:vAlign w:val="center"/>
                </w:tcPr>
                <w:p w14:paraId="310D5D8B">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环境功能要求</w:t>
                  </w:r>
                </w:p>
              </w:tc>
              <w:tc>
                <w:tcPr>
                  <w:tcW w:w="1123" w:type="dxa"/>
                  <w:vMerge w:val="restart"/>
                  <w:vAlign w:val="center"/>
                </w:tcPr>
                <w:p w14:paraId="2BC6D4C9">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与渠道最近距离（m）</w:t>
                  </w:r>
                </w:p>
              </w:tc>
              <w:tc>
                <w:tcPr>
                  <w:tcW w:w="1337" w:type="dxa"/>
                  <w:vMerge w:val="restart"/>
                  <w:vAlign w:val="center"/>
                </w:tcPr>
                <w:p w14:paraId="44D06828">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与临时工程最近距离（m）</w:t>
                  </w:r>
                </w:p>
              </w:tc>
            </w:tr>
            <w:tr w14:paraId="40A1D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47" w:type="dxa"/>
                  <w:vMerge w:val="continue"/>
                  <w:vAlign w:val="center"/>
                </w:tcPr>
                <w:p w14:paraId="673A0236">
                  <w:pPr>
                    <w:pStyle w:val="111"/>
                    <w:jc w:val="center"/>
                    <w:rPr>
                      <w:rFonts w:hint="default" w:ascii="Times New Roman" w:hAnsi="Times New Roman" w:eastAsia="宋体" w:cs="Times New Roman"/>
                      <w:color w:val="auto"/>
                      <w:lang w:val="en-US" w:eastAsia="zh-CN"/>
                    </w:rPr>
                  </w:pPr>
                </w:p>
              </w:tc>
              <w:tc>
                <w:tcPr>
                  <w:tcW w:w="1513" w:type="dxa"/>
                  <w:vMerge w:val="continue"/>
                  <w:vAlign w:val="center"/>
                </w:tcPr>
                <w:p w14:paraId="75B03284">
                  <w:pPr>
                    <w:pStyle w:val="111"/>
                    <w:jc w:val="center"/>
                    <w:rPr>
                      <w:rFonts w:hint="default" w:ascii="Times New Roman" w:hAnsi="Times New Roman" w:eastAsia="宋体" w:cs="Times New Roman"/>
                      <w:color w:val="auto"/>
                      <w:lang w:val="en-US" w:eastAsia="zh-CN"/>
                    </w:rPr>
                  </w:pPr>
                </w:p>
              </w:tc>
              <w:tc>
                <w:tcPr>
                  <w:tcW w:w="787" w:type="dxa"/>
                  <w:vMerge w:val="continue"/>
                  <w:vAlign w:val="center"/>
                </w:tcPr>
                <w:p w14:paraId="41AFCD20">
                  <w:pPr>
                    <w:pStyle w:val="111"/>
                    <w:jc w:val="center"/>
                    <w:rPr>
                      <w:rFonts w:hint="default" w:ascii="Times New Roman" w:hAnsi="Times New Roman" w:eastAsia="宋体" w:cs="Times New Roman"/>
                      <w:color w:val="auto"/>
                      <w:lang w:val="en-US" w:eastAsia="zh-CN"/>
                    </w:rPr>
                  </w:pPr>
                </w:p>
              </w:tc>
              <w:tc>
                <w:tcPr>
                  <w:tcW w:w="850" w:type="dxa"/>
                  <w:vMerge w:val="continue"/>
                  <w:vAlign w:val="center"/>
                </w:tcPr>
                <w:p w14:paraId="3DFFC551">
                  <w:pPr>
                    <w:pStyle w:val="111"/>
                    <w:jc w:val="center"/>
                    <w:rPr>
                      <w:rFonts w:hint="default" w:ascii="Times New Roman" w:hAnsi="Times New Roman" w:eastAsia="宋体" w:cs="Times New Roman"/>
                      <w:color w:val="auto"/>
                      <w:lang w:val="en-US" w:eastAsia="zh-CN"/>
                    </w:rPr>
                  </w:pPr>
                </w:p>
              </w:tc>
              <w:tc>
                <w:tcPr>
                  <w:tcW w:w="963" w:type="dxa"/>
                  <w:vMerge w:val="continue"/>
                  <w:vAlign w:val="center"/>
                </w:tcPr>
                <w:p w14:paraId="2AF3C17F">
                  <w:pPr>
                    <w:pStyle w:val="111"/>
                    <w:jc w:val="center"/>
                    <w:rPr>
                      <w:rFonts w:hint="default" w:ascii="Times New Roman" w:hAnsi="Times New Roman" w:eastAsia="宋体" w:cs="Times New Roman"/>
                      <w:color w:val="auto"/>
                      <w:lang w:val="en-US" w:eastAsia="zh-CN"/>
                    </w:rPr>
                  </w:pPr>
                </w:p>
              </w:tc>
              <w:tc>
                <w:tcPr>
                  <w:tcW w:w="1425" w:type="dxa"/>
                  <w:vMerge w:val="continue"/>
                  <w:vAlign w:val="center"/>
                </w:tcPr>
                <w:p w14:paraId="5B4C585B">
                  <w:pPr>
                    <w:pStyle w:val="111"/>
                    <w:jc w:val="center"/>
                    <w:rPr>
                      <w:rFonts w:hint="default" w:ascii="Times New Roman" w:hAnsi="Times New Roman" w:eastAsia="宋体" w:cs="Times New Roman"/>
                      <w:color w:val="auto"/>
                      <w:lang w:val="en-US" w:eastAsia="zh-CN"/>
                    </w:rPr>
                  </w:pPr>
                </w:p>
              </w:tc>
              <w:tc>
                <w:tcPr>
                  <w:tcW w:w="1123" w:type="dxa"/>
                  <w:vMerge w:val="continue"/>
                  <w:vAlign w:val="center"/>
                </w:tcPr>
                <w:p w14:paraId="054ABE41">
                  <w:pPr>
                    <w:pStyle w:val="111"/>
                    <w:jc w:val="center"/>
                    <w:rPr>
                      <w:rFonts w:hint="default" w:ascii="Times New Roman" w:hAnsi="Times New Roman" w:eastAsia="宋体" w:cs="Times New Roman"/>
                      <w:color w:val="auto"/>
                      <w:lang w:val="en-US" w:eastAsia="zh-CN"/>
                    </w:rPr>
                  </w:pPr>
                </w:p>
              </w:tc>
              <w:tc>
                <w:tcPr>
                  <w:tcW w:w="1337" w:type="dxa"/>
                  <w:vMerge w:val="continue"/>
                  <w:vAlign w:val="center"/>
                </w:tcPr>
                <w:p w14:paraId="241A5B35">
                  <w:pPr>
                    <w:pStyle w:val="111"/>
                    <w:jc w:val="center"/>
                    <w:rPr>
                      <w:rFonts w:hint="default" w:ascii="Times New Roman" w:hAnsi="Times New Roman" w:eastAsia="宋体" w:cs="Times New Roman"/>
                      <w:color w:val="auto"/>
                      <w:lang w:val="en-US" w:eastAsia="zh-CN"/>
                    </w:rPr>
                  </w:pPr>
                </w:p>
              </w:tc>
            </w:tr>
            <w:tr w14:paraId="6E251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47" w:type="dxa"/>
                  <w:vAlign w:val="center"/>
                </w:tcPr>
                <w:p w14:paraId="65721859">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大气环境</w:t>
                  </w:r>
                </w:p>
              </w:tc>
              <w:tc>
                <w:tcPr>
                  <w:tcW w:w="1513" w:type="dxa"/>
                  <w:vAlign w:val="center"/>
                </w:tcPr>
                <w:p w14:paraId="653C4F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kern w:val="0"/>
                      <w:sz w:val="21"/>
                      <w:szCs w:val="21"/>
                      <w:highlight w:val="none"/>
                      <w:lang w:val="en-US" w:eastAsia="zh-CN" w:bidi="ar-SA"/>
                    </w:rPr>
                    <w:t>阿热塔什村</w:t>
                  </w:r>
                </w:p>
              </w:tc>
              <w:tc>
                <w:tcPr>
                  <w:tcW w:w="787" w:type="dxa"/>
                  <w:vAlign w:val="center"/>
                </w:tcPr>
                <w:p w14:paraId="6FAF3FB2">
                  <w:pPr>
                    <w:pStyle w:val="111"/>
                    <w:jc w:val="center"/>
                    <w:rPr>
                      <w:rFonts w:hint="default" w:ascii="Times New Roman" w:hAnsi="Times New Roman" w:eastAsia="宋体" w:cs="Times New Roman"/>
                      <w:color w:val="auto"/>
                      <w:lang w:val="en-US" w:eastAsia="zh-CN"/>
                    </w:rPr>
                  </w:pPr>
                  <w:r>
                    <w:rPr>
                      <w:rFonts w:hint="eastAsia" w:hAnsi="Times New Roman" w:cs="Times New Roman"/>
                      <w:color w:val="auto"/>
                      <w:lang w:val="en-US" w:eastAsia="zh-CN"/>
                    </w:rPr>
                    <w:t>居民</w:t>
                  </w:r>
                </w:p>
              </w:tc>
              <w:tc>
                <w:tcPr>
                  <w:tcW w:w="850" w:type="dxa"/>
                  <w:vAlign w:val="center"/>
                </w:tcPr>
                <w:p w14:paraId="6D309B44">
                  <w:pPr>
                    <w:pStyle w:val="111"/>
                    <w:jc w:val="center"/>
                    <w:rPr>
                      <w:rFonts w:hint="default" w:ascii="Times New Roman" w:hAnsi="Times New Roman" w:eastAsia="宋体" w:cs="Times New Roman"/>
                      <w:color w:val="auto"/>
                      <w:lang w:val="en-US" w:eastAsia="zh-CN"/>
                    </w:rPr>
                  </w:pPr>
                  <w:r>
                    <w:rPr>
                      <w:rFonts w:hint="eastAsia" w:hAnsi="Times New Roman" w:cs="Times New Roman"/>
                      <w:color w:val="auto"/>
                      <w:lang w:val="en-US" w:eastAsia="zh-CN"/>
                    </w:rPr>
                    <w:t>220</w:t>
                  </w:r>
                </w:p>
              </w:tc>
              <w:tc>
                <w:tcPr>
                  <w:tcW w:w="963" w:type="dxa"/>
                  <w:vAlign w:val="center"/>
                </w:tcPr>
                <w:p w14:paraId="59843150">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环境空气</w:t>
                  </w:r>
                </w:p>
              </w:tc>
              <w:tc>
                <w:tcPr>
                  <w:tcW w:w="1425" w:type="dxa"/>
                  <w:vAlign w:val="center"/>
                </w:tcPr>
                <w:p w14:paraId="503C74DD">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《环境空气质量标准》（GB3095-2012）二级</w:t>
                  </w:r>
                </w:p>
              </w:tc>
              <w:tc>
                <w:tcPr>
                  <w:tcW w:w="1123" w:type="dxa"/>
                  <w:vAlign w:val="center"/>
                </w:tcPr>
                <w:p w14:paraId="7A4659A4">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15</w:t>
                  </w:r>
                </w:p>
              </w:tc>
              <w:tc>
                <w:tcPr>
                  <w:tcW w:w="1337" w:type="dxa"/>
                  <w:vAlign w:val="center"/>
                </w:tcPr>
                <w:p w14:paraId="7B4797C9">
                  <w:pPr>
                    <w:pStyle w:val="111"/>
                    <w:jc w:val="center"/>
                    <w:rPr>
                      <w:rFonts w:hint="default" w:ascii="Times New Roman" w:hAnsi="Times New Roman" w:eastAsia="宋体" w:cs="Times New Roman"/>
                      <w:color w:val="auto"/>
                      <w:lang w:val="en-US" w:eastAsia="zh-CN"/>
                    </w:rPr>
                  </w:pPr>
                  <w:r>
                    <w:rPr>
                      <w:rFonts w:hint="eastAsia" w:hAnsi="Times New Roman" w:cs="Times New Roman"/>
                      <w:color w:val="auto"/>
                      <w:lang w:val="en-US" w:eastAsia="zh-CN"/>
                    </w:rPr>
                    <w:t>10</w:t>
                  </w:r>
                  <w:r>
                    <w:rPr>
                      <w:rFonts w:hint="default" w:ascii="Times New Roman" w:hAnsi="Times New Roman" w:eastAsia="宋体" w:cs="Times New Roman"/>
                      <w:color w:val="auto"/>
                      <w:lang w:val="en-US" w:eastAsia="zh-CN"/>
                    </w:rPr>
                    <w:t>0</w:t>
                  </w:r>
                </w:p>
              </w:tc>
            </w:tr>
          </w:tbl>
          <w:p w14:paraId="608586A1">
            <w:pPr>
              <w:spacing w:line="360" w:lineRule="auto"/>
              <w:ind w:firstLine="480" w:firstLineChars="200"/>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w:t>
            </w: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lang w:val="zh-CN"/>
              </w:rPr>
              <w:t>）地下水环境</w:t>
            </w:r>
          </w:p>
          <w:p w14:paraId="79255F09">
            <w:pPr>
              <w:spacing w:line="360" w:lineRule="auto"/>
              <w:ind w:firstLine="480" w:firstLineChars="200"/>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保证区域地下水水质满足《地下水质量标准》（GB/T14848-2017）Ⅲ类标准。</w:t>
            </w:r>
          </w:p>
          <w:p w14:paraId="7E9CA74A">
            <w:pPr>
              <w:spacing w:line="360" w:lineRule="auto"/>
              <w:ind w:firstLine="480" w:firstLineChars="200"/>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w:t>
            </w:r>
            <w:r>
              <w:rPr>
                <w:rFonts w:hint="eastAsia"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lang w:val="zh-CN"/>
              </w:rPr>
              <w:t>）声环境</w:t>
            </w:r>
          </w:p>
          <w:p w14:paraId="63563374">
            <w:pPr>
              <w:spacing w:line="360" w:lineRule="auto"/>
              <w:ind w:firstLine="480" w:firstLineChars="200"/>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en-US" w:eastAsia="zh-CN"/>
              </w:rPr>
              <w:t>施工期声环境保护目标为50m范围内渠道沿线村庄，</w:t>
            </w:r>
            <w:r>
              <w:rPr>
                <w:rFonts w:hint="default" w:ascii="Times New Roman" w:hAnsi="Times New Roman" w:eastAsia="宋体" w:cs="Times New Roman"/>
                <w:color w:val="auto"/>
                <w:sz w:val="24"/>
                <w:szCs w:val="24"/>
                <w:lang w:val="zh-CN"/>
              </w:rPr>
              <w:t>评价区声环境质量满足《声环境质量标准》（GB3096-2008）中的</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zh-CN"/>
              </w:rPr>
              <w:t>类标准。</w:t>
            </w:r>
          </w:p>
          <w:p w14:paraId="7C6EA329">
            <w:pPr>
              <w:spacing w:line="240" w:lineRule="auto"/>
              <w:jc w:val="center"/>
              <w:textAlignment w:val="baseline"/>
              <w:rPr>
                <w:rFonts w:hint="default" w:ascii="Times New Roman" w:hAnsi="Times New Roman" w:eastAsia="宋体" w:cs="Times New Roman"/>
                <w:b/>
                <w:color w:val="auto"/>
                <w:szCs w:val="20"/>
                <w:highlight w:val="none"/>
              </w:rPr>
            </w:pPr>
          </w:p>
          <w:p w14:paraId="2AF72298">
            <w:pPr>
              <w:spacing w:line="240" w:lineRule="auto"/>
              <w:jc w:val="center"/>
              <w:textAlignment w:val="baseline"/>
              <w:rPr>
                <w:rFonts w:hint="default" w:ascii="Times New Roman" w:hAnsi="Times New Roman" w:eastAsia="宋体" w:cs="Times New Roman"/>
                <w:b/>
                <w:color w:val="auto"/>
                <w:szCs w:val="20"/>
                <w:highlight w:val="none"/>
              </w:rPr>
            </w:pPr>
            <w:r>
              <w:rPr>
                <w:rFonts w:hint="default" w:ascii="Times New Roman" w:hAnsi="Times New Roman" w:eastAsia="宋体" w:cs="Times New Roman"/>
                <w:b/>
                <w:color w:val="auto"/>
                <w:szCs w:val="20"/>
                <w:highlight w:val="none"/>
              </w:rPr>
              <w:t>表3-</w:t>
            </w:r>
            <w:r>
              <w:rPr>
                <w:rFonts w:hint="eastAsia" w:ascii="Times New Roman" w:hAnsi="Times New Roman" w:eastAsia="宋体" w:cs="Times New Roman"/>
                <w:b/>
                <w:color w:val="auto"/>
                <w:szCs w:val="20"/>
                <w:highlight w:val="none"/>
                <w:lang w:val="en-US" w:eastAsia="zh-CN"/>
              </w:rPr>
              <w:t>6</w:t>
            </w:r>
            <w:r>
              <w:rPr>
                <w:rFonts w:hint="default" w:ascii="Times New Roman" w:hAnsi="Times New Roman" w:eastAsia="宋体" w:cs="Times New Roman"/>
                <w:b/>
                <w:color w:val="auto"/>
                <w:szCs w:val="20"/>
                <w:highlight w:val="none"/>
              </w:rPr>
              <w:t>项目周边</w:t>
            </w:r>
            <w:r>
              <w:rPr>
                <w:rFonts w:hint="default" w:ascii="Times New Roman" w:hAnsi="Times New Roman" w:eastAsia="宋体" w:cs="Times New Roman"/>
                <w:b/>
                <w:color w:val="auto"/>
                <w:szCs w:val="20"/>
                <w:highlight w:val="none"/>
                <w:lang w:val="en-US" w:eastAsia="zh-CN"/>
              </w:rPr>
              <w:t>声</w:t>
            </w:r>
            <w:r>
              <w:rPr>
                <w:rFonts w:hint="default" w:ascii="Times New Roman" w:hAnsi="Times New Roman" w:eastAsia="宋体" w:cs="Times New Roman"/>
                <w:b/>
                <w:color w:val="auto"/>
                <w:szCs w:val="20"/>
                <w:highlight w:val="none"/>
              </w:rPr>
              <w:t>环境保护目标表</w:t>
            </w:r>
          </w:p>
          <w:tbl>
            <w:tblPr>
              <w:tblStyle w:val="33"/>
              <w:tblW w:w="497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27"/>
              <w:gridCol w:w="1733"/>
              <w:gridCol w:w="775"/>
              <w:gridCol w:w="800"/>
              <w:gridCol w:w="678"/>
              <w:gridCol w:w="1800"/>
              <w:gridCol w:w="1050"/>
              <w:gridCol w:w="1036"/>
            </w:tblGrid>
            <w:tr w14:paraId="29C6B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27" w:type="dxa"/>
                  <w:vMerge w:val="restart"/>
                  <w:vAlign w:val="center"/>
                </w:tcPr>
                <w:p w14:paraId="3F9955FE">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环境要素</w:t>
                  </w:r>
                </w:p>
              </w:tc>
              <w:tc>
                <w:tcPr>
                  <w:tcW w:w="1733" w:type="dxa"/>
                  <w:vMerge w:val="restart"/>
                  <w:vAlign w:val="center"/>
                </w:tcPr>
                <w:p w14:paraId="6688FA6F">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名称</w:t>
                  </w:r>
                </w:p>
              </w:tc>
              <w:tc>
                <w:tcPr>
                  <w:tcW w:w="775" w:type="dxa"/>
                  <w:vMerge w:val="restart"/>
                  <w:vAlign w:val="center"/>
                </w:tcPr>
                <w:p w14:paraId="3A66EAD5">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保护对象</w:t>
                  </w:r>
                </w:p>
              </w:tc>
              <w:tc>
                <w:tcPr>
                  <w:tcW w:w="800" w:type="dxa"/>
                  <w:vMerge w:val="restart"/>
                  <w:vAlign w:val="center"/>
                </w:tcPr>
                <w:p w14:paraId="7743B95C">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规模（人）</w:t>
                  </w:r>
                </w:p>
              </w:tc>
              <w:tc>
                <w:tcPr>
                  <w:tcW w:w="678" w:type="dxa"/>
                  <w:vMerge w:val="restart"/>
                  <w:vAlign w:val="center"/>
                </w:tcPr>
                <w:p w14:paraId="7E7DE31F">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保护内容</w:t>
                  </w:r>
                </w:p>
              </w:tc>
              <w:tc>
                <w:tcPr>
                  <w:tcW w:w="1800" w:type="dxa"/>
                  <w:vMerge w:val="restart"/>
                  <w:vAlign w:val="center"/>
                </w:tcPr>
                <w:p w14:paraId="6C53EA75">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环境功能要求</w:t>
                  </w:r>
                </w:p>
              </w:tc>
              <w:tc>
                <w:tcPr>
                  <w:tcW w:w="1050" w:type="dxa"/>
                  <w:vMerge w:val="restart"/>
                  <w:vAlign w:val="center"/>
                </w:tcPr>
                <w:p w14:paraId="19AC1803">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与渠道最近距离（m）</w:t>
                  </w:r>
                </w:p>
              </w:tc>
              <w:tc>
                <w:tcPr>
                  <w:tcW w:w="1036" w:type="dxa"/>
                  <w:vMerge w:val="restart"/>
                  <w:vAlign w:val="center"/>
                </w:tcPr>
                <w:p w14:paraId="36E8967C">
                  <w:pPr>
                    <w:pStyle w:val="11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与临时工程最近距离（m）</w:t>
                  </w:r>
                </w:p>
              </w:tc>
            </w:tr>
            <w:tr w14:paraId="79B3B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27" w:type="dxa"/>
                  <w:vMerge w:val="continue"/>
                  <w:vAlign w:val="center"/>
                </w:tcPr>
                <w:p w14:paraId="10101CA7">
                  <w:pPr>
                    <w:pStyle w:val="111"/>
                    <w:jc w:val="center"/>
                    <w:rPr>
                      <w:rFonts w:hint="default" w:ascii="Times New Roman" w:hAnsi="Times New Roman" w:eastAsia="宋体" w:cs="Times New Roman"/>
                      <w:color w:val="auto"/>
                      <w:lang w:val="en-US" w:eastAsia="zh-CN"/>
                    </w:rPr>
                  </w:pPr>
                </w:p>
              </w:tc>
              <w:tc>
                <w:tcPr>
                  <w:tcW w:w="1733" w:type="dxa"/>
                  <w:vMerge w:val="continue"/>
                  <w:vAlign w:val="center"/>
                </w:tcPr>
                <w:p w14:paraId="2D16A219">
                  <w:pPr>
                    <w:pStyle w:val="111"/>
                    <w:jc w:val="center"/>
                    <w:rPr>
                      <w:rFonts w:hint="default" w:ascii="Times New Roman" w:hAnsi="Times New Roman" w:eastAsia="宋体" w:cs="Times New Roman"/>
                      <w:color w:val="auto"/>
                      <w:lang w:val="en-US" w:eastAsia="zh-CN"/>
                    </w:rPr>
                  </w:pPr>
                </w:p>
              </w:tc>
              <w:tc>
                <w:tcPr>
                  <w:tcW w:w="775" w:type="dxa"/>
                  <w:vMerge w:val="continue"/>
                  <w:vAlign w:val="center"/>
                </w:tcPr>
                <w:p w14:paraId="7F5EEAF0">
                  <w:pPr>
                    <w:pStyle w:val="111"/>
                    <w:jc w:val="center"/>
                    <w:rPr>
                      <w:rFonts w:hint="default" w:ascii="Times New Roman" w:hAnsi="Times New Roman" w:eastAsia="宋体" w:cs="Times New Roman"/>
                      <w:color w:val="auto"/>
                      <w:lang w:val="en-US" w:eastAsia="zh-CN"/>
                    </w:rPr>
                  </w:pPr>
                </w:p>
              </w:tc>
              <w:tc>
                <w:tcPr>
                  <w:tcW w:w="800" w:type="dxa"/>
                  <w:vMerge w:val="continue"/>
                  <w:vAlign w:val="center"/>
                </w:tcPr>
                <w:p w14:paraId="296988EB">
                  <w:pPr>
                    <w:pStyle w:val="111"/>
                    <w:jc w:val="center"/>
                    <w:rPr>
                      <w:rFonts w:hint="default" w:ascii="Times New Roman" w:hAnsi="Times New Roman" w:eastAsia="宋体" w:cs="Times New Roman"/>
                      <w:color w:val="auto"/>
                      <w:lang w:val="en-US" w:eastAsia="zh-CN"/>
                    </w:rPr>
                  </w:pPr>
                </w:p>
              </w:tc>
              <w:tc>
                <w:tcPr>
                  <w:tcW w:w="678" w:type="dxa"/>
                  <w:vMerge w:val="continue"/>
                  <w:vAlign w:val="center"/>
                </w:tcPr>
                <w:p w14:paraId="6C168FB7">
                  <w:pPr>
                    <w:pStyle w:val="111"/>
                    <w:jc w:val="center"/>
                    <w:rPr>
                      <w:rFonts w:hint="default" w:ascii="Times New Roman" w:hAnsi="Times New Roman" w:eastAsia="宋体" w:cs="Times New Roman"/>
                      <w:color w:val="auto"/>
                      <w:lang w:val="en-US" w:eastAsia="zh-CN"/>
                    </w:rPr>
                  </w:pPr>
                </w:p>
              </w:tc>
              <w:tc>
                <w:tcPr>
                  <w:tcW w:w="1800" w:type="dxa"/>
                  <w:vMerge w:val="continue"/>
                  <w:vAlign w:val="center"/>
                </w:tcPr>
                <w:p w14:paraId="69DC5D97">
                  <w:pPr>
                    <w:pStyle w:val="111"/>
                    <w:jc w:val="center"/>
                    <w:rPr>
                      <w:rFonts w:hint="default" w:ascii="Times New Roman" w:hAnsi="Times New Roman" w:eastAsia="宋体" w:cs="Times New Roman"/>
                      <w:color w:val="auto"/>
                      <w:lang w:val="en-US" w:eastAsia="zh-CN"/>
                    </w:rPr>
                  </w:pPr>
                </w:p>
              </w:tc>
              <w:tc>
                <w:tcPr>
                  <w:tcW w:w="1050" w:type="dxa"/>
                  <w:vMerge w:val="continue"/>
                  <w:vAlign w:val="center"/>
                </w:tcPr>
                <w:p w14:paraId="25A0D711">
                  <w:pPr>
                    <w:pStyle w:val="111"/>
                    <w:jc w:val="center"/>
                    <w:rPr>
                      <w:rFonts w:hint="default" w:ascii="Times New Roman" w:hAnsi="Times New Roman" w:eastAsia="宋体" w:cs="Times New Roman"/>
                      <w:color w:val="auto"/>
                      <w:lang w:val="en-US" w:eastAsia="zh-CN"/>
                    </w:rPr>
                  </w:pPr>
                </w:p>
              </w:tc>
              <w:tc>
                <w:tcPr>
                  <w:tcW w:w="1036" w:type="dxa"/>
                  <w:vMerge w:val="continue"/>
                  <w:vAlign w:val="center"/>
                </w:tcPr>
                <w:p w14:paraId="2F6E1576">
                  <w:pPr>
                    <w:pStyle w:val="111"/>
                    <w:jc w:val="center"/>
                    <w:rPr>
                      <w:rFonts w:hint="default" w:ascii="Times New Roman" w:hAnsi="Times New Roman" w:eastAsia="宋体" w:cs="Times New Roman"/>
                      <w:color w:val="auto"/>
                      <w:lang w:val="en-US" w:eastAsia="zh-CN"/>
                    </w:rPr>
                  </w:pPr>
                </w:p>
              </w:tc>
            </w:tr>
            <w:tr w14:paraId="1835F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27" w:type="dxa"/>
                  <w:vAlign w:val="center"/>
                </w:tcPr>
                <w:p w14:paraId="78ED9F6A">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声环境</w:t>
                  </w:r>
                </w:p>
              </w:tc>
              <w:tc>
                <w:tcPr>
                  <w:tcW w:w="1733" w:type="dxa"/>
                  <w:vAlign w:val="center"/>
                </w:tcPr>
                <w:p w14:paraId="6288D7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kern w:val="0"/>
                      <w:sz w:val="21"/>
                      <w:szCs w:val="21"/>
                      <w:highlight w:val="none"/>
                      <w:lang w:val="en-US" w:eastAsia="zh-CN" w:bidi="ar-SA"/>
                    </w:rPr>
                    <w:t>阿热塔什村</w:t>
                  </w:r>
                </w:p>
              </w:tc>
              <w:tc>
                <w:tcPr>
                  <w:tcW w:w="775" w:type="dxa"/>
                  <w:vAlign w:val="center"/>
                </w:tcPr>
                <w:p w14:paraId="2C1A97A3">
                  <w:pPr>
                    <w:pStyle w:val="111"/>
                    <w:jc w:val="center"/>
                    <w:rPr>
                      <w:rFonts w:hint="default" w:ascii="Times New Roman" w:hAnsi="Times New Roman" w:eastAsia="宋体" w:cs="Times New Roman"/>
                      <w:color w:val="auto"/>
                      <w:lang w:val="en-US" w:eastAsia="zh-CN"/>
                    </w:rPr>
                  </w:pPr>
                  <w:r>
                    <w:rPr>
                      <w:rFonts w:hint="eastAsia" w:hAnsi="Times New Roman" w:cs="Times New Roman"/>
                      <w:color w:val="auto"/>
                      <w:lang w:val="en-US" w:eastAsia="zh-CN"/>
                    </w:rPr>
                    <w:t>居民</w:t>
                  </w:r>
                </w:p>
              </w:tc>
              <w:tc>
                <w:tcPr>
                  <w:tcW w:w="800" w:type="dxa"/>
                  <w:vAlign w:val="center"/>
                </w:tcPr>
                <w:p w14:paraId="59601013">
                  <w:pPr>
                    <w:pStyle w:val="111"/>
                    <w:jc w:val="center"/>
                    <w:rPr>
                      <w:rFonts w:hint="default" w:ascii="Times New Roman" w:hAnsi="Times New Roman" w:eastAsia="宋体" w:cs="Times New Roman"/>
                      <w:color w:val="auto"/>
                      <w:lang w:val="en-US" w:eastAsia="zh-CN"/>
                    </w:rPr>
                  </w:pPr>
                  <w:r>
                    <w:rPr>
                      <w:rFonts w:hint="eastAsia" w:hAnsi="Times New Roman" w:cs="Times New Roman"/>
                      <w:color w:val="auto"/>
                      <w:lang w:val="en-US" w:eastAsia="zh-CN"/>
                    </w:rPr>
                    <w:t>220</w:t>
                  </w:r>
                </w:p>
              </w:tc>
              <w:tc>
                <w:tcPr>
                  <w:tcW w:w="678" w:type="dxa"/>
                  <w:vAlign w:val="center"/>
                </w:tcPr>
                <w:p w14:paraId="4E0E010C">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声环境</w:t>
                  </w:r>
                </w:p>
              </w:tc>
              <w:tc>
                <w:tcPr>
                  <w:tcW w:w="1800" w:type="dxa"/>
                  <w:vAlign w:val="center"/>
                </w:tcPr>
                <w:p w14:paraId="7190013B">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《声环境质量标准》（GB3096-2008）1类</w:t>
                  </w:r>
                </w:p>
              </w:tc>
              <w:tc>
                <w:tcPr>
                  <w:tcW w:w="1050" w:type="dxa"/>
                  <w:vAlign w:val="center"/>
                </w:tcPr>
                <w:p w14:paraId="54714061">
                  <w:pPr>
                    <w:pStyle w:val="1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15</w:t>
                  </w:r>
                </w:p>
              </w:tc>
              <w:tc>
                <w:tcPr>
                  <w:tcW w:w="1036" w:type="dxa"/>
                  <w:vAlign w:val="center"/>
                </w:tcPr>
                <w:p w14:paraId="3A8A218E">
                  <w:pPr>
                    <w:pStyle w:val="111"/>
                    <w:jc w:val="center"/>
                    <w:rPr>
                      <w:rFonts w:hint="default" w:ascii="Times New Roman" w:hAnsi="Times New Roman" w:eastAsia="宋体" w:cs="Times New Roman"/>
                      <w:color w:val="auto"/>
                      <w:lang w:val="en-US" w:eastAsia="zh-CN"/>
                    </w:rPr>
                  </w:pPr>
                  <w:r>
                    <w:rPr>
                      <w:rFonts w:hint="eastAsia" w:hAnsi="Times New Roman" w:cs="Times New Roman"/>
                      <w:color w:val="auto"/>
                      <w:lang w:val="en-US" w:eastAsia="zh-CN"/>
                    </w:rPr>
                    <w:t>10</w:t>
                  </w:r>
                  <w:r>
                    <w:rPr>
                      <w:rFonts w:hint="default" w:ascii="Times New Roman" w:hAnsi="Times New Roman" w:eastAsia="宋体" w:cs="Times New Roman"/>
                      <w:color w:val="auto"/>
                      <w:lang w:val="en-US" w:eastAsia="zh-CN"/>
                    </w:rPr>
                    <w:t>0</w:t>
                  </w:r>
                </w:p>
              </w:tc>
            </w:tr>
          </w:tbl>
          <w:p w14:paraId="2ADAA881">
            <w:pPr>
              <w:spacing w:line="360" w:lineRule="auto"/>
              <w:ind w:firstLine="480" w:firstLineChars="200"/>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w:t>
            </w:r>
            <w:r>
              <w:rPr>
                <w:rFonts w:hint="eastAsia"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lang w:val="zh-CN"/>
              </w:rPr>
              <w:t>）生态环境</w:t>
            </w:r>
          </w:p>
          <w:p w14:paraId="7D2D8334">
            <w:pPr>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lang w:val="zh-CN"/>
              </w:rPr>
              <w:t>保护生态环境，保护区域植被和动物，防止水土流失，维护生态平衡；保护</w:t>
            </w:r>
            <w:r>
              <w:rPr>
                <w:rFonts w:hint="default" w:ascii="Times New Roman" w:hAnsi="Times New Roman" w:eastAsia="宋体" w:cs="Times New Roman"/>
                <w:color w:val="auto"/>
                <w:sz w:val="24"/>
                <w:szCs w:val="24"/>
                <w:lang w:val="en-US" w:eastAsia="zh-CN"/>
              </w:rPr>
              <w:t>渠道周边耕地、林地、</w:t>
            </w:r>
            <w:r>
              <w:rPr>
                <w:rFonts w:hint="eastAsia" w:ascii="Times New Roman" w:hAnsi="Times New Roman" w:eastAsia="宋体" w:cs="Times New Roman"/>
                <w:color w:val="auto"/>
                <w:sz w:val="24"/>
                <w:szCs w:val="24"/>
                <w:lang w:val="en-US" w:eastAsia="zh-CN"/>
              </w:rPr>
              <w:t>园地</w:t>
            </w:r>
            <w:r>
              <w:rPr>
                <w:rFonts w:hint="default" w:ascii="Times New Roman" w:hAnsi="Times New Roman" w:eastAsia="宋体" w:cs="Times New Roman"/>
                <w:color w:val="auto"/>
                <w:sz w:val="24"/>
                <w:szCs w:val="24"/>
                <w:lang w:val="zh-CN"/>
              </w:rPr>
              <w:t>。</w:t>
            </w:r>
          </w:p>
        </w:tc>
      </w:tr>
      <w:tr w14:paraId="24F1B8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0" w:hRule="atLeast"/>
          <w:jc w:val="center"/>
        </w:trPr>
        <w:tc>
          <w:tcPr>
            <w:tcW w:w="456" w:type="dxa"/>
            <w:vAlign w:val="center"/>
          </w:tcPr>
          <w:p w14:paraId="45871109">
            <w:pPr>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评价</w:t>
            </w:r>
          </w:p>
          <w:p w14:paraId="4F92C88C">
            <w:pPr>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标准</w:t>
            </w:r>
          </w:p>
        </w:tc>
        <w:tc>
          <w:tcPr>
            <w:tcW w:w="9075" w:type="dxa"/>
            <w:vAlign w:val="center"/>
          </w:tcPr>
          <w:p w14:paraId="13C57367">
            <w:pPr>
              <w:spacing w:line="360" w:lineRule="auto"/>
              <w:ind w:firstLine="482" w:firstLineChars="200"/>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sz w:val="24"/>
              </w:rPr>
              <w:t>1环境质量标准</w:t>
            </w:r>
          </w:p>
          <w:p w14:paraId="7D508914">
            <w:pPr>
              <w:pStyle w:val="7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（1）环境空气</w:t>
            </w:r>
          </w:p>
          <w:p w14:paraId="6804831A">
            <w:pPr>
              <w:pStyle w:val="74"/>
              <w:ind w:firstLine="480"/>
              <w:rPr>
                <w:rFonts w:hint="default" w:ascii="Times New Roman" w:hAnsi="Times New Roman" w:eastAsia="宋体" w:cs="Times New Roman"/>
                <w:color w:val="auto"/>
                <w:lang w:val="zh-CN"/>
              </w:rPr>
            </w:pPr>
            <w:r>
              <w:rPr>
                <w:rFonts w:hint="default" w:ascii="Times New Roman" w:hAnsi="Times New Roman" w:eastAsia="宋体" w:cs="Times New Roman"/>
                <w:color w:val="auto"/>
              </w:rPr>
              <w:t>大气环境常规因子执行《环境空气质量标准》（GB3095-2012）中二级标准</w:t>
            </w:r>
            <w:r>
              <w:rPr>
                <w:rFonts w:hint="default" w:ascii="Times New Roman" w:hAnsi="Times New Roman" w:eastAsia="宋体" w:cs="Times New Roman"/>
                <w:color w:val="auto"/>
                <w:lang w:val="zh-CN"/>
              </w:rPr>
              <w:t>。</w:t>
            </w:r>
          </w:p>
          <w:p w14:paraId="207D0B93">
            <w:pPr>
              <w:ind w:firstLine="422" w:firstLineChars="2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3-</w:t>
            </w:r>
            <w:r>
              <w:rPr>
                <w:rFonts w:hint="eastAsia" w:ascii="Times New Roman" w:hAnsi="Times New Roman" w:cs="Times New Roman"/>
                <w:b/>
                <w:color w:val="auto"/>
                <w:sz w:val="21"/>
                <w:szCs w:val="21"/>
                <w:lang w:val="en-US" w:eastAsia="zh-CN"/>
              </w:rPr>
              <w:t>7</w:t>
            </w:r>
            <w:r>
              <w:rPr>
                <w:rFonts w:hint="default" w:ascii="Times New Roman" w:hAnsi="Times New Roman" w:eastAsia="宋体" w:cs="Times New Roman"/>
                <w:b/>
                <w:color w:val="auto"/>
                <w:sz w:val="21"/>
                <w:szCs w:val="21"/>
              </w:rPr>
              <w:t>区域大气环境评价标准单位：μg/m</w:t>
            </w:r>
            <w:r>
              <w:rPr>
                <w:rFonts w:hint="default" w:ascii="Times New Roman" w:hAnsi="Times New Roman" w:eastAsia="宋体" w:cs="Times New Roman"/>
                <w:b/>
                <w:color w:val="auto"/>
                <w:sz w:val="21"/>
                <w:szCs w:val="21"/>
                <w:vertAlign w:val="superscript"/>
              </w:rPr>
              <w:t>3</w:t>
            </w:r>
          </w:p>
          <w:tbl>
            <w:tblPr>
              <w:tblStyle w:val="33"/>
              <w:tblW w:w="88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2670"/>
              <w:gridCol w:w="2136"/>
              <w:gridCol w:w="1420"/>
              <w:gridCol w:w="1966"/>
            </w:tblGrid>
            <w:tr w14:paraId="53E84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57" w:type="dxa"/>
                  <w:vAlign w:val="center"/>
                </w:tcPr>
                <w:p w14:paraId="62794F83">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序号</w:t>
                  </w:r>
                </w:p>
              </w:tc>
              <w:tc>
                <w:tcPr>
                  <w:tcW w:w="2670" w:type="dxa"/>
                  <w:vAlign w:val="center"/>
                </w:tcPr>
                <w:p w14:paraId="4EA628C8">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污染物项目</w:t>
                  </w:r>
                </w:p>
              </w:tc>
              <w:tc>
                <w:tcPr>
                  <w:tcW w:w="2136" w:type="dxa"/>
                  <w:vAlign w:val="center"/>
                </w:tcPr>
                <w:p w14:paraId="30A4BAC2">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平均时间</w:t>
                  </w:r>
                </w:p>
              </w:tc>
              <w:tc>
                <w:tcPr>
                  <w:tcW w:w="1420" w:type="dxa"/>
                  <w:vAlign w:val="center"/>
                </w:tcPr>
                <w:p w14:paraId="75F01D94">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二级标准</w:t>
                  </w:r>
                </w:p>
              </w:tc>
              <w:tc>
                <w:tcPr>
                  <w:tcW w:w="1966" w:type="dxa"/>
                  <w:vAlign w:val="center"/>
                </w:tcPr>
                <w:p w14:paraId="504FBE80">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单位</w:t>
                  </w:r>
                </w:p>
              </w:tc>
            </w:tr>
            <w:tr w14:paraId="0D764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57" w:type="dxa"/>
                  <w:vMerge w:val="restart"/>
                  <w:vAlign w:val="center"/>
                </w:tcPr>
                <w:p w14:paraId="07A97938">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cr/>
                  </w:r>
                  <w:r>
                    <w:rPr>
                      <w:rFonts w:hint="default" w:ascii="Times New Roman" w:hAnsi="Times New Roman" w:eastAsia="宋体" w:cs="Times New Roman"/>
                      <w:color w:val="auto"/>
                    </w:rPr>
                    <w:t>1</w:t>
                  </w:r>
                </w:p>
              </w:tc>
              <w:tc>
                <w:tcPr>
                  <w:tcW w:w="2670" w:type="dxa"/>
                  <w:vMerge w:val="restart"/>
                  <w:vAlign w:val="center"/>
                </w:tcPr>
                <w:p w14:paraId="18431BD1">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二氧化硫（SO</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w:t>
                  </w:r>
                </w:p>
              </w:tc>
              <w:tc>
                <w:tcPr>
                  <w:tcW w:w="2136" w:type="dxa"/>
                  <w:vAlign w:val="center"/>
                </w:tcPr>
                <w:p w14:paraId="31DFBE17">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年平均</w:t>
                  </w:r>
                </w:p>
              </w:tc>
              <w:tc>
                <w:tcPr>
                  <w:tcW w:w="1420" w:type="dxa"/>
                  <w:vAlign w:val="center"/>
                </w:tcPr>
                <w:p w14:paraId="280CBAF4">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60μg/m</w:t>
                  </w:r>
                  <w:r>
                    <w:rPr>
                      <w:rFonts w:hint="default" w:ascii="Times New Roman" w:hAnsi="Times New Roman" w:eastAsia="宋体" w:cs="Times New Roman"/>
                      <w:color w:val="auto"/>
                      <w:vertAlign w:val="superscript"/>
                    </w:rPr>
                    <w:t>3</w:t>
                  </w:r>
                </w:p>
              </w:tc>
              <w:tc>
                <w:tcPr>
                  <w:tcW w:w="1966" w:type="dxa"/>
                  <w:vMerge w:val="restart"/>
                  <w:vAlign w:val="center"/>
                </w:tcPr>
                <w:p w14:paraId="13566B07">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《环境空气质量标准》（GB3095-2012）2018修改单中二级标准</w:t>
                  </w:r>
                </w:p>
              </w:tc>
            </w:tr>
            <w:tr w14:paraId="70A22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57" w:type="dxa"/>
                  <w:vMerge w:val="continue"/>
                  <w:vAlign w:val="center"/>
                </w:tcPr>
                <w:p w14:paraId="1F10099D">
                  <w:pPr>
                    <w:pStyle w:val="76"/>
                    <w:spacing w:line="240" w:lineRule="auto"/>
                    <w:rPr>
                      <w:rFonts w:hint="default" w:ascii="Times New Roman" w:hAnsi="Times New Roman" w:eastAsia="宋体" w:cs="Times New Roman"/>
                      <w:color w:val="auto"/>
                    </w:rPr>
                  </w:pPr>
                </w:p>
              </w:tc>
              <w:tc>
                <w:tcPr>
                  <w:tcW w:w="2670" w:type="dxa"/>
                  <w:vMerge w:val="continue"/>
                  <w:vAlign w:val="center"/>
                </w:tcPr>
                <w:p w14:paraId="71903818">
                  <w:pPr>
                    <w:pStyle w:val="76"/>
                    <w:spacing w:line="240" w:lineRule="auto"/>
                    <w:rPr>
                      <w:rFonts w:hint="default" w:ascii="Times New Roman" w:hAnsi="Times New Roman" w:eastAsia="宋体" w:cs="Times New Roman"/>
                      <w:color w:val="auto"/>
                    </w:rPr>
                  </w:pPr>
                </w:p>
              </w:tc>
              <w:tc>
                <w:tcPr>
                  <w:tcW w:w="2136" w:type="dxa"/>
                  <w:vAlign w:val="center"/>
                </w:tcPr>
                <w:p w14:paraId="2CEE958E">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24小时平均</w:t>
                  </w:r>
                </w:p>
              </w:tc>
              <w:tc>
                <w:tcPr>
                  <w:tcW w:w="1420" w:type="dxa"/>
                  <w:vAlign w:val="center"/>
                </w:tcPr>
                <w:p w14:paraId="79BD413F">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150μg/m</w:t>
                  </w:r>
                  <w:r>
                    <w:rPr>
                      <w:rFonts w:hint="default" w:ascii="Times New Roman" w:hAnsi="Times New Roman" w:eastAsia="宋体" w:cs="Times New Roman"/>
                      <w:color w:val="auto"/>
                      <w:vertAlign w:val="superscript"/>
                    </w:rPr>
                    <w:t>3</w:t>
                  </w:r>
                </w:p>
              </w:tc>
              <w:tc>
                <w:tcPr>
                  <w:tcW w:w="1966" w:type="dxa"/>
                  <w:vMerge w:val="continue"/>
                  <w:vAlign w:val="center"/>
                </w:tcPr>
                <w:p w14:paraId="5E7D44F3">
                  <w:pPr>
                    <w:pStyle w:val="76"/>
                    <w:spacing w:line="240" w:lineRule="auto"/>
                    <w:rPr>
                      <w:rFonts w:hint="default" w:ascii="Times New Roman" w:hAnsi="Times New Roman" w:eastAsia="宋体" w:cs="Times New Roman"/>
                      <w:color w:val="auto"/>
                    </w:rPr>
                  </w:pPr>
                </w:p>
              </w:tc>
            </w:tr>
            <w:tr w14:paraId="0AB20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57" w:type="dxa"/>
                  <w:vMerge w:val="continue"/>
                  <w:vAlign w:val="center"/>
                </w:tcPr>
                <w:p w14:paraId="1C92834C">
                  <w:pPr>
                    <w:pStyle w:val="76"/>
                    <w:spacing w:line="240" w:lineRule="auto"/>
                    <w:rPr>
                      <w:rFonts w:hint="default" w:ascii="Times New Roman" w:hAnsi="Times New Roman" w:eastAsia="宋体" w:cs="Times New Roman"/>
                      <w:color w:val="auto"/>
                    </w:rPr>
                  </w:pPr>
                </w:p>
              </w:tc>
              <w:tc>
                <w:tcPr>
                  <w:tcW w:w="2670" w:type="dxa"/>
                  <w:vMerge w:val="continue"/>
                  <w:vAlign w:val="center"/>
                </w:tcPr>
                <w:p w14:paraId="2E0F0924">
                  <w:pPr>
                    <w:pStyle w:val="76"/>
                    <w:spacing w:line="240" w:lineRule="auto"/>
                    <w:rPr>
                      <w:rFonts w:hint="default" w:ascii="Times New Roman" w:hAnsi="Times New Roman" w:eastAsia="宋体" w:cs="Times New Roman"/>
                      <w:color w:val="auto"/>
                    </w:rPr>
                  </w:pPr>
                </w:p>
              </w:tc>
              <w:tc>
                <w:tcPr>
                  <w:tcW w:w="2136" w:type="dxa"/>
                  <w:vAlign w:val="center"/>
                </w:tcPr>
                <w:p w14:paraId="13AB077A">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1小时平均</w:t>
                  </w:r>
                </w:p>
              </w:tc>
              <w:tc>
                <w:tcPr>
                  <w:tcW w:w="1420" w:type="dxa"/>
                  <w:vAlign w:val="center"/>
                </w:tcPr>
                <w:p w14:paraId="0F4E567E">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500μg/m</w:t>
                  </w:r>
                  <w:r>
                    <w:rPr>
                      <w:rFonts w:hint="default" w:ascii="Times New Roman" w:hAnsi="Times New Roman" w:eastAsia="宋体" w:cs="Times New Roman"/>
                      <w:color w:val="auto"/>
                      <w:vertAlign w:val="superscript"/>
                    </w:rPr>
                    <w:t>3</w:t>
                  </w:r>
                </w:p>
              </w:tc>
              <w:tc>
                <w:tcPr>
                  <w:tcW w:w="1966" w:type="dxa"/>
                  <w:vMerge w:val="continue"/>
                  <w:vAlign w:val="center"/>
                </w:tcPr>
                <w:p w14:paraId="715A3B3F">
                  <w:pPr>
                    <w:pStyle w:val="76"/>
                    <w:spacing w:line="240" w:lineRule="auto"/>
                    <w:rPr>
                      <w:rFonts w:hint="default" w:ascii="Times New Roman" w:hAnsi="Times New Roman" w:eastAsia="宋体" w:cs="Times New Roman"/>
                      <w:color w:val="auto"/>
                    </w:rPr>
                  </w:pPr>
                </w:p>
              </w:tc>
            </w:tr>
            <w:tr w14:paraId="1D5D8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57" w:type="dxa"/>
                  <w:vMerge w:val="restart"/>
                  <w:vAlign w:val="center"/>
                </w:tcPr>
                <w:p w14:paraId="5EFAB102">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2</w:t>
                  </w:r>
                </w:p>
              </w:tc>
              <w:tc>
                <w:tcPr>
                  <w:tcW w:w="2670" w:type="dxa"/>
                  <w:vMerge w:val="restart"/>
                  <w:vAlign w:val="center"/>
                </w:tcPr>
                <w:p w14:paraId="3C07355C">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二氧化氮（NO</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w:t>
                  </w:r>
                </w:p>
              </w:tc>
              <w:tc>
                <w:tcPr>
                  <w:tcW w:w="2136" w:type="dxa"/>
                  <w:vAlign w:val="center"/>
                </w:tcPr>
                <w:p w14:paraId="3A23BD71">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年平均</w:t>
                  </w:r>
                </w:p>
              </w:tc>
              <w:tc>
                <w:tcPr>
                  <w:tcW w:w="1420" w:type="dxa"/>
                  <w:vAlign w:val="center"/>
                </w:tcPr>
                <w:p w14:paraId="52136286">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40μg/m</w:t>
                  </w:r>
                  <w:r>
                    <w:rPr>
                      <w:rFonts w:hint="default" w:ascii="Times New Roman" w:hAnsi="Times New Roman" w:eastAsia="宋体" w:cs="Times New Roman"/>
                      <w:color w:val="auto"/>
                      <w:vertAlign w:val="superscript"/>
                    </w:rPr>
                    <w:t>3</w:t>
                  </w:r>
                </w:p>
              </w:tc>
              <w:tc>
                <w:tcPr>
                  <w:tcW w:w="1966" w:type="dxa"/>
                  <w:vMerge w:val="continue"/>
                  <w:vAlign w:val="center"/>
                </w:tcPr>
                <w:p w14:paraId="6997CBDC">
                  <w:pPr>
                    <w:pStyle w:val="76"/>
                    <w:spacing w:line="240" w:lineRule="auto"/>
                    <w:rPr>
                      <w:rFonts w:hint="default" w:ascii="Times New Roman" w:hAnsi="Times New Roman" w:eastAsia="宋体" w:cs="Times New Roman"/>
                      <w:color w:val="auto"/>
                    </w:rPr>
                  </w:pPr>
                </w:p>
              </w:tc>
            </w:tr>
            <w:tr w14:paraId="20EE0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57" w:type="dxa"/>
                  <w:vMerge w:val="continue"/>
                  <w:vAlign w:val="center"/>
                </w:tcPr>
                <w:p w14:paraId="1636765C">
                  <w:pPr>
                    <w:pStyle w:val="76"/>
                    <w:spacing w:line="240" w:lineRule="auto"/>
                    <w:rPr>
                      <w:rFonts w:hint="default" w:ascii="Times New Roman" w:hAnsi="Times New Roman" w:eastAsia="宋体" w:cs="Times New Roman"/>
                      <w:color w:val="auto"/>
                    </w:rPr>
                  </w:pPr>
                </w:p>
              </w:tc>
              <w:tc>
                <w:tcPr>
                  <w:tcW w:w="2670" w:type="dxa"/>
                  <w:vMerge w:val="continue"/>
                  <w:vAlign w:val="center"/>
                </w:tcPr>
                <w:p w14:paraId="30C2AF1D">
                  <w:pPr>
                    <w:pStyle w:val="76"/>
                    <w:spacing w:line="240" w:lineRule="auto"/>
                    <w:rPr>
                      <w:rFonts w:hint="default" w:ascii="Times New Roman" w:hAnsi="Times New Roman" w:eastAsia="宋体" w:cs="Times New Roman"/>
                      <w:color w:val="auto"/>
                    </w:rPr>
                  </w:pPr>
                </w:p>
              </w:tc>
              <w:tc>
                <w:tcPr>
                  <w:tcW w:w="2136" w:type="dxa"/>
                  <w:vAlign w:val="center"/>
                </w:tcPr>
                <w:p w14:paraId="258807AA">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24小时平均</w:t>
                  </w:r>
                </w:p>
              </w:tc>
              <w:tc>
                <w:tcPr>
                  <w:tcW w:w="1420" w:type="dxa"/>
                  <w:vAlign w:val="center"/>
                </w:tcPr>
                <w:p w14:paraId="5F9F0F57">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80μg/m</w:t>
                  </w:r>
                  <w:r>
                    <w:rPr>
                      <w:rFonts w:hint="default" w:ascii="Times New Roman" w:hAnsi="Times New Roman" w:eastAsia="宋体" w:cs="Times New Roman"/>
                      <w:color w:val="auto"/>
                      <w:vertAlign w:val="superscript"/>
                    </w:rPr>
                    <w:t>3</w:t>
                  </w:r>
                </w:p>
              </w:tc>
              <w:tc>
                <w:tcPr>
                  <w:tcW w:w="1966" w:type="dxa"/>
                  <w:vMerge w:val="continue"/>
                  <w:vAlign w:val="center"/>
                </w:tcPr>
                <w:p w14:paraId="2136FECB">
                  <w:pPr>
                    <w:pStyle w:val="76"/>
                    <w:spacing w:line="240" w:lineRule="auto"/>
                    <w:rPr>
                      <w:rFonts w:hint="default" w:ascii="Times New Roman" w:hAnsi="Times New Roman" w:eastAsia="宋体" w:cs="Times New Roman"/>
                      <w:color w:val="auto"/>
                    </w:rPr>
                  </w:pPr>
                </w:p>
              </w:tc>
            </w:tr>
            <w:tr w14:paraId="39E74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57" w:type="dxa"/>
                  <w:vMerge w:val="continue"/>
                  <w:vAlign w:val="center"/>
                </w:tcPr>
                <w:p w14:paraId="6A3045C5">
                  <w:pPr>
                    <w:pStyle w:val="76"/>
                    <w:spacing w:line="240" w:lineRule="auto"/>
                    <w:rPr>
                      <w:rFonts w:hint="default" w:ascii="Times New Roman" w:hAnsi="Times New Roman" w:eastAsia="宋体" w:cs="Times New Roman"/>
                      <w:color w:val="auto"/>
                    </w:rPr>
                  </w:pPr>
                </w:p>
              </w:tc>
              <w:tc>
                <w:tcPr>
                  <w:tcW w:w="2670" w:type="dxa"/>
                  <w:vMerge w:val="continue"/>
                  <w:vAlign w:val="center"/>
                </w:tcPr>
                <w:p w14:paraId="25708ADA">
                  <w:pPr>
                    <w:pStyle w:val="76"/>
                    <w:spacing w:line="240" w:lineRule="auto"/>
                    <w:rPr>
                      <w:rFonts w:hint="default" w:ascii="Times New Roman" w:hAnsi="Times New Roman" w:eastAsia="宋体" w:cs="Times New Roman"/>
                      <w:color w:val="auto"/>
                    </w:rPr>
                  </w:pPr>
                </w:p>
              </w:tc>
              <w:tc>
                <w:tcPr>
                  <w:tcW w:w="2136" w:type="dxa"/>
                  <w:vAlign w:val="center"/>
                </w:tcPr>
                <w:p w14:paraId="6D7B6FE1">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1小时平均</w:t>
                  </w:r>
                </w:p>
              </w:tc>
              <w:tc>
                <w:tcPr>
                  <w:tcW w:w="1420" w:type="dxa"/>
                  <w:vAlign w:val="center"/>
                </w:tcPr>
                <w:p w14:paraId="6CC61464">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200μg/m</w:t>
                  </w:r>
                  <w:r>
                    <w:rPr>
                      <w:rFonts w:hint="default" w:ascii="Times New Roman" w:hAnsi="Times New Roman" w:eastAsia="宋体" w:cs="Times New Roman"/>
                      <w:color w:val="auto"/>
                      <w:vertAlign w:val="superscript"/>
                    </w:rPr>
                    <w:t>3</w:t>
                  </w:r>
                </w:p>
              </w:tc>
              <w:tc>
                <w:tcPr>
                  <w:tcW w:w="1966" w:type="dxa"/>
                  <w:vMerge w:val="continue"/>
                  <w:vAlign w:val="center"/>
                </w:tcPr>
                <w:p w14:paraId="2452B2F9">
                  <w:pPr>
                    <w:pStyle w:val="76"/>
                    <w:spacing w:line="240" w:lineRule="auto"/>
                    <w:rPr>
                      <w:rFonts w:hint="default" w:ascii="Times New Roman" w:hAnsi="Times New Roman" w:eastAsia="宋体" w:cs="Times New Roman"/>
                      <w:color w:val="auto"/>
                    </w:rPr>
                  </w:pPr>
                </w:p>
              </w:tc>
            </w:tr>
            <w:tr w14:paraId="1F552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57" w:type="dxa"/>
                  <w:vMerge w:val="restart"/>
                  <w:vAlign w:val="center"/>
                </w:tcPr>
                <w:p w14:paraId="00B3BD6A">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3</w:t>
                  </w:r>
                </w:p>
              </w:tc>
              <w:tc>
                <w:tcPr>
                  <w:tcW w:w="2670" w:type="dxa"/>
                  <w:vMerge w:val="restart"/>
                  <w:vAlign w:val="center"/>
                </w:tcPr>
                <w:p w14:paraId="6733FBBC">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颗粒物（粒径小于等于10μm，PM</w:t>
                  </w:r>
                  <w:r>
                    <w:rPr>
                      <w:rFonts w:hint="default" w:ascii="Times New Roman" w:hAnsi="Times New Roman" w:eastAsia="宋体" w:cs="Times New Roman"/>
                      <w:color w:val="auto"/>
                      <w:vertAlign w:val="subscript"/>
                    </w:rPr>
                    <w:t>10</w:t>
                  </w:r>
                  <w:r>
                    <w:rPr>
                      <w:rFonts w:hint="default" w:ascii="Times New Roman" w:hAnsi="Times New Roman" w:eastAsia="宋体" w:cs="Times New Roman"/>
                      <w:color w:val="auto"/>
                    </w:rPr>
                    <w:t>）</w:t>
                  </w:r>
                </w:p>
              </w:tc>
              <w:tc>
                <w:tcPr>
                  <w:tcW w:w="2136" w:type="dxa"/>
                  <w:vAlign w:val="center"/>
                </w:tcPr>
                <w:p w14:paraId="60A92C2E">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年平均</w:t>
                  </w:r>
                </w:p>
              </w:tc>
              <w:tc>
                <w:tcPr>
                  <w:tcW w:w="1420" w:type="dxa"/>
                  <w:vAlign w:val="center"/>
                </w:tcPr>
                <w:p w14:paraId="1863BFB1">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70μg/m</w:t>
                  </w:r>
                  <w:r>
                    <w:rPr>
                      <w:rFonts w:hint="default" w:ascii="Times New Roman" w:hAnsi="Times New Roman" w:eastAsia="宋体" w:cs="Times New Roman"/>
                      <w:color w:val="auto"/>
                      <w:vertAlign w:val="superscript"/>
                    </w:rPr>
                    <w:t>3</w:t>
                  </w:r>
                </w:p>
              </w:tc>
              <w:tc>
                <w:tcPr>
                  <w:tcW w:w="1966" w:type="dxa"/>
                  <w:vMerge w:val="continue"/>
                  <w:vAlign w:val="center"/>
                </w:tcPr>
                <w:p w14:paraId="1DE2F0F5">
                  <w:pPr>
                    <w:pStyle w:val="76"/>
                    <w:spacing w:line="240" w:lineRule="auto"/>
                    <w:rPr>
                      <w:rFonts w:hint="default" w:ascii="Times New Roman" w:hAnsi="Times New Roman" w:eastAsia="宋体" w:cs="Times New Roman"/>
                      <w:color w:val="auto"/>
                    </w:rPr>
                  </w:pPr>
                </w:p>
              </w:tc>
            </w:tr>
            <w:tr w14:paraId="15CE9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57" w:type="dxa"/>
                  <w:vMerge w:val="continue"/>
                  <w:vAlign w:val="center"/>
                </w:tcPr>
                <w:p w14:paraId="12BC5D01">
                  <w:pPr>
                    <w:pStyle w:val="76"/>
                    <w:spacing w:line="240" w:lineRule="auto"/>
                    <w:rPr>
                      <w:rFonts w:hint="default" w:ascii="Times New Roman" w:hAnsi="Times New Roman" w:eastAsia="宋体" w:cs="Times New Roman"/>
                      <w:color w:val="auto"/>
                    </w:rPr>
                  </w:pPr>
                </w:p>
              </w:tc>
              <w:tc>
                <w:tcPr>
                  <w:tcW w:w="2670" w:type="dxa"/>
                  <w:vMerge w:val="continue"/>
                  <w:vAlign w:val="center"/>
                </w:tcPr>
                <w:p w14:paraId="22DD8512">
                  <w:pPr>
                    <w:pStyle w:val="76"/>
                    <w:spacing w:line="240" w:lineRule="auto"/>
                    <w:rPr>
                      <w:rFonts w:hint="default" w:ascii="Times New Roman" w:hAnsi="Times New Roman" w:eastAsia="宋体" w:cs="Times New Roman"/>
                      <w:color w:val="auto"/>
                    </w:rPr>
                  </w:pPr>
                </w:p>
              </w:tc>
              <w:tc>
                <w:tcPr>
                  <w:tcW w:w="2136" w:type="dxa"/>
                  <w:vAlign w:val="center"/>
                </w:tcPr>
                <w:p w14:paraId="31B3163C">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24小时平均</w:t>
                  </w:r>
                </w:p>
              </w:tc>
              <w:tc>
                <w:tcPr>
                  <w:tcW w:w="1420" w:type="dxa"/>
                  <w:vAlign w:val="center"/>
                </w:tcPr>
                <w:p w14:paraId="6350B6B4">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150μg/m</w:t>
                  </w:r>
                  <w:r>
                    <w:rPr>
                      <w:rFonts w:hint="default" w:ascii="Times New Roman" w:hAnsi="Times New Roman" w:eastAsia="宋体" w:cs="Times New Roman"/>
                      <w:color w:val="auto"/>
                      <w:vertAlign w:val="superscript"/>
                    </w:rPr>
                    <w:t>3</w:t>
                  </w:r>
                </w:p>
              </w:tc>
              <w:tc>
                <w:tcPr>
                  <w:tcW w:w="1966" w:type="dxa"/>
                  <w:vMerge w:val="continue"/>
                  <w:vAlign w:val="center"/>
                </w:tcPr>
                <w:p w14:paraId="20683E58">
                  <w:pPr>
                    <w:pStyle w:val="76"/>
                    <w:spacing w:line="240" w:lineRule="auto"/>
                    <w:rPr>
                      <w:rFonts w:hint="default" w:ascii="Times New Roman" w:hAnsi="Times New Roman" w:eastAsia="宋体" w:cs="Times New Roman"/>
                      <w:color w:val="auto"/>
                    </w:rPr>
                  </w:pPr>
                </w:p>
              </w:tc>
            </w:tr>
            <w:tr w14:paraId="7AE3E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57" w:type="dxa"/>
                  <w:vMerge w:val="restart"/>
                  <w:vAlign w:val="center"/>
                </w:tcPr>
                <w:p w14:paraId="56A38BAD">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4</w:t>
                  </w:r>
                </w:p>
              </w:tc>
              <w:tc>
                <w:tcPr>
                  <w:tcW w:w="2670" w:type="dxa"/>
                  <w:vMerge w:val="restart"/>
                  <w:vAlign w:val="center"/>
                </w:tcPr>
                <w:p w14:paraId="50ADCEEE">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颗粒物（粒径小于等于2.5μm，PM</w:t>
                  </w:r>
                  <w:r>
                    <w:rPr>
                      <w:rFonts w:hint="default" w:ascii="Times New Roman" w:hAnsi="Times New Roman" w:eastAsia="宋体" w:cs="Times New Roman"/>
                      <w:color w:val="auto"/>
                      <w:vertAlign w:val="subscript"/>
                    </w:rPr>
                    <w:t>2.5</w:t>
                  </w:r>
                  <w:r>
                    <w:rPr>
                      <w:rFonts w:hint="default" w:ascii="Times New Roman" w:hAnsi="Times New Roman" w:eastAsia="宋体" w:cs="Times New Roman"/>
                      <w:color w:val="auto"/>
                    </w:rPr>
                    <w:t>）</w:t>
                  </w:r>
                </w:p>
              </w:tc>
              <w:tc>
                <w:tcPr>
                  <w:tcW w:w="2136" w:type="dxa"/>
                  <w:vAlign w:val="center"/>
                </w:tcPr>
                <w:p w14:paraId="07F0A8EB">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年平均</w:t>
                  </w:r>
                </w:p>
              </w:tc>
              <w:tc>
                <w:tcPr>
                  <w:tcW w:w="1420" w:type="dxa"/>
                  <w:vAlign w:val="center"/>
                </w:tcPr>
                <w:p w14:paraId="6C333A9B">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35μg/m</w:t>
                  </w:r>
                  <w:r>
                    <w:rPr>
                      <w:rFonts w:hint="default" w:ascii="Times New Roman" w:hAnsi="Times New Roman" w:eastAsia="宋体" w:cs="Times New Roman"/>
                      <w:color w:val="auto"/>
                      <w:vertAlign w:val="superscript"/>
                    </w:rPr>
                    <w:t>3</w:t>
                  </w:r>
                </w:p>
              </w:tc>
              <w:tc>
                <w:tcPr>
                  <w:tcW w:w="1966" w:type="dxa"/>
                  <w:vMerge w:val="continue"/>
                  <w:vAlign w:val="center"/>
                </w:tcPr>
                <w:p w14:paraId="189295F4">
                  <w:pPr>
                    <w:pStyle w:val="76"/>
                    <w:spacing w:line="240" w:lineRule="auto"/>
                    <w:rPr>
                      <w:rFonts w:hint="default" w:ascii="Times New Roman" w:hAnsi="Times New Roman" w:eastAsia="宋体" w:cs="Times New Roman"/>
                      <w:color w:val="auto"/>
                    </w:rPr>
                  </w:pPr>
                </w:p>
              </w:tc>
            </w:tr>
            <w:tr w14:paraId="61B5E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57" w:type="dxa"/>
                  <w:vMerge w:val="continue"/>
                  <w:vAlign w:val="center"/>
                </w:tcPr>
                <w:p w14:paraId="00CCD3DC">
                  <w:pPr>
                    <w:pStyle w:val="76"/>
                    <w:spacing w:line="240" w:lineRule="auto"/>
                    <w:rPr>
                      <w:rFonts w:hint="default" w:ascii="Times New Roman" w:hAnsi="Times New Roman" w:eastAsia="宋体" w:cs="Times New Roman"/>
                      <w:color w:val="auto"/>
                    </w:rPr>
                  </w:pPr>
                </w:p>
              </w:tc>
              <w:tc>
                <w:tcPr>
                  <w:tcW w:w="2670" w:type="dxa"/>
                  <w:vMerge w:val="continue"/>
                  <w:vAlign w:val="center"/>
                </w:tcPr>
                <w:p w14:paraId="50B7125C">
                  <w:pPr>
                    <w:pStyle w:val="76"/>
                    <w:spacing w:line="240" w:lineRule="auto"/>
                    <w:rPr>
                      <w:rFonts w:hint="default" w:ascii="Times New Roman" w:hAnsi="Times New Roman" w:eastAsia="宋体" w:cs="Times New Roman"/>
                      <w:color w:val="auto"/>
                    </w:rPr>
                  </w:pPr>
                </w:p>
              </w:tc>
              <w:tc>
                <w:tcPr>
                  <w:tcW w:w="2136" w:type="dxa"/>
                  <w:vAlign w:val="center"/>
                </w:tcPr>
                <w:p w14:paraId="052CCCE3">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24小时平均</w:t>
                  </w:r>
                </w:p>
              </w:tc>
              <w:tc>
                <w:tcPr>
                  <w:tcW w:w="1420" w:type="dxa"/>
                  <w:vAlign w:val="center"/>
                </w:tcPr>
                <w:p w14:paraId="1ECC939D">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75μg/m</w:t>
                  </w:r>
                  <w:r>
                    <w:rPr>
                      <w:rFonts w:hint="default" w:ascii="Times New Roman" w:hAnsi="Times New Roman" w:eastAsia="宋体" w:cs="Times New Roman"/>
                      <w:color w:val="auto"/>
                      <w:vertAlign w:val="superscript"/>
                    </w:rPr>
                    <w:t>3</w:t>
                  </w:r>
                </w:p>
              </w:tc>
              <w:tc>
                <w:tcPr>
                  <w:tcW w:w="1966" w:type="dxa"/>
                  <w:vMerge w:val="continue"/>
                  <w:vAlign w:val="center"/>
                </w:tcPr>
                <w:p w14:paraId="76DAB734">
                  <w:pPr>
                    <w:pStyle w:val="76"/>
                    <w:spacing w:line="240" w:lineRule="auto"/>
                    <w:rPr>
                      <w:rFonts w:hint="default" w:ascii="Times New Roman" w:hAnsi="Times New Roman" w:eastAsia="宋体" w:cs="Times New Roman"/>
                      <w:color w:val="auto"/>
                    </w:rPr>
                  </w:pPr>
                </w:p>
              </w:tc>
            </w:tr>
            <w:tr w14:paraId="7912E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57" w:type="dxa"/>
                  <w:vMerge w:val="restart"/>
                  <w:vAlign w:val="center"/>
                </w:tcPr>
                <w:p w14:paraId="31248135">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5</w:t>
                  </w:r>
                </w:p>
              </w:tc>
              <w:tc>
                <w:tcPr>
                  <w:tcW w:w="2670" w:type="dxa"/>
                  <w:vMerge w:val="restart"/>
                  <w:vAlign w:val="center"/>
                </w:tcPr>
                <w:p w14:paraId="4C8908A0">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总悬浮颗粒物</w:t>
                  </w:r>
                </w:p>
              </w:tc>
              <w:tc>
                <w:tcPr>
                  <w:tcW w:w="2136" w:type="dxa"/>
                  <w:vAlign w:val="center"/>
                </w:tcPr>
                <w:p w14:paraId="50548DC5">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年平均</w:t>
                  </w:r>
                </w:p>
              </w:tc>
              <w:tc>
                <w:tcPr>
                  <w:tcW w:w="1420" w:type="dxa"/>
                  <w:vAlign w:val="center"/>
                </w:tcPr>
                <w:p w14:paraId="34B5C771">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200μg/m</w:t>
                  </w:r>
                  <w:r>
                    <w:rPr>
                      <w:rFonts w:hint="default" w:ascii="Times New Roman" w:hAnsi="Times New Roman" w:eastAsia="宋体" w:cs="Times New Roman"/>
                      <w:color w:val="auto"/>
                      <w:vertAlign w:val="superscript"/>
                    </w:rPr>
                    <w:t>3</w:t>
                  </w:r>
                </w:p>
              </w:tc>
              <w:tc>
                <w:tcPr>
                  <w:tcW w:w="1966" w:type="dxa"/>
                  <w:vMerge w:val="continue"/>
                  <w:vAlign w:val="center"/>
                </w:tcPr>
                <w:p w14:paraId="728D1735">
                  <w:pPr>
                    <w:pStyle w:val="76"/>
                    <w:spacing w:line="240" w:lineRule="auto"/>
                    <w:rPr>
                      <w:rFonts w:hint="default" w:ascii="Times New Roman" w:hAnsi="Times New Roman" w:eastAsia="宋体" w:cs="Times New Roman"/>
                      <w:color w:val="auto"/>
                    </w:rPr>
                  </w:pPr>
                </w:p>
              </w:tc>
            </w:tr>
            <w:tr w14:paraId="33B6B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57" w:type="dxa"/>
                  <w:vMerge w:val="continue"/>
                  <w:vAlign w:val="center"/>
                </w:tcPr>
                <w:p w14:paraId="2E75FB1B">
                  <w:pPr>
                    <w:pStyle w:val="76"/>
                    <w:spacing w:line="240" w:lineRule="auto"/>
                    <w:rPr>
                      <w:rFonts w:hint="default" w:ascii="Times New Roman" w:hAnsi="Times New Roman" w:eastAsia="宋体" w:cs="Times New Roman"/>
                      <w:color w:val="auto"/>
                    </w:rPr>
                  </w:pPr>
                </w:p>
              </w:tc>
              <w:tc>
                <w:tcPr>
                  <w:tcW w:w="2670" w:type="dxa"/>
                  <w:vMerge w:val="continue"/>
                  <w:vAlign w:val="center"/>
                </w:tcPr>
                <w:p w14:paraId="6376740E">
                  <w:pPr>
                    <w:pStyle w:val="76"/>
                    <w:spacing w:line="240" w:lineRule="auto"/>
                    <w:rPr>
                      <w:rFonts w:hint="default" w:ascii="Times New Roman" w:hAnsi="Times New Roman" w:eastAsia="宋体" w:cs="Times New Roman"/>
                      <w:color w:val="auto"/>
                    </w:rPr>
                  </w:pPr>
                </w:p>
              </w:tc>
              <w:tc>
                <w:tcPr>
                  <w:tcW w:w="2136" w:type="dxa"/>
                  <w:vAlign w:val="center"/>
                </w:tcPr>
                <w:p w14:paraId="7BF15937">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24小时平均</w:t>
                  </w:r>
                </w:p>
              </w:tc>
              <w:tc>
                <w:tcPr>
                  <w:tcW w:w="1420" w:type="dxa"/>
                  <w:vAlign w:val="center"/>
                </w:tcPr>
                <w:p w14:paraId="75F4E9EE">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300μg/m</w:t>
                  </w:r>
                  <w:r>
                    <w:rPr>
                      <w:rFonts w:hint="default" w:ascii="Times New Roman" w:hAnsi="Times New Roman" w:eastAsia="宋体" w:cs="Times New Roman"/>
                      <w:color w:val="auto"/>
                      <w:vertAlign w:val="superscript"/>
                    </w:rPr>
                    <w:t>3</w:t>
                  </w:r>
                </w:p>
              </w:tc>
              <w:tc>
                <w:tcPr>
                  <w:tcW w:w="1966" w:type="dxa"/>
                  <w:vMerge w:val="continue"/>
                  <w:vAlign w:val="center"/>
                </w:tcPr>
                <w:p w14:paraId="5D617BF1">
                  <w:pPr>
                    <w:pStyle w:val="76"/>
                    <w:spacing w:line="240" w:lineRule="auto"/>
                    <w:rPr>
                      <w:rFonts w:hint="default" w:ascii="Times New Roman" w:hAnsi="Times New Roman" w:eastAsia="宋体" w:cs="Times New Roman"/>
                      <w:color w:val="auto"/>
                    </w:rPr>
                  </w:pPr>
                </w:p>
              </w:tc>
            </w:tr>
            <w:tr w14:paraId="058D4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57" w:type="dxa"/>
                  <w:vMerge w:val="restart"/>
                  <w:vAlign w:val="center"/>
                </w:tcPr>
                <w:p w14:paraId="42008A4D">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6</w:t>
                  </w:r>
                </w:p>
              </w:tc>
              <w:tc>
                <w:tcPr>
                  <w:tcW w:w="2670" w:type="dxa"/>
                  <w:vMerge w:val="restart"/>
                  <w:vAlign w:val="center"/>
                </w:tcPr>
                <w:p w14:paraId="604DE83F">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臭氧（O</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w:t>
                  </w:r>
                </w:p>
              </w:tc>
              <w:tc>
                <w:tcPr>
                  <w:tcW w:w="2136" w:type="dxa"/>
                  <w:vAlign w:val="center"/>
                </w:tcPr>
                <w:p w14:paraId="1E7040DC">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日最大8小时平均</w:t>
                  </w:r>
                </w:p>
              </w:tc>
              <w:tc>
                <w:tcPr>
                  <w:tcW w:w="1420" w:type="dxa"/>
                  <w:vAlign w:val="center"/>
                </w:tcPr>
                <w:p w14:paraId="524A3491">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160μg/m</w:t>
                  </w:r>
                  <w:r>
                    <w:rPr>
                      <w:rFonts w:hint="default" w:ascii="Times New Roman" w:hAnsi="Times New Roman" w:eastAsia="宋体" w:cs="Times New Roman"/>
                      <w:color w:val="auto"/>
                      <w:vertAlign w:val="superscript"/>
                    </w:rPr>
                    <w:t>3</w:t>
                  </w:r>
                </w:p>
              </w:tc>
              <w:tc>
                <w:tcPr>
                  <w:tcW w:w="1966" w:type="dxa"/>
                  <w:vMerge w:val="continue"/>
                  <w:vAlign w:val="center"/>
                </w:tcPr>
                <w:p w14:paraId="0FEAD4A7">
                  <w:pPr>
                    <w:pStyle w:val="76"/>
                    <w:spacing w:line="240" w:lineRule="auto"/>
                    <w:rPr>
                      <w:rFonts w:hint="default" w:ascii="Times New Roman" w:hAnsi="Times New Roman" w:eastAsia="宋体" w:cs="Times New Roman"/>
                      <w:color w:val="auto"/>
                    </w:rPr>
                  </w:pPr>
                </w:p>
              </w:tc>
            </w:tr>
            <w:tr w14:paraId="3B573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57" w:type="dxa"/>
                  <w:vMerge w:val="continue"/>
                  <w:vAlign w:val="center"/>
                </w:tcPr>
                <w:p w14:paraId="40249613">
                  <w:pPr>
                    <w:pStyle w:val="76"/>
                    <w:spacing w:line="240" w:lineRule="auto"/>
                    <w:rPr>
                      <w:rFonts w:hint="default" w:ascii="Times New Roman" w:hAnsi="Times New Roman" w:eastAsia="宋体" w:cs="Times New Roman"/>
                      <w:color w:val="auto"/>
                    </w:rPr>
                  </w:pPr>
                </w:p>
              </w:tc>
              <w:tc>
                <w:tcPr>
                  <w:tcW w:w="2670" w:type="dxa"/>
                  <w:vMerge w:val="continue"/>
                  <w:vAlign w:val="center"/>
                </w:tcPr>
                <w:p w14:paraId="64FA8B3B">
                  <w:pPr>
                    <w:pStyle w:val="76"/>
                    <w:spacing w:line="240" w:lineRule="auto"/>
                    <w:rPr>
                      <w:rFonts w:hint="default" w:ascii="Times New Roman" w:hAnsi="Times New Roman" w:eastAsia="宋体" w:cs="Times New Roman"/>
                      <w:color w:val="auto"/>
                    </w:rPr>
                  </w:pPr>
                </w:p>
              </w:tc>
              <w:tc>
                <w:tcPr>
                  <w:tcW w:w="2136" w:type="dxa"/>
                  <w:vAlign w:val="center"/>
                </w:tcPr>
                <w:p w14:paraId="136A738D">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1小时平均</w:t>
                  </w:r>
                </w:p>
              </w:tc>
              <w:tc>
                <w:tcPr>
                  <w:tcW w:w="1420" w:type="dxa"/>
                  <w:vAlign w:val="center"/>
                </w:tcPr>
                <w:p w14:paraId="5A2D940A">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200μg/m</w:t>
                  </w:r>
                  <w:r>
                    <w:rPr>
                      <w:rFonts w:hint="default" w:ascii="Times New Roman" w:hAnsi="Times New Roman" w:eastAsia="宋体" w:cs="Times New Roman"/>
                      <w:color w:val="auto"/>
                      <w:vertAlign w:val="superscript"/>
                    </w:rPr>
                    <w:t>3</w:t>
                  </w:r>
                </w:p>
              </w:tc>
              <w:tc>
                <w:tcPr>
                  <w:tcW w:w="1966" w:type="dxa"/>
                  <w:vMerge w:val="continue"/>
                  <w:vAlign w:val="center"/>
                </w:tcPr>
                <w:p w14:paraId="209AE220">
                  <w:pPr>
                    <w:pStyle w:val="76"/>
                    <w:spacing w:line="240" w:lineRule="auto"/>
                    <w:rPr>
                      <w:rFonts w:hint="default" w:ascii="Times New Roman" w:hAnsi="Times New Roman" w:eastAsia="宋体" w:cs="Times New Roman"/>
                      <w:color w:val="auto"/>
                    </w:rPr>
                  </w:pPr>
                </w:p>
              </w:tc>
            </w:tr>
            <w:tr w14:paraId="669A8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57" w:type="dxa"/>
                  <w:vMerge w:val="restart"/>
                  <w:vAlign w:val="center"/>
                </w:tcPr>
                <w:p w14:paraId="63E8A050">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7</w:t>
                  </w:r>
                </w:p>
              </w:tc>
              <w:tc>
                <w:tcPr>
                  <w:tcW w:w="2670" w:type="dxa"/>
                  <w:vMerge w:val="restart"/>
                  <w:vAlign w:val="center"/>
                </w:tcPr>
                <w:p w14:paraId="2DA6DBAB">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一氧化碳（CO）</w:t>
                  </w:r>
                </w:p>
              </w:tc>
              <w:tc>
                <w:tcPr>
                  <w:tcW w:w="2136" w:type="dxa"/>
                  <w:vAlign w:val="center"/>
                </w:tcPr>
                <w:p w14:paraId="4681D401">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24小时平均</w:t>
                  </w:r>
                </w:p>
              </w:tc>
              <w:tc>
                <w:tcPr>
                  <w:tcW w:w="1420" w:type="dxa"/>
                  <w:vAlign w:val="center"/>
                </w:tcPr>
                <w:p w14:paraId="0BCAFF98">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4mg/m</w:t>
                  </w:r>
                  <w:r>
                    <w:rPr>
                      <w:rFonts w:hint="default" w:ascii="Times New Roman" w:hAnsi="Times New Roman" w:eastAsia="宋体" w:cs="Times New Roman"/>
                      <w:color w:val="auto"/>
                      <w:vertAlign w:val="superscript"/>
                    </w:rPr>
                    <w:t>3</w:t>
                  </w:r>
                </w:p>
              </w:tc>
              <w:tc>
                <w:tcPr>
                  <w:tcW w:w="1966" w:type="dxa"/>
                  <w:vMerge w:val="continue"/>
                  <w:vAlign w:val="center"/>
                </w:tcPr>
                <w:p w14:paraId="76074AD7">
                  <w:pPr>
                    <w:pStyle w:val="76"/>
                    <w:spacing w:line="240" w:lineRule="auto"/>
                    <w:rPr>
                      <w:rFonts w:hint="default" w:ascii="Times New Roman" w:hAnsi="Times New Roman" w:eastAsia="宋体" w:cs="Times New Roman"/>
                      <w:color w:val="auto"/>
                    </w:rPr>
                  </w:pPr>
                </w:p>
              </w:tc>
            </w:tr>
            <w:tr w14:paraId="4BC11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57" w:type="dxa"/>
                  <w:vMerge w:val="continue"/>
                  <w:vAlign w:val="center"/>
                </w:tcPr>
                <w:p w14:paraId="2EB5CE26">
                  <w:pPr>
                    <w:pStyle w:val="76"/>
                    <w:spacing w:line="240" w:lineRule="auto"/>
                    <w:rPr>
                      <w:rFonts w:hint="default" w:ascii="Times New Roman" w:hAnsi="Times New Roman" w:eastAsia="宋体" w:cs="Times New Roman"/>
                      <w:color w:val="auto"/>
                    </w:rPr>
                  </w:pPr>
                </w:p>
              </w:tc>
              <w:tc>
                <w:tcPr>
                  <w:tcW w:w="2670" w:type="dxa"/>
                  <w:vMerge w:val="continue"/>
                  <w:vAlign w:val="center"/>
                </w:tcPr>
                <w:p w14:paraId="0BE3A967">
                  <w:pPr>
                    <w:pStyle w:val="76"/>
                    <w:spacing w:line="240" w:lineRule="auto"/>
                    <w:rPr>
                      <w:rFonts w:hint="default" w:ascii="Times New Roman" w:hAnsi="Times New Roman" w:eastAsia="宋体" w:cs="Times New Roman"/>
                      <w:color w:val="auto"/>
                    </w:rPr>
                  </w:pPr>
                </w:p>
              </w:tc>
              <w:tc>
                <w:tcPr>
                  <w:tcW w:w="2136" w:type="dxa"/>
                  <w:vAlign w:val="center"/>
                </w:tcPr>
                <w:p w14:paraId="02D99401">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1小时平均</w:t>
                  </w:r>
                </w:p>
              </w:tc>
              <w:tc>
                <w:tcPr>
                  <w:tcW w:w="1420" w:type="dxa"/>
                  <w:vAlign w:val="center"/>
                </w:tcPr>
                <w:p w14:paraId="0D849104">
                  <w:pPr>
                    <w:pStyle w:val="76"/>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10mg/m</w:t>
                  </w:r>
                  <w:r>
                    <w:rPr>
                      <w:rFonts w:hint="default" w:ascii="Times New Roman" w:hAnsi="Times New Roman" w:eastAsia="宋体" w:cs="Times New Roman"/>
                      <w:color w:val="auto"/>
                      <w:vertAlign w:val="superscript"/>
                    </w:rPr>
                    <w:t>3</w:t>
                  </w:r>
                </w:p>
              </w:tc>
              <w:tc>
                <w:tcPr>
                  <w:tcW w:w="1966" w:type="dxa"/>
                  <w:vMerge w:val="continue"/>
                  <w:vAlign w:val="center"/>
                </w:tcPr>
                <w:p w14:paraId="30ECE5EF">
                  <w:pPr>
                    <w:pStyle w:val="76"/>
                    <w:spacing w:line="240" w:lineRule="auto"/>
                    <w:rPr>
                      <w:rFonts w:hint="default" w:ascii="Times New Roman" w:hAnsi="Times New Roman" w:eastAsia="宋体" w:cs="Times New Roman"/>
                      <w:color w:val="auto"/>
                    </w:rPr>
                  </w:pPr>
                </w:p>
              </w:tc>
            </w:tr>
          </w:tbl>
          <w:p w14:paraId="3D6BF11A">
            <w:pPr>
              <w:spacing w:line="360" w:lineRule="auto"/>
              <w:ind w:firstLine="480" w:firstLineChars="200"/>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（2）地表水环境</w:t>
            </w:r>
          </w:p>
          <w:p w14:paraId="481B7B2D">
            <w:pPr>
              <w:pStyle w:val="113"/>
              <w:ind w:firstLine="480"/>
              <w:rPr>
                <w:rFonts w:hint="default" w:ascii="Times New Roman" w:hAnsi="Times New Roman" w:eastAsia="宋体" w:cs="Times New Roman"/>
                <w:color w:val="auto"/>
                <w:lang w:val="zh-CN" w:eastAsia="zh-CN"/>
              </w:rPr>
            </w:pPr>
            <w:r>
              <w:rPr>
                <w:rFonts w:hint="default" w:ascii="Times New Roman" w:hAnsi="Times New Roman" w:eastAsia="宋体" w:cs="Times New Roman"/>
                <w:color w:val="auto"/>
                <w:lang w:val="en-US" w:eastAsia="zh-CN"/>
              </w:rPr>
              <w:t>区域地表水环境执行</w:t>
            </w:r>
            <w:r>
              <w:rPr>
                <w:rFonts w:hint="default" w:ascii="Times New Roman" w:hAnsi="Times New Roman" w:eastAsia="宋体" w:cs="Times New Roman"/>
                <w:color w:val="auto"/>
                <w:lang w:val="zh-CN" w:eastAsia="zh-CN"/>
              </w:rPr>
              <w:t>《地表水环境质量标准》（GB3838-2002）</w:t>
            </w:r>
            <w:r>
              <w:rPr>
                <w:rFonts w:hint="default" w:ascii="Times New Roman" w:hAnsi="Times New Roman" w:eastAsia="宋体" w:cs="Times New Roman"/>
                <w:color w:val="auto"/>
                <w:lang w:val="zh-CN" w:eastAsia="zh-CN"/>
              </w:rPr>
              <w:fldChar w:fldCharType="begin"/>
            </w:r>
            <w:r>
              <w:rPr>
                <w:rFonts w:hint="default" w:ascii="Times New Roman" w:hAnsi="Times New Roman" w:eastAsia="宋体" w:cs="Times New Roman"/>
                <w:color w:val="auto"/>
                <w:lang w:val="zh-CN" w:eastAsia="zh-CN"/>
              </w:rPr>
              <w:instrText xml:space="preserve"> = 3 \* ROMAN </w:instrText>
            </w:r>
            <w:r>
              <w:rPr>
                <w:rFonts w:hint="default" w:ascii="Times New Roman" w:hAnsi="Times New Roman" w:eastAsia="宋体" w:cs="Times New Roman"/>
                <w:color w:val="auto"/>
                <w:lang w:val="zh-CN" w:eastAsia="zh-CN"/>
              </w:rPr>
              <w:fldChar w:fldCharType="separate"/>
            </w:r>
            <w:r>
              <w:rPr>
                <w:rFonts w:hint="default" w:ascii="Times New Roman" w:hAnsi="Times New Roman" w:eastAsia="宋体" w:cs="Times New Roman"/>
                <w:color w:val="auto"/>
                <w:lang w:val="zh-CN" w:eastAsia="zh-CN"/>
              </w:rPr>
              <w:t>Ⅲ</w:t>
            </w:r>
            <w:r>
              <w:rPr>
                <w:rFonts w:hint="default" w:ascii="Times New Roman" w:hAnsi="Times New Roman" w:eastAsia="宋体" w:cs="Times New Roman"/>
                <w:color w:val="auto"/>
                <w:lang w:val="zh-CN" w:eastAsia="zh-CN"/>
              </w:rPr>
              <w:fldChar w:fldCharType="end"/>
            </w:r>
            <w:r>
              <w:rPr>
                <w:rFonts w:hint="default" w:ascii="Times New Roman" w:hAnsi="Times New Roman" w:eastAsia="宋体" w:cs="Times New Roman"/>
                <w:color w:val="auto"/>
                <w:lang w:val="zh-CN" w:eastAsia="zh-CN"/>
              </w:rPr>
              <w:t>类标准。</w:t>
            </w:r>
          </w:p>
          <w:p w14:paraId="174C86A9">
            <w:pPr>
              <w:spacing w:line="360" w:lineRule="auto"/>
              <w:ind w:firstLine="480" w:firstLineChars="200"/>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（3）地下水环境</w:t>
            </w:r>
          </w:p>
          <w:p w14:paraId="0486FBAB">
            <w:pPr>
              <w:spacing w:line="360" w:lineRule="auto"/>
              <w:ind w:firstLine="480" w:firstLineChars="200"/>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区域地下水水质</w:t>
            </w:r>
            <w:r>
              <w:rPr>
                <w:rFonts w:hint="default" w:ascii="Times New Roman" w:hAnsi="Times New Roman" w:eastAsia="宋体" w:cs="Times New Roman"/>
                <w:color w:val="auto"/>
                <w:sz w:val="24"/>
                <w:lang w:val="en-US" w:eastAsia="zh-CN"/>
              </w:rPr>
              <w:t>执行</w:t>
            </w:r>
            <w:r>
              <w:rPr>
                <w:rFonts w:hint="default" w:ascii="Times New Roman" w:hAnsi="Times New Roman" w:eastAsia="宋体" w:cs="Times New Roman"/>
                <w:color w:val="auto"/>
                <w:sz w:val="24"/>
                <w:lang w:val="zh-CN"/>
              </w:rPr>
              <w:t>《地下水质量标准》（GB/T14848-2017）中Ⅲ类标准。</w:t>
            </w:r>
          </w:p>
          <w:p w14:paraId="4AF35A45">
            <w:pPr>
              <w:pStyle w:val="7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）声环境质量</w:t>
            </w:r>
          </w:p>
          <w:p w14:paraId="7999E3A7">
            <w:pPr>
              <w:pStyle w:val="7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区域声环境质量执行《声环境质量标准》</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GB3096-2008</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中</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类区标准。</w:t>
            </w:r>
          </w:p>
          <w:p w14:paraId="62A16AA7">
            <w:pPr>
              <w:spacing w:line="240" w:lineRule="auto"/>
              <w:jc w:val="center"/>
              <w:textAlignment w:val="baseline"/>
              <w:rPr>
                <w:rFonts w:hint="default" w:ascii="Times New Roman" w:hAnsi="Times New Roman" w:eastAsia="宋体" w:cs="Times New Roman"/>
                <w:b/>
                <w:color w:val="auto"/>
                <w:szCs w:val="20"/>
                <w:highlight w:val="none"/>
              </w:rPr>
            </w:pPr>
            <w:r>
              <w:rPr>
                <w:rFonts w:hint="default" w:ascii="Times New Roman" w:hAnsi="Times New Roman" w:eastAsia="宋体" w:cs="Times New Roman"/>
                <w:b/>
                <w:color w:val="auto"/>
                <w:szCs w:val="20"/>
                <w:highlight w:val="none"/>
              </w:rPr>
              <w:t>表</w:t>
            </w:r>
            <w:r>
              <w:rPr>
                <w:rFonts w:hint="default" w:ascii="Times New Roman" w:hAnsi="Times New Roman" w:eastAsia="宋体" w:cs="Times New Roman"/>
                <w:b/>
                <w:color w:val="auto"/>
                <w:szCs w:val="20"/>
                <w:highlight w:val="none"/>
                <w:lang w:val="en-US" w:eastAsia="zh-CN"/>
              </w:rPr>
              <w:t>3-</w:t>
            </w:r>
            <w:r>
              <w:rPr>
                <w:rFonts w:hint="eastAsia" w:ascii="Times New Roman" w:hAnsi="Times New Roman" w:eastAsia="宋体" w:cs="Times New Roman"/>
                <w:b/>
                <w:color w:val="auto"/>
                <w:szCs w:val="20"/>
                <w:highlight w:val="none"/>
                <w:lang w:val="en-US" w:eastAsia="zh-CN"/>
              </w:rPr>
              <w:t>8</w:t>
            </w:r>
            <w:r>
              <w:rPr>
                <w:rFonts w:hint="default" w:ascii="Times New Roman" w:hAnsi="Times New Roman" w:eastAsia="宋体" w:cs="Times New Roman"/>
                <w:b/>
                <w:color w:val="auto"/>
                <w:szCs w:val="20"/>
                <w:highlight w:val="none"/>
              </w:rPr>
              <w:t>声环境质量标准</w:t>
            </w:r>
          </w:p>
          <w:tbl>
            <w:tblPr>
              <w:tblStyle w:val="33"/>
              <w:tblW w:w="884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57"/>
              <w:gridCol w:w="1445"/>
              <w:gridCol w:w="1384"/>
              <w:gridCol w:w="4058"/>
            </w:tblGrid>
            <w:tr w14:paraId="2D276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957" w:type="dxa"/>
                  <w:vAlign w:val="center"/>
                </w:tcPr>
                <w:p w14:paraId="720B8E7F">
                  <w:pPr>
                    <w:autoSpaceDE w:val="0"/>
                    <w:autoSpaceDN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zh-CN"/>
                    </w:rPr>
                    <w:t>功能类别</w:t>
                  </w:r>
                </w:p>
              </w:tc>
              <w:tc>
                <w:tcPr>
                  <w:tcW w:w="1445" w:type="dxa"/>
                  <w:vAlign w:val="center"/>
                </w:tcPr>
                <w:p w14:paraId="1E94F39E">
                  <w:pPr>
                    <w:autoSpaceDE w:val="0"/>
                    <w:autoSpaceDN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昼间</w:t>
                  </w:r>
                </w:p>
              </w:tc>
              <w:tc>
                <w:tcPr>
                  <w:tcW w:w="1384" w:type="dxa"/>
                  <w:vAlign w:val="center"/>
                </w:tcPr>
                <w:p w14:paraId="1334E548">
                  <w:pPr>
                    <w:autoSpaceDE w:val="0"/>
                    <w:autoSpaceDN w:val="0"/>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rPr>
                    <w:t>夜间</w:t>
                  </w:r>
                </w:p>
              </w:tc>
              <w:tc>
                <w:tcPr>
                  <w:tcW w:w="4058" w:type="dxa"/>
                  <w:vAlign w:val="center"/>
                </w:tcPr>
                <w:p w14:paraId="56E8EF18">
                  <w:pPr>
                    <w:autoSpaceDE w:val="0"/>
                    <w:autoSpaceDN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zh-CN"/>
                    </w:rPr>
                    <w:t>依据</w:t>
                  </w:r>
                </w:p>
              </w:tc>
            </w:tr>
            <w:tr w14:paraId="15AAB2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57" w:type="dxa"/>
                  <w:vAlign w:val="center"/>
                </w:tcPr>
                <w:p w14:paraId="23E31653">
                  <w:pPr>
                    <w:autoSpaceDE w:val="0"/>
                    <w:autoSpaceDN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rPr>
                    <w:t>类</w:t>
                  </w:r>
                </w:p>
              </w:tc>
              <w:tc>
                <w:tcPr>
                  <w:tcW w:w="1445" w:type="dxa"/>
                  <w:vAlign w:val="center"/>
                </w:tcPr>
                <w:p w14:paraId="24FA08E1">
                  <w:pPr>
                    <w:autoSpaceDE w:val="0"/>
                    <w:autoSpaceDN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55</w:t>
                  </w:r>
                  <w:r>
                    <w:rPr>
                      <w:rFonts w:hint="default" w:ascii="Times New Roman" w:hAnsi="Times New Roman" w:eastAsia="宋体" w:cs="Times New Roman"/>
                      <w:bCs/>
                      <w:color w:val="auto"/>
                      <w:szCs w:val="21"/>
                    </w:rPr>
                    <w:t>dB</w:t>
                  </w:r>
                  <w:r>
                    <w:rPr>
                      <w:rFonts w:hint="default" w:ascii="Times New Roman" w:hAnsi="Times New Roman" w:eastAsia="宋体" w:cs="Times New Roman"/>
                      <w:bCs/>
                      <w:color w:val="auto"/>
                      <w:szCs w:val="21"/>
                      <w:lang w:val="zh-CN"/>
                    </w:rPr>
                    <w:t>（</w:t>
                  </w:r>
                  <w:r>
                    <w:rPr>
                      <w:rFonts w:hint="default" w:ascii="Times New Roman" w:hAnsi="Times New Roman" w:eastAsia="宋体" w:cs="Times New Roman"/>
                      <w:bCs/>
                      <w:color w:val="auto"/>
                      <w:szCs w:val="21"/>
                    </w:rPr>
                    <w:t>A</w:t>
                  </w:r>
                  <w:r>
                    <w:rPr>
                      <w:rFonts w:hint="default" w:ascii="Times New Roman" w:hAnsi="Times New Roman" w:eastAsia="宋体" w:cs="Times New Roman"/>
                      <w:bCs/>
                      <w:color w:val="auto"/>
                      <w:szCs w:val="21"/>
                      <w:lang w:val="zh-CN"/>
                    </w:rPr>
                    <w:t>）</w:t>
                  </w:r>
                </w:p>
              </w:tc>
              <w:tc>
                <w:tcPr>
                  <w:tcW w:w="1384" w:type="dxa"/>
                  <w:vAlign w:val="center"/>
                </w:tcPr>
                <w:p w14:paraId="2F45109E">
                  <w:pPr>
                    <w:autoSpaceDE w:val="0"/>
                    <w:autoSpaceDN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45</w:t>
                  </w:r>
                  <w:r>
                    <w:rPr>
                      <w:rFonts w:hint="default" w:ascii="Times New Roman" w:hAnsi="Times New Roman" w:eastAsia="宋体" w:cs="Times New Roman"/>
                      <w:bCs/>
                      <w:color w:val="auto"/>
                      <w:szCs w:val="21"/>
                    </w:rPr>
                    <w:t>dB</w:t>
                  </w:r>
                  <w:r>
                    <w:rPr>
                      <w:rFonts w:hint="default" w:ascii="Times New Roman" w:hAnsi="Times New Roman" w:eastAsia="宋体" w:cs="Times New Roman"/>
                      <w:bCs/>
                      <w:color w:val="auto"/>
                      <w:szCs w:val="21"/>
                      <w:lang w:val="zh-CN"/>
                    </w:rPr>
                    <w:t>（</w:t>
                  </w:r>
                  <w:r>
                    <w:rPr>
                      <w:rFonts w:hint="default" w:ascii="Times New Roman" w:hAnsi="Times New Roman" w:eastAsia="宋体" w:cs="Times New Roman"/>
                      <w:bCs/>
                      <w:color w:val="auto"/>
                      <w:szCs w:val="21"/>
                    </w:rPr>
                    <w:t>A</w:t>
                  </w:r>
                  <w:r>
                    <w:rPr>
                      <w:rFonts w:hint="default" w:ascii="Times New Roman" w:hAnsi="Times New Roman" w:eastAsia="宋体" w:cs="Times New Roman"/>
                      <w:bCs/>
                      <w:color w:val="auto"/>
                      <w:szCs w:val="21"/>
                      <w:lang w:val="zh-CN"/>
                    </w:rPr>
                    <w:t>）</w:t>
                  </w:r>
                </w:p>
              </w:tc>
              <w:tc>
                <w:tcPr>
                  <w:tcW w:w="4058" w:type="dxa"/>
                  <w:vAlign w:val="center"/>
                </w:tcPr>
                <w:p w14:paraId="09B0CF80">
                  <w:pPr>
                    <w:autoSpaceDE w:val="0"/>
                    <w:autoSpaceDN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《声环境质量标准》</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GB3096-2008</w:t>
                  </w:r>
                  <w:r>
                    <w:rPr>
                      <w:rFonts w:hint="default" w:ascii="Times New Roman" w:hAnsi="Times New Roman" w:eastAsia="宋体" w:cs="Times New Roman"/>
                      <w:color w:val="auto"/>
                      <w:szCs w:val="21"/>
                      <w:lang w:eastAsia="zh-CN"/>
                    </w:rPr>
                    <w:t>）</w:t>
                  </w:r>
                </w:p>
              </w:tc>
            </w:tr>
          </w:tbl>
          <w:p w14:paraId="78F880A2">
            <w:pPr>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2污染物排放标准</w:t>
            </w:r>
          </w:p>
          <w:p w14:paraId="2596577C">
            <w:pPr>
              <w:adjustRightInd w:val="0"/>
              <w:spacing w:line="360" w:lineRule="auto"/>
              <w:ind w:left="105" w:leftChars="50" w:right="105" w:rightChars="50" w:firstLine="470" w:firstLineChars="196"/>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（1）废气</w:t>
            </w:r>
          </w:p>
          <w:p w14:paraId="756E58E8">
            <w:pPr>
              <w:pStyle w:val="74"/>
              <w:ind w:firstLine="480"/>
              <w:rPr>
                <w:rFonts w:hint="default" w:ascii="Times New Roman" w:hAnsi="Times New Roman" w:eastAsia="宋体" w:cs="Times New Roman"/>
                <w:color w:val="auto"/>
              </w:rPr>
            </w:pPr>
            <w:r>
              <w:rPr>
                <w:rFonts w:hint="default" w:ascii="Times New Roman" w:hAnsi="Times New Roman" w:eastAsia="宋体" w:cs="Times New Roman"/>
                <w:color w:val="auto"/>
                <w:kern w:val="28"/>
              </w:rPr>
              <w:t>施工期扬尘执行</w:t>
            </w:r>
            <w:r>
              <w:rPr>
                <w:rFonts w:hint="default" w:ascii="Times New Roman" w:hAnsi="Times New Roman" w:eastAsia="宋体" w:cs="Times New Roman"/>
                <w:color w:val="auto"/>
              </w:rPr>
              <w:t>《大气污染物综合排放标准》（GB16297-1996）表2厂界浓度限值。</w:t>
            </w:r>
          </w:p>
          <w:p w14:paraId="5F6839DB">
            <w:pPr>
              <w:spacing w:line="240" w:lineRule="auto"/>
              <w:jc w:val="center"/>
              <w:textAlignment w:val="baseline"/>
              <w:rPr>
                <w:rFonts w:hint="default" w:ascii="Times New Roman" w:hAnsi="Times New Roman" w:eastAsia="宋体" w:cs="Times New Roman"/>
                <w:b/>
                <w:color w:val="auto"/>
                <w:szCs w:val="20"/>
                <w:highlight w:val="none"/>
              </w:rPr>
            </w:pPr>
            <w:r>
              <w:rPr>
                <w:rFonts w:hint="default" w:ascii="Times New Roman" w:hAnsi="Times New Roman" w:eastAsia="宋体" w:cs="Times New Roman"/>
                <w:b/>
                <w:color w:val="auto"/>
                <w:szCs w:val="20"/>
                <w:highlight w:val="none"/>
              </w:rPr>
              <w:t>表</w:t>
            </w:r>
            <w:r>
              <w:rPr>
                <w:rFonts w:hint="default" w:ascii="Times New Roman" w:hAnsi="Times New Roman" w:eastAsia="宋体" w:cs="Times New Roman"/>
                <w:b/>
                <w:color w:val="auto"/>
                <w:szCs w:val="20"/>
                <w:highlight w:val="none"/>
                <w:lang w:val="en-US" w:eastAsia="zh-CN"/>
              </w:rPr>
              <w:t>3-</w:t>
            </w:r>
            <w:r>
              <w:rPr>
                <w:rFonts w:hint="eastAsia" w:ascii="Times New Roman" w:hAnsi="Times New Roman" w:eastAsia="宋体" w:cs="Times New Roman"/>
                <w:b/>
                <w:color w:val="auto"/>
                <w:szCs w:val="20"/>
                <w:highlight w:val="none"/>
                <w:lang w:val="en-US" w:eastAsia="zh-CN"/>
              </w:rPr>
              <w:t xml:space="preserve">9 </w:t>
            </w:r>
            <w:r>
              <w:rPr>
                <w:rFonts w:hint="default" w:ascii="Times New Roman" w:hAnsi="Times New Roman" w:eastAsia="宋体" w:cs="Times New Roman"/>
                <w:b/>
                <w:color w:val="auto"/>
                <w:szCs w:val="20"/>
                <w:highlight w:val="none"/>
              </w:rPr>
              <w:t>大气污染物排放标准</w:t>
            </w:r>
          </w:p>
          <w:tbl>
            <w:tblPr>
              <w:tblStyle w:val="3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10"/>
              <w:gridCol w:w="4564"/>
              <w:gridCol w:w="1975"/>
            </w:tblGrid>
            <w:tr w14:paraId="790197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1046" w:type="dxa"/>
                  <w:vMerge w:val="restart"/>
                  <w:tcBorders>
                    <w:top w:val="single" w:color="000000" w:sz="4" w:space="0"/>
                    <w:left w:val="single" w:color="000000" w:sz="4" w:space="0"/>
                    <w:bottom w:val="single" w:color="000000" w:sz="4" w:space="0"/>
                    <w:right w:val="single" w:color="000000" w:sz="4" w:space="0"/>
                  </w:tcBorders>
                </w:tcPr>
                <w:p w14:paraId="21783451">
                  <w:pPr>
                    <w:pStyle w:val="90"/>
                    <w:spacing w:before="175"/>
                    <w:ind w:left="278" w:right="159" w:hanging="106"/>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污染物名称</w:t>
                  </w:r>
                </w:p>
              </w:tc>
              <w:tc>
                <w:tcPr>
                  <w:tcW w:w="2960" w:type="dxa"/>
                  <w:gridSpan w:val="2"/>
                  <w:tcBorders>
                    <w:top w:val="single" w:color="000000" w:sz="4" w:space="0"/>
                    <w:left w:val="nil"/>
                    <w:bottom w:val="single" w:color="000000" w:sz="4" w:space="0"/>
                    <w:right w:val="single" w:color="000000" w:sz="4" w:space="0"/>
                  </w:tcBorders>
                </w:tcPr>
                <w:p w14:paraId="5F671859">
                  <w:pPr>
                    <w:pStyle w:val="90"/>
                    <w:spacing w:line="269" w:lineRule="exact"/>
                    <w:ind w:left="172" w:right="165"/>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无组织排放监控浓度限值/（mg/m³）</w:t>
                  </w:r>
                </w:p>
              </w:tc>
            </w:tr>
            <w:tr w14:paraId="14A00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46" w:type="dxa"/>
                  <w:vMerge w:val="continue"/>
                  <w:tcBorders>
                    <w:top w:val="single" w:color="000000" w:sz="4" w:space="0"/>
                    <w:left w:val="single" w:color="000000" w:sz="4" w:space="0"/>
                    <w:bottom w:val="single" w:color="000000" w:sz="4" w:space="0"/>
                    <w:right w:val="single" w:color="000000" w:sz="4" w:space="0"/>
                  </w:tcBorders>
                  <w:vAlign w:val="center"/>
                </w:tcPr>
                <w:p w14:paraId="01551DBC">
                  <w:pPr>
                    <w:widowControl/>
                    <w:rPr>
                      <w:rFonts w:hint="default" w:ascii="Times New Roman" w:hAnsi="Times New Roman" w:eastAsia="宋体" w:cs="Times New Roman"/>
                      <w:bCs/>
                      <w:color w:val="auto"/>
                      <w:szCs w:val="21"/>
                    </w:rPr>
                  </w:pPr>
                </w:p>
              </w:tc>
              <w:tc>
                <w:tcPr>
                  <w:tcW w:w="2066" w:type="dxa"/>
                  <w:tcBorders>
                    <w:top w:val="single" w:color="000000" w:sz="4" w:space="0"/>
                    <w:left w:val="nil"/>
                    <w:bottom w:val="single" w:color="000000" w:sz="4" w:space="0"/>
                    <w:right w:val="single" w:color="000000" w:sz="4" w:space="0"/>
                  </w:tcBorders>
                </w:tcPr>
                <w:p w14:paraId="39728180">
                  <w:pPr>
                    <w:pStyle w:val="90"/>
                    <w:spacing w:before="34"/>
                    <w:ind w:left="209" w:right="201"/>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监控点</w:t>
                  </w:r>
                </w:p>
              </w:tc>
              <w:tc>
                <w:tcPr>
                  <w:tcW w:w="894" w:type="dxa"/>
                  <w:tcBorders>
                    <w:top w:val="single" w:color="000000" w:sz="4" w:space="0"/>
                    <w:left w:val="nil"/>
                    <w:bottom w:val="single" w:color="000000" w:sz="4" w:space="0"/>
                    <w:right w:val="single" w:color="000000" w:sz="4" w:space="0"/>
                  </w:tcBorders>
                </w:tcPr>
                <w:p w14:paraId="115B2887">
                  <w:pPr>
                    <w:pStyle w:val="90"/>
                    <w:spacing w:before="34"/>
                    <w:ind w:left="185" w:right="178"/>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浓度</w:t>
                  </w:r>
                </w:p>
              </w:tc>
            </w:tr>
            <w:tr w14:paraId="421D9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46" w:type="dxa"/>
                  <w:tcBorders>
                    <w:top w:val="single" w:color="000000" w:sz="4" w:space="0"/>
                    <w:left w:val="single" w:color="000000" w:sz="4" w:space="0"/>
                    <w:bottom w:val="single" w:color="000000" w:sz="4" w:space="0"/>
                    <w:right w:val="single" w:color="000000" w:sz="4" w:space="0"/>
                  </w:tcBorders>
                </w:tcPr>
                <w:p w14:paraId="781548D4">
                  <w:pPr>
                    <w:pStyle w:val="90"/>
                    <w:spacing w:before="33"/>
                    <w:ind w:left="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颗粒物</w:t>
                  </w:r>
                </w:p>
              </w:tc>
              <w:tc>
                <w:tcPr>
                  <w:tcW w:w="2066" w:type="dxa"/>
                  <w:tcBorders>
                    <w:top w:val="single" w:color="000000" w:sz="4" w:space="0"/>
                    <w:left w:val="nil"/>
                    <w:bottom w:val="single" w:color="000000" w:sz="4" w:space="0"/>
                    <w:right w:val="single" w:color="000000" w:sz="4" w:space="0"/>
                  </w:tcBorders>
                </w:tcPr>
                <w:p w14:paraId="1E6D37D9">
                  <w:pPr>
                    <w:pStyle w:val="90"/>
                    <w:spacing w:before="33"/>
                    <w:ind w:left="209" w:right="202"/>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周界</w:t>
                  </w:r>
                  <w:r>
                    <w:rPr>
                      <w:rFonts w:hint="default" w:ascii="Times New Roman" w:hAnsi="Times New Roman" w:eastAsia="宋体" w:cs="Times New Roman"/>
                      <w:color w:val="auto"/>
                      <w:szCs w:val="21"/>
                      <w:lang w:val="en-US" w:eastAsia="zh-CN"/>
                    </w:rPr>
                    <w:t>外浓</w:t>
                  </w:r>
                  <w:r>
                    <w:rPr>
                      <w:rFonts w:hint="default" w:ascii="Times New Roman" w:hAnsi="Times New Roman" w:eastAsia="宋体" w:cs="Times New Roman"/>
                      <w:color w:val="auto"/>
                      <w:szCs w:val="21"/>
                    </w:rPr>
                    <w:t>度最高点</w:t>
                  </w:r>
                </w:p>
              </w:tc>
              <w:tc>
                <w:tcPr>
                  <w:tcW w:w="894" w:type="dxa"/>
                  <w:tcBorders>
                    <w:top w:val="single" w:color="000000" w:sz="4" w:space="0"/>
                    <w:left w:val="nil"/>
                    <w:bottom w:val="single" w:color="000000" w:sz="4" w:space="0"/>
                    <w:right w:val="single" w:color="000000" w:sz="4" w:space="0"/>
                  </w:tcBorders>
                </w:tcPr>
                <w:p w14:paraId="167A697D">
                  <w:pPr>
                    <w:pStyle w:val="90"/>
                    <w:spacing w:before="47"/>
                    <w:ind w:left="185" w:right="178"/>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r>
          </w:tbl>
          <w:p w14:paraId="073EF0CE">
            <w:pPr>
              <w:adjustRightInd w:val="0"/>
              <w:spacing w:line="360" w:lineRule="auto"/>
              <w:ind w:left="105" w:leftChars="50" w:right="105" w:rightChars="50" w:firstLine="470" w:firstLineChars="196"/>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（2）废水</w:t>
            </w:r>
          </w:p>
          <w:p w14:paraId="180620C7">
            <w:pPr>
              <w:adjustRightInd w:val="0"/>
              <w:spacing w:line="360" w:lineRule="auto"/>
              <w:ind w:left="105" w:leftChars="50" w:right="105" w:rightChars="50" w:firstLine="470" w:firstLineChars="196"/>
              <w:rPr>
                <w:rFonts w:hint="default" w:ascii="Times New Roman" w:hAnsi="Times New Roman" w:eastAsia="宋体" w:cs="Times New Roman"/>
                <w:bCs/>
                <w:color w:val="auto"/>
                <w:sz w:val="24"/>
                <w:lang w:eastAsia="zh-CN"/>
              </w:rPr>
            </w:pPr>
            <w:r>
              <w:rPr>
                <w:rFonts w:hint="default" w:ascii="Times New Roman" w:hAnsi="Times New Roman" w:eastAsia="宋体" w:cs="Times New Roman"/>
                <w:bCs/>
                <w:color w:val="auto"/>
                <w:sz w:val="24"/>
              </w:rPr>
              <w:t>施工场地</w:t>
            </w:r>
            <w:r>
              <w:rPr>
                <w:rFonts w:hint="default" w:ascii="Times New Roman" w:hAnsi="Times New Roman" w:eastAsia="宋体" w:cs="Times New Roman"/>
                <w:bCs/>
                <w:color w:val="auto"/>
                <w:sz w:val="24"/>
                <w:lang w:eastAsia="zh-CN"/>
              </w:rPr>
              <w:t>设置临时化粪池，</w:t>
            </w:r>
            <w:r>
              <w:rPr>
                <w:rFonts w:hint="eastAsia" w:ascii="Times New Roman" w:hAnsi="Times New Roman" w:cs="Times New Roman"/>
                <w:bCs/>
                <w:color w:val="auto"/>
                <w:sz w:val="24"/>
                <w:lang w:val="en-US" w:eastAsia="zh-CN"/>
              </w:rPr>
              <w:t>采用罐车</w:t>
            </w:r>
            <w:r>
              <w:rPr>
                <w:rFonts w:hint="eastAsia" w:ascii="Times New Roman" w:hAnsi="Times New Roman" w:cs="Times New Roman"/>
                <w:bCs/>
                <w:color w:val="auto"/>
                <w:sz w:val="24"/>
                <w:lang w:eastAsia="zh-CN"/>
              </w:rPr>
              <w:t>定期清运至莎车县污水处理厂处理</w:t>
            </w:r>
            <w:r>
              <w:rPr>
                <w:rFonts w:hint="default" w:ascii="Times New Roman" w:hAnsi="Times New Roman" w:eastAsia="宋体" w:cs="Times New Roman"/>
                <w:bCs/>
                <w:color w:val="auto"/>
                <w:sz w:val="24"/>
              </w:rPr>
              <w:t>；车辆、机械设备冲洗废水自流入</w:t>
            </w:r>
            <w:r>
              <w:rPr>
                <w:rFonts w:hint="eastAsia" w:ascii="Times New Roman" w:hAnsi="Times New Roman" w:cs="Times New Roman"/>
                <w:bCs/>
                <w:color w:val="auto"/>
                <w:sz w:val="24"/>
                <w:lang w:eastAsia="zh-CN"/>
              </w:rPr>
              <w:t>隔油沉淀</w:t>
            </w:r>
            <w:r>
              <w:rPr>
                <w:rFonts w:hint="default" w:ascii="Times New Roman" w:hAnsi="Times New Roman" w:eastAsia="宋体" w:cs="Times New Roman"/>
                <w:bCs/>
                <w:color w:val="auto"/>
                <w:sz w:val="24"/>
              </w:rPr>
              <w:t>池，处理后</w:t>
            </w:r>
            <w:r>
              <w:rPr>
                <w:rFonts w:hint="default" w:ascii="Times New Roman" w:hAnsi="Times New Roman" w:eastAsia="宋体" w:cs="Times New Roman"/>
                <w:bCs/>
                <w:color w:val="auto"/>
                <w:sz w:val="24"/>
                <w:lang w:eastAsia="zh-CN"/>
              </w:rPr>
              <w:t>回用于砼拌和养护用水。</w:t>
            </w:r>
          </w:p>
          <w:p w14:paraId="53045EDE">
            <w:pPr>
              <w:adjustRightInd w:val="0"/>
              <w:spacing w:line="360" w:lineRule="auto"/>
              <w:ind w:left="105" w:leftChars="50" w:right="105" w:rightChars="50" w:firstLine="470" w:firstLineChars="196"/>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（3）噪声</w:t>
            </w:r>
          </w:p>
          <w:p w14:paraId="0E1BADC5">
            <w:pPr>
              <w:pStyle w:val="7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施工期噪声执行《</w:t>
            </w:r>
            <w:r>
              <w:rPr>
                <w:rFonts w:hint="default" w:ascii="Times New Roman" w:hAnsi="Times New Roman" w:eastAsia="宋体" w:cs="Times New Roman"/>
                <w:color w:val="auto"/>
                <w:kern w:val="28"/>
              </w:rPr>
              <w:t>建筑施工场界环境噪声排放标准》（GB12523-2011）</w:t>
            </w:r>
            <w:r>
              <w:rPr>
                <w:rFonts w:hint="default" w:ascii="Times New Roman" w:hAnsi="Times New Roman" w:eastAsia="宋体" w:cs="Times New Roman"/>
                <w:color w:val="auto"/>
              </w:rPr>
              <w:t>。</w:t>
            </w:r>
          </w:p>
          <w:p w14:paraId="3E466066">
            <w:pPr>
              <w:spacing w:line="240" w:lineRule="auto"/>
              <w:jc w:val="center"/>
              <w:textAlignment w:val="baseline"/>
              <w:rPr>
                <w:rFonts w:hint="default" w:ascii="Times New Roman" w:hAnsi="Times New Roman" w:eastAsia="宋体" w:cs="Times New Roman"/>
                <w:b/>
                <w:color w:val="auto"/>
                <w:szCs w:val="20"/>
                <w:highlight w:val="none"/>
                <w:lang w:eastAsia="zh-CN"/>
              </w:rPr>
            </w:pPr>
            <w:r>
              <w:rPr>
                <w:rFonts w:hint="default" w:ascii="Times New Roman" w:hAnsi="Times New Roman" w:eastAsia="宋体" w:cs="Times New Roman"/>
                <w:b/>
                <w:color w:val="auto"/>
                <w:szCs w:val="20"/>
                <w:highlight w:val="none"/>
              </w:rPr>
              <w:t>表</w:t>
            </w:r>
            <w:r>
              <w:rPr>
                <w:rFonts w:hint="default" w:ascii="Times New Roman" w:hAnsi="Times New Roman" w:eastAsia="宋体" w:cs="Times New Roman"/>
                <w:b/>
                <w:color w:val="auto"/>
                <w:szCs w:val="20"/>
                <w:highlight w:val="none"/>
                <w:lang w:val="en-US" w:eastAsia="zh-CN"/>
              </w:rPr>
              <w:t>3-11</w:t>
            </w:r>
            <w:r>
              <w:rPr>
                <w:rFonts w:hint="default" w:ascii="Times New Roman" w:hAnsi="Times New Roman" w:eastAsia="宋体" w:cs="Times New Roman"/>
                <w:b/>
                <w:color w:val="auto"/>
                <w:szCs w:val="20"/>
                <w:highlight w:val="none"/>
              </w:rPr>
              <w:t>建筑施</w:t>
            </w:r>
            <w:r>
              <w:rPr>
                <w:rFonts w:hint="default" w:ascii="Times New Roman" w:hAnsi="Times New Roman" w:eastAsia="宋体" w:cs="Times New Roman"/>
                <w:b/>
                <w:color w:val="auto"/>
                <w:szCs w:val="20"/>
                <w:highlight w:val="none"/>
                <w:lang w:val="en-US" w:eastAsia="zh-CN"/>
              </w:rPr>
              <w:t>工场</w:t>
            </w:r>
            <w:r>
              <w:rPr>
                <w:rFonts w:hint="default" w:ascii="Times New Roman" w:hAnsi="Times New Roman" w:eastAsia="宋体" w:cs="Times New Roman"/>
                <w:b/>
                <w:color w:val="auto"/>
                <w:szCs w:val="20"/>
                <w:highlight w:val="none"/>
                <w:lang w:eastAsia="zh-CN"/>
              </w:rPr>
              <w:t>界</w:t>
            </w:r>
            <w:r>
              <w:rPr>
                <w:rFonts w:hint="default" w:ascii="Times New Roman" w:hAnsi="Times New Roman" w:eastAsia="宋体" w:cs="Times New Roman"/>
                <w:b/>
                <w:color w:val="auto"/>
                <w:szCs w:val="20"/>
                <w:highlight w:val="none"/>
              </w:rPr>
              <w:t>噪声限值单位：dB</w:t>
            </w:r>
            <w:r>
              <w:rPr>
                <w:rFonts w:hint="default" w:ascii="Times New Roman" w:hAnsi="Times New Roman" w:eastAsia="宋体" w:cs="Times New Roman"/>
                <w:b/>
                <w:color w:val="auto"/>
                <w:szCs w:val="20"/>
                <w:highlight w:val="none"/>
                <w:lang w:eastAsia="zh-CN"/>
              </w:rPr>
              <w:t>（</w:t>
            </w:r>
            <w:r>
              <w:rPr>
                <w:rFonts w:hint="default" w:ascii="Times New Roman" w:hAnsi="Times New Roman" w:eastAsia="宋体" w:cs="Times New Roman"/>
                <w:b/>
                <w:color w:val="auto"/>
                <w:szCs w:val="20"/>
                <w:highlight w:val="none"/>
              </w:rPr>
              <w:t>A</w:t>
            </w:r>
            <w:r>
              <w:rPr>
                <w:rFonts w:hint="default" w:ascii="Times New Roman" w:hAnsi="Times New Roman" w:eastAsia="宋体" w:cs="Times New Roman"/>
                <w:b/>
                <w:color w:val="auto"/>
                <w:szCs w:val="20"/>
                <w:highlight w:val="none"/>
                <w:lang w:eastAsia="zh-CN"/>
              </w:rPr>
              <w:t>）</w:t>
            </w:r>
          </w:p>
          <w:tbl>
            <w:tblPr>
              <w:tblStyle w:val="33"/>
              <w:tblW w:w="88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0"/>
              <w:gridCol w:w="3210"/>
              <w:gridCol w:w="3009"/>
            </w:tblGrid>
            <w:tr w14:paraId="78BFB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2630" w:type="dxa"/>
                  <w:vAlign w:val="center"/>
                </w:tcPr>
                <w:p w14:paraId="58E57046">
                  <w:pPr>
                    <w:pStyle w:val="25"/>
                    <w:ind w:left="420" w:hanging="42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类别</w:t>
                  </w:r>
                </w:p>
              </w:tc>
              <w:tc>
                <w:tcPr>
                  <w:tcW w:w="3210" w:type="dxa"/>
                  <w:vAlign w:val="center"/>
                </w:tcPr>
                <w:p w14:paraId="632BD49A">
                  <w:pPr>
                    <w:pStyle w:val="25"/>
                    <w:ind w:left="420" w:hanging="42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昼间</w:t>
                  </w:r>
                </w:p>
              </w:tc>
              <w:tc>
                <w:tcPr>
                  <w:tcW w:w="3009" w:type="dxa"/>
                  <w:vAlign w:val="center"/>
                </w:tcPr>
                <w:p w14:paraId="384C2FB1">
                  <w:pPr>
                    <w:pStyle w:val="25"/>
                    <w:ind w:left="420" w:hanging="42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夜间</w:t>
                  </w:r>
                </w:p>
              </w:tc>
            </w:tr>
            <w:tr w14:paraId="78C14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2630" w:type="dxa"/>
                  <w:vAlign w:val="center"/>
                </w:tcPr>
                <w:p w14:paraId="11C2F1DD">
                  <w:pPr>
                    <w:pStyle w:val="25"/>
                    <w:ind w:left="420" w:hanging="42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标准值</w:t>
                  </w:r>
                </w:p>
              </w:tc>
              <w:tc>
                <w:tcPr>
                  <w:tcW w:w="3210" w:type="dxa"/>
                  <w:vAlign w:val="center"/>
                </w:tcPr>
                <w:p w14:paraId="2DB606C7">
                  <w:pPr>
                    <w:pStyle w:val="25"/>
                    <w:ind w:left="420" w:hanging="42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70</w:t>
                  </w:r>
                </w:p>
              </w:tc>
              <w:tc>
                <w:tcPr>
                  <w:tcW w:w="3009" w:type="dxa"/>
                  <w:vAlign w:val="center"/>
                </w:tcPr>
                <w:p w14:paraId="0CDBB56B">
                  <w:pPr>
                    <w:pStyle w:val="25"/>
                    <w:ind w:left="420" w:hanging="42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55</w:t>
                  </w:r>
                </w:p>
              </w:tc>
            </w:tr>
          </w:tbl>
          <w:p w14:paraId="0B68D656">
            <w:pPr>
              <w:pStyle w:val="74"/>
              <w:ind w:firstLine="480"/>
              <w:rPr>
                <w:rFonts w:hint="default" w:ascii="Times New Roman" w:hAnsi="Times New Roman" w:eastAsia="宋体" w:cs="Times New Roman"/>
                <w:color w:val="auto"/>
              </w:rPr>
            </w:pPr>
          </w:p>
        </w:tc>
      </w:tr>
      <w:tr w14:paraId="6353DB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456" w:type="dxa"/>
            <w:vAlign w:val="center"/>
          </w:tcPr>
          <w:p w14:paraId="7D5DBA1D">
            <w:pPr>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其他</w:t>
            </w:r>
          </w:p>
        </w:tc>
        <w:tc>
          <w:tcPr>
            <w:tcW w:w="9075" w:type="dxa"/>
            <w:vAlign w:val="center"/>
          </w:tcPr>
          <w:p w14:paraId="3BF9A63B">
            <w:pPr>
              <w:spacing w:line="360" w:lineRule="auto"/>
              <w:ind w:firstLine="420" w:firstLineChars="200"/>
              <w:rPr>
                <w:rFonts w:hint="default" w:ascii="Times New Roman" w:hAnsi="Times New Roman" w:eastAsia="宋体" w:cs="Times New Roman"/>
                <w:color w:val="auto"/>
              </w:rPr>
            </w:pPr>
          </w:p>
          <w:p w14:paraId="010BFC1B">
            <w:pPr>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无</w:t>
            </w:r>
          </w:p>
          <w:p w14:paraId="75599E66">
            <w:pPr>
              <w:rPr>
                <w:rFonts w:hint="default" w:ascii="Times New Roman" w:hAnsi="Times New Roman" w:eastAsia="宋体" w:cs="Times New Roman"/>
                <w:color w:val="auto"/>
              </w:rPr>
            </w:pPr>
          </w:p>
        </w:tc>
      </w:tr>
    </w:tbl>
    <w:p w14:paraId="40D4FA29">
      <w:pPr>
        <w:pStyle w:val="28"/>
        <w:adjustRightInd w:val="0"/>
        <w:snapToGrid w:val="0"/>
        <w:spacing w:before="0" w:beforeAutospacing="0" w:after="0" w:afterAutospacing="0" w:line="14" w:lineRule="auto"/>
        <w:jc w:val="center"/>
        <w:outlineLvl w:val="0"/>
        <w:rPr>
          <w:rFonts w:hint="default" w:ascii="Times New Roman" w:hAnsi="Times New Roman" w:eastAsia="宋体" w:cs="Times New Roman"/>
          <w:snapToGrid w:val="0"/>
          <w:color w:val="auto"/>
          <w:kern w:val="2"/>
          <w:sz w:val="36"/>
          <w:szCs w:val="36"/>
        </w:rPr>
      </w:pPr>
    </w:p>
    <w:p w14:paraId="4316CAAF">
      <w:pPr>
        <w:widowControl/>
        <w:jc w:val="left"/>
        <w:rPr>
          <w:rFonts w:hint="default" w:ascii="Times New Roman" w:hAnsi="Times New Roman" w:eastAsia="宋体" w:cs="Times New Roman"/>
          <w:snapToGrid w:val="0"/>
          <w:color w:val="auto"/>
          <w:kern w:val="0"/>
          <w:sz w:val="30"/>
          <w:szCs w:val="30"/>
        </w:rPr>
      </w:pPr>
      <w:r>
        <w:rPr>
          <w:rFonts w:hint="default" w:ascii="Times New Roman" w:hAnsi="Times New Roman" w:eastAsia="宋体" w:cs="Times New Roman"/>
          <w:snapToGrid w:val="0"/>
          <w:color w:val="auto"/>
          <w:sz w:val="30"/>
          <w:szCs w:val="30"/>
        </w:rPr>
        <w:br w:type="page"/>
      </w:r>
    </w:p>
    <w:p w14:paraId="7BF85461">
      <w:pPr>
        <w:pStyle w:val="28"/>
        <w:jc w:val="center"/>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sz w:val="30"/>
          <w:szCs w:val="30"/>
        </w:rPr>
        <w:t>四、生态环境影响分析</w:t>
      </w:r>
    </w:p>
    <w:tbl>
      <w:tblPr>
        <w:tblStyle w:val="33"/>
        <w:tblW w:w="92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46"/>
        <w:gridCol w:w="8296"/>
      </w:tblGrid>
      <w:tr w14:paraId="341612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946" w:type="dxa"/>
            <w:tcMar>
              <w:left w:w="28" w:type="dxa"/>
              <w:right w:w="28" w:type="dxa"/>
            </w:tcMar>
            <w:vAlign w:val="center"/>
          </w:tcPr>
          <w:p w14:paraId="4BD84191">
            <w:pPr>
              <w:pStyle w:val="28"/>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bookmarkStart w:id="7" w:name="_Hlk49796138"/>
            <w:r>
              <w:rPr>
                <w:rFonts w:hint="default" w:ascii="Times New Roman" w:hAnsi="Times New Roman" w:eastAsia="宋体" w:cs="Times New Roman"/>
                <w:bCs/>
                <w:color w:val="auto"/>
                <w:spacing w:val="10"/>
                <w:kern w:val="2"/>
                <w:sz w:val="21"/>
                <w:szCs w:val="21"/>
              </w:rPr>
              <w:t>施工期生态环境影响分析</w:t>
            </w:r>
            <w:bookmarkEnd w:id="7"/>
          </w:p>
        </w:tc>
        <w:tc>
          <w:tcPr>
            <w:tcW w:w="8296" w:type="dxa"/>
          </w:tcPr>
          <w:p w14:paraId="24B3A2C2">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施工期主要环境影响如下</w:t>
            </w:r>
            <w:r>
              <w:rPr>
                <w:rFonts w:hint="default" w:ascii="Times New Roman" w:hAnsi="Times New Roman" w:eastAsia="宋体" w:cs="Times New Roman"/>
                <w:color w:val="auto"/>
                <w:lang w:eastAsia="zh-CN"/>
              </w:rPr>
              <w:t>：</w:t>
            </w:r>
          </w:p>
          <w:p w14:paraId="3B51F9DB">
            <w:pPr>
              <w:pStyle w:val="113"/>
              <w:ind w:firstLine="482"/>
              <w:rPr>
                <w:rFonts w:hint="default" w:ascii="Times New Roman" w:hAnsi="Times New Roman" w:eastAsia="宋体" w:cs="Times New Roman"/>
                <w:b/>
                <w:color w:val="auto"/>
              </w:rPr>
            </w:pPr>
            <w:r>
              <w:rPr>
                <w:rFonts w:hint="default" w:ascii="Times New Roman" w:hAnsi="Times New Roman" w:eastAsia="宋体" w:cs="Times New Roman"/>
                <w:b/>
                <w:color w:val="auto"/>
              </w:rPr>
              <w:t>1施工期废气</w:t>
            </w:r>
          </w:p>
          <w:p w14:paraId="2E48DB10">
            <w:pPr>
              <w:pStyle w:val="113"/>
              <w:ind w:firstLine="48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1.1施工扬尘污染</w:t>
            </w:r>
          </w:p>
          <w:p w14:paraId="7D851521">
            <w:pPr>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扬尘主要是基础开挖、土石方回填、装卸作业</w:t>
            </w:r>
            <w:r>
              <w:rPr>
                <w:rFonts w:hint="default" w:ascii="Times New Roman" w:hAnsi="Times New Roman" w:eastAsia="宋体" w:cs="Times New Roman"/>
                <w:color w:val="auto"/>
                <w:sz w:val="24"/>
                <w:lang w:eastAsia="zh-CN"/>
              </w:rPr>
              <w:t>、</w:t>
            </w:r>
            <w:r>
              <w:rPr>
                <w:rFonts w:hint="eastAsia" w:ascii="Times New Roman" w:hAnsi="Times New Roman" w:cs="Times New Roman"/>
                <w:color w:val="auto"/>
                <w:sz w:val="24"/>
                <w:lang w:val="en-US" w:eastAsia="zh-CN"/>
              </w:rPr>
              <w:t>混凝土拌和系统、料场、弃土弃渣</w:t>
            </w:r>
            <w:r>
              <w:rPr>
                <w:rFonts w:hint="default" w:ascii="Times New Roman" w:hAnsi="Times New Roman" w:eastAsia="宋体" w:cs="Times New Roman"/>
                <w:color w:val="auto"/>
                <w:sz w:val="24"/>
              </w:rPr>
              <w:t>和车辆运输等过程产生，其主要污染物为TSP；机动车尾气为燃油施工机械以及运输车辆产生，其主要污染物为SO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、NOx、CO等</w:t>
            </w:r>
            <w:r>
              <w:rPr>
                <w:rFonts w:hint="default" w:ascii="Times New Roman" w:hAnsi="Times New Roman" w:eastAsia="宋体" w:cs="Times New Roman"/>
                <w:color w:val="auto"/>
                <w:sz w:val="24"/>
                <w:lang w:eastAsia="zh-CN"/>
              </w:rPr>
              <w:t>。</w:t>
            </w:r>
          </w:p>
          <w:p w14:paraId="7DF2351E">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施工期扬尘按起尘的原因可分为风力起尘和动力起尘，其中风力起尘主要是由于露天堆放的建材及裸露的施工区表层浮尘因天气干燥及大风，产生风尘扬尘；而动力起尘，主要是在建材的装卸、搅拌过程中，由于外力而产生的尘粒再悬浮而造成，其中施工及装卸车辆造成的扬尘最为严重。</w:t>
            </w:r>
          </w:p>
          <w:p w14:paraId="693B04E1">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扬尘量的大小与施工现场条件、管理水平、机械化程度及施工季节、土质、天气等诸多因素有关，是一个复杂、较难定量的问题。施工扬尘最大产生时间将出现在土方阶段，由于该阶段裸露浮土较多，产尘量较大，因此工地</w:t>
            </w:r>
            <w:r>
              <w:rPr>
                <w:rFonts w:hint="eastAsia" w:ascii="Times New Roman" w:hAnsi="Times New Roman" w:cs="Times New Roman"/>
                <w:color w:val="auto"/>
                <w:lang w:val="en-US" w:eastAsia="zh-CN"/>
              </w:rPr>
              <w:t>应</w:t>
            </w:r>
            <w:r>
              <w:rPr>
                <w:rFonts w:hint="default" w:ascii="Times New Roman" w:hAnsi="Times New Roman" w:eastAsia="宋体" w:cs="Times New Roman"/>
                <w:color w:val="auto"/>
              </w:rPr>
              <w:t>最大限度控制受施工扬尘影响的范围。</w:t>
            </w:r>
          </w:p>
          <w:p w14:paraId="5BF879A1">
            <w:pPr>
              <w:pStyle w:val="113"/>
              <w:ind w:firstLine="48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rPr>
              <w:t>据有关文献资料介绍，车辆行驶产生的扬尘占总扬尘的60%</w:t>
            </w:r>
            <w:r>
              <w:rPr>
                <w:rFonts w:hint="default" w:ascii="Times New Roman" w:hAnsi="Times New Roman" w:eastAsia="宋体" w:cs="Times New Roman"/>
                <w:color w:val="auto"/>
                <w:lang w:eastAsia="zh-CN"/>
              </w:rPr>
              <w:t>以上</w:t>
            </w:r>
            <w:r>
              <w:rPr>
                <w:rFonts w:hint="default" w:ascii="Times New Roman" w:hAnsi="Times New Roman" w:eastAsia="宋体" w:cs="Times New Roman"/>
                <w:color w:val="auto"/>
              </w:rPr>
              <w:t>。车辆行驶产生的扬尘，在完全干燥情况下，可按下列经验公式计算：</w:t>
            </w:r>
          </w:p>
          <w:p w14:paraId="41982D57">
            <w:pPr>
              <w:pStyle w:val="113"/>
              <w:ind w:firstLine="48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rPr>
              <w:drawing>
                <wp:inline distT="0" distB="0" distL="0" distR="0">
                  <wp:extent cx="3223260" cy="262890"/>
                  <wp:effectExtent l="0" t="0" r="0" b="3810"/>
                  <wp:docPr id="118" name="图片 118" descr="C:\Users\ADMINI~1\AppData\Local\Temp\ksohtml15452\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C:\Users\ADMINI~1\AppData\Local\Temp\ksohtml15452\wps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223260" cy="262890"/>
                          </a:xfrm>
                          <a:prstGeom prst="rect">
                            <a:avLst/>
                          </a:prstGeom>
                          <a:noFill/>
                          <a:ln>
                            <a:noFill/>
                          </a:ln>
                        </pic:spPr>
                      </pic:pic>
                    </a:graphicData>
                  </a:graphic>
                </wp:inline>
              </w:drawing>
            </w:r>
          </w:p>
          <w:p w14:paraId="3300D820">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式中：Q——汽车行驶的扬尘，</w:t>
            </w:r>
            <w:r>
              <w:rPr>
                <w:rFonts w:hint="default" w:ascii="Times New Roman" w:hAnsi="Times New Roman" w:eastAsia="宋体" w:cs="Times New Roman"/>
                <w:color w:val="auto"/>
                <w:lang w:eastAsia="zh-CN"/>
              </w:rPr>
              <w:t>kg</w:t>
            </w:r>
            <w:r>
              <w:rPr>
                <w:rFonts w:hint="default" w:ascii="Times New Roman" w:hAnsi="Times New Roman" w:eastAsia="宋体" w:cs="Times New Roman"/>
                <w:color w:val="auto"/>
              </w:rPr>
              <w:t>/km·辆；</w:t>
            </w:r>
          </w:p>
          <w:p w14:paraId="3F42EF91">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V——汽车速度，Km/hr；</w:t>
            </w:r>
          </w:p>
          <w:p w14:paraId="125B26FD">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W——汽车载重量，吨；</w:t>
            </w:r>
          </w:p>
          <w:p w14:paraId="30F660E3">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P——道路表面粉尘量，kg/m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w:t>
            </w:r>
          </w:p>
          <w:p w14:paraId="5FAC4896">
            <w:pPr>
              <w:pStyle w:val="113"/>
              <w:ind w:firstLine="48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rPr>
              <w:t>下表为一辆10吨卡车，通过一段长度为1km的路面时，不同路面清洁程度，不同行驶速度情况下的扬尘量。由此可见，在同样路面清洁程度条件下，车速越快，扬尘量越大；而在同样车速情况下，路面越脏，则扬尘量越大。因此限速行驶及保持路面的清洁是减少汽车扬尘的有效手段</w:t>
            </w:r>
            <w:r>
              <w:rPr>
                <w:rFonts w:hint="default" w:ascii="Times New Roman" w:hAnsi="Times New Roman" w:eastAsia="宋体" w:cs="Times New Roman"/>
                <w:color w:val="auto"/>
                <w:sz w:val="26"/>
                <w:szCs w:val="26"/>
              </w:rPr>
              <w:t>。</w:t>
            </w:r>
          </w:p>
          <w:p w14:paraId="2FC87670">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表</w:t>
            </w:r>
            <w:r>
              <w:rPr>
                <w:rFonts w:hint="default" w:ascii="Times New Roman" w:hAnsi="Times New Roman" w:eastAsia="宋体" w:cs="Times New Roman"/>
                <w:b/>
                <w:color w:val="auto"/>
                <w:szCs w:val="21"/>
                <w:lang w:val="en-US" w:eastAsia="zh-CN"/>
              </w:rPr>
              <w:t>4-1</w:t>
            </w:r>
            <w:r>
              <w:rPr>
                <w:rFonts w:hint="default" w:ascii="Times New Roman" w:hAnsi="Times New Roman" w:eastAsia="宋体" w:cs="Times New Roman"/>
                <w:b/>
                <w:color w:val="auto"/>
                <w:szCs w:val="21"/>
              </w:rPr>
              <w:t>在不同车速和地面清洁程度的汽车扬尘（单位：kg/辆·km）</w:t>
            </w:r>
          </w:p>
          <w:tbl>
            <w:tblPr>
              <w:tblStyle w:val="33"/>
              <w:tblW w:w="791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43"/>
              <w:gridCol w:w="1230"/>
              <w:gridCol w:w="1088"/>
              <w:gridCol w:w="1088"/>
              <w:gridCol w:w="1088"/>
              <w:gridCol w:w="1088"/>
              <w:gridCol w:w="1088"/>
            </w:tblGrid>
            <w:tr w14:paraId="52690B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40" w:hRule="atLeast"/>
                <w:jc w:val="center"/>
              </w:trPr>
              <w:tc>
                <w:tcPr>
                  <w:tcW w:w="1243" w:type="dxa"/>
                  <w:tcBorders>
                    <w:top w:val="single" w:color="auto" w:sz="2" w:space="0"/>
                    <w:left w:val="single" w:color="auto" w:sz="2" w:space="0"/>
                    <w:bottom w:val="single" w:color="auto" w:sz="2" w:space="0"/>
                    <w:right w:val="single" w:color="auto" w:sz="2" w:space="0"/>
                  </w:tcBorders>
                  <w:shd w:val="clear" w:color="auto" w:fill="FFFFFF"/>
                  <w:vAlign w:val="center"/>
                </w:tcPr>
                <w:p w14:paraId="22FE81E1">
                  <w:pPr>
                    <w:pStyle w:val="7"/>
                    <w:spacing w:line="24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w:t>
                  </w:r>
                </w:p>
                <w:p w14:paraId="1D2772A0">
                  <w:pPr>
                    <w:pStyle w:val="7"/>
                    <w:spacing w:line="240" w:lineRule="exact"/>
                    <w:ind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车速</w:t>
                  </w:r>
                </w:p>
              </w:tc>
              <w:tc>
                <w:tcPr>
                  <w:tcW w:w="1230" w:type="dxa"/>
                  <w:tcBorders>
                    <w:top w:val="single" w:color="auto" w:sz="2" w:space="0"/>
                    <w:left w:val="nil"/>
                    <w:bottom w:val="single" w:color="auto" w:sz="2" w:space="0"/>
                    <w:right w:val="single" w:color="auto" w:sz="2" w:space="0"/>
                  </w:tcBorders>
                  <w:shd w:val="clear" w:color="auto" w:fill="FFFFFF"/>
                  <w:vAlign w:val="center"/>
                </w:tcPr>
                <w:p w14:paraId="029547F5">
                  <w:pPr>
                    <w:pStyle w:val="7"/>
                    <w:spacing w:line="24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w:t>
                  </w:r>
                </w:p>
                <w:p w14:paraId="199642AF">
                  <w:pPr>
                    <w:pStyle w:val="7"/>
                    <w:spacing w:line="240" w:lineRule="exact"/>
                    <w:ind w:firstLine="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kg/m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lang w:eastAsia="zh-CN"/>
                    </w:rPr>
                    <w:t>）</w:t>
                  </w:r>
                </w:p>
              </w:tc>
              <w:tc>
                <w:tcPr>
                  <w:tcW w:w="1088" w:type="dxa"/>
                  <w:tcBorders>
                    <w:top w:val="single" w:color="auto" w:sz="2" w:space="0"/>
                    <w:left w:val="nil"/>
                    <w:bottom w:val="single" w:color="auto" w:sz="2" w:space="0"/>
                    <w:right w:val="single" w:color="auto" w:sz="2" w:space="0"/>
                  </w:tcBorders>
                  <w:shd w:val="clear" w:color="auto" w:fill="FFFFFF"/>
                  <w:vAlign w:val="center"/>
                </w:tcPr>
                <w:p w14:paraId="1D76A80D">
                  <w:pPr>
                    <w:pStyle w:val="7"/>
                    <w:spacing w:line="24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p w14:paraId="3CD4C96C">
                  <w:pPr>
                    <w:pStyle w:val="7"/>
                    <w:spacing w:line="240" w:lineRule="exact"/>
                    <w:ind w:firstLine="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kg/m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lang w:eastAsia="zh-CN"/>
                    </w:rPr>
                    <w:t>）</w:t>
                  </w:r>
                </w:p>
              </w:tc>
              <w:tc>
                <w:tcPr>
                  <w:tcW w:w="1088" w:type="dxa"/>
                  <w:tcBorders>
                    <w:top w:val="single" w:color="auto" w:sz="2" w:space="0"/>
                    <w:left w:val="nil"/>
                    <w:bottom w:val="single" w:color="auto" w:sz="2" w:space="0"/>
                    <w:right w:val="single" w:color="auto" w:sz="2" w:space="0"/>
                  </w:tcBorders>
                  <w:shd w:val="clear" w:color="auto" w:fill="FFFFFF"/>
                  <w:vAlign w:val="center"/>
                </w:tcPr>
                <w:p w14:paraId="035E650D">
                  <w:pPr>
                    <w:pStyle w:val="7"/>
                    <w:spacing w:line="24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p w14:paraId="7EB536A1">
                  <w:pPr>
                    <w:pStyle w:val="7"/>
                    <w:spacing w:line="240" w:lineRule="exact"/>
                    <w:ind w:firstLine="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kg/m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lang w:eastAsia="zh-CN"/>
                    </w:rPr>
                    <w:t>）</w:t>
                  </w:r>
                </w:p>
              </w:tc>
              <w:tc>
                <w:tcPr>
                  <w:tcW w:w="1088" w:type="dxa"/>
                  <w:tcBorders>
                    <w:top w:val="single" w:color="auto" w:sz="2" w:space="0"/>
                    <w:left w:val="nil"/>
                    <w:bottom w:val="single" w:color="auto" w:sz="2" w:space="0"/>
                    <w:right w:val="single" w:color="auto" w:sz="2" w:space="0"/>
                  </w:tcBorders>
                  <w:shd w:val="clear" w:color="auto" w:fill="FFFFFF"/>
                  <w:vAlign w:val="center"/>
                </w:tcPr>
                <w:p w14:paraId="4B3C3239">
                  <w:pPr>
                    <w:pStyle w:val="7"/>
                    <w:spacing w:line="24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w:t>
                  </w:r>
                </w:p>
                <w:p w14:paraId="33086C8E">
                  <w:pPr>
                    <w:pStyle w:val="7"/>
                    <w:spacing w:line="240" w:lineRule="exact"/>
                    <w:ind w:firstLine="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kg/m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lang w:eastAsia="zh-CN"/>
                    </w:rPr>
                    <w:t>）</w:t>
                  </w:r>
                </w:p>
              </w:tc>
              <w:tc>
                <w:tcPr>
                  <w:tcW w:w="1088" w:type="dxa"/>
                  <w:tcBorders>
                    <w:top w:val="single" w:color="auto" w:sz="2" w:space="0"/>
                    <w:left w:val="nil"/>
                    <w:bottom w:val="single" w:color="auto" w:sz="2" w:space="0"/>
                    <w:right w:val="single" w:color="auto" w:sz="2" w:space="0"/>
                  </w:tcBorders>
                  <w:shd w:val="clear" w:color="auto" w:fill="FFFFFF"/>
                  <w:vAlign w:val="center"/>
                </w:tcPr>
                <w:p w14:paraId="3E9D9160">
                  <w:pPr>
                    <w:pStyle w:val="7"/>
                    <w:spacing w:line="24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p w14:paraId="5F5D2420">
                  <w:pPr>
                    <w:pStyle w:val="7"/>
                    <w:spacing w:line="240" w:lineRule="exact"/>
                    <w:ind w:firstLine="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kg/m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lang w:eastAsia="zh-CN"/>
                    </w:rPr>
                    <w:t>）</w:t>
                  </w:r>
                </w:p>
              </w:tc>
              <w:tc>
                <w:tcPr>
                  <w:tcW w:w="1088" w:type="dxa"/>
                  <w:tcBorders>
                    <w:top w:val="single" w:color="auto" w:sz="2" w:space="0"/>
                    <w:left w:val="nil"/>
                    <w:bottom w:val="single" w:color="auto" w:sz="2" w:space="0"/>
                    <w:right w:val="single" w:color="auto" w:sz="2" w:space="0"/>
                  </w:tcBorders>
                  <w:shd w:val="clear" w:color="auto" w:fill="FFFFFF"/>
                  <w:vAlign w:val="center"/>
                </w:tcPr>
                <w:p w14:paraId="0CCB1C23">
                  <w:pPr>
                    <w:pStyle w:val="7"/>
                    <w:spacing w:line="24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p w14:paraId="15453296">
                  <w:pPr>
                    <w:pStyle w:val="7"/>
                    <w:spacing w:line="240" w:lineRule="exact"/>
                    <w:ind w:firstLine="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kg/m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lang w:eastAsia="zh-CN"/>
                    </w:rPr>
                    <w:t>）</w:t>
                  </w:r>
                </w:p>
              </w:tc>
            </w:tr>
            <w:tr w14:paraId="4D9146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243" w:type="dxa"/>
                  <w:tcBorders>
                    <w:top w:val="single" w:color="auto" w:sz="2" w:space="0"/>
                    <w:left w:val="single" w:color="auto" w:sz="2" w:space="0"/>
                    <w:bottom w:val="single" w:color="auto" w:sz="2" w:space="0"/>
                    <w:right w:val="single" w:color="auto" w:sz="2" w:space="0"/>
                  </w:tcBorders>
                  <w:vAlign w:val="center"/>
                </w:tcPr>
                <w:p w14:paraId="5D6B8001">
                  <w:pPr>
                    <w:pStyle w:val="7"/>
                    <w:spacing w:line="320" w:lineRule="exact"/>
                    <w:ind w:firstLine="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5</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km/hr</w:t>
                  </w:r>
                  <w:r>
                    <w:rPr>
                      <w:rFonts w:hint="default" w:ascii="Times New Roman" w:hAnsi="Times New Roman" w:eastAsia="宋体" w:cs="Times New Roman"/>
                      <w:color w:val="auto"/>
                      <w:sz w:val="21"/>
                      <w:szCs w:val="21"/>
                      <w:lang w:eastAsia="zh-CN"/>
                    </w:rPr>
                    <w:t>）</w:t>
                  </w:r>
                </w:p>
              </w:tc>
              <w:tc>
                <w:tcPr>
                  <w:tcW w:w="1230" w:type="dxa"/>
                  <w:tcBorders>
                    <w:top w:val="single" w:color="auto" w:sz="2" w:space="0"/>
                    <w:left w:val="nil"/>
                    <w:bottom w:val="single" w:color="auto" w:sz="2" w:space="0"/>
                    <w:right w:val="single" w:color="auto" w:sz="2" w:space="0"/>
                  </w:tcBorders>
                  <w:vAlign w:val="center"/>
                </w:tcPr>
                <w:p w14:paraId="505FAE17">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0.051056</w:t>
                  </w:r>
                </w:p>
              </w:tc>
              <w:tc>
                <w:tcPr>
                  <w:tcW w:w="1088" w:type="dxa"/>
                  <w:tcBorders>
                    <w:top w:val="single" w:color="auto" w:sz="2" w:space="0"/>
                    <w:left w:val="nil"/>
                    <w:bottom w:val="single" w:color="auto" w:sz="2" w:space="0"/>
                    <w:right w:val="single" w:color="auto" w:sz="2" w:space="0"/>
                  </w:tcBorders>
                  <w:vAlign w:val="center"/>
                </w:tcPr>
                <w:p w14:paraId="10967463">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0.135865</w:t>
                  </w:r>
                </w:p>
              </w:tc>
              <w:tc>
                <w:tcPr>
                  <w:tcW w:w="1088" w:type="dxa"/>
                  <w:tcBorders>
                    <w:top w:val="single" w:color="auto" w:sz="2" w:space="0"/>
                    <w:left w:val="nil"/>
                    <w:bottom w:val="single" w:color="auto" w:sz="2" w:space="0"/>
                    <w:right w:val="single" w:color="auto" w:sz="2" w:space="0"/>
                  </w:tcBorders>
                  <w:vAlign w:val="center"/>
                </w:tcPr>
                <w:p w14:paraId="4C4675F6">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0.116382</w:t>
                  </w:r>
                </w:p>
              </w:tc>
              <w:tc>
                <w:tcPr>
                  <w:tcW w:w="1088" w:type="dxa"/>
                  <w:tcBorders>
                    <w:top w:val="single" w:color="auto" w:sz="2" w:space="0"/>
                    <w:left w:val="nil"/>
                    <w:bottom w:val="single" w:color="auto" w:sz="2" w:space="0"/>
                    <w:right w:val="single" w:color="auto" w:sz="2" w:space="0"/>
                  </w:tcBorders>
                  <w:vAlign w:val="center"/>
                </w:tcPr>
                <w:p w14:paraId="21439F19">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0.144408</w:t>
                  </w:r>
                </w:p>
              </w:tc>
              <w:tc>
                <w:tcPr>
                  <w:tcW w:w="1088" w:type="dxa"/>
                  <w:tcBorders>
                    <w:top w:val="single" w:color="auto" w:sz="2" w:space="0"/>
                    <w:left w:val="nil"/>
                    <w:bottom w:val="single" w:color="auto" w:sz="2" w:space="0"/>
                    <w:right w:val="single" w:color="auto" w:sz="2" w:space="0"/>
                  </w:tcBorders>
                  <w:vAlign w:val="center"/>
                </w:tcPr>
                <w:p w14:paraId="2B70099F">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0.170715</w:t>
                  </w:r>
                </w:p>
              </w:tc>
              <w:tc>
                <w:tcPr>
                  <w:tcW w:w="1088" w:type="dxa"/>
                  <w:tcBorders>
                    <w:top w:val="single" w:color="auto" w:sz="2" w:space="0"/>
                    <w:left w:val="nil"/>
                    <w:bottom w:val="single" w:color="auto" w:sz="2" w:space="0"/>
                    <w:right w:val="single" w:color="auto" w:sz="2" w:space="0"/>
                  </w:tcBorders>
                  <w:vAlign w:val="center"/>
                </w:tcPr>
                <w:p w14:paraId="643A63ED">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0.287108</w:t>
                  </w:r>
                </w:p>
              </w:tc>
            </w:tr>
            <w:tr w14:paraId="526D86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243" w:type="dxa"/>
                  <w:tcBorders>
                    <w:top w:val="single" w:color="auto" w:sz="2" w:space="0"/>
                    <w:left w:val="single" w:color="auto" w:sz="2" w:space="0"/>
                    <w:bottom w:val="single" w:color="auto" w:sz="2" w:space="0"/>
                    <w:right w:val="single" w:color="auto" w:sz="2" w:space="0"/>
                  </w:tcBorders>
                  <w:vAlign w:val="center"/>
                </w:tcPr>
                <w:p w14:paraId="44ED0E30">
                  <w:pPr>
                    <w:pStyle w:val="7"/>
                    <w:spacing w:line="320" w:lineRule="exact"/>
                    <w:ind w:firstLine="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km/hr</w:t>
                  </w:r>
                  <w:r>
                    <w:rPr>
                      <w:rFonts w:hint="default" w:ascii="Times New Roman" w:hAnsi="Times New Roman" w:eastAsia="宋体" w:cs="Times New Roman"/>
                      <w:color w:val="auto"/>
                      <w:sz w:val="21"/>
                      <w:szCs w:val="21"/>
                      <w:lang w:eastAsia="zh-CN"/>
                    </w:rPr>
                    <w:t>）</w:t>
                  </w:r>
                </w:p>
              </w:tc>
              <w:tc>
                <w:tcPr>
                  <w:tcW w:w="1230" w:type="dxa"/>
                  <w:tcBorders>
                    <w:top w:val="single" w:color="auto" w:sz="2" w:space="0"/>
                    <w:left w:val="nil"/>
                    <w:bottom w:val="single" w:color="auto" w:sz="2" w:space="0"/>
                    <w:right w:val="single" w:color="auto" w:sz="2" w:space="0"/>
                  </w:tcBorders>
                  <w:vAlign w:val="center"/>
                </w:tcPr>
                <w:p w14:paraId="73CF0C9C">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0.102112</w:t>
                  </w:r>
                </w:p>
              </w:tc>
              <w:tc>
                <w:tcPr>
                  <w:tcW w:w="1088" w:type="dxa"/>
                  <w:tcBorders>
                    <w:top w:val="single" w:color="auto" w:sz="2" w:space="0"/>
                    <w:left w:val="nil"/>
                    <w:bottom w:val="single" w:color="auto" w:sz="2" w:space="0"/>
                    <w:right w:val="single" w:color="auto" w:sz="2" w:space="0"/>
                  </w:tcBorders>
                  <w:vAlign w:val="center"/>
                </w:tcPr>
                <w:p w14:paraId="17A9176A">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0.171731</w:t>
                  </w:r>
                </w:p>
              </w:tc>
              <w:tc>
                <w:tcPr>
                  <w:tcW w:w="1088" w:type="dxa"/>
                  <w:tcBorders>
                    <w:top w:val="single" w:color="auto" w:sz="2" w:space="0"/>
                    <w:left w:val="nil"/>
                    <w:bottom w:val="single" w:color="auto" w:sz="2" w:space="0"/>
                    <w:right w:val="single" w:color="auto" w:sz="2" w:space="0"/>
                  </w:tcBorders>
                  <w:vAlign w:val="center"/>
                </w:tcPr>
                <w:p w14:paraId="00526F55">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0.232764</w:t>
                  </w:r>
                </w:p>
              </w:tc>
              <w:tc>
                <w:tcPr>
                  <w:tcW w:w="1088" w:type="dxa"/>
                  <w:tcBorders>
                    <w:top w:val="single" w:color="auto" w:sz="2" w:space="0"/>
                    <w:left w:val="nil"/>
                    <w:bottom w:val="single" w:color="auto" w:sz="2" w:space="0"/>
                    <w:right w:val="single" w:color="auto" w:sz="2" w:space="0"/>
                  </w:tcBorders>
                  <w:vAlign w:val="center"/>
                </w:tcPr>
                <w:p w14:paraId="17CDF21C">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0.288815</w:t>
                  </w:r>
                </w:p>
              </w:tc>
              <w:tc>
                <w:tcPr>
                  <w:tcW w:w="1088" w:type="dxa"/>
                  <w:tcBorders>
                    <w:top w:val="single" w:color="auto" w:sz="2" w:space="0"/>
                    <w:left w:val="nil"/>
                    <w:bottom w:val="single" w:color="auto" w:sz="2" w:space="0"/>
                    <w:right w:val="single" w:color="auto" w:sz="2" w:space="0"/>
                  </w:tcBorders>
                  <w:vAlign w:val="center"/>
                </w:tcPr>
                <w:p w14:paraId="5FEC2EF3">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0.341431</w:t>
                  </w:r>
                </w:p>
              </w:tc>
              <w:tc>
                <w:tcPr>
                  <w:tcW w:w="1088" w:type="dxa"/>
                  <w:tcBorders>
                    <w:top w:val="single" w:color="auto" w:sz="2" w:space="0"/>
                    <w:left w:val="nil"/>
                    <w:bottom w:val="single" w:color="auto" w:sz="2" w:space="0"/>
                    <w:right w:val="single" w:color="auto" w:sz="2" w:space="0"/>
                  </w:tcBorders>
                  <w:vAlign w:val="center"/>
                </w:tcPr>
                <w:p w14:paraId="7A97BB73">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0.574216</w:t>
                  </w:r>
                </w:p>
              </w:tc>
            </w:tr>
            <w:tr w14:paraId="570EB4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243" w:type="dxa"/>
                  <w:tcBorders>
                    <w:top w:val="single" w:color="auto" w:sz="2" w:space="0"/>
                    <w:left w:val="single" w:color="auto" w:sz="2" w:space="0"/>
                    <w:bottom w:val="single" w:color="auto" w:sz="2" w:space="0"/>
                    <w:right w:val="single" w:color="auto" w:sz="2" w:space="0"/>
                  </w:tcBorders>
                  <w:vAlign w:val="center"/>
                </w:tcPr>
                <w:p w14:paraId="19810C5C">
                  <w:pPr>
                    <w:pStyle w:val="7"/>
                    <w:spacing w:line="320" w:lineRule="exact"/>
                    <w:ind w:firstLine="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15</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km/hr</w:t>
                  </w:r>
                  <w:r>
                    <w:rPr>
                      <w:rFonts w:hint="default" w:ascii="Times New Roman" w:hAnsi="Times New Roman" w:eastAsia="宋体" w:cs="Times New Roman"/>
                      <w:color w:val="auto"/>
                      <w:sz w:val="21"/>
                      <w:szCs w:val="21"/>
                      <w:lang w:eastAsia="zh-CN"/>
                    </w:rPr>
                    <w:t>）</w:t>
                  </w:r>
                </w:p>
              </w:tc>
              <w:tc>
                <w:tcPr>
                  <w:tcW w:w="1230" w:type="dxa"/>
                  <w:tcBorders>
                    <w:top w:val="single" w:color="auto" w:sz="2" w:space="0"/>
                    <w:left w:val="nil"/>
                    <w:bottom w:val="single" w:color="auto" w:sz="2" w:space="0"/>
                    <w:right w:val="single" w:color="auto" w:sz="2" w:space="0"/>
                  </w:tcBorders>
                  <w:vAlign w:val="center"/>
                </w:tcPr>
                <w:p w14:paraId="6E62A955">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0.153167</w:t>
                  </w:r>
                </w:p>
              </w:tc>
              <w:tc>
                <w:tcPr>
                  <w:tcW w:w="1088" w:type="dxa"/>
                  <w:tcBorders>
                    <w:top w:val="single" w:color="auto" w:sz="2" w:space="0"/>
                    <w:left w:val="nil"/>
                    <w:bottom w:val="single" w:color="auto" w:sz="2" w:space="0"/>
                    <w:right w:val="single" w:color="auto" w:sz="2" w:space="0"/>
                  </w:tcBorders>
                  <w:vAlign w:val="center"/>
                </w:tcPr>
                <w:p w14:paraId="7085BC16">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0.257596</w:t>
                  </w:r>
                </w:p>
              </w:tc>
              <w:tc>
                <w:tcPr>
                  <w:tcW w:w="1088" w:type="dxa"/>
                  <w:tcBorders>
                    <w:top w:val="single" w:color="auto" w:sz="2" w:space="0"/>
                    <w:left w:val="nil"/>
                    <w:bottom w:val="single" w:color="auto" w:sz="2" w:space="0"/>
                    <w:right w:val="single" w:color="auto" w:sz="2" w:space="0"/>
                  </w:tcBorders>
                  <w:vAlign w:val="center"/>
                </w:tcPr>
                <w:p w14:paraId="786393AC">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0.349146</w:t>
                  </w:r>
                </w:p>
              </w:tc>
              <w:tc>
                <w:tcPr>
                  <w:tcW w:w="1088" w:type="dxa"/>
                  <w:tcBorders>
                    <w:top w:val="single" w:color="auto" w:sz="2" w:space="0"/>
                    <w:left w:val="nil"/>
                    <w:bottom w:val="single" w:color="auto" w:sz="2" w:space="0"/>
                    <w:right w:val="single" w:color="auto" w:sz="2" w:space="0"/>
                  </w:tcBorders>
                  <w:vAlign w:val="center"/>
                </w:tcPr>
                <w:p w14:paraId="4457ABB4">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0.433223</w:t>
                  </w:r>
                </w:p>
              </w:tc>
              <w:tc>
                <w:tcPr>
                  <w:tcW w:w="1088" w:type="dxa"/>
                  <w:tcBorders>
                    <w:top w:val="single" w:color="auto" w:sz="2" w:space="0"/>
                    <w:left w:val="nil"/>
                    <w:bottom w:val="single" w:color="auto" w:sz="2" w:space="0"/>
                    <w:right w:val="single" w:color="auto" w:sz="2" w:space="0"/>
                  </w:tcBorders>
                  <w:vAlign w:val="center"/>
                </w:tcPr>
                <w:p w14:paraId="57E64BDA">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0.512146</w:t>
                  </w:r>
                </w:p>
              </w:tc>
              <w:tc>
                <w:tcPr>
                  <w:tcW w:w="1088" w:type="dxa"/>
                  <w:tcBorders>
                    <w:top w:val="single" w:color="auto" w:sz="2" w:space="0"/>
                    <w:left w:val="nil"/>
                    <w:bottom w:val="single" w:color="auto" w:sz="2" w:space="0"/>
                    <w:right w:val="single" w:color="auto" w:sz="2" w:space="0"/>
                  </w:tcBorders>
                  <w:vAlign w:val="center"/>
                </w:tcPr>
                <w:p w14:paraId="1726F7F9">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0.861323</w:t>
                  </w:r>
                </w:p>
              </w:tc>
            </w:tr>
            <w:tr w14:paraId="556268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243" w:type="dxa"/>
                  <w:tcBorders>
                    <w:top w:val="single" w:color="auto" w:sz="2" w:space="0"/>
                    <w:left w:val="single" w:color="auto" w:sz="2" w:space="0"/>
                    <w:bottom w:val="single" w:color="auto" w:sz="2" w:space="0"/>
                    <w:right w:val="single" w:color="auto" w:sz="2" w:space="0"/>
                  </w:tcBorders>
                  <w:vAlign w:val="center"/>
                </w:tcPr>
                <w:p w14:paraId="7E0BE4EC">
                  <w:pPr>
                    <w:pStyle w:val="7"/>
                    <w:spacing w:line="320" w:lineRule="exact"/>
                    <w:ind w:firstLine="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25</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km/hr</w:t>
                  </w:r>
                  <w:r>
                    <w:rPr>
                      <w:rFonts w:hint="default" w:ascii="Times New Roman" w:hAnsi="Times New Roman" w:eastAsia="宋体" w:cs="Times New Roman"/>
                      <w:color w:val="auto"/>
                      <w:sz w:val="21"/>
                      <w:szCs w:val="21"/>
                      <w:lang w:eastAsia="zh-CN"/>
                    </w:rPr>
                    <w:t>）</w:t>
                  </w:r>
                </w:p>
              </w:tc>
              <w:tc>
                <w:tcPr>
                  <w:tcW w:w="1230" w:type="dxa"/>
                  <w:tcBorders>
                    <w:top w:val="single" w:color="auto" w:sz="2" w:space="0"/>
                    <w:left w:val="nil"/>
                    <w:bottom w:val="single" w:color="auto" w:sz="2" w:space="0"/>
                    <w:right w:val="single" w:color="auto" w:sz="2" w:space="0"/>
                  </w:tcBorders>
                  <w:vAlign w:val="center"/>
                </w:tcPr>
                <w:p w14:paraId="3DD1A64C">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0.255279</w:t>
                  </w:r>
                </w:p>
              </w:tc>
              <w:tc>
                <w:tcPr>
                  <w:tcW w:w="1088" w:type="dxa"/>
                  <w:tcBorders>
                    <w:top w:val="single" w:color="auto" w:sz="2" w:space="0"/>
                    <w:left w:val="nil"/>
                    <w:bottom w:val="single" w:color="auto" w:sz="2" w:space="0"/>
                    <w:right w:val="single" w:color="auto" w:sz="2" w:space="0"/>
                  </w:tcBorders>
                  <w:vAlign w:val="center"/>
                </w:tcPr>
                <w:p w14:paraId="25484C4E">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0.429326</w:t>
                  </w:r>
                </w:p>
              </w:tc>
              <w:tc>
                <w:tcPr>
                  <w:tcW w:w="1088" w:type="dxa"/>
                  <w:tcBorders>
                    <w:top w:val="single" w:color="auto" w:sz="2" w:space="0"/>
                    <w:left w:val="nil"/>
                    <w:bottom w:val="single" w:color="auto" w:sz="2" w:space="0"/>
                    <w:right w:val="single" w:color="auto" w:sz="2" w:space="0"/>
                  </w:tcBorders>
                  <w:vAlign w:val="center"/>
                </w:tcPr>
                <w:p w14:paraId="5FFAF161">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0.58191</w:t>
                  </w:r>
                </w:p>
              </w:tc>
              <w:tc>
                <w:tcPr>
                  <w:tcW w:w="1088" w:type="dxa"/>
                  <w:tcBorders>
                    <w:top w:val="single" w:color="auto" w:sz="2" w:space="0"/>
                    <w:left w:val="nil"/>
                    <w:bottom w:val="single" w:color="auto" w:sz="2" w:space="0"/>
                    <w:right w:val="single" w:color="auto" w:sz="2" w:space="0"/>
                  </w:tcBorders>
                  <w:vAlign w:val="center"/>
                </w:tcPr>
                <w:p w14:paraId="78C3BB6B">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0.722038</w:t>
                  </w:r>
                </w:p>
              </w:tc>
              <w:tc>
                <w:tcPr>
                  <w:tcW w:w="1088" w:type="dxa"/>
                  <w:tcBorders>
                    <w:top w:val="single" w:color="auto" w:sz="2" w:space="0"/>
                    <w:left w:val="nil"/>
                    <w:bottom w:val="single" w:color="auto" w:sz="2" w:space="0"/>
                    <w:right w:val="single" w:color="auto" w:sz="2" w:space="0"/>
                  </w:tcBorders>
                  <w:vAlign w:val="center"/>
                </w:tcPr>
                <w:p w14:paraId="63891762">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0.853577</w:t>
                  </w:r>
                </w:p>
              </w:tc>
              <w:tc>
                <w:tcPr>
                  <w:tcW w:w="1088" w:type="dxa"/>
                  <w:tcBorders>
                    <w:top w:val="single" w:color="auto" w:sz="2" w:space="0"/>
                    <w:left w:val="nil"/>
                    <w:bottom w:val="single" w:color="auto" w:sz="2" w:space="0"/>
                    <w:right w:val="single" w:color="auto" w:sz="2" w:space="0"/>
                  </w:tcBorders>
                  <w:vAlign w:val="center"/>
                </w:tcPr>
                <w:p w14:paraId="55FBB90C">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1.435539</w:t>
                  </w:r>
                </w:p>
              </w:tc>
            </w:tr>
          </w:tbl>
          <w:p w14:paraId="327C3851">
            <w:pPr>
              <w:pStyle w:val="113"/>
              <w:ind w:firstLine="480"/>
              <w:rPr>
                <w:rFonts w:hint="default" w:ascii="Times New Roman" w:hAnsi="Times New Roman" w:eastAsia="宋体" w:cs="Times New Roman"/>
                <w:color w:val="0000C7"/>
              </w:rPr>
            </w:pPr>
            <w:r>
              <w:rPr>
                <w:rFonts w:hint="default" w:ascii="Times New Roman" w:hAnsi="Times New Roman" w:eastAsia="宋体" w:cs="Times New Roman"/>
                <w:color w:val="0000C7"/>
              </w:rPr>
              <w:t>施工期扬尘的另一个主要原因是露天堆场和裸露场地的风力扬尘。由于</w:t>
            </w:r>
            <w:r>
              <w:rPr>
                <w:rFonts w:hint="default" w:ascii="Times New Roman" w:hAnsi="Times New Roman" w:eastAsia="宋体" w:cs="Times New Roman"/>
                <w:color w:val="0000C7"/>
                <w:sz w:val="24"/>
                <w:lang w:val="en-US" w:eastAsia="zh-CN"/>
              </w:rPr>
              <w:t>渠系建筑物</w:t>
            </w:r>
            <w:r>
              <w:rPr>
                <w:rFonts w:hint="default" w:ascii="Times New Roman" w:hAnsi="Times New Roman" w:eastAsia="宋体" w:cs="Times New Roman"/>
                <w:color w:val="0000C7"/>
              </w:rPr>
              <w:t>施工的需要，一些建材需露天堆放；一些施工点表层土壤需人工开挖、堆放，在气候干燥又有风的情况下，会产生扬尘，其扬尘可按堆场起尘的经验公式计算：</w:t>
            </w:r>
          </w:p>
          <w:p w14:paraId="2515CBB8">
            <w:pPr>
              <w:pStyle w:val="113"/>
              <w:ind w:firstLine="480"/>
              <w:rPr>
                <w:rFonts w:hint="default" w:ascii="Times New Roman" w:hAnsi="Times New Roman" w:eastAsia="宋体" w:cs="Times New Roman"/>
                <w:color w:val="0000C7"/>
                <w:sz w:val="26"/>
                <w:szCs w:val="26"/>
              </w:rPr>
            </w:pPr>
            <w:r>
              <w:rPr>
                <w:rFonts w:hint="default" w:ascii="Times New Roman" w:hAnsi="Times New Roman" w:eastAsia="宋体" w:cs="Times New Roman"/>
                <w:color w:val="0000C7"/>
              </w:rPr>
              <w:drawing>
                <wp:inline distT="0" distB="0" distL="0" distR="0">
                  <wp:extent cx="1828800" cy="285750"/>
                  <wp:effectExtent l="0" t="0" r="0" b="0"/>
                  <wp:docPr id="116" name="图片 116" descr="C:\Users\ADMINI~1\AppData\Local\Temp\ksohtml15452\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C:\Users\ADMINI~1\AppData\Local\Temp\ksohtml15452\wps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828800" cy="285750"/>
                          </a:xfrm>
                          <a:prstGeom prst="rect">
                            <a:avLst/>
                          </a:prstGeom>
                          <a:noFill/>
                          <a:ln>
                            <a:noFill/>
                          </a:ln>
                        </pic:spPr>
                      </pic:pic>
                    </a:graphicData>
                  </a:graphic>
                </wp:inline>
              </w:drawing>
            </w:r>
          </w:p>
          <w:p w14:paraId="2F59B143">
            <w:pPr>
              <w:pStyle w:val="113"/>
              <w:ind w:firstLine="480"/>
              <w:rPr>
                <w:rFonts w:hint="default" w:ascii="Times New Roman" w:hAnsi="Times New Roman" w:eastAsia="宋体" w:cs="Times New Roman"/>
                <w:color w:val="0000C7"/>
              </w:rPr>
            </w:pPr>
            <w:r>
              <w:rPr>
                <w:rFonts w:hint="default" w:ascii="Times New Roman" w:hAnsi="Times New Roman" w:eastAsia="宋体" w:cs="Times New Roman"/>
                <w:color w:val="0000C7"/>
              </w:rPr>
              <w:t>式中：Q——起尘量，kg/吨·年；</w:t>
            </w:r>
          </w:p>
          <w:p w14:paraId="5548F953">
            <w:pPr>
              <w:pStyle w:val="113"/>
              <w:ind w:firstLine="480"/>
              <w:rPr>
                <w:rFonts w:hint="default" w:ascii="Times New Roman" w:hAnsi="Times New Roman" w:eastAsia="宋体" w:cs="Times New Roman"/>
                <w:color w:val="0000C7"/>
              </w:rPr>
            </w:pPr>
            <w:r>
              <w:rPr>
                <w:rFonts w:hint="default" w:ascii="Times New Roman" w:hAnsi="Times New Roman" w:eastAsia="宋体" w:cs="Times New Roman"/>
                <w:color w:val="0000C7"/>
              </w:rPr>
              <w:t>V</w:t>
            </w:r>
            <w:r>
              <w:rPr>
                <w:rFonts w:hint="default" w:ascii="Times New Roman" w:hAnsi="Times New Roman" w:eastAsia="宋体" w:cs="Times New Roman"/>
                <w:color w:val="0000C7"/>
                <w:vertAlign w:val="subscript"/>
              </w:rPr>
              <w:t>50</w:t>
            </w:r>
            <w:r>
              <w:rPr>
                <w:rFonts w:hint="default" w:ascii="Times New Roman" w:hAnsi="Times New Roman" w:eastAsia="宋体" w:cs="Times New Roman"/>
                <w:color w:val="0000C7"/>
              </w:rPr>
              <w:t>——距地面50m处风速，m/s；</w:t>
            </w:r>
          </w:p>
          <w:p w14:paraId="43268DF1">
            <w:pPr>
              <w:pStyle w:val="113"/>
              <w:ind w:firstLine="480"/>
              <w:rPr>
                <w:rFonts w:hint="default" w:ascii="Times New Roman" w:hAnsi="Times New Roman" w:eastAsia="宋体" w:cs="Times New Roman"/>
                <w:color w:val="0000C7"/>
              </w:rPr>
            </w:pPr>
            <w:r>
              <w:rPr>
                <w:rFonts w:hint="default" w:ascii="Times New Roman" w:hAnsi="Times New Roman" w:eastAsia="宋体" w:cs="Times New Roman"/>
                <w:color w:val="0000C7"/>
              </w:rPr>
              <w:t>V</w:t>
            </w:r>
            <w:r>
              <w:rPr>
                <w:rFonts w:hint="default" w:ascii="Times New Roman" w:hAnsi="Times New Roman" w:eastAsia="宋体" w:cs="Times New Roman"/>
                <w:color w:val="0000C7"/>
                <w:vertAlign w:val="subscript"/>
              </w:rPr>
              <w:t>0</w:t>
            </w:r>
            <w:r>
              <w:rPr>
                <w:rFonts w:hint="default" w:ascii="Times New Roman" w:hAnsi="Times New Roman" w:eastAsia="宋体" w:cs="Times New Roman"/>
                <w:color w:val="0000C7"/>
              </w:rPr>
              <w:t>——起尘</w:t>
            </w:r>
            <w:bookmarkStart w:id="8" w:name="_Hlt9132753"/>
            <w:bookmarkEnd w:id="8"/>
            <w:r>
              <w:rPr>
                <w:rFonts w:hint="default" w:ascii="Times New Roman" w:hAnsi="Times New Roman" w:eastAsia="宋体" w:cs="Times New Roman"/>
                <w:color w:val="0000C7"/>
              </w:rPr>
              <w:t>风速，m/s；</w:t>
            </w:r>
          </w:p>
          <w:p w14:paraId="576ECD61">
            <w:pPr>
              <w:pStyle w:val="113"/>
              <w:ind w:firstLine="480"/>
              <w:rPr>
                <w:rFonts w:hint="default" w:ascii="Times New Roman" w:hAnsi="Times New Roman" w:eastAsia="宋体" w:cs="Times New Roman"/>
                <w:color w:val="0000C7"/>
              </w:rPr>
            </w:pPr>
            <w:r>
              <w:rPr>
                <w:rFonts w:hint="default" w:ascii="Times New Roman" w:hAnsi="Times New Roman" w:eastAsia="宋体" w:cs="Times New Roman"/>
                <w:color w:val="0000C7"/>
              </w:rPr>
              <w:t>W——尘粒的含水率，%。</w:t>
            </w:r>
          </w:p>
          <w:p w14:paraId="580D7554">
            <w:pPr>
              <w:pStyle w:val="113"/>
              <w:ind w:firstLine="480"/>
              <w:rPr>
                <w:rFonts w:hint="default" w:ascii="Times New Roman" w:hAnsi="Times New Roman" w:eastAsia="宋体" w:cs="Times New Roman"/>
                <w:color w:val="0000C7"/>
              </w:rPr>
            </w:pPr>
            <w:r>
              <w:rPr>
                <w:rFonts w:hint="default" w:ascii="Times New Roman" w:hAnsi="Times New Roman" w:eastAsia="宋体" w:cs="Times New Roman"/>
                <w:color w:val="0000C7"/>
              </w:rPr>
              <w:t>V</w:t>
            </w:r>
            <w:r>
              <w:rPr>
                <w:rFonts w:hint="default" w:ascii="Times New Roman" w:hAnsi="Times New Roman" w:eastAsia="宋体" w:cs="Times New Roman"/>
                <w:color w:val="0000C7"/>
                <w:vertAlign w:val="subscript"/>
              </w:rPr>
              <w:t>0</w:t>
            </w:r>
            <w:r>
              <w:rPr>
                <w:rFonts w:hint="default" w:ascii="Times New Roman" w:hAnsi="Times New Roman" w:eastAsia="宋体" w:cs="Times New Roman"/>
                <w:color w:val="0000C7"/>
              </w:rPr>
              <w:t>与粒径和含水率有关，因此，减少露天堆放和保证一定的含水率及减少裸露地面是减少风力起尘的有效手段。</w:t>
            </w:r>
          </w:p>
          <w:p w14:paraId="59DB00BC">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尘粒在空气中的传播扩散情况与风速等气象条件有关，也与尘粒本身的沉降速度有关。以沙尘为例，不同粒径的尘粒的沉降速度见下表。由表可知，尘粒的沉降速度随粒径的增大而迅速增大。当粒径为250μm时，沉降速度为1.005m/s，因此可以认为当尘粒大于250μm时，主要影响范围在扬尘点下风向近距离范围内，而真正对外环境产生影响的是一些微小尘粒。根据现场的气候情况不同，其影响范围也有所不同。</w:t>
            </w:r>
          </w:p>
          <w:p w14:paraId="0ECFED9F">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表</w:t>
            </w:r>
            <w:r>
              <w:rPr>
                <w:rFonts w:hint="default" w:ascii="Times New Roman" w:hAnsi="Times New Roman" w:eastAsia="宋体" w:cs="Times New Roman"/>
                <w:b/>
                <w:color w:val="auto"/>
                <w:szCs w:val="21"/>
                <w:lang w:val="en-US" w:eastAsia="zh-CN"/>
              </w:rPr>
              <w:t>4-2</w:t>
            </w:r>
            <w:r>
              <w:rPr>
                <w:rFonts w:hint="default" w:ascii="Times New Roman" w:hAnsi="Times New Roman" w:eastAsia="宋体" w:cs="Times New Roman"/>
                <w:b/>
                <w:color w:val="auto"/>
                <w:szCs w:val="21"/>
              </w:rPr>
              <w:t>不同粒径尘粒的沉降速度</w:t>
            </w:r>
          </w:p>
          <w:tbl>
            <w:tblPr>
              <w:tblStyle w:val="33"/>
              <w:tblW w:w="791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677"/>
              <w:gridCol w:w="890"/>
              <w:gridCol w:w="891"/>
              <w:gridCol w:w="891"/>
              <w:gridCol w:w="891"/>
              <w:gridCol w:w="891"/>
              <w:gridCol w:w="891"/>
              <w:gridCol w:w="891"/>
            </w:tblGrid>
            <w:tr w14:paraId="795709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677" w:type="dxa"/>
                  <w:tcBorders>
                    <w:top w:val="single" w:color="auto" w:sz="2" w:space="0"/>
                    <w:left w:val="single" w:color="auto" w:sz="2" w:space="0"/>
                    <w:bottom w:val="single" w:color="auto" w:sz="2" w:space="0"/>
                    <w:right w:val="single" w:color="auto" w:sz="2" w:space="0"/>
                  </w:tcBorders>
                  <w:shd w:val="clear" w:color="auto" w:fill="FFFFFF"/>
                  <w:vAlign w:val="center"/>
                </w:tcPr>
                <w:p w14:paraId="1A7BBB57">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粒径，μm</w:t>
                  </w:r>
                </w:p>
              </w:tc>
              <w:tc>
                <w:tcPr>
                  <w:tcW w:w="890" w:type="dxa"/>
                  <w:tcBorders>
                    <w:top w:val="single" w:color="auto" w:sz="2" w:space="0"/>
                    <w:left w:val="nil"/>
                    <w:bottom w:val="single" w:color="auto" w:sz="2" w:space="0"/>
                    <w:right w:val="single" w:color="auto" w:sz="2" w:space="0"/>
                  </w:tcBorders>
                  <w:shd w:val="clear" w:color="auto" w:fill="FFFFFF"/>
                  <w:vAlign w:val="center"/>
                </w:tcPr>
                <w:p w14:paraId="48C07EE7">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891" w:type="dxa"/>
                  <w:tcBorders>
                    <w:top w:val="single" w:color="auto" w:sz="2" w:space="0"/>
                    <w:left w:val="nil"/>
                    <w:bottom w:val="single" w:color="auto" w:sz="2" w:space="0"/>
                    <w:right w:val="single" w:color="auto" w:sz="2" w:space="0"/>
                  </w:tcBorders>
                  <w:shd w:val="clear" w:color="auto" w:fill="FFFFFF"/>
                  <w:vAlign w:val="center"/>
                </w:tcPr>
                <w:p w14:paraId="1AD76AC0">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891" w:type="dxa"/>
                  <w:tcBorders>
                    <w:top w:val="single" w:color="auto" w:sz="2" w:space="0"/>
                    <w:left w:val="nil"/>
                    <w:bottom w:val="single" w:color="auto" w:sz="2" w:space="0"/>
                    <w:right w:val="single" w:color="auto" w:sz="2" w:space="0"/>
                  </w:tcBorders>
                  <w:shd w:val="clear" w:color="auto" w:fill="FFFFFF"/>
                  <w:vAlign w:val="center"/>
                </w:tcPr>
                <w:p w14:paraId="5AFE071F">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891" w:type="dxa"/>
                  <w:tcBorders>
                    <w:top w:val="single" w:color="auto" w:sz="2" w:space="0"/>
                    <w:left w:val="nil"/>
                    <w:bottom w:val="single" w:color="auto" w:sz="2" w:space="0"/>
                    <w:right w:val="single" w:color="auto" w:sz="2" w:space="0"/>
                  </w:tcBorders>
                  <w:shd w:val="clear" w:color="auto" w:fill="FFFFFF"/>
                  <w:vAlign w:val="center"/>
                </w:tcPr>
                <w:p w14:paraId="42895A13">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891" w:type="dxa"/>
                  <w:tcBorders>
                    <w:top w:val="single" w:color="auto" w:sz="2" w:space="0"/>
                    <w:left w:val="nil"/>
                    <w:bottom w:val="single" w:color="auto" w:sz="2" w:space="0"/>
                    <w:right w:val="single" w:color="auto" w:sz="2" w:space="0"/>
                  </w:tcBorders>
                  <w:shd w:val="clear" w:color="auto" w:fill="FFFFFF"/>
                  <w:vAlign w:val="center"/>
                </w:tcPr>
                <w:p w14:paraId="00A8FA39">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891" w:type="dxa"/>
                  <w:tcBorders>
                    <w:top w:val="single" w:color="auto" w:sz="2" w:space="0"/>
                    <w:left w:val="nil"/>
                    <w:bottom w:val="single" w:color="auto" w:sz="2" w:space="0"/>
                    <w:right w:val="single" w:color="auto" w:sz="2" w:space="0"/>
                  </w:tcBorders>
                  <w:shd w:val="clear" w:color="auto" w:fill="FFFFFF"/>
                  <w:vAlign w:val="center"/>
                </w:tcPr>
                <w:p w14:paraId="2CB59AFA">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891" w:type="dxa"/>
                  <w:tcBorders>
                    <w:top w:val="single" w:color="auto" w:sz="2" w:space="0"/>
                    <w:left w:val="nil"/>
                    <w:bottom w:val="single" w:color="auto" w:sz="2" w:space="0"/>
                    <w:right w:val="single" w:color="auto" w:sz="2" w:space="0"/>
                  </w:tcBorders>
                  <w:shd w:val="clear" w:color="auto" w:fill="FFFFFF"/>
                  <w:vAlign w:val="center"/>
                </w:tcPr>
                <w:p w14:paraId="23AD70E3">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r>
            <w:tr w14:paraId="33F431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677" w:type="dxa"/>
                  <w:tcBorders>
                    <w:top w:val="single" w:color="auto" w:sz="2" w:space="0"/>
                    <w:left w:val="single" w:color="auto" w:sz="2" w:space="0"/>
                    <w:bottom w:val="single" w:color="auto" w:sz="2" w:space="0"/>
                    <w:right w:val="single" w:color="auto" w:sz="2" w:space="0"/>
                  </w:tcBorders>
                  <w:vAlign w:val="center"/>
                </w:tcPr>
                <w:p w14:paraId="53B1974C">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沉降速度，m/s</w:t>
                  </w:r>
                </w:p>
              </w:tc>
              <w:tc>
                <w:tcPr>
                  <w:tcW w:w="890" w:type="dxa"/>
                  <w:tcBorders>
                    <w:top w:val="single" w:color="auto" w:sz="2" w:space="0"/>
                    <w:left w:val="nil"/>
                    <w:bottom w:val="single" w:color="auto" w:sz="2" w:space="0"/>
                    <w:right w:val="single" w:color="auto" w:sz="2" w:space="0"/>
                  </w:tcBorders>
                  <w:vAlign w:val="center"/>
                </w:tcPr>
                <w:p w14:paraId="15E090D9">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w:t>
                  </w:r>
                </w:p>
              </w:tc>
              <w:tc>
                <w:tcPr>
                  <w:tcW w:w="891" w:type="dxa"/>
                  <w:tcBorders>
                    <w:top w:val="single" w:color="auto" w:sz="2" w:space="0"/>
                    <w:left w:val="nil"/>
                    <w:bottom w:val="single" w:color="auto" w:sz="2" w:space="0"/>
                    <w:right w:val="single" w:color="auto" w:sz="2" w:space="0"/>
                  </w:tcBorders>
                  <w:vAlign w:val="center"/>
                </w:tcPr>
                <w:p w14:paraId="531EB4D7">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0.012</w:t>
                  </w:r>
                </w:p>
              </w:tc>
              <w:tc>
                <w:tcPr>
                  <w:tcW w:w="891" w:type="dxa"/>
                  <w:tcBorders>
                    <w:top w:val="single" w:color="auto" w:sz="2" w:space="0"/>
                    <w:left w:val="nil"/>
                    <w:bottom w:val="single" w:color="auto" w:sz="2" w:space="0"/>
                    <w:right w:val="single" w:color="auto" w:sz="2" w:space="0"/>
                  </w:tcBorders>
                  <w:vAlign w:val="center"/>
                </w:tcPr>
                <w:p w14:paraId="3339911B">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0.027</w:t>
                  </w:r>
                </w:p>
              </w:tc>
              <w:tc>
                <w:tcPr>
                  <w:tcW w:w="891" w:type="dxa"/>
                  <w:tcBorders>
                    <w:top w:val="single" w:color="auto" w:sz="2" w:space="0"/>
                    <w:left w:val="nil"/>
                    <w:bottom w:val="single" w:color="auto" w:sz="2" w:space="0"/>
                    <w:right w:val="single" w:color="auto" w:sz="2" w:space="0"/>
                  </w:tcBorders>
                  <w:vAlign w:val="center"/>
                </w:tcPr>
                <w:p w14:paraId="2EACBA06">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0.048</w:t>
                  </w:r>
                </w:p>
              </w:tc>
              <w:tc>
                <w:tcPr>
                  <w:tcW w:w="891" w:type="dxa"/>
                  <w:tcBorders>
                    <w:top w:val="single" w:color="auto" w:sz="2" w:space="0"/>
                    <w:left w:val="nil"/>
                    <w:bottom w:val="single" w:color="auto" w:sz="2" w:space="0"/>
                    <w:right w:val="single" w:color="auto" w:sz="2" w:space="0"/>
                  </w:tcBorders>
                  <w:vAlign w:val="center"/>
                </w:tcPr>
                <w:p w14:paraId="3218C0CC">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0.075</w:t>
                  </w:r>
                </w:p>
              </w:tc>
              <w:tc>
                <w:tcPr>
                  <w:tcW w:w="891" w:type="dxa"/>
                  <w:tcBorders>
                    <w:top w:val="single" w:color="auto" w:sz="2" w:space="0"/>
                    <w:left w:val="nil"/>
                    <w:bottom w:val="single" w:color="auto" w:sz="2" w:space="0"/>
                    <w:right w:val="single" w:color="auto" w:sz="2" w:space="0"/>
                  </w:tcBorders>
                  <w:vAlign w:val="center"/>
                </w:tcPr>
                <w:p w14:paraId="69F4F940">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0.108</w:t>
                  </w:r>
                </w:p>
              </w:tc>
              <w:tc>
                <w:tcPr>
                  <w:tcW w:w="891" w:type="dxa"/>
                  <w:tcBorders>
                    <w:top w:val="single" w:color="auto" w:sz="2" w:space="0"/>
                    <w:left w:val="nil"/>
                    <w:bottom w:val="single" w:color="auto" w:sz="2" w:space="0"/>
                    <w:right w:val="single" w:color="auto" w:sz="2" w:space="0"/>
                  </w:tcBorders>
                  <w:vAlign w:val="center"/>
                </w:tcPr>
                <w:p w14:paraId="4741DB27">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0.147</w:t>
                  </w:r>
                </w:p>
              </w:tc>
            </w:tr>
            <w:tr w14:paraId="2A0D7B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677" w:type="dxa"/>
                  <w:tcBorders>
                    <w:top w:val="single" w:color="auto" w:sz="2" w:space="0"/>
                    <w:left w:val="single" w:color="auto" w:sz="2" w:space="0"/>
                    <w:bottom w:val="single" w:color="auto" w:sz="2" w:space="0"/>
                    <w:right w:val="single" w:color="auto" w:sz="2" w:space="0"/>
                  </w:tcBorders>
                  <w:vAlign w:val="center"/>
                </w:tcPr>
                <w:p w14:paraId="737855A8">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粒径，μm</w:t>
                  </w:r>
                </w:p>
              </w:tc>
              <w:tc>
                <w:tcPr>
                  <w:tcW w:w="890" w:type="dxa"/>
                  <w:tcBorders>
                    <w:top w:val="single" w:color="auto" w:sz="2" w:space="0"/>
                    <w:left w:val="nil"/>
                    <w:bottom w:val="single" w:color="auto" w:sz="2" w:space="0"/>
                    <w:right w:val="single" w:color="auto" w:sz="2" w:space="0"/>
                  </w:tcBorders>
                  <w:vAlign w:val="center"/>
                </w:tcPr>
                <w:p w14:paraId="351B074D">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891" w:type="dxa"/>
                  <w:tcBorders>
                    <w:top w:val="single" w:color="auto" w:sz="2" w:space="0"/>
                    <w:left w:val="nil"/>
                    <w:bottom w:val="single" w:color="auto" w:sz="2" w:space="0"/>
                    <w:right w:val="single" w:color="auto" w:sz="2" w:space="0"/>
                  </w:tcBorders>
                  <w:vAlign w:val="center"/>
                </w:tcPr>
                <w:p w14:paraId="55239014">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w:t>
                  </w:r>
                </w:p>
              </w:tc>
              <w:tc>
                <w:tcPr>
                  <w:tcW w:w="891" w:type="dxa"/>
                  <w:tcBorders>
                    <w:top w:val="single" w:color="auto" w:sz="2" w:space="0"/>
                    <w:left w:val="nil"/>
                    <w:bottom w:val="single" w:color="auto" w:sz="2" w:space="0"/>
                    <w:right w:val="single" w:color="auto" w:sz="2" w:space="0"/>
                  </w:tcBorders>
                  <w:vAlign w:val="center"/>
                </w:tcPr>
                <w:p w14:paraId="10BBBF89">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891" w:type="dxa"/>
                  <w:tcBorders>
                    <w:top w:val="single" w:color="auto" w:sz="2" w:space="0"/>
                    <w:left w:val="nil"/>
                    <w:bottom w:val="single" w:color="auto" w:sz="2" w:space="0"/>
                    <w:right w:val="single" w:color="auto" w:sz="2" w:space="0"/>
                  </w:tcBorders>
                  <w:vAlign w:val="center"/>
                </w:tcPr>
                <w:p w14:paraId="59692B32">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w:t>
                  </w:r>
                </w:p>
              </w:tc>
              <w:tc>
                <w:tcPr>
                  <w:tcW w:w="891" w:type="dxa"/>
                  <w:tcBorders>
                    <w:top w:val="single" w:color="auto" w:sz="2" w:space="0"/>
                    <w:left w:val="nil"/>
                    <w:bottom w:val="single" w:color="auto" w:sz="2" w:space="0"/>
                    <w:right w:val="single" w:color="auto" w:sz="2" w:space="0"/>
                  </w:tcBorders>
                  <w:vAlign w:val="center"/>
                </w:tcPr>
                <w:p w14:paraId="255B76D2">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891" w:type="dxa"/>
                  <w:tcBorders>
                    <w:top w:val="single" w:color="auto" w:sz="2" w:space="0"/>
                    <w:left w:val="nil"/>
                    <w:bottom w:val="single" w:color="auto" w:sz="2" w:space="0"/>
                    <w:right w:val="single" w:color="auto" w:sz="2" w:space="0"/>
                  </w:tcBorders>
                  <w:vAlign w:val="center"/>
                </w:tcPr>
                <w:p w14:paraId="1A394E2B">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w:t>
                  </w:r>
                </w:p>
              </w:tc>
              <w:tc>
                <w:tcPr>
                  <w:tcW w:w="891" w:type="dxa"/>
                  <w:tcBorders>
                    <w:top w:val="single" w:color="auto" w:sz="2" w:space="0"/>
                    <w:left w:val="nil"/>
                    <w:bottom w:val="single" w:color="auto" w:sz="2" w:space="0"/>
                    <w:right w:val="single" w:color="auto" w:sz="2" w:space="0"/>
                  </w:tcBorders>
                  <w:vAlign w:val="center"/>
                </w:tcPr>
                <w:p w14:paraId="18D16FEA">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350</w:t>
                  </w:r>
                </w:p>
              </w:tc>
            </w:tr>
            <w:tr w14:paraId="60FA69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677" w:type="dxa"/>
                  <w:tcBorders>
                    <w:top w:val="single" w:color="auto" w:sz="2" w:space="0"/>
                    <w:left w:val="single" w:color="auto" w:sz="2" w:space="0"/>
                    <w:bottom w:val="single" w:color="auto" w:sz="2" w:space="0"/>
                    <w:right w:val="single" w:color="auto" w:sz="2" w:space="0"/>
                  </w:tcBorders>
                  <w:vAlign w:val="center"/>
                </w:tcPr>
                <w:p w14:paraId="71791B6D">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沉降速度，m/s</w:t>
                  </w:r>
                </w:p>
              </w:tc>
              <w:tc>
                <w:tcPr>
                  <w:tcW w:w="890" w:type="dxa"/>
                  <w:tcBorders>
                    <w:top w:val="single" w:color="auto" w:sz="2" w:space="0"/>
                    <w:left w:val="nil"/>
                    <w:bottom w:val="single" w:color="auto" w:sz="2" w:space="0"/>
                    <w:right w:val="single" w:color="auto" w:sz="2" w:space="0"/>
                  </w:tcBorders>
                  <w:vAlign w:val="center"/>
                </w:tcPr>
                <w:p w14:paraId="4112B3E9">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0.158</w:t>
                  </w:r>
                </w:p>
              </w:tc>
              <w:tc>
                <w:tcPr>
                  <w:tcW w:w="891" w:type="dxa"/>
                  <w:tcBorders>
                    <w:top w:val="single" w:color="auto" w:sz="2" w:space="0"/>
                    <w:left w:val="nil"/>
                    <w:bottom w:val="single" w:color="auto" w:sz="2" w:space="0"/>
                    <w:right w:val="single" w:color="auto" w:sz="2" w:space="0"/>
                  </w:tcBorders>
                  <w:vAlign w:val="center"/>
                </w:tcPr>
                <w:p w14:paraId="445BFCC8">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0.170</w:t>
                  </w:r>
                </w:p>
              </w:tc>
              <w:tc>
                <w:tcPr>
                  <w:tcW w:w="891" w:type="dxa"/>
                  <w:tcBorders>
                    <w:top w:val="single" w:color="auto" w:sz="2" w:space="0"/>
                    <w:left w:val="nil"/>
                    <w:bottom w:val="single" w:color="auto" w:sz="2" w:space="0"/>
                    <w:right w:val="single" w:color="auto" w:sz="2" w:space="0"/>
                  </w:tcBorders>
                  <w:vAlign w:val="center"/>
                </w:tcPr>
                <w:p w14:paraId="51F78CDC">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0.182</w:t>
                  </w:r>
                </w:p>
              </w:tc>
              <w:tc>
                <w:tcPr>
                  <w:tcW w:w="891" w:type="dxa"/>
                  <w:tcBorders>
                    <w:top w:val="single" w:color="auto" w:sz="2" w:space="0"/>
                    <w:left w:val="nil"/>
                    <w:bottom w:val="single" w:color="auto" w:sz="2" w:space="0"/>
                    <w:right w:val="single" w:color="auto" w:sz="2" w:space="0"/>
                  </w:tcBorders>
                  <w:vAlign w:val="center"/>
                </w:tcPr>
                <w:p w14:paraId="7E98EB9C">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0.239</w:t>
                  </w:r>
                </w:p>
              </w:tc>
              <w:tc>
                <w:tcPr>
                  <w:tcW w:w="891" w:type="dxa"/>
                  <w:tcBorders>
                    <w:top w:val="single" w:color="auto" w:sz="2" w:space="0"/>
                    <w:left w:val="nil"/>
                    <w:bottom w:val="single" w:color="auto" w:sz="2" w:space="0"/>
                    <w:right w:val="single" w:color="auto" w:sz="2" w:space="0"/>
                  </w:tcBorders>
                  <w:vAlign w:val="center"/>
                </w:tcPr>
                <w:p w14:paraId="25FECA36">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0.804</w:t>
                  </w:r>
                </w:p>
              </w:tc>
              <w:tc>
                <w:tcPr>
                  <w:tcW w:w="891" w:type="dxa"/>
                  <w:tcBorders>
                    <w:top w:val="single" w:color="auto" w:sz="2" w:space="0"/>
                    <w:left w:val="nil"/>
                    <w:bottom w:val="single" w:color="auto" w:sz="2" w:space="0"/>
                    <w:right w:val="single" w:color="auto" w:sz="2" w:space="0"/>
                  </w:tcBorders>
                  <w:vAlign w:val="center"/>
                </w:tcPr>
                <w:p w14:paraId="0B1C44D4">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1.005</w:t>
                  </w:r>
                </w:p>
              </w:tc>
              <w:tc>
                <w:tcPr>
                  <w:tcW w:w="891" w:type="dxa"/>
                  <w:tcBorders>
                    <w:top w:val="single" w:color="auto" w:sz="2" w:space="0"/>
                    <w:left w:val="nil"/>
                    <w:bottom w:val="single" w:color="auto" w:sz="2" w:space="0"/>
                    <w:right w:val="single" w:color="auto" w:sz="2" w:space="0"/>
                  </w:tcBorders>
                  <w:vAlign w:val="center"/>
                </w:tcPr>
                <w:p w14:paraId="0E42AFE0">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1.829</w:t>
                  </w:r>
                </w:p>
              </w:tc>
            </w:tr>
            <w:tr w14:paraId="12924A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677" w:type="dxa"/>
                  <w:tcBorders>
                    <w:top w:val="single" w:color="auto" w:sz="2" w:space="0"/>
                    <w:left w:val="single" w:color="auto" w:sz="2" w:space="0"/>
                    <w:bottom w:val="single" w:color="auto" w:sz="2" w:space="0"/>
                    <w:right w:val="single" w:color="auto" w:sz="2" w:space="0"/>
                  </w:tcBorders>
                  <w:vAlign w:val="center"/>
                </w:tcPr>
                <w:p w14:paraId="76090474">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粒径，μm</w:t>
                  </w:r>
                </w:p>
              </w:tc>
              <w:tc>
                <w:tcPr>
                  <w:tcW w:w="890" w:type="dxa"/>
                  <w:tcBorders>
                    <w:top w:val="single" w:color="auto" w:sz="2" w:space="0"/>
                    <w:left w:val="nil"/>
                    <w:bottom w:val="single" w:color="auto" w:sz="2" w:space="0"/>
                    <w:right w:val="single" w:color="auto" w:sz="2" w:space="0"/>
                  </w:tcBorders>
                  <w:vAlign w:val="center"/>
                </w:tcPr>
                <w:p w14:paraId="3DBB4A18">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450</w:t>
                  </w:r>
                </w:p>
              </w:tc>
              <w:tc>
                <w:tcPr>
                  <w:tcW w:w="891" w:type="dxa"/>
                  <w:tcBorders>
                    <w:top w:val="single" w:color="auto" w:sz="2" w:space="0"/>
                    <w:left w:val="nil"/>
                    <w:bottom w:val="single" w:color="auto" w:sz="2" w:space="0"/>
                    <w:right w:val="single" w:color="auto" w:sz="2" w:space="0"/>
                  </w:tcBorders>
                  <w:vAlign w:val="center"/>
                </w:tcPr>
                <w:p w14:paraId="1C6AE9FC">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550</w:t>
                  </w:r>
                </w:p>
              </w:tc>
              <w:tc>
                <w:tcPr>
                  <w:tcW w:w="891" w:type="dxa"/>
                  <w:tcBorders>
                    <w:top w:val="single" w:color="auto" w:sz="2" w:space="0"/>
                    <w:left w:val="nil"/>
                    <w:bottom w:val="single" w:color="auto" w:sz="2" w:space="0"/>
                    <w:right w:val="single" w:color="auto" w:sz="2" w:space="0"/>
                  </w:tcBorders>
                  <w:vAlign w:val="center"/>
                </w:tcPr>
                <w:p w14:paraId="6ABEA937">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650</w:t>
                  </w:r>
                </w:p>
              </w:tc>
              <w:tc>
                <w:tcPr>
                  <w:tcW w:w="891" w:type="dxa"/>
                  <w:tcBorders>
                    <w:top w:val="single" w:color="auto" w:sz="2" w:space="0"/>
                    <w:left w:val="nil"/>
                    <w:bottom w:val="single" w:color="auto" w:sz="2" w:space="0"/>
                    <w:right w:val="single" w:color="auto" w:sz="2" w:space="0"/>
                  </w:tcBorders>
                  <w:vAlign w:val="center"/>
                </w:tcPr>
                <w:p w14:paraId="04A3FAC9">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750</w:t>
                  </w:r>
                </w:p>
              </w:tc>
              <w:tc>
                <w:tcPr>
                  <w:tcW w:w="891" w:type="dxa"/>
                  <w:tcBorders>
                    <w:top w:val="single" w:color="auto" w:sz="2" w:space="0"/>
                    <w:left w:val="nil"/>
                    <w:bottom w:val="single" w:color="auto" w:sz="2" w:space="0"/>
                    <w:right w:val="single" w:color="auto" w:sz="2" w:space="0"/>
                  </w:tcBorders>
                  <w:vAlign w:val="center"/>
                </w:tcPr>
                <w:p w14:paraId="05AE4473">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850</w:t>
                  </w:r>
                </w:p>
              </w:tc>
              <w:tc>
                <w:tcPr>
                  <w:tcW w:w="891" w:type="dxa"/>
                  <w:tcBorders>
                    <w:top w:val="single" w:color="auto" w:sz="2" w:space="0"/>
                    <w:left w:val="nil"/>
                    <w:bottom w:val="single" w:color="auto" w:sz="2" w:space="0"/>
                    <w:right w:val="single" w:color="auto" w:sz="2" w:space="0"/>
                  </w:tcBorders>
                  <w:vAlign w:val="center"/>
                </w:tcPr>
                <w:p w14:paraId="6CBC82DD">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950</w:t>
                  </w:r>
                </w:p>
              </w:tc>
              <w:tc>
                <w:tcPr>
                  <w:tcW w:w="891" w:type="dxa"/>
                  <w:tcBorders>
                    <w:top w:val="single" w:color="auto" w:sz="2" w:space="0"/>
                    <w:left w:val="nil"/>
                    <w:bottom w:val="single" w:color="auto" w:sz="2" w:space="0"/>
                    <w:right w:val="single" w:color="auto" w:sz="2" w:space="0"/>
                  </w:tcBorders>
                  <w:vAlign w:val="center"/>
                </w:tcPr>
                <w:p w14:paraId="6EDB03CD">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1050</w:t>
                  </w:r>
                </w:p>
              </w:tc>
            </w:tr>
            <w:tr w14:paraId="33270F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677" w:type="dxa"/>
                  <w:tcBorders>
                    <w:top w:val="single" w:color="auto" w:sz="2" w:space="0"/>
                    <w:left w:val="single" w:color="auto" w:sz="2" w:space="0"/>
                    <w:bottom w:val="single" w:color="auto" w:sz="2" w:space="0"/>
                    <w:right w:val="single" w:color="auto" w:sz="2" w:space="0"/>
                  </w:tcBorders>
                  <w:vAlign w:val="center"/>
                </w:tcPr>
                <w:p w14:paraId="5B456752">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沉降速度，m/s</w:t>
                  </w:r>
                </w:p>
              </w:tc>
              <w:tc>
                <w:tcPr>
                  <w:tcW w:w="890" w:type="dxa"/>
                  <w:tcBorders>
                    <w:top w:val="single" w:color="auto" w:sz="2" w:space="0"/>
                    <w:left w:val="nil"/>
                    <w:bottom w:val="single" w:color="auto" w:sz="2" w:space="0"/>
                    <w:right w:val="single" w:color="auto" w:sz="2" w:space="0"/>
                  </w:tcBorders>
                  <w:vAlign w:val="center"/>
                </w:tcPr>
                <w:p w14:paraId="2C188367">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2.211</w:t>
                  </w:r>
                </w:p>
              </w:tc>
              <w:tc>
                <w:tcPr>
                  <w:tcW w:w="891" w:type="dxa"/>
                  <w:tcBorders>
                    <w:top w:val="single" w:color="auto" w:sz="2" w:space="0"/>
                    <w:left w:val="nil"/>
                    <w:bottom w:val="single" w:color="auto" w:sz="2" w:space="0"/>
                    <w:right w:val="single" w:color="auto" w:sz="2" w:space="0"/>
                  </w:tcBorders>
                  <w:vAlign w:val="center"/>
                </w:tcPr>
                <w:p w14:paraId="00483ABF">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2.614</w:t>
                  </w:r>
                </w:p>
              </w:tc>
              <w:tc>
                <w:tcPr>
                  <w:tcW w:w="891" w:type="dxa"/>
                  <w:tcBorders>
                    <w:top w:val="single" w:color="auto" w:sz="2" w:space="0"/>
                    <w:left w:val="nil"/>
                    <w:bottom w:val="single" w:color="auto" w:sz="2" w:space="0"/>
                    <w:right w:val="single" w:color="auto" w:sz="2" w:space="0"/>
                  </w:tcBorders>
                  <w:vAlign w:val="center"/>
                </w:tcPr>
                <w:p w14:paraId="58E8F97B">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3.016</w:t>
                  </w:r>
                </w:p>
              </w:tc>
              <w:tc>
                <w:tcPr>
                  <w:tcW w:w="891" w:type="dxa"/>
                  <w:tcBorders>
                    <w:top w:val="single" w:color="auto" w:sz="2" w:space="0"/>
                    <w:left w:val="nil"/>
                    <w:bottom w:val="single" w:color="auto" w:sz="2" w:space="0"/>
                    <w:right w:val="single" w:color="auto" w:sz="2" w:space="0"/>
                  </w:tcBorders>
                  <w:vAlign w:val="center"/>
                </w:tcPr>
                <w:p w14:paraId="48C3FCF7">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3.418</w:t>
                  </w:r>
                </w:p>
              </w:tc>
              <w:tc>
                <w:tcPr>
                  <w:tcW w:w="891" w:type="dxa"/>
                  <w:tcBorders>
                    <w:top w:val="single" w:color="auto" w:sz="2" w:space="0"/>
                    <w:left w:val="nil"/>
                    <w:bottom w:val="single" w:color="auto" w:sz="2" w:space="0"/>
                    <w:right w:val="single" w:color="auto" w:sz="2" w:space="0"/>
                  </w:tcBorders>
                  <w:vAlign w:val="center"/>
                </w:tcPr>
                <w:p w14:paraId="4A5A94B7">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3.820</w:t>
                  </w:r>
                </w:p>
              </w:tc>
              <w:tc>
                <w:tcPr>
                  <w:tcW w:w="891" w:type="dxa"/>
                  <w:tcBorders>
                    <w:top w:val="single" w:color="auto" w:sz="2" w:space="0"/>
                    <w:left w:val="nil"/>
                    <w:bottom w:val="single" w:color="auto" w:sz="2" w:space="0"/>
                    <w:right w:val="single" w:color="auto" w:sz="2" w:space="0"/>
                  </w:tcBorders>
                  <w:vAlign w:val="center"/>
                </w:tcPr>
                <w:p w14:paraId="545D475A">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4.222</w:t>
                  </w:r>
                </w:p>
              </w:tc>
              <w:tc>
                <w:tcPr>
                  <w:tcW w:w="891" w:type="dxa"/>
                  <w:tcBorders>
                    <w:top w:val="single" w:color="auto" w:sz="2" w:space="0"/>
                    <w:left w:val="nil"/>
                    <w:bottom w:val="single" w:color="auto" w:sz="2" w:space="0"/>
                    <w:right w:val="single" w:color="auto" w:sz="2" w:space="0"/>
                  </w:tcBorders>
                  <w:vAlign w:val="center"/>
                </w:tcPr>
                <w:p w14:paraId="2E2794C8">
                  <w:pPr>
                    <w:pStyle w:val="7"/>
                    <w:spacing w:line="32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4.624</w:t>
                  </w:r>
                </w:p>
              </w:tc>
            </w:tr>
          </w:tbl>
          <w:p w14:paraId="032AFC2B">
            <w:pPr>
              <w:pStyle w:val="113"/>
              <w:ind w:firstLine="48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1.</w:t>
            </w:r>
            <w:r>
              <w:rPr>
                <w:rFonts w:hint="default" w:ascii="Times New Roman" w:hAnsi="Times New Roman" w:eastAsia="宋体" w:cs="Times New Roman"/>
                <w:b/>
                <w:bCs/>
                <w:color w:val="auto"/>
                <w:lang w:val="en-US" w:eastAsia="zh-CN"/>
              </w:rPr>
              <w:t>2</w:t>
            </w:r>
            <w:r>
              <w:rPr>
                <w:rFonts w:hint="default" w:ascii="Times New Roman" w:hAnsi="Times New Roman" w:eastAsia="宋体" w:cs="Times New Roman"/>
                <w:b/>
                <w:bCs/>
                <w:color w:val="auto"/>
              </w:rPr>
              <w:t>运输车辆、作业机械尾气</w:t>
            </w:r>
          </w:p>
          <w:p w14:paraId="7F9F9E05">
            <w:pPr>
              <w:pStyle w:val="113"/>
              <w:ind w:firstLine="480"/>
              <w:rPr>
                <w:rFonts w:hint="default" w:ascii="Times New Roman" w:hAnsi="Times New Roman" w:eastAsia="宋体" w:cs="Times New Roman"/>
                <w:color w:val="auto"/>
                <w:kern w:val="24"/>
              </w:rPr>
            </w:pPr>
            <w:r>
              <w:rPr>
                <w:rFonts w:hint="default" w:ascii="Times New Roman" w:hAnsi="Times New Roman" w:eastAsia="宋体" w:cs="Times New Roman"/>
                <w:color w:val="auto"/>
                <w:kern w:val="24"/>
              </w:rPr>
              <w:t>工程施工</w:t>
            </w:r>
            <w:r>
              <w:rPr>
                <w:rFonts w:hint="default" w:ascii="Times New Roman" w:hAnsi="Times New Roman" w:eastAsia="宋体" w:cs="Times New Roman"/>
                <w:color w:val="auto"/>
                <w:kern w:val="24"/>
                <w:lang w:eastAsia="zh-CN"/>
              </w:rPr>
              <w:t>阶段</w:t>
            </w:r>
            <w:r>
              <w:rPr>
                <w:rFonts w:hint="default" w:ascii="Times New Roman" w:hAnsi="Times New Roman" w:eastAsia="宋体" w:cs="Times New Roman"/>
                <w:color w:val="auto"/>
                <w:kern w:val="24"/>
              </w:rPr>
              <w:t>使用以汽油、柴油为燃料的运输车辆产生尾气，但是它们的使用期短，尾气排放量较少，加上周围空间开阔，对周围环境空气影响较小。</w:t>
            </w:r>
          </w:p>
          <w:p w14:paraId="58AA3B77">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项目施工临近</w:t>
            </w:r>
            <w:r>
              <w:rPr>
                <w:rFonts w:hint="eastAsia" w:ascii="Times New Roman" w:hAnsi="Times New Roman" w:cs="Times New Roman"/>
                <w:color w:val="auto"/>
                <w:sz w:val="24"/>
                <w:lang w:val="en-US" w:eastAsia="zh-CN"/>
              </w:rPr>
              <w:t>阿热塔什村</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渠道施工期临时工程远离村庄布置，施工期间对临时堆存物料进行覆盖，并洒水抑尘，减少对村庄敏感点的影响。如遇大风天气，则应在面向村庄一侧设置围挡防尘。</w:t>
            </w:r>
          </w:p>
          <w:p w14:paraId="523B1162">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kern w:val="0"/>
                <w:sz w:val="24"/>
              </w:rPr>
              <w:t>2</w:t>
            </w:r>
            <w:r>
              <w:rPr>
                <w:rFonts w:hint="default" w:ascii="Times New Roman" w:hAnsi="Times New Roman" w:eastAsia="宋体" w:cs="Times New Roman"/>
                <w:b/>
                <w:color w:val="auto"/>
                <w:sz w:val="24"/>
              </w:rPr>
              <w:t>施工期声环境影响</w:t>
            </w:r>
          </w:p>
          <w:p w14:paraId="7C5E6709">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（1）施工噪声预测</w:t>
            </w:r>
          </w:p>
          <w:p w14:paraId="11FDB2A0">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施工噪声可近似视为点声源处理，其衰减模式如下：</w:t>
            </w:r>
          </w:p>
          <w:p w14:paraId="169AEDA8">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L</w:t>
            </w:r>
            <w:r>
              <w:rPr>
                <w:rFonts w:hint="default" w:ascii="Times New Roman" w:hAnsi="Times New Roman" w:eastAsia="宋体" w:cs="Times New Roman"/>
                <w:color w:val="auto"/>
                <w:vertAlign w:val="subscript"/>
              </w:rPr>
              <w:t>p</w:t>
            </w:r>
            <w:r>
              <w:rPr>
                <w:rFonts w:hint="default" w:ascii="Times New Roman" w:hAnsi="Times New Roman" w:eastAsia="宋体" w:cs="Times New Roman"/>
                <w:color w:val="auto"/>
              </w:rPr>
              <w:t>=L</w:t>
            </w:r>
            <w:r>
              <w:rPr>
                <w:rFonts w:hint="default" w:ascii="Times New Roman" w:hAnsi="Times New Roman" w:eastAsia="宋体" w:cs="Times New Roman"/>
                <w:color w:val="auto"/>
                <w:vertAlign w:val="subscript"/>
              </w:rPr>
              <w:t>po</w:t>
            </w:r>
            <w:r>
              <w:rPr>
                <w:rFonts w:hint="default" w:ascii="Times New Roman" w:hAnsi="Times New Roman" w:eastAsia="宋体" w:cs="Times New Roman"/>
                <w:color w:val="auto"/>
              </w:rPr>
              <w:t>-20lg</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r/r</w:t>
            </w:r>
            <w:r>
              <w:rPr>
                <w:rFonts w:hint="default" w:ascii="Times New Roman" w:hAnsi="Times New Roman" w:eastAsia="宋体" w:cs="Times New Roman"/>
                <w:color w:val="auto"/>
                <w:vertAlign w:val="subscript"/>
              </w:rPr>
              <w:t>o</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－△L</w:t>
            </w:r>
          </w:p>
          <w:p w14:paraId="26E562FA">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式中：L</w:t>
            </w:r>
            <w:r>
              <w:rPr>
                <w:rFonts w:hint="default" w:ascii="Times New Roman" w:hAnsi="Times New Roman" w:eastAsia="宋体" w:cs="Times New Roman"/>
                <w:color w:val="auto"/>
                <w:vertAlign w:val="subscript"/>
              </w:rPr>
              <w:t>p</w:t>
            </w:r>
            <w:r>
              <w:rPr>
                <w:rFonts w:hint="default" w:ascii="Times New Roman" w:hAnsi="Times New Roman" w:eastAsia="宋体" w:cs="Times New Roman"/>
                <w:color w:val="auto"/>
              </w:rPr>
              <w:t>——距声源r米处的施工噪声预测值，dB</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A</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w:t>
            </w:r>
          </w:p>
          <w:p w14:paraId="136A1187">
            <w:pPr>
              <w:pStyle w:val="7"/>
              <w:spacing w:line="50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L</w:t>
            </w:r>
            <w:r>
              <w:rPr>
                <w:rFonts w:hint="default" w:ascii="Times New Roman" w:hAnsi="Times New Roman" w:eastAsia="宋体" w:cs="Times New Roman"/>
                <w:color w:val="auto"/>
                <w:sz w:val="24"/>
                <w:szCs w:val="24"/>
                <w:vertAlign w:val="subscript"/>
              </w:rPr>
              <w:t>po</w:t>
            </w:r>
            <w:r>
              <w:rPr>
                <w:rFonts w:hint="default" w:ascii="Times New Roman" w:hAnsi="Times New Roman" w:eastAsia="宋体" w:cs="Times New Roman"/>
                <w:color w:val="auto"/>
                <w:sz w:val="24"/>
                <w:szCs w:val="24"/>
              </w:rPr>
              <w:t>——距声源r</w:t>
            </w:r>
            <w:r>
              <w:rPr>
                <w:rFonts w:hint="default" w:ascii="Times New Roman" w:hAnsi="Times New Roman" w:eastAsia="宋体" w:cs="Times New Roman"/>
                <w:color w:val="auto"/>
                <w:sz w:val="24"/>
                <w:szCs w:val="24"/>
                <w:vertAlign w:val="subscript"/>
              </w:rPr>
              <w:t>o</w:t>
            </w:r>
            <w:r>
              <w:rPr>
                <w:rFonts w:hint="default" w:ascii="Times New Roman" w:hAnsi="Times New Roman" w:eastAsia="宋体" w:cs="Times New Roman"/>
                <w:color w:val="auto"/>
                <w:sz w:val="24"/>
                <w:szCs w:val="24"/>
              </w:rPr>
              <w:t>米处的参考声级，dB</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w:t>
            </w:r>
          </w:p>
          <w:p w14:paraId="0BB118C9">
            <w:pPr>
              <w:spacing w:line="500" w:lineRule="exact"/>
              <w:ind w:firstLine="1320" w:firstLineChars="55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r</w:t>
            </w:r>
            <w:r>
              <w:rPr>
                <w:rFonts w:hint="default" w:ascii="Times New Roman" w:hAnsi="Times New Roman" w:eastAsia="宋体" w:cs="Times New Roman"/>
                <w:color w:val="auto"/>
                <w:sz w:val="24"/>
                <w:vertAlign w:val="subscript"/>
              </w:rPr>
              <w:t>o</w:t>
            </w:r>
            <w:r>
              <w:rPr>
                <w:rFonts w:hint="default" w:ascii="Times New Roman" w:hAnsi="Times New Roman" w:eastAsia="宋体" w:cs="Times New Roman"/>
                <w:color w:val="auto"/>
                <w:sz w:val="24"/>
              </w:rPr>
              <w:t>——L</w:t>
            </w:r>
            <w:r>
              <w:rPr>
                <w:rFonts w:hint="default" w:ascii="Times New Roman" w:hAnsi="Times New Roman" w:eastAsia="宋体" w:cs="Times New Roman"/>
                <w:color w:val="auto"/>
                <w:sz w:val="24"/>
                <w:vertAlign w:val="subscript"/>
              </w:rPr>
              <w:t>po</w:t>
            </w:r>
            <w:r>
              <w:rPr>
                <w:rFonts w:hint="default" w:ascii="Times New Roman" w:hAnsi="Times New Roman" w:eastAsia="宋体" w:cs="Times New Roman"/>
                <w:color w:val="auto"/>
                <w:sz w:val="24"/>
              </w:rPr>
              <w:t>噪声的测点距离（5米或1米），m。</w:t>
            </w:r>
          </w:p>
          <w:p w14:paraId="7E94EDDE">
            <w:pPr>
              <w:spacing w:line="500" w:lineRule="exact"/>
              <w:ind w:firstLine="1200" w:firstLineChars="5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△L——采取各种措施后的噪声衰减量，dB</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A</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w:t>
            </w:r>
          </w:p>
          <w:p w14:paraId="6B2E3912">
            <w:pPr>
              <w:spacing w:line="50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施工期主要噪声源有施工机械如挖掘机、装载机、筑路机械、搅拌机等施工行为。</w:t>
            </w:r>
          </w:p>
          <w:p w14:paraId="67B463AA">
            <w:pPr>
              <w:spacing w:line="50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（2）施工噪声预测结果</w:t>
            </w:r>
          </w:p>
          <w:p w14:paraId="6BBF5991">
            <w:pPr>
              <w:pStyle w:val="7"/>
              <w:spacing w:line="50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运用上式对施工过程中施工机械噪声的影响进行预测计算，其结果如下表所示</w:t>
            </w:r>
            <w:r>
              <w:rPr>
                <w:rFonts w:hint="default" w:ascii="Times New Roman" w:hAnsi="Times New Roman" w:eastAsia="宋体" w:cs="Times New Roman"/>
                <w:color w:val="auto"/>
                <w:sz w:val="26"/>
                <w:szCs w:val="26"/>
              </w:rPr>
              <w:t>。</w:t>
            </w:r>
          </w:p>
          <w:p w14:paraId="4C730240">
            <w:pPr>
              <w:jc w:val="center"/>
              <w:rPr>
                <w:rFonts w:hint="default" w:ascii="Times New Roman" w:hAnsi="Times New Roman" w:eastAsia="宋体" w:cs="Times New Roman"/>
                <w:b/>
                <w:color w:val="auto"/>
                <w:szCs w:val="21"/>
                <w:lang w:eastAsia="zh-CN"/>
              </w:rPr>
            </w:pPr>
            <w:r>
              <w:rPr>
                <w:rFonts w:hint="default" w:ascii="Times New Roman" w:hAnsi="Times New Roman" w:eastAsia="宋体" w:cs="Times New Roman"/>
                <w:b/>
                <w:color w:val="auto"/>
                <w:szCs w:val="21"/>
              </w:rPr>
              <w:t>表</w:t>
            </w:r>
            <w:r>
              <w:rPr>
                <w:rFonts w:hint="default" w:ascii="Times New Roman" w:hAnsi="Times New Roman" w:eastAsia="宋体" w:cs="Times New Roman"/>
                <w:b/>
                <w:color w:val="auto"/>
                <w:szCs w:val="21"/>
                <w:lang w:val="en-US" w:eastAsia="zh-CN"/>
              </w:rPr>
              <w:t>4-3</w:t>
            </w:r>
            <w:r>
              <w:rPr>
                <w:rFonts w:hint="default" w:ascii="Times New Roman" w:hAnsi="Times New Roman" w:eastAsia="宋体" w:cs="Times New Roman"/>
                <w:b/>
                <w:color w:val="auto"/>
                <w:szCs w:val="21"/>
              </w:rPr>
              <w:t>项目主要施工机械在不同距离处的噪声预测值dB</w:t>
            </w:r>
            <w:r>
              <w:rPr>
                <w:rFonts w:hint="default" w:ascii="Times New Roman" w:hAnsi="Times New Roman" w:eastAsia="宋体" w:cs="Times New Roman"/>
                <w:b/>
                <w:color w:val="auto"/>
                <w:szCs w:val="21"/>
                <w:lang w:eastAsia="zh-CN"/>
              </w:rPr>
              <w:t>（</w:t>
            </w:r>
            <w:r>
              <w:rPr>
                <w:rFonts w:hint="default" w:ascii="Times New Roman" w:hAnsi="Times New Roman" w:eastAsia="宋体" w:cs="Times New Roman"/>
                <w:b/>
                <w:color w:val="auto"/>
                <w:szCs w:val="21"/>
              </w:rPr>
              <w:t>A</w:t>
            </w:r>
            <w:r>
              <w:rPr>
                <w:rFonts w:hint="default" w:ascii="Times New Roman" w:hAnsi="Times New Roman" w:eastAsia="宋体" w:cs="Times New Roman"/>
                <w:b/>
                <w:color w:val="auto"/>
                <w:szCs w:val="21"/>
                <w:lang w:eastAsia="zh-CN"/>
              </w:rPr>
              <w:t>）</w:t>
            </w:r>
          </w:p>
          <w:tbl>
            <w:tblPr>
              <w:tblStyle w:val="33"/>
              <w:tblW w:w="813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60"/>
              <w:gridCol w:w="1016"/>
              <w:gridCol w:w="723"/>
              <w:gridCol w:w="802"/>
              <w:gridCol w:w="1089"/>
              <w:gridCol w:w="822"/>
              <w:gridCol w:w="955"/>
              <w:gridCol w:w="1363"/>
            </w:tblGrid>
            <w:tr w14:paraId="3B30A1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360" w:type="dxa"/>
                  <w:vMerge w:val="restart"/>
                  <w:tcBorders>
                    <w:top w:val="single" w:color="auto" w:sz="6" w:space="0"/>
                    <w:left w:val="single" w:color="auto" w:sz="6" w:space="0"/>
                    <w:bottom w:val="single" w:color="auto" w:sz="6" w:space="0"/>
                    <w:right w:val="single" w:color="auto" w:sz="6" w:space="0"/>
                  </w:tcBorders>
                  <w:vAlign w:val="center"/>
                </w:tcPr>
                <w:p w14:paraId="5603F279">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声源</w:t>
                  </w:r>
                </w:p>
              </w:tc>
              <w:tc>
                <w:tcPr>
                  <w:tcW w:w="1016" w:type="dxa"/>
                  <w:vMerge w:val="restart"/>
                  <w:tcBorders>
                    <w:top w:val="single" w:color="auto" w:sz="6" w:space="0"/>
                    <w:left w:val="nil"/>
                    <w:bottom w:val="single" w:color="auto" w:sz="6" w:space="0"/>
                    <w:right w:val="single" w:color="auto" w:sz="6" w:space="0"/>
                  </w:tcBorders>
                </w:tcPr>
                <w:p w14:paraId="6F42DBD8">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噪声值</w:t>
                  </w:r>
                </w:p>
                <w:p w14:paraId="49A612DC">
                  <w:pPr>
                    <w:pStyle w:val="111"/>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峰值</w:t>
                  </w:r>
                  <w:r>
                    <w:rPr>
                      <w:rFonts w:hint="default" w:ascii="Times New Roman" w:hAnsi="Times New Roman" w:eastAsia="宋体" w:cs="Times New Roman"/>
                      <w:color w:val="auto"/>
                      <w:lang w:eastAsia="zh-CN"/>
                    </w:rPr>
                    <w:t>）</w:t>
                  </w:r>
                </w:p>
              </w:tc>
              <w:tc>
                <w:tcPr>
                  <w:tcW w:w="5754" w:type="dxa"/>
                  <w:gridSpan w:val="6"/>
                  <w:tcBorders>
                    <w:top w:val="single" w:color="auto" w:sz="6" w:space="0"/>
                    <w:left w:val="nil"/>
                    <w:bottom w:val="single" w:color="auto" w:sz="6" w:space="0"/>
                    <w:right w:val="single" w:color="auto" w:sz="6" w:space="0"/>
                  </w:tcBorders>
                  <w:vAlign w:val="center"/>
                </w:tcPr>
                <w:p w14:paraId="1FFAB8A0">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距声源不同距离（m）的噪声值</w:t>
                  </w:r>
                </w:p>
              </w:tc>
            </w:tr>
            <w:tr w14:paraId="7B490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360" w:type="dxa"/>
                  <w:vMerge w:val="continue"/>
                  <w:tcBorders>
                    <w:top w:val="single" w:color="auto" w:sz="6" w:space="0"/>
                    <w:left w:val="single" w:color="auto" w:sz="6" w:space="0"/>
                    <w:bottom w:val="single" w:color="auto" w:sz="6" w:space="0"/>
                    <w:right w:val="single" w:color="auto" w:sz="6" w:space="0"/>
                  </w:tcBorders>
                  <w:vAlign w:val="center"/>
                </w:tcPr>
                <w:p w14:paraId="5BD69382">
                  <w:pPr>
                    <w:widowControl/>
                    <w:jc w:val="left"/>
                    <w:rPr>
                      <w:rFonts w:hint="default" w:ascii="Times New Roman" w:hAnsi="Times New Roman" w:eastAsia="宋体" w:cs="Times New Roman"/>
                      <w:color w:val="auto"/>
                      <w:kern w:val="0"/>
                      <w:szCs w:val="21"/>
                    </w:rPr>
                  </w:pPr>
                </w:p>
              </w:tc>
              <w:tc>
                <w:tcPr>
                  <w:tcW w:w="1016" w:type="dxa"/>
                  <w:vMerge w:val="continue"/>
                  <w:tcBorders>
                    <w:top w:val="single" w:color="auto" w:sz="6" w:space="0"/>
                    <w:left w:val="nil"/>
                    <w:bottom w:val="single" w:color="auto" w:sz="6" w:space="0"/>
                    <w:right w:val="single" w:color="auto" w:sz="6" w:space="0"/>
                  </w:tcBorders>
                  <w:vAlign w:val="center"/>
                </w:tcPr>
                <w:p w14:paraId="648CF948">
                  <w:pPr>
                    <w:widowControl/>
                    <w:jc w:val="left"/>
                    <w:rPr>
                      <w:rFonts w:hint="default" w:ascii="Times New Roman" w:hAnsi="Times New Roman" w:eastAsia="宋体" w:cs="Times New Roman"/>
                      <w:color w:val="auto"/>
                      <w:kern w:val="0"/>
                      <w:szCs w:val="21"/>
                    </w:rPr>
                  </w:pPr>
                </w:p>
              </w:tc>
              <w:tc>
                <w:tcPr>
                  <w:tcW w:w="723" w:type="dxa"/>
                  <w:tcBorders>
                    <w:top w:val="single" w:color="auto" w:sz="6" w:space="0"/>
                    <w:left w:val="nil"/>
                    <w:bottom w:val="single" w:color="auto" w:sz="6" w:space="0"/>
                    <w:right w:val="single" w:color="auto" w:sz="6" w:space="0"/>
                  </w:tcBorders>
                  <w:vAlign w:val="center"/>
                </w:tcPr>
                <w:p w14:paraId="745BCD4A">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8</w:t>
                  </w:r>
                </w:p>
              </w:tc>
              <w:tc>
                <w:tcPr>
                  <w:tcW w:w="802" w:type="dxa"/>
                  <w:tcBorders>
                    <w:top w:val="single" w:color="auto" w:sz="6" w:space="0"/>
                    <w:left w:val="nil"/>
                    <w:bottom w:val="single" w:color="auto" w:sz="6" w:space="0"/>
                    <w:right w:val="single" w:color="auto" w:sz="6" w:space="0"/>
                  </w:tcBorders>
                  <w:vAlign w:val="center"/>
                </w:tcPr>
                <w:p w14:paraId="5D2C3C02">
                  <w:pPr>
                    <w:pStyle w:val="111"/>
                    <w:rPr>
                      <w:rFonts w:hint="default" w:ascii="Times New Roman" w:hAnsi="Times New Roman" w:eastAsia="宋体" w:cs="Times New Roman"/>
                      <w:color w:val="0000FF"/>
                    </w:rPr>
                  </w:pPr>
                  <w:r>
                    <w:rPr>
                      <w:rFonts w:hint="default" w:ascii="Times New Roman" w:hAnsi="Times New Roman" w:eastAsia="宋体" w:cs="Times New Roman"/>
                      <w:color w:val="0000FF"/>
                    </w:rPr>
                    <w:t>15</w:t>
                  </w:r>
                </w:p>
              </w:tc>
              <w:tc>
                <w:tcPr>
                  <w:tcW w:w="1089" w:type="dxa"/>
                  <w:tcBorders>
                    <w:top w:val="single" w:color="auto" w:sz="6" w:space="0"/>
                    <w:left w:val="nil"/>
                    <w:bottom w:val="single" w:color="auto" w:sz="6" w:space="0"/>
                    <w:right w:val="single" w:color="auto" w:sz="6" w:space="0"/>
                  </w:tcBorders>
                  <w:vAlign w:val="center"/>
                </w:tcPr>
                <w:p w14:paraId="0787AC1E">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30</w:t>
                  </w:r>
                </w:p>
              </w:tc>
              <w:tc>
                <w:tcPr>
                  <w:tcW w:w="822" w:type="dxa"/>
                  <w:tcBorders>
                    <w:top w:val="single" w:color="auto" w:sz="6" w:space="0"/>
                    <w:left w:val="nil"/>
                    <w:bottom w:val="single" w:color="auto" w:sz="6" w:space="0"/>
                    <w:right w:val="single" w:color="auto" w:sz="6" w:space="0"/>
                  </w:tcBorders>
                  <w:vAlign w:val="center"/>
                </w:tcPr>
                <w:p w14:paraId="78158A89">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60</w:t>
                  </w:r>
                </w:p>
              </w:tc>
              <w:tc>
                <w:tcPr>
                  <w:tcW w:w="955" w:type="dxa"/>
                  <w:tcBorders>
                    <w:top w:val="single" w:color="auto" w:sz="6" w:space="0"/>
                    <w:left w:val="nil"/>
                    <w:bottom w:val="single" w:color="auto" w:sz="6" w:space="0"/>
                    <w:right w:val="single" w:color="auto" w:sz="6" w:space="0"/>
                  </w:tcBorders>
                  <w:vAlign w:val="center"/>
                </w:tcPr>
                <w:p w14:paraId="605299B6">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120</w:t>
                  </w:r>
                </w:p>
              </w:tc>
              <w:tc>
                <w:tcPr>
                  <w:tcW w:w="1363" w:type="dxa"/>
                  <w:tcBorders>
                    <w:top w:val="single" w:color="auto" w:sz="6" w:space="0"/>
                    <w:left w:val="nil"/>
                    <w:bottom w:val="single" w:color="auto" w:sz="6" w:space="0"/>
                    <w:right w:val="single" w:color="auto" w:sz="6" w:space="0"/>
                  </w:tcBorders>
                  <w:vAlign w:val="center"/>
                </w:tcPr>
                <w:p w14:paraId="64BB7729">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240</w:t>
                  </w:r>
                </w:p>
              </w:tc>
            </w:tr>
            <w:tr w14:paraId="6DACF4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360" w:type="dxa"/>
                  <w:tcBorders>
                    <w:top w:val="single" w:color="auto" w:sz="6" w:space="0"/>
                    <w:left w:val="single" w:color="auto" w:sz="6" w:space="0"/>
                    <w:bottom w:val="single" w:color="auto" w:sz="6" w:space="0"/>
                    <w:right w:val="single" w:color="auto" w:sz="6" w:space="0"/>
                  </w:tcBorders>
                  <w:vAlign w:val="center"/>
                </w:tcPr>
                <w:p w14:paraId="5CF56E90">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装载机</w:t>
                  </w:r>
                </w:p>
              </w:tc>
              <w:tc>
                <w:tcPr>
                  <w:tcW w:w="1016" w:type="dxa"/>
                  <w:tcBorders>
                    <w:top w:val="single" w:color="auto" w:sz="6" w:space="0"/>
                    <w:left w:val="nil"/>
                    <w:bottom w:val="single" w:color="auto" w:sz="6" w:space="0"/>
                    <w:right w:val="single" w:color="auto" w:sz="6" w:space="0"/>
                  </w:tcBorders>
                </w:tcPr>
                <w:p w14:paraId="550F2D1D">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100</w:t>
                  </w:r>
                </w:p>
              </w:tc>
              <w:tc>
                <w:tcPr>
                  <w:tcW w:w="723" w:type="dxa"/>
                  <w:tcBorders>
                    <w:top w:val="single" w:color="auto" w:sz="6" w:space="0"/>
                    <w:left w:val="nil"/>
                    <w:bottom w:val="single" w:color="auto" w:sz="6" w:space="0"/>
                    <w:right w:val="single" w:color="auto" w:sz="6" w:space="0"/>
                  </w:tcBorders>
                  <w:vAlign w:val="center"/>
                </w:tcPr>
                <w:p w14:paraId="511FAE9E">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81</w:t>
                  </w:r>
                </w:p>
              </w:tc>
              <w:tc>
                <w:tcPr>
                  <w:tcW w:w="802" w:type="dxa"/>
                  <w:tcBorders>
                    <w:top w:val="single" w:color="auto" w:sz="6" w:space="0"/>
                    <w:left w:val="nil"/>
                    <w:bottom w:val="single" w:color="auto" w:sz="6" w:space="0"/>
                    <w:right w:val="single" w:color="auto" w:sz="6" w:space="0"/>
                  </w:tcBorders>
                  <w:vAlign w:val="center"/>
                </w:tcPr>
                <w:p w14:paraId="604A5EDF">
                  <w:pPr>
                    <w:pStyle w:val="111"/>
                    <w:rPr>
                      <w:rFonts w:hint="default" w:ascii="Times New Roman" w:hAnsi="Times New Roman" w:eastAsia="宋体" w:cs="Times New Roman"/>
                      <w:color w:val="0000FF"/>
                    </w:rPr>
                  </w:pPr>
                  <w:r>
                    <w:rPr>
                      <w:rFonts w:hint="default" w:ascii="Times New Roman" w:hAnsi="Times New Roman" w:eastAsia="宋体" w:cs="Times New Roman"/>
                      <w:color w:val="0000FF"/>
                    </w:rPr>
                    <w:t>76</w:t>
                  </w:r>
                </w:p>
              </w:tc>
              <w:tc>
                <w:tcPr>
                  <w:tcW w:w="1089" w:type="dxa"/>
                  <w:tcBorders>
                    <w:top w:val="single" w:color="auto" w:sz="6" w:space="0"/>
                    <w:left w:val="nil"/>
                    <w:bottom w:val="single" w:color="auto" w:sz="6" w:space="0"/>
                    <w:right w:val="single" w:color="auto" w:sz="6" w:space="0"/>
                  </w:tcBorders>
                  <w:vAlign w:val="center"/>
                </w:tcPr>
                <w:p w14:paraId="79AA2341">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70</w:t>
                  </w:r>
                </w:p>
              </w:tc>
              <w:tc>
                <w:tcPr>
                  <w:tcW w:w="822" w:type="dxa"/>
                  <w:tcBorders>
                    <w:top w:val="single" w:color="auto" w:sz="6" w:space="0"/>
                    <w:left w:val="nil"/>
                    <w:bottom w:val="single" w:color="auto" w:sz="6" w:space="0"/>
                    <w:right w:val="single" w:color="auto" w:sz="6" w:space="0"/>
                  </w:tcBorders>
                  <w:vAlign w:val="center"/>
                </w:tcPr>
                <w:p w14:paraId="1386FC60">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64</w:t>
                  </w:r>
                </w:p>
              </w:tc>
              <w:tc>
                <w:tcPr>
                  <w:tcW w:w="955" w:type="dxa"/>
                  <w:tcBorders>
                    <w:top w:val="single" w:color="auto" w:sz="6" w:space="0"/>
                    <w:left w:val="nil"/>
                    <w:bottom w:val="single" w:color="auto" w:sz="6" w:space="0"/>
                    <w:right w:val="single" w:color="auto" w:sz="6" w:space="0"/>
                  </w:tcBorders>
                  <w:vAlign w:val="center"/>
                </w:tcPr>
                <w:p w14:paraId="1C2CC1D3">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58</w:t>
                  </w:r>
                </w:p>
              </w:tc>
              <w:tc>
                <w:tcPr>
                  <w:tcW w:w="1363" w:type="dxa"/>
                  <w:tcBorders>
                    <w:top w:val="single" w:color="auto" w:sz="6" w:space="0"/>
                    <w:left w:val="nil"/>
                    <w:bottom w:val="single" w:color="auto" w:sz="6" w:space="0"/>
                    <w:right w:val="single" w:color="auto" w:sz="6" w:space="0"/>
                  </w:tcBorders>
                  <w:vAlign w:val="center"/>
                </w:tcPr>
                <w:p w14:paraId="671BC287">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52</w:t>
                  </w:r>
                </w:p>
              </w:tc>
            </w:tr>
            <w:tr w14:paraId="381889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360" w:type="dxa"/>
                  <w:tcBorders>
                    <w:top w:val="single" w:color="auto" w:sz="6" w:space="0"/>
                    <w:left w:val="single" w:color="auto" w:sz="6" w:space="0"/>
                    <w:bottom w:val="single" w:color="auto" w:sz="6" w:space="0"/>
                    <w:right w:val="single" w:color="auto" w:sz="6" w:space="0"/>
                  </w:tcBorders>
                  <w:vAlign w:val="center"/>
                </w:tcPr>
                <w:p w14:paraId="6D508333">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挖掘机</w:t>
                  </w:r>
                </w:p>
              </w:tc>
              <w:tc>
                <w:tcPr>
                  <w:tcW w:w="1016" w:type="dxa"/>
                  <w:tcBorders>
                    <w:top w:val="single" w:color="auto" w:sz="6" w:space="0"/>
                    <w:left w:val="nil"/>
                    <w:bottom w:val="single" w:color="auto" w:sz="6" w:space="0"/>
                    <w:right w:val="single" w:color="auto" w:sz="6" w:space="0"/>
                  </w:tcBorders>
                </w:tcPr>
                <w:p w14:paraId="2D36007E">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96</w:t>
                  </w:r>
                </w:p>
              </w:tc>
              <w:tc>
                <w:tcPr>
                  <w:tcW w:w="723" w:type="dxa"/>
                  <w:tcBorders>
                    <w:top w:val="single" w:color="auto" w:sz="6" w:space="0"/>
                    <w:left w:val="nil"/>
                    <w:bottom w:val="single" w:color="auto" w:sz="6" w:space="0"/>
                    <w:right w:val="single" w:color="auto" w:sz="6" w:space="0"/>
                  </w:tcBorders>
                  <w:vAlign w:val="center"/>
                </w:tcPr>
                <w:p w14:paraId="0AE3ACB0">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77</w:t>
                  </w:r>
                </w:p>
              </w:tc>
              <w:tc>
                <w:tcPr>
                  <w:tcW w:w="802" w:type="dxa"/>
                  <w:tcBorders>
                    <w:top w:val="single" w:color="auto" w:sz="6" w:space="0"/>
                    <w:left w:val="nil"/>
                    <w:bottom w:val="single" w:color="auto" w:sz="6" w:space="0"/>
                    <w:right w:val="single" w:color="auto" w:sz="6" w:space="0"/>
                  </w:tcBorders>
                  <w:vAlign w:val="center"/>
                </w:tcPr>
                <w:p w14:paraId="622B2D5A">
                  <w:pPr>
                    <w:pStyle w:val="111"/>
                    <w:rPr>
                      <w:rFonts w:hint="default" w:ascii="Times New Roman" w:hAnsi="Times New Roman" w:eastAsia="宋体" w:cs="Times New Roman"/>
                      <w:color w:val="0000FF"/>
                    </w:rPr>
                  </w:pPr>
                  <w:r>
                    <w:rPr>
                      <w:rFonts w:hint="default" w:ascii="Times New Roman" w:hAnsi="Times New Roman" w:eastAsia="宋体" w:cs="Times New Roman"/>
                      <w:color w:val="0000FF"/>
                    </w:rPr>
                    <w:t>72</w:t>
                  </w:r>
                </w:p>
              </w:tc>
              <w:tc>
                <w:tcPr>
                  <w:tcW w:w="1089" w:type="dxa"/>
                  <w:tcBorders>
                    <w:top w:val="single" w:color="auto" w:sz="6" w:space="0"/>
                    <w:left w:val="nil"/>
                    <w:bottom w:val="single" w:color="auto" w:sz="6" w:space="0"/>
                    <w:right w:val="single" w:color="auto" w:sz="6" w:space="0"/>
                  </w:tcBorders>
                  <w:vAlign w:val="center"/>
                </w:tcPr>
                <w:p w14:paraId="3354CB60">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66</w:t>
                  </w:r>
                </w:p>
              </w:tc>
              <w:tc>
                <w:tcPr>
                  <w:tcW w:w="822" w:type="dxa"/>
                  <w:tcBorders>
                    <w:top w:val="single" w:color="auto" w:sz="6" w:space="0"/>
                    <w:left w:val="nil"/>
                    <w:bottom w:val="single" w:color="auto" w:sz="6" w:space="0"/>
                    <w:right w:val="single" w:color="auto" w:sz="6" w:space="0"/>
                  </w:tcBorders>
                  <w:vAlign w:val="center"/>
                </w:tcPr>
                <w:p w14:paraId="39C74A63">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60</w:t>
                  </w:r>
                </w:p>
              </w:tc>
              <w:tc>
                <w:tcPr>
                  <w:tcW w:w="955" w:type="dxa"/>
                  <w:tcBorders>
                    <w:top w:val="single" w:color="auto" w:sz="6" w:space="0"/>
                    <w:left w:val="nil"/>
                    <w:bottom w:val="single" w:color="auto" w:sz="6" w:space="0"/>
                    <w:right w:val="single" w:color="auto" w:sz="6" w:space="0"/>
                  </w:tcBorders>
                  <w:vAlign w:val="center"/>
                </w:tcPr>
                <w:p w14:paraId="0176CF13">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54</w:t>
                  </w:r>
                </w:p>
              </w:tc>
              <w:tc>
                <w:tcPr>
                  <w:tcW w:w="1363" w:type="dxa"/>
                  <w:tcBorders>
                    <w:top w:val="single" w:color="auto" w:sz="6" w:space="0"/>
                    <w:left w:val="nil"/>
                    <w:bottom w:val="single" w:color="auto" w:sz="6" w:space="0"/>
                    <w:right w:val="single" w:color="auto" w:sz="6" w:space="0"/>
                  </w:tcBorders>
                  <w:vAlign w:val="center"/>
                </w:tcPr>
                <w:p w14:paraId="3615FCD8">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48</w:t>
                  </w:r>
                </w:p>
              </w:tc>
            </w:tr>
            <w:tr w14:paraId="05954D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360" w:type="dxa"/>
                  <w:tcBorders>
                    <w:top w:val="single" w:color="auto" w:sz="6" w:space="0"/>
                    <w:left w:val="single" w:color="auto" w:sz="6" w:space="0"/>
                    <w:bottom w:val="single" w:color="auto" w:sz="6" w:space="0"/>
                    <w:right w:val="single" w:color="auto" w:sz="6" w:space="0"/>
                  </w:tcBorders>
                  <w:vAlign w:val="center"/>
                </w:tcPr>
                <w:p w14:paraId="0A9340F3">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推土机</w:t>
                  </w:r>
                </w:p>
              </w:tc>
              <w:tc>
                <w:tcPr>
                  <w:tcW w:w="1016" w:type="dxa"/>
                  <w:tcBorders>
                    <w:top w:val="single" w:color="auto" w:sz="6" w:space="0"/>
                    <w:left w:val="nil"/>
                    <w:bottom w:val="single" w:color="auto" w:sz="6" w:space="0"/>
                    <w:right w:val="single" w:color="auto" w:sz="6" w:space="0"/>
                  </w:tcBorders>
                </w:tcPr>
                <w:p w14:paraId="5F416B0C">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102</w:t>
                  </w:r>
                </w:p>
              </w:tc>
              <w:tc>
                <w:tcPr>
                  <w:tcW w:w="723" w:type="dxa"/>
                  <w:tcBorders>
                    <w:top w:val="single" w:color="auto" w:sz="6" w:space="0"/>
                    <w:left w:val="nil"/>
                    <w:bottom w:val="single" w:color="auto" w:sz="6" w:space="0"/>
                    <w:right w:val="single" w:color="auto" w:sz="6" w:space="0"/>
                  </w:tcBorders>
                  <w:vAlign w:val="center"/>
                </w:tcPr>
                <w:p w14:paraId="3EDCCFE3">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83</w:t>
                  </w:r>
                </w:p>
              </w:tc>
              <w:tc>
                <w:tcPr>
                  <w:tcW w:w="802" w:type="dxa"/>
                  <w:tcBorders>
                    <w:top w:val="single" w:color="auto" w:sz="6" w:space="0"/>
                    <w:left w:val="nil"/>
                    <w:bottom w:val="single" w:color="auto" w:sz="6" w:space="0"/>
                    <w:right w:val="single" w:color="auto" w:sz="6" w:space="0"/>
                  </w:tcBorders>
                  <w:vAlign w:val="center"/>
                </w:tcPr>
                <w:p w14:paraId="6E559280">
                  <w:pPr>
                    <w:pStyle w:val="111"/>
                    <w:rPr>
                      <w:rFonts w:hint="default" w:ascii="Times New Roman" w:hAnsi="Times New Roman" w:eastAsia="宋体" w:cs="Times New Roman"/>
                      <w:color w:val="0000FF"/>
                    </w:rPr>
                  </w:pPr>
                  <w:r>
                    <w:rPr>
                      <w:rFonts w:hint="default" w:ascii="Times New Roman" w:hAnsi="Times New Roman" w:eastAsia="宋体" w:cs="Times New Roman"/>
                      <w:color w:val="0000FF"/>
                    </w:rPr>
                    <w:t>78</w:t>
                  </w:r>
                </w:p>
              </w:tc>
              <w:tc>
                <w:tcPr>
                  <w:tcW w:w="1089" w:type="dxa"/>
                  <w:tcBorders>
                    <w:top w:val="single" w:color="auto" w:sz="6" w:space="0"/>
                    <w:left w:val="nil"/>
                    <w:bottom w:val="single" w:color="auto" w:sz="6" w:space="0"/>
                    <w:right w:val="single" w:color="auto" w:sz="6" w:space="0"/>
                  </w:tcBorders>
                  <w:vAlign w:val="center"/>
                </w:tcPr>
                <w:p w14:paraId="1F16FF7F">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72</w:t>
                  </w:r>
                </w:p>
              </w:tc>
              <w:tc>
                <w:tcPr>
                  <w:tcW w:w="822" w:type="dxa"/>
                  <w:tcBorders>
                    <w:top w:val="single" w:color="auto" w:sz="6" w:space="0"/>
                    <w:left w:val="nil"/>
                    <w:bottom w:val="single" w:color="auto" w:sz="6" w:space="0"/>
                    <w:right w:val="single" w:color="auto" w:sz="6" w:space="0"/>
                  </w:tcBorders>
                  <w:vAlign w:val="center"/>
                </w:tcPr>
                <w:p w14:paraId="3F74A2A3">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66</w:t>
                  </w:r>
                </w:p>
              </w:tc>
              <w:tc>
                <w:tcPr>
                  <w:tcW w:w="955" w:type="dxa"/>
                  <w:tcBorders>
                    <w:top w:val="single" w:color="auto" w:sz="6" w:space="0"/>
                    <w:left w:val="nil"/>
                    <w:bottom w:val="single" w:color="auto" w:sz="6" w:space="0"/>
                    <w:right w:val="single" w:color="auto" w:sz="6" w:space="0"/>
                  </w:tcBorders>
                  <w:vAlign w:val="center"/>
                </w:tcPr>
                <w:p w14:paraId="3CD2C16F">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60</w:t>
                  </w:r>
                </w:p>
              </w:tc>
              <w:tc>
                <w:tcPr>
                  <w:tcW w:w="1363" w:type="dxa"/>
                  <w:tcBorders>
                    <w:top w:val="single" w:color="auto" w:sz="6" w:space="0"/>
                    <w:left w:val="nil"/>
                    <w:bottom w:val="single" w:color="auto" w:sz="6" w:space="0"/>
                    <w:right w:val="single" w:color="auto" w:sz="6" w:space="0"/>
                  </w:tcBorders>
                  <w:vAlign w:val="center"/>
                </w:tcPr>
                <w:p w14:paraId="1A519A2C">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54</w:t>
                  </w:r>
                </w:p>
              </w:tc>
            </w:tr>
            <w:tr w14:paraId="40B7C4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360" w:type="dxa"/>
                  <w:tcBorders>
                    <w:top w:val="single" w:color="auto" w:sz="6" w:space="0"/>
                    <w:left w:val="single" w:color="auto" w:sz="6" w:space="0"/>
                    <w:bottom w:val="single" w:color="auto" w:sz="6" w:space="0"/>
                    <w:right w:val="single" w:color="auto" w:sz="6" w:space="0"/>
                  </w:tcBorders>
                  <w:vAlign w:val="center"/>
                </w:tcPr>
                <w:p w14:paraId="6DAE94FC">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搅拌机</w:t>
                  </w:r>
                </w:p>
              </w:tc>
              <w:tc>
                <w:tcPr>
                  <w:tcW w:w="1016" w:type="dxa"/>
                  <w:tcBorders>
                    <w:top w:val="single" w:color="auto" w:sz="6" w:space="0"/>
                    <w:left w:val="nil"/>
                    <w:bottom w:val="single" w:color="auto" w:sz="6" w:space="0"/>
                    <w:right w:val="single" w:color="auto" w:sz="6" w:space="0"/>
                  </w:tcBorders>
                </w:tcPr>
                <w:p w14:paraId="27523796">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95</w:t>
                  </w:r>
                </w:p>
              </w:tc>
              <w:tc>
                <w:tcPr>
                  <w:tcW w:w="723" w:type="dxa"/>
                  <w:tcBorders>
                    <w:top w:val="single" w:color="auto" w:sz="6" w:space="0"/>
                    <w:left w:val="nil"/>
                    <w:bottom w:val="single" w:color="auto" w:sz="6" w:space="0"/>
                    <w:right w:val="single" w:color="auto" w:sz="6" w:space="0"/>
                  </w:tcBorders>
                  <w:vAlign w:val="center"/>
                </w:tcPr>
                <w:p w14:paraId="5F975240">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77</w:t>
                  </w:r>
                </w:p>
              </w:tc>
              <w:tc>
                <w:tcPr>
                  <w:tcW w:w="802" w:type="dxa"/>
                  <w:tcBorders>
                    <w:top w:val="single" w:color="auto" w:sz="6" w:space="0"/>
                    <w:left w:val="nil"/>
                    <w:bottom w:val="single" w:color="auto" w:sz="6" w:space="0"/>
                    <w:right w:val="single" w:color="auto" w:sz="6" w:space="0"/>
                  </w:tcBorders>
                  <w:vAlign w:val="center"/>
                </w:tcPr>
                <w:p w14:paraId="2D7D9252">
                  <w:pPr>
                    <w:pStyle w:val="111"/>
                    <w:rPr>
                      <w:rFonts w:hint="default" w:ascii="Times New Roman" w:hAnsi="Times New Roman" w:eastAsia="宋体" w:cs="Times New Roman"/>
                      <w:color w:val="0000FF"/>
                    </w:rPr>
                  </w:pPr>
                  <w:r>
                    <w:rPr>
                      <w:rFonts w:hint="default" w:ascii="Times New Roman" w:hAnsi="Times New Roman" w:eastAsia="宋体" w:cs="Times New Roman"/>
                      <w:color w:val="0000FF"/>
                    </w:rPr>
                    <w:t>71</w:t>
                  </w:r>
                </w:p>
              </w:tc>
              <w:tc>
                <w:tcPr>
                  <w:tcW w:w="1089" w:type="dxa"/>
                  <w:tcBorders>
                    <w:top w:val="single" w:color="auto" w:sz="6" w:space="0"/>
                    <w:left w:val="nil"/>
                    <w:bottom w:val="single" w:color="auto" w:sz="6" w:space="0"/>
                    <w:right w:val="single" w:color="auto" w:sz="6" w:space="0"/>
                  </w:tcBorders>
                  <w:vAlign w:val="center"/>
                </w:tcPr>
                <w:p w14:paraId="58921DCD">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65</w:t>
                  </w:r>
                </w:p>
              </w:tc>
              <w:tc>
                <w:tcPr>
                  <w:tcW w:w="822" w:type="dxa"/>
                  <w:tcBorders>
                    <w:top w:val="single" w:color="auto" w:sz="6" w:space="0"/>
                    <w:left w:val="nil"/>
                    <w:bottom w:val="single" w:color="auto" w:sz="6" w:space="0"/>
                    <w:right w:val="single" w:color="auto" w:sz="6" w:space="0"/>
                  </w:tcBorders>
                  <w:vAlign w:val="center"/>
                </w:tcPr>
                <w:p w14:paraId="28811128">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59</w:t>
                  </w:r>
                </w:p>
              </w:tc>
              <w:tc>
                <w:tcPr>
                  <w:tcW w:w="955" w:type="dxa"/>
                  <w:tcBorders>
                    <w:top w:val="single" w:color="auto" w:sz="6" w:space="0"/>
                    <w:left w:val="nil"/>
                    <w:bottom w:val="single" w:color="auto" w:sz="6" w:space="0"/>
                    <w:right w:val="single" w:color="auto" w:sz="6" w:space="0"/>
                  </w:tcBorders>
                  <w:vAlign w:val="center"/>
                </w:tcPr>
                <w:p w14:paraId="647268EF">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53</w:t>
                  </w:r>
                </w:p>
              </w:tc>
              <w:tc>
                <w:tcPr>
                  <w:tcW w:w="1363" w:type="dxa"/>
                  <w:tcBorders>
                    <w:top w:val="single" w:color="auto" w:sz="6" w:space="0"/>
                    <w:left w:val="nil"/>
                    <w:bottom w:val="single" w:color="auto" w:sz="6" w:space="0"/>
                    <w:right w:val="single" w:color="auto" w:sz="6" w:space="0"/>
                  </w:tcBorders>
                  <w:vAlign w:val="center"/>
                </w:tcPr>
                <w:p w14:paraId="12C10ECD">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47</w:t>
                  </w:r>
                </w:p>
              </w:tc>
            </w:tr>
            <w:tr w14:paraId="6171C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360" w:type="dxa"/>
                  <w:tcBorders>
                    <w:top w:val="single" w:color="auto" w:sz="6" w:space="0"/>
                    <w:left w:val="single" w:color="auto" w:sz="6" w:space="0"/>
                    <w:bottom w:val="single" w:color="auto" w:sz="6" w:space="0"/>
                    <w:right w:val="single" w:color="auto" w:sz="6" w:space="0"/>
                  </w:tcBorders>
                  <w:vAlign w:val="center"/>
                </w:tcPr>
                <w:p w14:paraId="6818655A">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振动碾</w:t>
                  </w:r>
                </w:p>
              </w:tc>
              <w:tc>
                <w:tcPr>
                  <w:tcW w:w="1016" w:type="dxa"/>
                  <w:tcBorders>
                    <w:top w:val="single" w:color="auto" w:sz="6" w:space="0"/>
                    <w:left w:val="nil"/>
                    <w:bottom w:val="single" w:color="auto" w:sz="6" w:space="0"/>
                    <w:right w:val="single" w:color="auto" w:sz="6" w:space="0"/>
                  </w:tcBorders>
                </w:tcPr>
                <w:p w14:paraId="7A5AA597">
                  <w:pPr>
                    <w:pStyle w:val="11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95</w:t>
                  </w:r>
                </w:p>
              </w:tc>
              <w:tc>
                <w:tcPr>
                  <w:tcW w:w="723" w:type="dxa"/>
                  <w:tcBorders>
                    <w:top w:val="single" w:color="auto" w:sz="6" w:space="0"/>
                    <w:left w:val="nil"/>
                    <w:bottom w:val="single" w:color="auto" w:sz="6" w:space="0"/>
                    <w:right w:val="single" w:color="auto" w:sz="6" w:space="0"/>
                  </w:tcBorders>
                  <w:vAlign w:val="center"/>
                </w:tcPr>
                <w:p w14:paraId="4A2FE613">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77</w:t>
                  </w:r>
                </w:p>
              </w:tc>
              <w:tc>
                <w:tcPr>
                  <w:tcW w:w="802" w:type="dxa"/>
                  <w:tcBorders>
                    <w:top w:val="single" w:color="auto" w:sz="6" w:space="0"/>
                    <w:left w:val="nil"/>
                    <w:bottom w:val="single" w:color="auto" w:sz="6" w:space="0"/>
                    <w:right w:val="single" w:color="auto" w:sz="6" w:space="0"/>
                  </w:tcBorders>
                  <w:vAlign w:val="center"/>
                </w:tcPr>
                <w:p w14:paraId="2BEE9B3D">
                  <w:pPr>
                    <w:pStyle w:val="111"/>
                    <w:rPr>
                      <w:rFonts w:hint="default" w:ascii="Times New Roman" w:hAnsi="Times New Roman" w:eastAsia="宋体" w:cs="Times New Roman"/>
                      <w:color w:val="0000FF"/>
                    </w:rPr>
                  </w:pPr>
                  <w:r>
                    <w:rPr>
                      <w:rFonts w:hint="default" w:ascii="Times New Roman" w:hAnsi="Times New Roman" w:eastAsia="宋体" w:cs="Times New Roman"/>
                      <w:color w:val="0000FF"/>
                    </w:rPr>
                    <w:t>71</w:t>
                  </w:r>
                </w:p>
              </w:tc>
              <w:tc>
                <w:tcPr>
                  <w:tcW w:w="1089" w:type="dxa"/>
                  <w:tcBorders>
                    <w:top w:val="single" w:color="auto" w:sz="6" w:space="0"/>
                    <w:left w:val="nil"/>
                    <w:bottom w:val="single" w:color="auto" w:sz="6" w:space="0"/>
                    <w:right w:val="single" w:color="auto" w:sz="6" w:space="0"/>
                  </w:tcBorders>
                  <w:vAlign w:val="center"/>
                </w:tcPr>
                <w:p w14:paraId="7CAB2B48">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65</w:t>
                  </w:r>
                </w:p>
              </w:tc>
              <w:tc>
                <w:tcPr>
                  <w:tcW w:w="822" w:type="dxa"/>
                  <w:tcBorders>
                    <w:top w:val="single" w:color="auto" w:sz="6" w:space="0"/>
                    <w:left w:val="nil"/>
                    <w:bottom w:val="single" w:color="auto" w:sz="6" w:space="0"/>
                    <w:right w:val="single" w:color="auto" w:sz="6" w:space="0"/>
                  </w:tcBorders>
                  <w:vAlign w:val="center"/>
                </w:tcPr>
                <w:p w14:paraId="3E3E754F">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59</w:t>
                  </w:r>
                </w:p>
              </w:tc>
              <w:tc>
                <w:tcPr>
                  <w:tcW w:w="955" w:type="dxa"/>
                  <w:tcBorders>
                    <w:top w:val="single" w:color="auto" w:sz="6" w:space="0"/>
                    <w:left w:val="nil"/>
                    <w:bottom w:val="single" w:color="auto" w:sz="6" w:space="0"/>
                    <w:right w:val="single" w:color="auto" w:sz="6" w:space="0"/>
                  </w:tcBorders>
                  <w:vAlign w:val="center"/>
                </w:tcPr>
                <w:p w14:paraId="15B2335C">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53</w:t>
                  </w:r>
                </w:p>
              </w:tc>
              <w:tc>
                <w:tcPr>
                  <w:tcW w:w="1363" w:type="dxa"/>
                  <w:tcBorders>
                    <w:top w:val="single" w:color="auto" w:sz="6" w:space="0"/>
                    <w:left w:val="nil"/>
                    <w:bottom w:val="single" w:color="auto" w:sz="6" w:space="0"/>
                    <w:right w:val="single" w:color="auto" w:sz="6" w:space="0"/>
                  </w:tcBorders>
                  <w:vAlign w:val="center"/>
                </w:tcPr>
                <w:p w14:paraId="34A4BAE1">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47</w:t>
                  </w:r>
                </w:p>
              </w:tc>
            </w:tr>
            <w:tr w14:paraId="67F3FE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360" w:type="dxa"/>
                  <w:tcBorders>
                    <w:top w:val="single" w:color="auto" w:sz="6" w:space="0"/>
                    <w:left w:val="single" w:color="auto" w:sz="6" w:space="0"/>
                    <w:bottom w:val="single" w:color="auto" w:sz="6" w:space="0"/>
                    <w:right w:val="single" w:color="auto" w:sz="6" w:space="0"/>
                  </w:tcBorders>
                  <w:vAlign w:val="center"/>
                </w:tcPr>
                <w:p w14:paraId="52E8E6E0">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插入式振捣</w:t>
                  </w:r>
                </w:p>
              </w:tc>
              <w:tc>
                <w:tcPr>
                  <w:tcW w:w="1016" w:type="dxa"/>
                  <w:tcBorders>
                    <w:top w:val="single" w:color="auto" w:sz="6" w:space="0"/>
                    <w:left w:val="nil"/>
                    <w:bottom w:val="single" w:color="auto" w:sz="6" w:space="0"/>
                    <w:right w:val="single" w:color="auto" w:sz="6" w:space="0"/>
                  </w:tcBorders>
                </w:tcPr>
                <w:p w14:paraId="29B2273D">
                  <w:pPr>
                    <w:pStyle w:val="11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95</w:t>
                  </w:r>
                </w:p>
              </w:tc>
              <w:tc>
                <w:tcPr>
                  <w:tcW w:w="723" w:type="dxa"/>
                  <w:tcBorders>
                    <w:top w:val="single" w:color="auto" w:sz="6" w:space="0"/>
                    <w:left w:val="nil"/>
                    <w:bottom w:val="single" w:color="auto" w:sz="6" w:space="0"/>
                    <w:right w:val="single" w:color="auto" w:sz="6" w:space="0"/>
                  </w:tcBorders>
                  <w:vAlign w:val="center"/>
                </w:tcPr>
                <w:p w14:paraId="0FC77873">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77</w:t>
                  </w:r>
                </w:p>
              </w:tc>
              <w:tc>
                <w:tcPr>
                  <w:tcW w:w="802" w:type="dxa"/>
                  <w:tcBorders>
                    <w:top w:val="single" w:color="auto" w:sz="6" w:space="0"/>
                    <w:left w:val="nil"/>
                    <w:bottom w:val="single" w:color="auto" w:sz="6" w:space="0"/>
                    <w:right w:val="single" w:color="auto" w:sz="6" w:space="0"/>
                  </w:tcBorders>
                  <w:vAlign w:val="center"/>
                </w:tcPr>
                <w:p w14:paraId="2AB6DA9D">
                  <w:pPr>
                    <w:pStyle w:val="111"/>
                    <w:rPr>
                      <w:rFonts w:hint="default" w:ascii="Times New Roman" w:hAnsi="Times New Roman" w:eastAsia="宋体" w:cs="Times New Roman"/>
                      <w:color w:val="0000FF"/>
                    </w:rPr>
                  </w:pPr>
                  <w:r>
                    <w:rPr>
                      <w:rFonts w:hint="default" w:ascii="Times New Roman" w:hAnsi="Times New Roman" w:eastAsia="宋体" w:cs="Times New Roman"/>
                      <w:color w:val="0000FF"/>
                    </w:rPr>
                    <w:t>71</w:t>
                  </w:r>
                </w:p>
              </w:tc>
              <w:tc>
                <w:tcPr>
                  <w:tcW w:w="1089" w:type="dxa"/>
                  <w:tcBorders>
                    <w:top w:val="single" w:color="auto" w:sz="6" w:space="0"/>
                    <w:left w:val="nil"/>
                    <w:bottom w:val="single" w:color="auto" w:sz="6" w:space="0"/>
                    <w:right w:val="single" w:color="auto" w:sz="6" w:space="0"/>
                  </w:tcBorders>
                  <w:vAlign w:val="center"/>
                </w:tcPr>
                <w:p w14:paraId="00B55A16">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65</w:t>
                  </w:r>
                </w:p>
              </w:tc>
              <w:tc>
                <w:tcPr>
                  <w:tcW w:w="822" w:type="dxa"/>
                  <w:tcBorders>
                    <w:top w:val="single" w:color="auto" w:sz="6" w:space="0"/>
                    <w:left w:val="nil"/>
                    <w:bottom w:val="single" w:color="auto" w:sz="6" w:space="0"/>
                    <w:right w:val="single" w:color="auto" w:sz="6" w:space="0"/>
                  </w:tcBorders>
                  <w:vAlign w:val="center"/>
                </w:tcPr>
                <w:p w14:paraId="243B3C77">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59</w:t>
                  </w:r>
                </w:p>
              </w:tc>
              <w:tc>
                <w:tcPr>
                  <w:tcW w:w="955" w:type="dxa"/>
                  <w:tcBorders>
                    <w:top w:val="single" w:color="auto" w:sz="6" w:space="0"/>
                    <w:left w:val="nil"/>
                    <w:bottom w:val="single" w:color="auto" w:sz="6" w:space="0"/>
                    <w:right w:val="single" w:color="auto" w:sz="6" w:space="0"/>
                  </w:tcBorders>
                  <w:vAlign w:val="center"/>
                </w:tcPr>
                <w:p w14:paraId="6A1BC358">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53</w:t>
                  </w:r>
                </w:p>
              </w:tc>
              <w:tc>
                <w:tcPr>
                  <w:tcW w:w="1363" w:type="dxa"/>
                  <w:tcBorders>
                    <w:top w:val="single" w:color="auto" w:sz="6" w:space="0"/>
                    <w:left w:val="nil"/>
                    <w:bottom w:val="single" w:color="auto" w:sz="6" w:space="0"/>
                    <w:right w:val="single" w:color="auto" w:sz="6" w:space="0"/>
                  </w:tcBorders>
                  <w:vAlign w:val="center"/>
                </w:tcPr>
                <w:p w14:paraId="38EB55C5">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47</w:t>
                  </w:r>
                </w:p>
              </w:tc>
            </w:tr>
            <w:tr w14:paraId="79F9FE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360" w:type="dxa"/>
                  <w:tcBorders>
                    <w:top w:val="single" w:color="auto" w:sz="6" w:space="0"/>
                    <w:left w:val="single" w:color="auto" w:sz="6" w:space="0"/>
                    <w:bottom w:val="single" w:color="auto" w:sz="6" w:space="0"/>
                    <w:right w:val="single" w:color="auto" w:sz="6" w:space="0"/>
                  </w:tcBorders>
                  <w:vAlign w:val="center"/>
                </w:tcPr>
                <w:p w14:paraId="72B1C1E0">
                  <w:pPr>
                    <w:pStyle w:val="111"/>
                    <w:rPr>
                      <w:rFonts w:hint="default" w:ascii="Times New Roman" w:hAnsi="Times New Roman" w:eastAsia="宋体" w:cs="Times New Roman"/>
                      <w:color w:val="auto"/>
                    </w:rPr>
                  </w:pPr>
                  <w:r>
                    <w:rPr>
                      <w:rFonts w:hint="default" w:ascii="Times New Roman" w:hAnsi="Times New Roman" w:eastAsia="宋体" w:cs="Times New Roman"/>
                      <w:color w:val="auto"/>
                    </w:rPr>
                    <w:t>直流弧焊机</w:t>
                  </w:r>
                </w:p>
              </w:tc>
              <w:tc>
                <w:tcPr>
                  <w:tcW w:w="1016" w:type="dxa"/>
                  <w:tcBorders>
                    <w:top w:val="single" w:color="auto" w:sz="6" w:space="0"/>
                    <w:left w:val="nil"/>
                    <w:bottom w:val="single" w:color="auto" w:sz="6" w:space="0"/>
                    <w:right w:val="single" w:color="auto" w:sz="6" w:space="0"/>
                  </w:tcBorders>
                </w:tcPr>
                <w:p w14:paraId="6B9A68CA">
                  <w:pPr>
                    <w:pStyle w:val="11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85</w:t>
                  </w:r>
                </w:p>
              </w:tc>
              <w:tc>
                <w:tcPr>
                  <w:tcW w:w="723" w:type="dxa"/>
                  <w:tcBorders>
                    <w:top w:val="single" w:color="auto" w:sz="6" w:space="0"/>
                    <w:left w:val="nil"/>
                    <w:bottom w:val="single" w:color="auto" w:sz="6" w:space="0"/>
                    <w:right w:val="single" w:color="auto" w:sz="6" w:space="0"/>
                  </w:tcBorders>
                  <w:vAlign w:val="center"/>
                </w:tcPr>
                <w:p w14:paraId="567089C3">
                  <w:pPr>
                    <w:pStyle w:val="111"/>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7</w:t>
                  </w:r>
                </w:p>
              </w:tc>
              <w:tc>
                <w:tcPr>
                  <w:tcW w:w="802" w:type="dxa"/>
                  <w:tcBorders>
                    <w:top w:val="single" w:color="auto" w:sz="6" w:space="0"/>
                    <w:left w:val="nil"/>
                    <w:bottom w:val="single" w:color="auto" w:sz="6" w:space="0"/>
                    <w:right w:val="single" w:color="auto" w:sz="6" w:space="0"/>
                  </w:tcBorders>
                  <w:vAlign w:val="center"/>
                </w:tcPr>
                <w:p w14:paraId="55D1C2A8">
                  <w:pPr>
                    <w:pStyle w:val="111"/>
                    <w:rPr>
                      <w:rFonts w:hint="default" w:ascii="Times New Roman" w:hAnsi="Times New Roman" w:eastAsia="宋体" w:cs="Times New Roman"/>
                      <w:color w:val="0000FF"/>
                      <w:kern w:val="0"/>
                      <w:sz w:val="21"/>
                      <w:szCs w:val="21"/>
                      <w:lang w:val="en-US" w:eastAsia="zh-CN" w:bidi="ar-SA"/>
                    </w:rPr>
                  </w:pPr>
                  <w:r>
                    <w:rPr>
                      <w:rFonts w:hint="default" w:ascii="Times New Roman" w:hAnsi="Times New Roman" w:eastAsia="宋体" w:cs="Times New Roman"/>
                      <w:color w:val="0000FF"/>
                      <w:lang w:val="en-US" w:eastAsia="zh-CN"/>
                    </w:rPr>
                    <w:t>6</w:t>
                  </w:r>
                  <w:r>
                    <w:rPr>
                      <w:rFonts w:hint="default" w:ascii="Times New Roman" w:hAnsi="Times New Roman" w:eastAsia="宋体" w:cs="Times New Roman"/>
                      <w:color w:val="0000FF"/>
                    </w:rPr>
                    <w:t>1</w:t>
                  </w:r>
                </w:p>
              </w:tc>
              <w:tc>
                <w:tcPr>
                  <w:tcW w:w="1089" w:type="dxa"/>
                  <w:tcBorders>
                    <w:top w:val="single" w:color="auto" w:sz="6" w:space="0"/>
                    <w:left w:val="nil"/>
                    <w:bottom w:val="single" w:color="auto" w:sz="6" w:space="0"/>
                    <w:right w:val="single" w:color="auto" w:sz="6" w:space="0"/>
                  </w:tcBorders>
                  <w:vAlign w:val="center"/>
                </w:tcPr>
                <w:p w14:paraId="624F6A01">
                  <w:pPr>
                    <w:pStyle w:val="111"/>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5</w:t>
                  </w:r>
                </w:p>
              </w:tc>
              <w:tc>
                <w:tcPr>
                  <w:tcW w:w="822" w:type="dxa"/>
                  <w:tcBorders>
                    <w:top w:val="single" w:color="auto" w:sz="6" w:space="0"/>
                    <w:left w:val="nil"/>
                    <w:bottom w:val="single" w:color="auto" w:sz="6" w:space="0"/>
                    <w:right w:val="single" w:color="auto" w:sz="6" w:space="0"/>
                  </w:tcBorders>
                  <w:vAlign w:val="center"/>
                </w:tcPr>
                <w:p w14:paraId="0139DD79">
                  <w:pPr>
                    <w:pStyle w:val="111"/>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9</w:t>
                  </w:r>
                </w:p>
              </w:tc>
              <w:tc>
                <w:tcPr>
                  <w:tcW w:w="955" w:type="dxa"/>
                  <w:tcBorders>
                    <w:top w:val="single" w:color="auto" w:sz="6" w:space="0"/>
                    <w:left w:val="nil"/>
                    <w:bottom w:val="single" w:color="auto" w:sz="6" w:space="0"/>
                    <w:right w:val="single" w:color="auto" w:sz="6" w:space="0"/>
                  </w:tcBorders>
                  <w:vAlign w:val="center"/>
                </w:tcPr>
                <w:p w14:paraId="58749F53">
                  <w:pPr>
                    <w:pStyle w:val="111"/>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3</w:t>
                  </w:r>
                </w:p>
              </w:tc>
              <w:tc>
                <w:tcPr>
                  <w:tcW w:w="1363" w:type="dxa"/>
                  <w:tcBorders>
                    <w:top w:val="single" w:color="auto" w:sz="6" w:space="0"/>
                    <w:left w:val="nil"/>
                    <w:bottom w:val="single" w:color="auto" w:sz="6" w:space="0"/>
                    <w:right w:val="single" w:color="auto" w:sz="6" w:space="0"/>
                  </w:tcBorders>
                  <w:vAlign w:val="center"/>
                </w:tcPr>
                <w:p w14:paraId="68702DAD">
                  <w:pPr>
                    <w:pStyle w:val="111"/>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7</w:t>
                  </w:r>
                </w:p>
              </w:tc>
            </w:tr>
            <w:tr w14:paraId="5E6F78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360" w:type="dxa"/>
                  <w:tcBorders>
                    <w:top w:val="single" w:color="auto" w:sz="6" w:space="0"/>
                    <w:left w:val="single" w:color="auto" w:sz="6" w:space="0"/>
                    <w:bottom w:val="single" w:color="auto" w:sz="6" w:space="0"/>
                    <w:right w:val="single" w:color="auto" w:sz="6" w:space="0"/>
                  </w:tcBorders>
                  <w:vAlign w:val="center"/>
                </w:tcPr>
                <w:p w14:paraId="19753C36">
                  <w:pPr>
                    <w:pStyle w:val="11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钢筋调直机</w:t>
                  </w:r>
                </w:p>
              </w:tc>
              <w:tc>
                <w:tcPr>
                  <w:tcW w:w="1016" w:type="dxa"/>
                  <w:tcBorders>
                    <w:top w:val="single" w:color="auto" w:sz="6" w:space="0"/>
                    <w:left w:val="nil"/>
                    <w:bottom w:val="single" w:color="auto" w:sz="6" w:space="0"/>
                    <w:right w:val="single" w:color="auto" w:sz="6" w:space="0"/>
                  </w:tcBorders>
                  <w:vAlign w:val="top"/>
                </w:tcPr>
                <w:p w14:paraId="084F810A">
                  <w:pPr>
                    <w:pStyle w:val="11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85</w:t>
                  </w:r>
                </w:p>
              </w:tc>
              <w:tc>
                <w:tcPr>
                  <w:tcW w:w="723" w:type="dxa"/>
                  <w:tcBorders>
                    <w:top w:val="single" w:color="auto" w:sz="6" w:space="0"/>
                    <w:left w:val="nil"/>
                    <w:bottom w:val="single" w:color="auto" w:sz="6" w:space="0"/>
                    <w:right w:val="single" w:color="auto" w:sz="6" w:space="0"/>
                  </w:tcBorders>
                  <w:vAlign w:val="center"/>
                </w:tcPr>
                <w:p w14:paraId="69C8BCB1">
                  <w:pPr>
                    <w:pStyle w:val="11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7</w:t>
                  </w:r>
                </w:p>
              </w:tc>
              <w:tc>
                <w:tcPr>
                  <w:tcW w:w="802" w:type="dxa"/>
                  <w:tcBorders>
                    <w:top w:val="single" w:color="auto" w:sz="6" w:space="0"/>
                    <w:left w:val="nil"/>
                    <w:bottom w:val="single" w:color="auto" w:sz="6" w:space="0"/>
                    <w:right w:val="single" w:color="auto" w:sz="6" w:space="0"/>
                  </w:tcBorders>
                  <w:vAlign w:val="center"/>
                </w:tcPr>
                <w:p w14:paraId="64109A83">
                  <w:pPr>
                    <w:pStyle w:val="111"/>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6</w:t>
                  </w:r>
                  <w:r>
                    <w:rPr>
                      <w:rFonts w:hint="default" w:ascii="Times New Roman" w:hAnsi="Times New Roman" w:eastAsia="宋体" w:cs="Times New Roman"/>
                      <w:color w:val="0000FF"/>
                    </w:rPr>
                    <w:t>1</w:t>
                  </w:r>
                </w:p>
              </w:tc>
              <w:tc>
                <w:tcPr>
                  <w:tcW w:w="1089" w:type="dxa"/>
                  <w:tcBorders>
                    <w:top w:val="single" w:color="auto" w:sz="6" w:space="0"/>
                    <w:left w:val="nil"/>
                    <w:bottom w:val="single" w:color="auto" w:sz="6" w:space="0"/>
                    <w:right w:val="single" w:color="auto" w:sz="6" w:space="0"/>
                  </w:tcBorders>
                  <w:vAlign w:val="center"/>
                </w:tcPr>
                <w:p w14:paraId="5BEE3783">
                  <w:pPr>
                    <w:pStyle w:val="11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5</w:t>
                  </w:r>
                </w:p>
              </w:tc>
              <w:tc>
                <w:tcPr>
                  <w:tcW w:w="822" w:type="dxa"/>
                  <w:tcBorders>
                    <w:top w:val="single" w:color="auto" w:sz="6" w:space="0"/>
                    <w:left w:val="nil"/>
                    <w:bottom w:val="single" w:color="auto" w:sz="6" w:space="0"/>
                    <w:right w:val="single" w:color="auto" w:sz="6" w:space="0"/>
                  </w:tcBorders>
                  <w:vAlign w:val="center"/>
                </w:tcPr>
                <w:p w14:paraId="43C4EB77">
                  <w:pPr>
                    <w:pStyle w:val="11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9</w:t>
                  </w:r>
                </w:p>
              </w:tc>
              <w:tc>
                <w:tcPr>
                  <w:tcW w:w="955" w:type="dxa"/>
                  <w:tcBorders>
                    <w:top w:val="single" w:color="auto" w:sz="6" w:space="0"/>
                    <w:left w:val="nil"/>
                    <w:bottom w:val="single" w:color="auto" w:sz="6" w:space="0"/>
                    <w:right w:val="single" w:color="auto" w:sz="6" w:space="0"/>
                  </w:tcBorders>
                  <w:vAlign w:val="center"/>
                </w:tcPr>
                <w:p w14:paraId="66AFF9FC">
                  <w:pPr>
                    <w:pStyle w:val="11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3</w:t>
                  </w:r>
                </w:p>
              </w:tc>
              <w:tc>
                <w:tcPr>
                  <w:tcW w:w="1363" w:type="dxa"/>
                  <w:tcBorders>
                    <w:top w:val="single" w:color="auto" w:sz="6" w:space="0"/>
                    <w:left w:val="nil"/>
                    <w:bottom w:val="single" w:color="auto" w:sz="6" w:space="0"/>
                    <w:right w:val="single" w:color="auto" w:sz="6" w:space="0"/>
                  </w:tcBorders>
                  <w:vAlign w:val="center"/>
                </w:tcPr>
                <w:p w14:paraId="24333389">
                  <w:pPr>
                    <w:pStyle w:val="11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7</w:t>
                  </w:r>
                </w:p>
              </w:tc>
            </w:tr>
            <w:tr w14:paraId="7FD47C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360" w:type="dxa"/>
                  <w:tcBorders>
                    <w:top w:val="single" w:color="auto" w:sz="6" w:space="0"/>
                    <w:left w:val="single" w:color="auto" w:sz="6" w:space="0"/>
                    <w:bottom w:val="single" w:color="auto" w:sz="6" w:space="0"/>
                    <w:right w:val="single" w:color="auto" w:sz="6" w:space="0"/>
                  </w:tcBorders>
                  <w:vAlign w:val="center"/>
                </w:tcPr>
                <w:p w14:paraId="7A7772B2">
                  <w:pPr>
                    <w:pStyle w:val="11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钢筋切断机</w:t>
                  </w:r>
                </w:p>
              </w:tc>
              <w:tc>
                <w:tcPr>
                  <w:tcW w:w="1016" w:type="dxa"/>
                  <w:tcBorders>
                    <w:top w:val="single" w:color="auto" w:sz="6" w:space="0"/>
                    <w:left w:val="nil"/>
                    <w:bottom w:val="single" w:color="auto" w:sz="6" w:space="0"/>
                    <w:right w:val="single" w:color="auto" w:sz="6" w:space="0"/>
                  </w:tcBorders>
                  <w:vAlign w:val="top"/>
                </w:tcPr>
                <w:p w14:paraId="6E05C3B8">
                  <w:pPr>
                    <w:pStyle w:val="11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85</w:t>
                  </w:r>
                </w:p>
              </w:tc>
              <w:tc>
                <w:tcPr>
                  <w:tcW w:w="723" w:type="dxa"/>
                  <w:tcBorders>
                    <w:top w:val="single" w:color="auto" w:sz="6" w:space="0"/>
                    <w:left w:val="nil"/>
                    <w:bottom w:val="single" w:color="auto" w:sz="6" w:space="0"/>
                    <w:right w:val="single" w:color="auto" w:sz="6" w:space="0"/>
                  </w:tcBorders>
                  <w:vAlign w:val="center"/>
                </w:tcPr>
                <w:p w14:paraId="1BD29A5C">
                  <w:pPr>
                    <w:pStyle w:val="11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7</w:t>
                  </w:r>
                </w:p>
              </w:tc>
              <w:tc>
                <w:tcPr>
                  <w:tcW w:w="802" w:type="dxa"/>
                  <w:tcBorders>
                    <w:top w:val="single" w:color="auto" w:sz="6" w:space="0"/>
                    <w:left w:val="nil"/>
                    <w:bottom w:val="single" w:color="auto" w:sz="6" w:space="0"/>
                    <w:right w:val="single" w:color="auto" w:sz="6" w:space="0"/>
                  </w:tcBorders>
                  <w:vAlign w:val="center"/>
                </w:tcPr>
                <w:p w14:paraId="124AECB0">
                  <w:pPr>
                    <w:pStyle w:val="111"/>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6</w:t>
                  </w:r>
                  <w:r>
                    <w:rPr>
                      <w:rFonts w:hint="default" w:ascii="Times New Roman" w:hAnsi="Times New Roman" w:eastAsia="宋体" w:cs="Times New Roman"/>
                      <w:color w:val="0000FF"/>
                    </w:rPr>
                    <w:t>1</w:t>
                  </w:r>
                </w:p>
              </w:tc>
              <w:tc>
                <w:tcPr>
                  <w:tcW w:w="1089" w:type="dxa"/>
                  <w:tcBorders>
                    <w:top w:val="single" w:color="auto" w:sz="6" w:space="0"/>
                    <w:left w:val="nil"/>
                    <w:bottom w:val="single" w:color="auto" w:sz="6" w:space="0"/>
                    <w:right w:val="single" w:color="auto" w:sz="6" w:space="0"/>
                  </w:tcBorders>
                  <w:vAlign w:val="center"/>
                </w:tcPr>
                <w:p w14:paraId="4CAF9877">
                  <w:pPr>
                    <w:pStyle w:val="11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5</w:t>
                  </w:r>
                </w:p>
              </w:tc>
              <w:tc>
                <w:tcPr>
                  <w:tcW w:w="822" w:type="dxa"/>
                  <w:tcBorders>
                    <w:top w:val="single" w:color="auto" w:sz="6" w:space="0"/>
                    <w:left w:val="nil"/>
                    <w:bottom w:val="single" w:color="auto" w:sz="6" w:space="0"/>
                    <w:right w:val="single" w:color="auto" w:sz="6" w:space="0"/>
                  </w:tcBorders>
                  <w:vAlign w:val="center"/>
                </w:tcPr>
                <w:p w14:paraId="515C9867">
                  <w:pPr>
                    <w:pStyle w:val="11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9</w:t>
                  </w:r>
                </w:p>
              </w:tc>
              <w:tc>
                <w:tcPr>
                  <w:tcW w:w="955" w:type="dxa"/>
                  <w:tcBorders>
                    <w:top w:val="single" w:color="auto" w:sz="6" w:space="0"/>
                    <w:left w:val="nil"/>
                    <w:bottom w:val="single" w:color="auto" w:sz="6" w:space="0"/>
                    <w:right w:val="single" w:color="auto" w:sz="6" w:space="0"/>
                  </w:tcBorders>
                  <w:vAlign w:val="center"/>
                </w:tcPr>
                <w:p w14:paraId="41333037">
                  <w:pPr>
                    <w:pStyle w:val="11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3</w:t>
                  </w:r>
                </w:p>
              </w:tc>
              <w:tc>
                <w:tcPr>
                  <w:tcW w:w="1363" w:type="dxa"/>
                  <w:tcBorders>
                    <w:top w:val="single" w:color="auto" w:sz="6" w:space="0"/>
                    <w:left w:val="nil"/>
                    <w:bottom w:val="single" w:color="auto" w:sz="6" w:space="0"/>
                    <w:right w:val="single" w:color="auto" w:sz="6" w:space="0"/>
                  </w:tcBorders>
                  <w:vAlign w:val="center"/>
                </w:tcPr>
                <w:p w14:paraId="1A7F5770">
                  <w:pPr>
                    <w:pStyle w:val="11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7</w:t>
                  </w:r>
                </w:p>
              </w:tc>
            </w:tr>
          </w:tbl>
          <w:p w14:paraId="52D4DE50">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（3）施工期噪声影响分析</w:t>
            </w:r>
          </w:p>
          <w:p w14:paraId="1CCA5DCC">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渠系建筑物</w:t>
            </w:r>
            <w:r>
              <w:rPr>
                <w:rFonts w:hint="default" w:ascii="Times New Roman" w:hAnsi="Times New Roman" w:eastAsia="宋体" w:cs="Times New Roman"/>
                <w:color w:val="auto"/>
                <w:sz w:val="24"/>
              </w:rPr>
              <w:t>工程建设施工工作量大，由此而产生的噪声对周围区域环境有一定的影响。设备在安装过程中也会产生噪声，这种影响是短期的、暂时的，而且具有局部性。根据《建筑施工场界环境噪声排放标准》（GB12523-2011），不同施工阶段作业噪声限值为：昼间70dB</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A</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，夜间55dB</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A</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。从上表可知：施工噪声将会使距声源</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5米范围内的昼间声级满足《建筑施工场界环境噪声排放标准》（GB12523-2011）标准。</w:t>
            </w:r>
            <w:r>
              <w:rPr>
                <w:rFonts w:hint="default" w:ascii="Times New Roman" w:hAnsi="Times New Roman" w:eastAsia="宋体" w:cs="Times New Roman"/>
                <w:color w:val="0000FF"/>
                <w:sz w:val="24"/>
              </w:rPr>
              <w:t>项目施工临近</w:t>
            </w:r>
            <w:r>
              <w:rPr>
                <w:rFonts w:hint="eastAsia" w:ascii="Times New Roman" w:hAnsi="Times New Roman" w:cs="Times New Roman"/>
                <w:color w:val="0000FF"/>
                <w:sz w:val="24"/>
                <w:lang w:val="en-US" w:eastAsia="zh-CN"/>
              </w:rPr>
              <w:t>阿热塔什村</w:t>
            </w:r>
            <w:r>
              <w:rPr>
                <w:rFonts w:hint="eastAsia" w:ascii="Times New Roman" w:hAnsi="Times New Roman" w:eastAsia="宋体" w:cs="Times New Roman"/>
                <w:color w:val="0000FF"/>
                <w:sz w:val="24"/>
                <w:lang w:val="en-US" w:eastAsia="zh-CN"/>
              </w:rPr>
              <w:t>（最近距离15m）</w:t>
            </w:r>
            <w:r>
              <w:rPr>
                <w:rFonts w:hint="default" w:ascii="Times New Roman" w:hAnsi="Times New Roman" w:eastAsia="宋体" w:cs="Times New Roman"/>
                <w:color w:val="0000FF"/>
                <w:sz w:val="24"/>
              </w:rPr>
              <w:t>，</w:t>
            </w:r>
            <w:r>
              <w:rPr>
                <w:rFonts w:hint="eastAsia" w:ascii="Times New Roman" w:hAnsi="Times New Roman" w:eastAsia="宋体" w:cs="Times New Roman"/>
                <w:color w:val="0000FF"/>
                <w:sz w:val="24"/>
                <w:lang w:val="en-US" w:eastAsia="zh-CN"/>
              </w:rPr>
              <w:t>项目施工方应</w:t>
            </w:r>
            <w:r>
              <w:rPr>
                <w:rFonts w:hint="default" w:ascii="Times New Roman" w:hAnsi="Times New Roman" w:eastAsia="宋体" w:cs="Times New Roman"/>
                <w:color w:val="0000FF"/>
                <w:sz w:val="24"/>
              </w:rPr>
              <w:t>合理安排施工时间，禁止夜间进行土石方工程和混凝土浇筑等施工。项目施工时要</w:t>
            </w:r>
            <w:r>
              <w:rPr>
                <w:rFonts w:hint="default" w:ascii="Times New Roman" w:hAnsi="Times New Roman" w:eastAsia="宋体" w:cs="Times New Roman"/>
                <w:color w:val="0000FF"/>
                <w:sz w:val="24"/>
                <w:lang w:val="en-US" w:eastAsia="zh-CN"/>
              </w:rPr>
              <w:t>提前告知受影响村民并</w:t>
            </w:r>
            <w:r>
              <w:rPr>
                <w:rFonts w:hint="default" w:ascii="Times New Roman" w:hAnsi="Times New Roman" w:eastAsia="宋体" w:cs="Times New Roman"/>
                <w:color w:val="0000FF"/>
                <w:sz w:val="24"/>
              </w:rPr>
              <w:t>做好噪声</w:t>
            </w:r>
            <w:r>
              <w:rPr>
                <w:rFonts w:hint="eastAsia" w:ascii="Times New Roman" w:hAnsi="Times New Roman" w:cs="Times New Roman"/>
                <w:color w:val="0000FF"/>
                <w:sz w:val="24"/>
                <w:lang w:val="en-US" w:eastAsia="zh-CN"/>
              </w:rPr>
              <w:t>隔声</w:t>
            </w:r>
            <w:r>
              <w:rPr>
                <w:rFonts w:hint="default" w:ascii="Times New Roman" w:hAnsi="Times New Roman" w:eastAsia="宋体" w:cs="Times New Roman"/>
                <w:color w:val="0000FF"/>
                <w:sz w:val="24"/>
              </w:rPr>
              <w:t>防护，</w:t>
            </w:r>
            <w:r>
              <w:rPr>
                <w:rFonts w:hint="eastAsia" w:ascii="Times New Roman" w:hAnsi="Times New Roman" w:cs="Times New Roman"/>
                <w:color w:val="0000FF"/>
                <w:sz w:val="24"/>
                <w:lang w:val="en-US" w:eastAsia="zh-CN"/>
              </w:rPr>
              <w:t>本项目</w:t>
            </w:r>
            <w:r>
              <w:rPr>
                <w:rFonts w:hint="eastAsia" w:ascii="Times New Roman" w:hAnsi="Times New Roman" w:eastAsia="宋体" w:cs="Times New Roman"/>
                <w:color w:val="0000FF"/>
                <w:sz w:val="24"/>
                <w:lang w:val="en-US" w:eastAsia="zh-CN"/>
              </w:rPr>
              <w:t>选用低噪声设备，并定期维护，使其良好运转，</w:t>
            </w:r>
            <w:r>
              <w:rPr>
                <w:rFonts w:hint="eastAsia" w:ascii="Times New Roman" w:hAnsi="Times New Roman" w:cs="Times New Roman"/>
                <w:color w:val="0000FF"/>
                <w:sz w:val="24"/>
                <w:lang w:val="en-US" w:eastAsia="zh-CN"/>
              </w:rPr>
              <w:t>施工作业区高噪设备搅拌机等</w:t>
            </w:r>
            <w:r>
              <w:rPr>
                <w:rFonts w:hint="default" w:ascii="Times New Roman" w:hAnsi="Times New Roman" w:eastAsia="宋体" w:cs="Times New Roman"/>
                <w:color w:val="0000FF"/>
                <w:sz w:val="24"/>
                <w:lang w:val="en-US" w:eastAsia="zh-CN"/>
              </w:rPr>
              <w:t>布置在远离敏感点一侧，</w:t>
            </w:r>
            <w:r>
              <w:rPr>
                <w:rFonts w:hint="eastAsia" w:ascii="Times New Roman" w:hAnsi="Times New Roman" w:eastAsia="宋体" w:cs="Times New Roman"/>
                <w:color w:val="0000FF"/>
                <w:sz w:val="24"/>
                <w:lang w:val="en-US" w:eastAsia="zh-CN"/>
              </w:rPr>
              <w:t>同时运输车辆经过村庄时，低速并禁止鸣笛。</w:t>
            </w:r>
            <w:r>
              <w:rPr>
                <w:rFonts w:hint="default" w:ascii="Times New Roman" w:hAnsi="Times New Roman" w:eastAsia="宋体" w:cs="Times New Roman"/>
                <w:color w:val="0000FF"/>
                <w:sz w:val="24"/>
              </w:rPr>
              <w:t>采取降</w:t>
            </w:r>
            <w:r>
              <w:rPr>
                <w:rFonts w:hint="eastAsia" w:ascii="Times New Roman" w:hAnsi="Times New Roman" w:cs="Times New Roman"/>
                <w:color w:val="0000FF"/>
                <w:sz w:val="24"/>
                <w:lang w:val="en-US" w:eastAsia="zh-CN"/>
              </w:rPr>
              <w:t>以上</w:t>
            </w:r>
            <w:r>
              <w:rPr>
                <w:rFonts w:hint="default" w:ascii="Times New Roman" w:hAnsi="Times New Roman" w:eastAsia="宋体" w:cs="Times New Roman"/>
                <w:color w:val="0000FF"/>
                <w:sz w:val="24"/>
              </w:rPr>
              <w:t>噪措施后，</w:t>
            </w:r>
            <w:r>
              <w:rPr>
                <w:rFonts w:hint="eastAsia" w:ascii="Times New Roman" w:hAnsi="Times New Roman" w:eastAsia="宋体" w:cs="Times New Roman"/>
                <w:color w:val="0000FF"/>
                <w:sz w:val="24"/>
                <w:lang w:val="en-US" w:eastAsia="zh-CN"/>
              </w:rPr>
              <w:t>噪声值可以降低</w:t>
            </w:r>
            <w:r>
              <w:rPr>
                <w:rFonts w:hint="eastAsia" w:ascii="Times New Roman" w:hAnsi="Times New Roman" w:cs="Times New Roman"/>
                <w:color w:val="0000FF"/>
                <w:sz w:val="24"/>
                <w:lang w:val="en-US" w:eastAsia="zh-CN"/>
              </w:rPr>
              <w:t>15</w:t>
            </w:r>
            <w:r>
              <w:rPr>
                <w:rFonts w:hint="default" w:ascii="Times New Roman" w:hAnsi="Times New Roman" w:eastAsia="宋体" w:cs="Times New Roman"/>
                <w:color w:val="0000FF"/>
                <w:sz w:val="24"/>
              </w:rPr>
              <w:t>dB</w:t>
            </w:r>
            <w:r>
              <w:rPr>
                <w:rFonts w:hint="default" w:ascii="Times New Roman" w:hAnsi="Times New Roman" w:eastAsia="宋体" w:cs="Times New Roman"/>
                <w:color w:val="0000FF"/>
                <w:sz w:val="24"/>
                <w:lang w:eastAsia="zh-CN"/>
              </w:rPr>
              <w:t>（</w:t>
            </w:r>
            <w:r>
              <w:rPr>
                <w:rFonts w:hint="default" w:ascii="Times New Roman" w:hAnsi="Times New Roman" w:eastAsia="宋体" w:cs="Times New Roman"/>
                <w:color w:val="0000FF"/>
                <w:sz w:val="24"/>
              </w:rPr>
              <w:t>A</w:t>
            </w:r>
            <w:r>
              <w:rPr>
                <w:rFonts w:hint="default" w:ascii="Times New Roman" w:hAnsi="Times New Roman" w:eastAsia="宋体" w:cs="Times New Roman"/>
                <w:color w:val="0000FF"/>
                <w:sz w:val="24"/>
                <w:lang w:eastAsia="zh-CN"/>
              </w:rPr>
              <w:t>）</w:t>
            </w:r>
            <w:r>
              <w:rPr>
                <w:rFonts w:hint="eastAsia" w:ascii="Times New Roman" w:hAnsi="Times New Roman" w:eastAsia="宋体" w:cs="Times New Roman"/>
                <w:color w:val="0000FF"/>
                <w:sz w:val="24"/>
                <w:lang w:val="en-US" w:eastAsia="zh-CN"/>
              </w:rPr>
              <w:t>以上，</w:t>
            </w:r>
            <w:r>
              <w:rPr>
                <w:rFonts w:hint="default" w:ascii="Times New Roman" w:hAnsi="Times New Roman" w:eastAsia="宋体" w:cs="Times New Roman"/>
                <w:color w:val="0000FF"/>
                <w:sz w:val="24"/>
              </w:rPr>
              <w:t>施工期噪声对周围敏感目标影响</w:t>
            </w:r>
            <w:r>
              <w:rPr>
                <w:rFonts w:hint="default" w:ascii="Times New Roman" w:hAnsi="Times New Roman" w:eastAsia="宋体" w:cs="Times New Roman"/>
                <w:color w:val="0000FF"/>
                <w:sz w:val="24"/>
                <w:lang w:val="en-US" w:eastAsia="zh-CN"/>
              </w:rPr>
              <w:t>可以接受</w:t>
            </w:r>
            <w:r>
              <w:rPr>
                <w:rFonts w:hint="default" w:ascii="Times New Roman" w:hAnsi="Times New Roman" w:eastAsia="宋体" w:cs="Times New Roman"/>
                <w:color w:val="0000FF"/>
                <w:sz w:val="24"/>
              </w:rPr>
              <w:t>。</w:t>
            </w:r>
          </w:p>
          <w:p w14:paraId="696BB42C">
            <w:pPr>
              <w:pStyle w:val="113"/>
              <w:ind w:firstLine="482"/>
              <w:rPr>
                <w:rFonts w:hint="default" w:ascii="Times New Roman" w:hAnsi="Times New Roman" w:eastAsia="宋体" w:cs="Times New Roman"/>
                <w:b/>
                <w:color w:val="auto"/>
              </w:rPr>
            </w:pPr>
            <w:r>
              <w:rPr>
                <w:rFonts w:hint="default" w:ascii="Times New Roman" w:hAnsi="Times New Roman" w:eastAsia="宋体" w:cs="Times New Roman"/>
                <w:b/>
                <w:color w:val="auto"/>
              </w:rPr>
              <w:t>3水环境影响分析</w:t>
            </w:r>
          </w:p>
          <w:p w14:paraId="1216FC34">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（1）地表水</w:t>
            </w:r>
          </w:p>
          <w:p w14:paraId="7403D7C1">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施工期产生的施工废水主要为施工人员的</w:t>
            </w:r>
            <w:r>
              <w:rPr>
                <w:rFonts w:hint="default" w:ascii="Times New Roman" w:hAnsi="Times New Roman" w:eastAsia="宋体" w:cs="Times New Roman"/>
                <w:color w:val="auto"/>
                <w:lang w:eastAsia="zh-CN"/>
              </w:rPr>
              <w:t>生活污水</w:t>
            </w:r>
            <w:r>
              <w:rPr>
                <w:rFonts w:hint="default" w:ascii="Times New Roman" w:hAnsi="Times New Roman" w:eastAsia="宋体" w:cs="Times New Roman"/>
                <w:color w:val="auto"/>
              </w:rPr>
              <w:t>；车辆、机械设备的冲洗废水。施工人员产生生活污水</w:t>
            </w:r>
            <w:r>
              <w:rPr>
                <w:rFonts w:hint="default" w:ascii="Times New Roman" w:hAnsi="Times New Roman" w:eastAsia="宋体" w:cs="Times New Roman"/>
                <w:color w:val="auto"/>
                <w:lang w:eastAsia="zh-CN"/>
              </w:rPr>
              <w:t>，施工场地设置临时化粪池，</w:t>
            </w:r>
            <w:r>
              <w:rPr>
                <w:rFonts w:hint="eastAsia" w:ascii="Times New Roman" w:hAnsi="Times New Roman" w:cs="Times New Roman"/>
                <w:color w:val="auto"/>
                <w:lang w:eastAsia="zh-CN"/>
              </w:rPr>
              <w:t>罐车定期清运至莎车县污水处理厂处理</w:t>
            </w:r>
            <w:r>
              <w:rPr>
                <w:rFonts w:hint="default" w:ascii="Times New Roman" w:hAnsi="Times New Roman" w:eastAsia="宋体" w:cs="Times New Roman"/>
                <w:color w:val="auto"/>
              </w:rPr>
              <w:t>，不会对周围水环境产生影响。</w:t>
            </w:r>
          </w:p>
          <w:p w14:paraId="492A06F3">
            <w:pPr>
              <w:pStyle w:val="113"/>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防渗渠道工程</w:t>
            </w:r>
            <w:r>
              <w:rPr>
                <w:rFonts w:hint="default" w:ascii="Times New Roman" w:hAnsi="Times New Roman" w:eastAsia="宋体" w:cs="Times New Roman"/>
                <w:color w:val="auto"/>
              </w:rPr>
              <w:t>施工设备主要为挖掘机、渣土运输车，施工过程中对车辆及施工设备进行清洗，清洗产生的废水中主要污染物为SS</w:t>
            </w:r>
            <w:r>
              <w:rPr>
                <w:rFonts w:hint="default" w:ascii="Times New Roman" w:hAnsi="Times New Roman" w:eastAsia="宋体" w:cs="Times New Roman"/>
                <w:color w:val="auto"/>
                <w:lang w:val="en-US" w:eastAsia="zh-CN"/>
              </w:rPr>
              <w:t>和石油类</w:t>
            </w:r>
            <w:r>
              <w:rPr>
                <w:rFonts w:hint="default" w:ascii="Times New Roman" w:hAnsi="Times New Roman" w:eastAsia="宋体" w:cs="Times New Roman"/>
                <w:color w:val="auto"/>
              </w:rPr>
              <w:t>，污水如不经处理直接排放会造成附近地表水体的污染。</w:t>
            </w:r>
            <w:r>
              <w:rPr>
                <w:rFonts w:hint="default" w:ascii="Times New Roman" w:hAnsi="Times New Roman" w:eastAsia="宋体" w:cs="Times New Roman"/>
                <w:color w:val="auto"/>
                <w:lang w:val="en-US" w:eastAsia="zh-CN"/>
              </w:rPr>
              <w:t>防渗渠道工程渠道沿线施工场地设置</w:t>
            </w:r>
            <w:r>
              <w:rPr>
                <w:rFonts w:hint="eastAsia" w:ascii="Times New Roman" w:hAnsi="Times New Roman" w:cs="Times New Roman"/>
                <w:color w:val="auto"/>
                <w:lang w:eastAsia="zh-CN"/>
              </w:rPr>
              <w:t>隔油沉淀</w:t>
            </w:r>
            <w:r>
              <w:rPr>
                <w:rFonts w:hint="default" w:ascii="Times New Roman" w:hAnsi="Times New Roman" w:eastAsia="宋体" w:cs="Times New Roman"/>
                <w:color w:val="auto"/>
              </w:rPr>
              <w:t>池</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2m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清洗废水经过</w:t>
            </w:r>
            <w:r>
              <w:rPr>
                <w:rFonts w:hint="eastAsia" w:ascii="Times New Roman" w:hAnsi="Times New Roman" w:cs="Times New Roman"/>
                <w:color w:val="auto"/>
                <w:lang w:eastAsia="zh-CN"/>
              </w:rPr>
              <w:t>隔油沉淀</w:t>
            </w:r>
            <w:r>
              <w:rPr>
                <w:rFonts w:hint="default" w:ascii="Times New Roman" w:hAnsi="Times New Roman" w:eastAsia="宋体" w:cs="Times New Roman"/>
                <w:color w:val="auto"/>
              </w:rPr>
              <w:t>池</w:t>
            </w:r>
            <w:r>
              <w:rPr>
                <w:rFonts w:hint="default" w:ascii="Times New Roman" w:hAnsi="Times New Roman" w:eastAsia="宋体" w:cs="Times New Roman"/>
                <w:color w:val="auto"/>
                <w:lang w:val="en-US" w:eastAsia="zh-CN"/>
              </w:rPr>
              <w:t>处理</w:t>
            </w:r>
            <w:r>
              <w:rPr>
                <w:rFonts w:hint="default" w:ascii="Times New Roman" w:hAnsi="Times New Roman" w:eastAsia="宋体" w:cs="Times New Roman"/>
                <w:color w:val="auto"/>
              </w:rPr>
              <w:t>，处理后</w:t>
            </w:r>
            <w:r>
              <w:rPr>
                <w:rFonts w:hint="default" w:ascii="Times New Roman" w:hAnsi="Times New Roman" w:eastAsia="宋体" w:cs="Times New Roman"/>
                <w:color w:val="auto"/>
                <w:lang w:eastAsia="zh-CN"/>
              </w:rPr>
              <w:t>回用于砼拌和养护用水</w:t>
            </w:r>
            <w:r>
              <w:rPr>
                <w:rFonts w:hint="default" w:ascii="Times New Roman" w:hAnsi="Times New Roman" w:eastAsia="宋体" w:cs="Times New Roman"/>
                <w:color w:val="auto"/>
              </w:rPr>
              <w:t>。</w:t>
            </w:r>
            <w:r>
              <w:rPr>
                <w:rFonts w:hint="eastAsia" w:ascii="Times New Roman" w:hAnsi="Times New Roman" w:cs="Times New Roman"/>
                <w:color w:val="auto"/>
                <w:lang w:eastAsia="zh-CN"/>
              </w:rPr>
              <w:t>隔油沉淀</w:t>
            </w:r>
            <w:r>
              <w:rPr>
                <w:rFonts w:hint="default" w:ascii="Times New Roman" w:hAnsi="Times New Roman" w:eastAsia="宋体" w:cs="Times New Roman"/>
                <w:color w:val="auto"/>
              </w:rPr>
              <w:t>池</w:t>
            </w:r>
            <w:r>
              <w:rPr>
                <w:rFonts w:hint="default" w:ascii="Times New Roman" w:hAnsi="Times New Roman" w:eastAsia="宋体" w:cs="Times New Roman"/>
                <w:color w:val="auto"/>
                <w:lang w:val="en-US" w:eastAsia="zh-CN"/>
              </w:rPr>
              <w:t>产生</w:t>
            </w:r>
            <w:r>
              <w:rPr>
                <w:rFonts w:hint="default" w:ascii="Times New Roman" w:hAnsi="Times New Roman" w:eastAsia="宋体" w:cs="Times New Roman"/>
                <w:color w:val="auto"/>
                <w:sz w:val="24"/>
                <w:szCs w:val="24"/>
              </w:rPr>
              <w:t>的</w:t>
            </w:r>
            <w:r>
              <w:rPr>
                <w:rFonts w:hint="default" w:ascii="Times New Roman" w:hAnsi="Times New Roman" w:eastAsia="宋体" w:cs="Times New Roman"/>
                <w:color w:val="auto"/>
                <w:sz w:val="24"/>
                <w:szCs w:val="24"/>
                <w:lang w:val="en-US" w:eastAsia="zh-CN"/>
              </w:rPr>
              <w:t>污泥定期清理，采用袋装密封，在弃土弃渣场临时储存，定期</w:t>
            </w:r>
            <w:r>
              <w:rPr>
                <w:rFonts w:hint="default" w:ascii="Times New Roman" w:hAnsi="Times New Roman" w:eastAsia="宋体" w:cs="Times New Roman"/>
                <w:color w:val="auto"/>
                <w:sz w:val="24"/>
                <w:szCs w:val="24"/>
              </w:rPr>
              <w:t>拉运至</w:t>
            </w:r>
            <w:r>
              <w:rPr>
                <w:rFonts w:hint="eastAsia" w:ascii="Times New Roman" w:hAnsi="Times New Roman" w:cs="Times New Roman"/>
                <w:color w:val="auto"/>
                <w:sz w:val="24"/>
                <w:szCs w:val="24"/>
                <w:lang w:val="en-US" w:eastAsia="zh-CN"/>
              </w:rPr>
              <w:t>莎车县城市管理部门指定的建筑垃圾存放点</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不得随意丢弃。</w:t>
            </w:r>
          </w:p>
          <w:p w14:paraId="5C20B991">
            <w:pPr>
              <w:pStyle w:val="113"/>
              <w:ind w:firstLine="480"/>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项目施工期产生的废水不会对周边地表水环境产生影响。</w:t>
            </w:r>
          </w:p>
          <w:p w14:paraId="312B828F">
            <w:pPr>
              <w:pStyle w:val="113"/>
              <w:ind w:firstLine="480"/>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（2）地下水</w:t>
            </w:r>
          </w:p>
          <w:p w14:paraId="1515A039">
            <w:pPr>
              <w:pStyle w:val="113"/>
              <w:ind w:firstLine="480"/>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项目施工废水不可避免存在少量废水下渗，由于施工废水污染轻，主要为悬浮物。少量废水在下渗过程中通过土壤对污染物的阻隔、吸收和降解作用，污染物浓度会进一步降低。即使有少量废水渗入地下水后对区域地下水的水质影响也很微弱，不会改变区域地下水的现状使用功能。项目施工期建设单位通过加强管理，对地下水环境的影响较小。</w:t>
            </w:r>
          </w:p>
          <w:p w14:paraId="5B12BE60">
            <w:pPr>
              <w:pStyle w:val="113"/>
              <w:ind w:firstLine="482"/>
              <w:rPr>
                <w:rFonts w:hint="default" w:ascii="Times New Roman" w:hAnsi="Times New Roman" w:eastAsia="宋体" w:cs="Times New Roman"/>
                <w:b/>
                <w:color w:val="auto"/>
                <w:kern w:val="0"/>
              </w:rPr>
            </w:pPr>
            <w:r>
              <w:rPr>
                <w:rFonts w:hint="default" w:ascii="Times New Roman" w:hAnsi="Times New Roman" w:eastAsia="宋体" w:cs="Times New Roman"/>
                <w:b/>
                <w:color w:val="auto"/>
                <w:kern w:val="0"/>
              </w:rPr>
              <w:t>4</w:t>
            </w:r>
            <w:r>
              <w:rPr>
                <w:rFonts w:hint="default" w:ascii="Times New Roman" w:hAnsi="Times New Roman" w:eastAsia="宋体" w:cs="Times New Roman"/>
                <w:b/>
                <w:caps/>
                <w:color w:val="auto"/>
              </w:rPr>
              <w:t>固体废物影响分析</w:t>
            </w:r>
          </w:p>
          <w:p w14:paraId="20F126B9">
            <w:pPr>
              <w:pStyle w:val="113"/>
              <w:ind w:firstLine="480"/>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施工期固体废弃物主要包括生活垃圾、工程弃土和建筑垃圾。</w:t>
            </w:r>
          </w:p>
          <w:p w14:paraId="2067478D">
            <w:pPr>
              <w:pStyle w:val="113"/>
              <w:ind w:firstLine="480"/>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（1）生活垃圾</w:t>
            </w:r>
          </w:p>
          <w:p w14:paraId="7256A27B">
            <w:pPr>
              <w:pStyle w:val="113"/>
              <w:ind w:firstLine="48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为了避免生活垃圾随意堆弃，影响环境卫生和污染水体，应该在</w:t>
            </w:r>
            <w:r>
              <w:rPr>
                <w:rFonts w:hint="default" w:ascii="Times New Roman" w:hAnsi="Times New Roman" w:eastAsia="宋体" w:cs="Times New Roman"/>
                <w:color w:val="auto"/>
                <w:kern w:val="0"/>
                <w:sz w:val="24"/>
                <w:lang w:eastAsia="zh-CN"/>
              </w:rPr>
              <w:t>生活区设置垃圾收集系统，集中堆放，由</w:t>
            </w:r>
            <w:r>
              <w:rPr>
                <w:rFonts w:hint="eastAsia" w:ascii="Times New Roman" w:hAnsi="Times New Roman" w:cs="Times New Roman"/>
                <w:color w:val="auto"/>
                <w:kern w:val="0"/>
                <w:sz w:val="24"/>
                <w:lang w:eastAsia="zh-CN"/>
              </w:rPr>
              <w:t>环卫部门定期清运至</w:t>
            </w:r>
            <w:r>
              <w:rPr>
                <w:rFonts w:hint="default" w:ascii="Times New Roman" w:hAnsi="Times New Roman" w:eastAsia="宋体" w:cs="Times New Roman"/>
                <w:color w:val="auto"/>
                <w:kern w:val="0"/>
                <w:sz w:val="24"/>
                <w:lang w:eastAsia="zh-CN"/>
              </w:rPr>
              <w:t>莎车县生活垃圾处理厂</w:t>
            </w:r>
            <w:r>
              <w:rPr>
                <w:rFonts w:hint="default" w:ascii="Times New Roman" w:hAnsi="Times New Roman" w:eastAsia="宋体" w:cs="Times New Roman"/>
                <w:color w:val="auto"/>
                <w:kern w:val="0"/>
                <w:sz w:val="24"/>
              </w:rPr>
              <w:t>，同时对垃圾桶、垃圾集中存放处定期喷药消毒，防止苍蝇等害虫滋生。</w:t>
            </w:r>
          </w:p>
          <w:p w14:paraId="3BB8A727">
            <w:pPr>
              <w:pStyle w:val="113"/>
              <w:ind w:firstLine="480"/>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（2）工程弃土及建筑垃圾</w:t>
            </w:r>
          </w:p>
          <w:p w14:paraId="5F1AA908">
            <w:pPr>
              <w:autoSpaceDE w:val="0"/>
              <w:autoSpaceDN w:val="0"/>
              <w:spacing w:line="360" w:lineRule="auto"/>
              <w:ind w:firstLine="480" w:firstLineChars="200"/>
              <w:jc w:val="left"/>
              <w:rPr>
                <w:rFonts w:hint="default" w:ascii="Times New Roman" w:hAnsi="Times New Roman" w:eastAsia="宋体" w:cs="Times New Roman"/>
                <w:color w:val="auto"/>
                <w:kern w:val="0"/>
                <w:sz w:val="24"/>
                <w:lang w:val="zh-CN" w:eastAsia="zh-CN"/>
              </w:rPr>
            </w:pPr>
            <w:r>
              <w:rPr>
                <w:rFonts w:hint="default" w:ascii="Times New Roman" w:hAnsi="Times New Roman" w:eastAsia="宋体" w:cs="Times New Roman"/>
                <w:color w:val="auto"/>
                <w:kern w:val="0"/>
                <w:sz w:val="24"/>
              </w:rPr>
              <w:t>根据可研报告可知，</w:t>
            </w:r>
            <w:r>
              <w:rPr>
                <w:rFonts w:hint="default" w:ascii="Times New Roman" w:hAnsi="Times New Roman" w:eastAsia="宋体" w:cs="Times New Roman"/>
                <w:color w:val="auto"/>
                <w:kern w:val="0"/>
                <w:sz w:val="24"/>
                <w:lang w:val="en-US" w:eastAsia="zh-CN"/>
              </w:rPr>
              <w:t>防渗渠道工程</w:t>
            </w:r>
            <w:r>
              <w:rPr>
                <w:rFonts w:hint="default" w:ascii="Times New Roman" w:hAnsi="Times New Roman" w:eastAsia="宋体" w:cs="Times New Roman"/>
                <w:color w:val="auto"/>
                <w:kern w:val="0"/>
                <w:sz w:val="24"/>
              </w:rPr>
              <w:t>建设时工程的</w:t>
            </w:r>
            <w:r>
              <w:rPr>
                <w:rFonts w:hint="default" w:ascii="Times New Roman" w:hAnsi="Times New Roman" w:eastAsia="宋体" w:cs="Times New Roman"/>
                <w:color w:val="auto"/>
                <w:kern w:val="0"/>
                <w:sz w:val="24"/>
                <w:lang w:val="en-US" w:eastAsia="zh-CN"/>
              </w:rPr>
              <w:t>清废、</w:t>
            </w:r>
            <w:r>
              <w:rPr>
                <w:rFonts w:hint="default" w:ascii="Times New Roman" w:hAnsi="Times New Roman" w:eastAsia="宋体" w:cs="Times New Roman"/>
                <w:color w:val="auto"/>
                <w:kern w:val="0"/>
                <w:sz w:val="24"/>
              </w:rPr>
              <w:t>开挖产生少量的弃土。</w:t>
            </w:r>
            <w:r>
              <w:rPr>
                <w:rFonts w:hint="eastAsia" w:ascii="Times New Roman" w:hAnsi="Times New Roman" w:cs="Times New Roman"/>
                <w:color w:val="auto"/>
                <w:kern w:val="0"/>
                <w:sz w:val="24"/>
                <w:lang w:eastAsia="zh-CN"/>
              </w:rPr>
              <w:t>弃土方及时用于土地平整和回填使用，无法利用的</w:t>
            </w:r>
            <w:r>
              <w:rPr>
                <w:rFonts w:hint="default" w:ascii="Times New Roman" w:hAnsi="Times New Roman" w:eastAsia="宋体" w:cs="Times New Roman"/>
                <w:color w:val="auto"/>
                <w:kern w:val="0"/>
                <w:sz w:val="24"/>
                <w:lang w:eastAsia="zh-CN"/>
              </w:rPr>
              <w:t>送至</w:t>
            </w:r>
            <w:r>
              <w:rPr>
                <w:rFonts w:hint="eastAsia" w:ascii="Times New Roman" w:hAnsi="Times New Roman" w:cs="Times New Roman"/>
                <w:color w:val="auto"/>
                <w:kern w:val="0"/>
                <w:sz w:val="24"/>
                <w:lang w:eastAsia="zh-CN"/>
              </w:rPr>
              <w:t>莎车县城市管理部门指定的建筑垃圾存放点</w:t>
            </w:r>
            <w:r>
              <w:rPr>
                <w:rFonts w:hint="default" w:ascii="Times New Roman" w:hAnsi="Times New Roman" w:eastAsia="宋体" w:cs="Times New Roman"/>
                <w:color w:val="auto"/>
                <w:kern w:val="0"/>
                <w:sz w:val="24"/>
                <w:lang w:eastAsia="zh-CN"/>
              </w:rPr>
              <w:t>处理进行综合利用，不得随意倾倒</w:t>
            </w:r>
            <w:r>
              <w:rPr>
                <w:rFonts w:hint="default" w:ascii="Times New Roman" w:hAnsi="Times New Roman" w:eastAsia="宋体" w:cs="Times New Roman"/>
                <w:color w:val="auto"/>
                <w:kern w:val="0"/>
                <w:sz w:val="24"/>
                <w:lang w:val="zh-CN" w:eastAsia="zh-CN"/>
              </w:rPr>
              <w:t>，临时弃土场所在地</w:t>
            </w:r>
            <w:r>
              <w:rPr>
                <w:rFonts w:hint="default" w:ascii="Times New Roman" w:hAnsi="Times New Roman" w:eastAsia="宋体" w:cs="Times New Roman"/>
                <w:color w:val="auto"/>
                <w:kern w:val="0"/>
                <w:sz w:val="24"/>
                <w:lang w:val="zh-CN"/>
              </w:rPr>
              <w:t>植被覆盖率低于</w:t>
            </w:r>
            <w:r>
              <w:rPr>
                <w:rFonts w:hint="default" w:ascii="Times New Roman" w:hAnsi="Times New Roman" w:eastAsia="宋体" w:cs="Times New Roman"/>
                <w:color w:val="auto"/>
                <w:kern w:val="0"/>
                <w:sz w:val="24"/>
                <w:lang w:val="en-US" w:eastAsia="zh-CN"/>
              </w:rPr>
              <w:t>3</w:t>
            </w:r>
            <w:r>
              <w:rPr>
                <w:rFonts w:hint="default" w:ascii="Times New Roman" w:hAnsi="Times New Roman" w:eastAsia="宋体" w:cs="Times New Roman"/>
                <w:color w:val="auto"/>
                <w:kern w:val="0"/>
                <w:sz w:val="24"/>
                <w:lang w:val="zh-CN" w:eastAsia="zh-CN"/>
              </w:rPr>
              <w:t>%</w:t>
            </w:r>
            <w:r>
              <w:rPr>
                <w:rFonts w:hint="default" w:ascii="Times New Roman" w:hAnsi="Times New Roman" w:eastAsia="宋体" w:cs="Times New Roman"/>
                <w:color w:val="auto"/>
                <w:kern w:val="0"/>
                <w:sz w:val="24"/>
                <w:lang w:val="zh-CN"/>
              </w:rPr>
              <w:t>，</w:t>
            </w:r>
            <w:r>
              <w:rPr>
                <w:rFonts w:hint="default" w:ascii="Times New Roman" w:hAnsi="Times New Roman" w:eastAsia="宋体" w:cs="Times New Roman"/>
                <w:color w:val="auto"/>
                <w:kern w:val="0"/>
                <w:sz w:val="24"/>
                <w:lang w:val="en-US" w:eastAsia="zh-CN"/>
              </w:rPr>
              <w:t>地质稳定，不位于洪水汇集区，</w:t>
            </w:r>
            <w:r>
              <w:rPr>
                <w:rFonts w:hint="default" w:ascii="Times New Roman" w:hAnsi="Times New Roman" w:eastAsia="宋体" w:cs="Times New Roman"/>
                <w:color w:val="auto"/>
                <w:kern w:val="0"/>
                <w:sz w:val="24"/>
                <w:lang w:val="zh-CN"/>
              </w:rPr>
              <w:t>未占用耕地及基本耕地，</w:t>
            </w:r>
            <w:r>
              <w:rPr>
                <w:rFonts w:hint="default" w:ascii="Times New Roman" w:hAnsi="Times New Roman" w:eastAsia="宋体" w:cs="Times New Roman"/>
                <w:color w:val="auto"/>
                <w:kern w:val="0"/>
                <w:sz w:val="24"/>
                <w:lang w:val="zh-CN" w:eastAsia="zh-CN"/>
              </w:rPr>
              <w:t>地势平坦，</w:t>
            </w:r>
            <w:r>
              <w:rPr>
                <w:rFonts w:hint="default" w:ascii="Times New Roman" w:hAnsi="Times New Roman" w:eastAsia="宋体" w:cs="Times New Roman"/>
                <w:color w:val="auto"/>
                <w:kern w:val="0"/>
                <w:sz w:val="24"/>
                <w:lang w:val="zh-CN"/>
              </w:rPr>
              <w:t>周围无敏感水体，</w:t>
            </w:r>
            <w:r>
              <w:rPr>
                <w:rFonts w:hint="default" w:ascii="Times New Roman" w:hAnsi="Times New Roman" w:eastAsia="宋体" w:cs="Times New Roman"/>
                <w:color w:val="auto"/>
                <w:kern w:val="0"/>
                <w:sz w:val="24"/>
                <w:lang w:val="zh-CN" w:eastAsia="zh-CN"/>
              </w:rPr>
              <w:t>可满足本项目需求。</w:t>
            </w:r>
          </w:p>
          <w:p w14:paraId="5CAC78DB">
            <w:pPr>
              <w:autoSpaceDE w:val="0"/>
              <w:autoSpaceDN w:val="0"/>
              <w:spacing w:line="360" w:lineRule="auto"/>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eastAsia="zh-CN"/>
              </w:rPr>
              <w:t>项目施工过程中产生的建筑垃圾主要包括废钢筋、废木材及混凝土块等，</w:t>
            </w:r>
            <w:r>
              <w:rPr>
                <w:rFonts w:hint="default" w:ascii="Times New Roman" w:hAnsi="Times New Roman" w:eastAsia="宋体" w:cs="Times New Roman"/>
                <w:color w:val="auto"/>
                <w:kern w:val="0"/>
                <w:sz w:val="24"/>
              </w:rPr>
              <w:t>对施工中产生的建筑垃圾回收利用，无法利用的集中收集后运至</w:t>
            </w:r>
            <w:r>
              <w:rPr>
                <w:rFonts w:hint="eastAsia" w:ascii="Times New Roman" w:hAnsi="Times New Roman" w:cs="Times New Roman"/>
                <w:color w:val="auto"/>
                <w:kern w:val="0"/>
                <w:sz w:val="24"/>
                <w:lang w:eastAsia="zh-CN"/>
              </w:rPr>
              <w:t>莎车县城市管理部门指定的建筑垃圾存放点</w:t>
            </w:r>
            <w:r>
              <w:rPr>
                <w:rFonts w:hint="default" w:ascii="Times New Roman" w:hAnsi="Times New Roman" w:eastAsia="宋体" w:cs="Times New Roman"/>
                <w:color w:val="auto"/>
                <w:kern w:val="0"/>
                <w:sz w:val="24"/>
              </w:rPr>
              <w:t>处理。</w:t>
            </w:r>
          </w:p>
          <w:p w14:paraId="44DF0A89">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建设项目施工期产生的固体废物均有明确的去向，不会造成二次污染，对外环境影响不大。</w:t>
            </w:r>
          </w:p>
          <w:p w14:paraId="13FD98B4">
            <w:pPr>
              <w:pStyle w:val="113"/>
              <w:ind w:firstLine="482"/>
              <w:rPr>
                <w:rFonts w:hint="default" w:ascii="Times New Roman" w:hAnsi="Times New Roman" w:eastAsia="宋体" w:cs="Times New Roman"/>
                <w:b/>
                <w:color w:val="auto"/>
              </w:rPr>
            </w:pPr>
            <w:r>
              <w:rPr>
                <w:rFonts w:hint="default" w:ascii="Times New Roman" w:hAnsi="Times New Roman" w:eastAsia="宋体" w:cs="Times New Roman"/>
                <w:b/>
                <w:color w:val="auto"/>
                <w:kern w:val="0"/>
              </w:rPr>
              <w:t>5</w:t>
            </w:r>
            <w:r>
              <w:rPr>
                <w:rFonts w:hint="default" w:ascii="Times New Roman" w:hAnsi="Times New Roman" w:eastAsia="宋体" w:cs="Times New Roman"/>
                <w:b/>
                <w:color w:val="auto"/>
              </w:rPr>
              <w:t>施工期对生态环境的影响</w:t>
            </w:r>
          </w:p>
          <w:p w14:paraId="29825612">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（1）工程施工对植被的影响</w:t>
            </w:r>
          </w:p>
          <w:p w14:paraId="453FCE1E">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szCs w:val="24"/>
                <w:lang w:val="en-US" w:eastAsia="zh-CN"/>
              </w:rPr>
              <w:t>本项目在原渠道范围进行改建，</w:t>
            </w:r>
            <w:r>
              <w:rPr>
                <w:rFonts w:hint="default" w:ascii="Times New Roman" w:hAnsi="Times New Roman" w:eastAsia="宋体" w:cs="Times New Roman"/>
                <w:color w:val="auto"/>
                <w:sz w:val="24"/>
                <w:lang w:val="en-US" w:eastAsia="zh-CN"/>
              </w:rPr>
              <w:t>施工期</w:t>
            </w:r>
            <w:r>
              <w:rPr>
                <w:rFonts w:hint="default" w:ascii="Times New Roman" w:hAnsi="Times New Roman" w:eastAsia="宋体" w:cs="Times New Roman"/>
                <w:color w:val="auto"/>
                <w:sz w:val="24"/>
              </w:rPr>
              <w:t>会</w:t>
            </w:r>
            <w:r>
              <w:rPr>
                <w:rFonts w:hint="default" w:ascii="Times New Roman" w:hAnsi="Times New Roman" w:eastAsia="宋体" w:cs="Times New Roman"/>
                <w:color w:val="auto"/>
                <w:sz w:val="24"/>
                <w:lang w:val="en-US" w:eastAsia="zh-CN"/>
              </w:rPr>
              <w:t>造成</w:t>
            </w:r>
            <w:r>
              <w:rPr>
                <w:rFonts w:hint="default" w:ascii="Times New Roman" w:hAnsi="Times New Roman" w:eastAsia="宋体" w:cs="Times New Roman"/>
                <w:color w:val="auto"/>
                <w:sz w:val="24"/>
              </w:rPr>
              <w:t>占地范围内</w:t>
            </w:r>
            <w:r>
              <w:rPr>
                <w:rFonts w:hint="default" w:ascii="Times New Roman" w:hAnsi="Times New Roman" w:eastAsia="宋体" w:cs="Times New Roman"/>
                <w:color w:val="auto"/>
                <w:sz w:val="24"/>
                <w:lang w:val="en-US" w:eastAsia="zh-CN"/>
              </w:rPr>
              <w:t>杂草、灌木</w:t>
            </w:r>
            <w:r>
              <w:rPr>
                <w:rFonts w:hint="eastAsia" w:ascii="Times New Roman" w:hAnsi="Times New Roman" w:cs="Times New Roman"/>
                <w:color w:val="auto"/>
                <w:sz w:val="24"/>
                <w:lang w:val="en-US" w:eastAsia="zh-CN"/>
              </w:rPr>
              <w:t>、小型乔木</w:t>
            </w:r>
            <w:r>
              <w:rPr>
                <w:rFonts w:hint="default" w:ascii="Times New Roman" w:hAnsi="Times New Roman" w:eastAsia="宋体" w:cs="Times New Roman"/>
                <w:color w:val="auto"/>
                <w:sz w:val="24"/>
                <w:lang w:val="en-US" w:eastAsia="zh-CN"/>
              </w:rPr>
              <w:t>等</w:t>
            </w:r>
            <w:r>
              <w:rPr>
                <w:rFonts w:hint="default" w:ascii="Times New Roman" w:hAnsi="Times New Roman" w:eastAsia="宋体" w:cs="Times New Roman"/>
                <w:color w:val="auto"/>
                <w:sz w:val="24"/>
              </w:rPr>
              <w:t>地表植被</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在一定程度上将导致施工场地地表裸露，降低项目区域的植被覆盖率，遇到雨季则会引起水土流失。</w:t>
            </w:r>
            <w:r>
              <w:rPr>
                <w:rFonts w:hint="eastAsia" w:ascii="Times New Roman" w:hAnsi="Times New Roman" w:cs="Times New Roman"/>
                <w:color w:val="auto"/>
                <w:sz w:val="24"/>
                <w:lang w:val="en-US" w:eastAsia="zh-CN"/>
              </w:rPr>
              <w:t>根据现场调查，</w:t>
            </w:r>
            <w:r>
              <w:rPr>
                <w:rFonts w:hint="default" w:ascii="Times New Roman" w:hAnsi="Times New Roman" w:eastAsia="宋体" w:cs="Times New Roman"/>
                <w:color w:val="auto"/>
                <w:sz w:val="24"/>
              </w:rPr>
              <w:t>工程影响区内无珍稀植物，也不涉及成片天然林，因此不存在工程对珍稀植物和天然林保护区的影响。</w:t>
            </w:r>
            <w:r>
              <w:rPr>
                <w:rFonts w:hint="eastAsia" w:ascii="Times New Roman" w:hAnsi="Times New Roman" w:eastAsia="宋体" w:cs="Times New Roman"/>
                <w:color w:val="auto"/>
                <w:sz w:val="24"/>
                <w:lang w:val="en-US" w:eastAsia="zh-CN"/>
              </w:rPr>
              <w:t>渠道施工涉及树木移除造成生物量损失，渠道两侧分布</w:t>
            </w:r>
            <w:r>
              <w:rPr>
                <w:rFonts w:hint="default" w:ascii="Times New Roman" w:hAnsi="Times New Roman" w:eastAsia="宋体" w:cs="Times New Roman"/>
                <w:color w:val="auto"/>
                <w:sz w:val="24"/>
              </w:rPr>
              <w:t>茂密的杨树</w:t>
            </w:r>
            <w:r>
              <w:rPr>
                <w:rFonts w:hint="eastAsia" w:ascii="Times New Roman" w:hAnsi="Times New Roman" w:eastAsia="宋体" w:cs="Times New Roman"/>
                <w:color w:val="auto"/>
                <w:sz w:val="24"/>
                <w:lang w:val="en-US" w:eastAsia="zh-CN"/>
              </w:rPr>
              <w:t>，1km土渠两侧杨树分布约500棵</w:t>
            </w:r>
            <w:r>
              <w:rPr>
                <w:rFonts w:hint="default" w:ascii="Times New Roman" w:hAnsi="Times New Roman" w:eastAsia="宋体" w:cs="Times New Roman"/>
                <w:color w:val="auto"/>
                <w:sz w:val="24"/>
              </w:rPr>
              <w:t>，直径在30~60cm不等</w:t>
            </w:r>
            <w:r>
              <w:rPr>
                <w:rFonts w:hint="eastAsia" w:ascii="Times New Roman" w:hAnsi="Times New Roman" w:eastAsia="宋体" w:cs="Times New Roman"/>
                <w:color w:val="auto"/>
                <w:sz w:val="24"/>
                <w:lang w:val="en-US" w:eastAsia="zh-CN"/>
              </w:rPr>
              <w:t>。</w:t>
            </w:r>
          </w:p>
          <w:p w14:paraId="289A9E19">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环评要求施工方在工程开挖之前将开挖区域内的表土单独剥离堆放，渠道附近</w:t>
            </w:r>
            <w:r>
              <w:rPr>
                <w:rFonts w:hint="default" w:ascii="Times New Roman" w:hAnsi="Times New Roman" w:eastAsia="宋体" w:cs="Times New Roman"/>
                <w:color w:val="auto"/>
                <w:sz w:val="24"/>
                <w:lang w:eastAsia="zh-CN"/>
              </w:rPr>
              <w:t>涉及</w:t>
            </w:r>
            <w:r>
              <w:rPr>
                <w:rFonts w:hint="default" w:ascii="Times New Roman" w:hAnsi="Times New Roman" w:eastAsia="宋体" w:cs="Times New Roman"/>
                <w:color w:val="auto"/>
                <w:sz w:val="24"/>
              </w:rPr>
              <w:t>树木的必须进行移栽，在施工结束后将剥离的表土覆于施工迹地对其进行植被恢复及绿化，做到边使用，边平整，边绿化。因施工活动区域面积较小，其植被局部空间分布改变较小，绿地调控环境质量的能力也不会有太大的改变。随着施工活动结束，场地迹地平整、回填等，区域植被通过自然恢复和人工恢复相结合的方式，来改变工程开发前区域植被结构单一的状况，使施工区域生态环境向有利的方向发展。因此，施工活动对评价区内陆生植物的直接影响较小，且可通过植物恢复措施将影响减小到最低程度。</w:t>
            </w:r>
          </w:p>
          <w:p w14:paraId="66B89B7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临时工程是为工程建设服务的，使用结束后恢复至原状，临时用地在施工结束后将拆除临时建筑物，产生的建筑垃圾统一清运，清理平整后进行生态恢复，因此这类占地对环境的影响是暂时性的。建设单位和施工单位应重视临时施工用地在工程结束前的清理和植被恢复工作，减少临时占地对生态的影响。</w:t>
            </w:r>
          </w:p>
          <w:p w14:paraId="553BC7F9">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（2）工程施工对动物的影响</w:t>
            </w:r>
          </w:p>
          <w:p w14:paraId="262C81C2">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工程施工期间，由于运输车辆的增加，土方开挖等各种施工噪声增多，施工造成空气中扬尘增加以及施工人员活动频繁等因素影响，会对施工场地周围的野生动物造成一定的干扰。灌区内栖息的野生动物很少，鸟类栖息和生存的生境属广布型，这些动物适应能力强，对干扰不敏感。施工结束后，随着原有地貌和植被的恢复，部分野生动物将会迁回此处，工程施工的影响并不大而且是可逆的，因此施工活动对该区域的动物种群结构不会产生明显影响。</w:t>
            </w:r>
          </w:p>
          <w:p w14:paraId="5953E75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（3）水土流失</w:t>
            </w:r>
          </w:p>
          <w:p w14:paraId="4ED97AF5">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项目施工建设期间，最大可能引起水土流失的环节是施工场地平整、灌渠开挖填筑、取弃土的开挖和堆积。在施工过程中，地表开挖导致植被破坏，地表裸露，使表土抗蚀能力减弱，加剧水土流失；沿线取土，表土结构被破坏，在防护工程尚未形成前，产生一定量的水土流失；土方堆积或高挖深填令原有地形、植被和上层结构等受到破坏，也是造成水土流失的原因之一。</w:t>
            </w:r>
          </w:p>
          <w:p w14:paraId="54D2DAD7">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1 \* GB3 \* MERGEFORMAT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①</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土方开挖水土流失影响分析</w:t>
            </w:r>
          </w:p>
          <w:p w14:paraId="06155B7B">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伴随土地平整、土方开挖过程会产生风蚀性水土流失，此类水土流失伴随施工期结束而消失，在采取避开大风天气及洒水作业等措施后此类水土流失可以得到有效控制。</w:t>
            </w:r>
          </w:p>
          <w:p w14:paraId="35ACF608">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2 \* GB3 \* MERGEFORMAT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②</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取料点水土流失影响分析</w:t>
            </w:r>
          </w:p>
          <w:p w14:paraId="6D6FEBCC">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本项目建筑使用商品砂石料，不另行建设砂石料取料点，故不会因取料造成水土流失。</w:t>
            </w:r>
          </w:p>
          <w:p w14:paraId="4CFCBC9C">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3 \* GB3 \* MERGEFORMAT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③</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降雨水土流失影响分析</w:t>
            </w:r>
          </w:p>
          <w:p w14:paraId="7A5C3A13">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项目地属大陆北温带干旱气候，气候干燥，蒸发量大，降雨较少，暴雨频率较小。依据《新疆维吾尔自治区水土保持建设规划》，在对项目区实地调查的基础上，参照《土壤侵蚀分类分级标准》（SL190-2007）的土壤侵蚀强度分级标准和面蚀分级等指标，并考虑地形地貌、气候特征、土壤植被等特点，确定项目区水土流失类型为轻度风力、轻度水力侵蚀区，原生地貌侵蚀模数为1500t/（k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·a）</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因此，项目雨季施工水土流失量较小。</w:t>
            </w:r>
          </w:p>
          <w:p w14:paraId="4FCD66F1">
            <w:pPr>
              <w:pStyle w:val="113"/>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本项目所在区域属于易发生土地沙化地区，根据《关于做好沙区开发建设项目环评中防沙治沙内容评价工作的意见》（林沙发[2013]136号）、《关于加强沙区建设项目环境影响评价工作的通知》（新环环评发[2020]138号）、《防沙治沙技术规范》（GB/T21141-2007）等要求，本次环评建议建设单位积极开展治理及预防土地沙化工作，提出以下措施：a.施工土方全部用于场地平整，严禁随意堆置；b.开挖土方堆存过程中使用防尘网，并定期洒水抑尘；c.项目区场地内进行严格的整治，对局部高差较大处，由铲运机铲运土方回填，开挖及回填时应保证地面相对平整；d.施工结束后尽快恢复迹地，撒播耐旱植被，如骆驼刺、泡泡刺、琵琶柴等有助于治沙植被，预防项目附近土地沙化现场产生。综上所述，项目区域周边无风景名胜区、自然保护区及文化遗产等特殊保护目标，生态环境不属于敏感区。建议建设、施工单位继续完善相关水土保持措施建设，尽量减小水土流失对项目运行和周边生态环境的影响。</w:t>
            </w:r>
          </w:p>
          <w:p w14:paraId="338B552D">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（4）施工期对灌区农业用水的影响</w:t>
            </w:r>
          </w:p>
          <w:p w14:paraId="5420F349">
            <w:pPr>
              <w:adjustRightInd/>
              <w:snapToGrid/>
              <w:spacing w:line="360" w:lineRule="auto"/>
              <w:ind w:firstLine="560"/>
              <w:jc w:val="left"/>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0000FF"/>
                <w:kern w:val="2"/>
                <w:sz w:val="24"/>
                <w:szCs w:val="24"/>
                <w:lang w:val="en-US" w:eastAsia="zh-CN" w:bidi="ar-SA"/>
              </w:rPr>
              <w:t>防渗渠道工程均为原有建筑物维修改造工程，没有其他渠道供施工期间临时灌溉输水，考虑该段渠道渠线较短，根据类似工程施工经验将该工程的建设期尽量避开灌溉期、秋收、秋种及农忙季节等</w:t>
            </w:r>
            <w:r>
              <w:rPr>
                <w:rFonts w:hint="eastAsia" w:ascii="Times New Roman" w:hAnsi="Times New Roman" w:cs="Times New Roman"/>
                <w:color w:val="0000FF"/>
                <w:kern w:val="2"/>
                <w:sz w:val="24"/>
                <w:szCs w:val="24"/>
                <w:lang w:val="en-US" w:eastAsia="zh-CN" w:bidi="ar-SA"/>
              </w:rPr>
              <w:t>，</w:t>
            </w:r>
            <w:r>
              <w:rPr>
                <w:rFonts w:hint="default" w:ascii="Times New Roman" w:hAnsi="Times New Roman" w:eastAsia="宋体" w:cs="Times New Roman"/>
                <w:color w:val="0000FF"/>
                <w:kern w:val="2"/>
                <w:sz w:val="24"/>
                <w:szCs w:val="24"/>
                <w:lang w:val="en-US" w:eastAsia="zh-CN" w:bidi="ar-SA"/>
              </w:rPr>
              <w:t>安排在用水低峰期或灌溉停水期，采用分段施工，轮灌停水期抢工的办法以解决施工和灌溉的矛盾。</w:t>
            </w:r>
            <w:r>
              <w:rPr>
                <w:rFonts w:hint="eastAsia" w:ascii="Times New Roman" w:hAnsi="Times New Roman" w:cs="Times New Roman"/>
                <w:color w:val="0000FF"/>
                <w:kern w:val="2"/>
                <w:sz w:val="24"/>
                <w:szCs w:val="24"/>
                <w:lang w:val="en-US" w:eastAsia="zh-CN" w:bidi="ar-SA"/>
              </w:rPr>
              <w:t>因此对农业灌溉影响较小。</w:t>
            </w:r>
          </w:p>
        </w:tc>
      </w:tr>
      <w:tr w14:paraId="57661D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946" w:type="dxa"/>
            <w:tcMar>
              <w:left w:w="28" w:type="dxa"/>
              <w:right w:w="28" w:type="dxa"/>
            </w:tcMar>
            <w:vAlign w:val="center"/>
          </w:tcPr>
          <w:p w14:paraId="37D2CD95">
            <w:pPr>
              <w:pStyle w:val="28"/>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Cs/>
                <w:color w:val="auto"/>
                <w:spacing w:val="10"/>
                <w:kern w:val="2"/>
                <w:sz w:val="21"/>
                <w:szCs w:val="21"/>
              </w:rPr>
              <w:t>运营期生态环境影响分析</w:t>
            </w:r>
          </w:p>
        </w:tc>
        <w:tc>
          <w:tcPr>
            <w:tcW w:w="8296" w:type="dxa"/>
          </w:tcPr>
          <w:p w14:paraId="5810A843">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防渗渠道工程</w:t>
            </w:r>
            <w:r>
              <w:rPr>
                <w:rFonts w:hint="default" w:ascii="Times New Roman" w:hAnsi="Times New Roman" w:eastAsia="宋体" w:cs="Times New Roman"/>
                <w:color w:val="auto"/>
              </w:rPr>
              <w:t>运营期无废水、废气和固废排放。</w:t>
            </w:r>
          </w:p>
          <w:p w14:paraId="56E98D5E">
            <w:pPr>
              <w:pStyle w:val="113"/>
              <w:ind w:firstLine="482"/>
              <w:rPr>
                <w:rFonts w:hint="default" w:ascii="Times New Roman" w:hAnsi="Times New Roman" w:eastAsia="宋体" w:cs="Times New Roman"/>
                <w:b/>
                <w:color w:val="auto"/>
              </w:rPr>
            </w:pPr>
            <w:r>
              <w:rPr>
                <w:rFonts w:hint="default" w:ascii="Times New Roman" w:hAnsi="Times New Roman" w:eastAsia="宋体" w:cs="Times New Roman"/>
                <w:b/>
                <w:color w:val="auto"/>
              </w:rPr>
              <w:t>1运营期生态环境的影响分析</w:t>
            </w:r>
          </w:p>
          <w:p w14:paraId="0814BDBE">
            <w:pPr>
              <w:pStyle w:val="113"/>
              <w:ind w:firstLine="480"/>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lang w:eastAsia="zh-CN"/>
              </w:rPr>
              <w:t>防渗渠道工程</w:t>
            </w:r>
            <w:r>
              <w:rPr>
                <w:rFonts w:hint="default" w:ascii="Times New Roman" w:hAnsi="Times New Roman" w:eastAsia="宋体" w:cs="Times New Roman"/>
                <w:color w:val="auto"/>
                <w:kern w:val="0"/>
              </w:rPr>
              <w:t>建成后，可使灌区内灌排系统和建筑物得到完善和提高，使灌区灌溉水利用系数提高，大幅度提高</w:t>
            </w:r>
            <w:r>
              <w:rPr>
                <w:rFonts w:hint="default" w:ascii="Times New Roman" w:hAnsi="Times New Roman" w:eastAsia="宋体" w:cs="Times New Roman"/>
                <w:color w:val="auto"/>
                <w:kern w:val="0"/>
                <w:lang w:val="en-US" w:eastAsia="zh-CN"/>
              </w:rPr>
              <w:t>农作物</w:t>
            </w:r>
            <w:r>
              <w:rPr>
                <w:rFonts w:hint="default" w:ascii="Times New Roman" w:hAnsi="Times New Roman" w:eastAsia="宋体" w:cs="Times New Roman"/>
                <w:color w:val="auto"/>
                <w:kern w:val="0"/>
              </w:rPr>
              <w:t>单产和总产，将使灌区内</w:t>
            </w:r>
            <w:r>
              <w:rPr>
                <w:rFonts w:hint="default" w:ascii="Times New Roman" w:hAnsi="Times New Roman" w:eastAsia="宋体" w:cs="Times New Roman"/>
                <w:color w:val="auto"/>
                <w:kern w:val="0"/>
                <w:lang w:val="en-US" w:eastAsia="zh-CN"/>
              </w:rPr>
              <w:t>农业</w:t>
            </w:r>
            <w:r>
              <w:rPr>
                <w:rFonts w:hint="default" w:ascii="Times New Roman" w:hAnsi="Times New Roman" w:eastAsia="宋体" w:cs="Times New Roman"/>
                <w:color w:val="auto"/>
                <w:kern w:val="0"/>
              </w:rPr>
              <w:t>得到长足发展。</w:t>
            </w:r>
            <w:r>
              <w:rPr>
                <w:rFonts w:hint="default" w:ascii="Times New Roman" w:hAnsi="Times New Roman" w:eastAsia="宋体" w:cs="Times New Roman"/>
                <w:color w:val="auto"/>
                <w:kern w:val="0"/>
                <w:lang w:eastAsia="zh-CN"/>
              </w:rPr>
              <w:t>防渗渠道工程</w:t>
            </w:r>
            <w:r>
              <w:rPr>
                <w:rFonts w:hint="default" w:ascii="Times New Roman" w:hAnsi="Times New Roman" w:eastAsia="宋体" w:cs="Times New Roman"/>
                <w:color w:val="auto"/>
                <w:kern w:val="0"/>
              </w:rPr>
              <w:t>建成运营后在不增加现有灌区灌溉面积的前提下，通过提高灌区的灌溉率，不仅能解决灌区春旱缺水问题，而且还可以用节余的水资源灌溉垦区内现有的生态林草资源，改善生态环境。通过</w:t>
            </w:r>
            <w:r>
              <w:rPr>
                <w:rFonts w:hint="default" w:ascii="Times New Roman" w:hAnsi="Times New Roman" w:eastAsia="宋体" w:cs="Times New Roman"/>
                <w:color w:val="auto"/>
                <w:kern w:val="0"/>
                <w:lang w:eastAsia="zh-CN"/>
              </w:rPr>
              <w:t>防渗渠道工程</w:t>
            </w:r>
            <w:r>
              <w:rPr>
                <w:rFonts w:hint="default" w:ascii="Times New Roman" w:hAnsi="Times New Roman" w:eastAsia="宋体" w:cs="Times New Roman"/>
                <w:color w:val="auto"/>
                <w:kern w:val="0"/>
              </w:rPr>
              <w:t>的实施，将增加</w:t>
            </w:r>
            <w:r>
              <w:rPr>
                <w:rFonts w:hint="default" w:ascii="Times New Roman" w:hAnsi="Times New Roman" w:eastAsia="宋体" w:cs="Times New Roman"/>
                <w:color w:val="auto"/>
                <w:kern w:val="0"/>
                <w:lang w:val="en-US" w:eastAsia="zh-CN"/>
              </w:rPr>
              <w:t>农作物</w:t>
            </w:r>
            <w:r>
              <w:rPr>
                <w:rFonts w:hint="default" w:ascii="Times New Roman" w:hAnsi="Times New Roman" w:eastAsia="宋体" w:cs="Times New Roman"/>
                <w:color w:val="auto"/>
                <w:kern w:val="0"/>
              </w:rPr>
              <w:t>生长面积，有效改善土地质量，促进本地区</w:t>
            </w:r>
            <w:r>
              <w:rPr>
                <w:rFonts w:hint="default" w:ascii="Times New Roman" w:hAnsi="Times New Roman" w:eastAsia="宋体" w:cs="Times New Roman"/>
                <w:color w:val="auto"/>
                <w:kern w:val="0"/>
                <w:lang w:val="en-US" w:eastAsia="zh-CN"/>
              </w:rPr>
              <w:t>农业</w:t>
            </w:r>
            <w:r>
              <w:rPr>
                <w:rFonts w:hint="default" w:ascii="Times New Roman" w:hAnsi="Times New Roman" w:eastAsia="宋体" w:cs="Times New Roman"/>
                <w:color w:val="auto"/>
                <w:kern w:val="0"/>
              </w:rPr>
              <w:t>良性发展，为</w:t>
            </w:r>
            <w:r>
              <w:rPr>
                <w:rFonts w:hint="default" w:ascii="Times New Roman" w:hAnsi="Times New Roman" w:eastAsia="宋体" w:cs="Times New Roman"/>
                <w:color w:val="auto"/>
                <w:kern w:val="0"/>
                <w:lang w:val="en-US" w:eastAsia="zh-CN"/>
              </w:rPr>
              <w:t>农业</w:t>
            </w:r>
            <w:r>
              <w:rPr>
                <w:rFonts w:hint="default" w:ascii="Times New Roman" w:hAnsi="Times New Roman" w:eastAsia="宋体" w:cs="Times New Roman"/>
                <w:color w:val="auto"/>
                <w:kern w:val="0"/>
              </w:rPr>
              <w:t>的稳产、高产创造条件，较大幅度的提高本地区农业生产的环境质量。</w:t>
            </w:r>
          </w:p>
          <w:p w14:paraId="1056B4D5">
            <w:pPr>
              <w:pStyle w:val="113"/>
              <w:ind w:firstLine="482"/>
              <w:rPr>
                <w:rFonts w:hint="default" w:ascii="Times New Roman" w:hAnsi="Times New Roman" w:eastAsia="宋体" w:cs="Times New Roman"/>
                <w:b/>
                <w:color w:val="auto"/>
                <w:kern w:val="0"/>
              </w:rPr>
            </w:pPr>
            <w:r>
              <w:rPr>
                <w:rFonts w:hint="default" w:ascii="Times New Roman" w:hAnsi="Times New Roman" w:eastAsia="宋体" w:cs="Times New Roman"/>
                <w:b/>
                <w:color w:val="auto"/>
                <w:kern w:val="0"/>
              </w:rPr>
              <w:t>2运营期水环境影响分析</w:t>
            </w:r>
          </w:p>
          <w:p w14:paraId="52EDF784">
            <w:pPr>
              <w:pStyle w:val="113"/>
              <w:ind w:firstLine="480"/>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lang w:eastAsia="zh-CN"/>
              </w:rPr>
              <w:t>防渗渠道工程</w:t>
            </w:r>
            <w:r>
              <w:rPr>
                <w:rFonts w:hint="default" w:ascii="Times New Roman" w:hAnsi="Times New Roman" w:eastAsia="宋体" w:cs="Times New Roman"/>
                <w:color w:val="auto"/>
                <w:kern w:val="0"/>
              </w:rPr>
              <w:t>的实施可使</w:t>
            </w:r>
            <w:r>
              <w:rPr>
                <w:rFonts w:hint="eastAsia" w:ascii="Times New Roman" w:hAnsi="Times New Roman" w:cs="Times New Roman"/>
                <w:color w:val="auto"/>
                <w:lang w:eastAsia="zh-CN"/>
              </w:rPr>
              <w:t>莎车县霍什拉甫乡</w:t>
            </w:r>
            <w:r>
              <w:rPr>
                <w:rFonts w:hint="default" w:ascii="Times New Roman" w:hAnsi="Times New Roman" w:eastAsia="宋体" w:cs="Times New Roman"/>
                <w:color w:val="auto"/>
                <w:lang w:eastAsia="zh-CN"/>
              </w:rPr>
              <w:t>耕地</w:t>
            </w:r>
            <w:r>
              <w:rPr>
                <w:rFonts w:hint="default" w:ascii="Times New Roman" w:hAnsi="Times New Roman" w:eastAsia="宋体" w:cs="Times New Roman"/>
                <w:color w:val="auto"/>
                <w:kern w:val="0"/>
              </w:rPr>
              <w:t>灌渠的防渗能力提高，渠道水利用系数增加。根据</w:t>
            </w:r>
            <w:r>
              <w:rPr>
                <w:rFonts w:hint="default" w:ascii="Times New Roman" w:hAnsi="Times New Roman" w:eastAsia="宋体" w:cs="Times New Roman"/>
                <w:color w:val="auto"/>
                <w:kern w:val="0"/>
                <w:lang w:eastAsia="zh-CN"/>
              </w:rPr>
              <w:t>防渗渠道工程</w:t>
            </w:r>
            <w:r>
              <w:rPr>
                <w:rFonts w:hint="default" w:ascii="Times New Roman" w:hAnsi="Times New Roman" w:eastAsia="宋体" w:cs="Times New Roman"/>
                <w:color w:val="auto"/>
                <w:kern w:val="0"/>
              </w:rPr>
              <w:t>的设计资料，项目区防渗前后水利用系数提高，节约水量一部分在全乡范围内统一调配以弥补灌溉水量不足，另一部分水量退还给生态建设，有助于改善当地生态环境。</w:t>
            </w:r>
          </w:p>
          <w:p w14:paraId="09C97BE1">
            <w:pPr>
              <w:pStyle w:val="113"/>
              <w:ind w:firstLine="480"/>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lang w:eastAsia="zh-CN"/>
              </w:rPr>
              <w:t>防渗渠道工程</w:t>
            </w:r>
            <w:r>
              <w:rPr>
                <w:rFonts w:hint="default" w:ascii="Times New Roman" w:hAnsi="Times New Roman" w:eastAsia="宋体" w:cs="Times New Roman"/>
                <w:color w:val="auto"/>
                <w:kern w:val="0"/>
              </w:rPr>
              <w:t>对</w:t>
            </w:r>
            <w:r>
              <w:rPr>
                <w:rFonts w:hint="default" w:ascii="Times New Roman" w:hAnsi="Times New Roman" w:eastAsia="宋体" w:cs="Times New Roman"/>
                <w:color w:val="auto"/>
                <w:kern w:val="0"/>
                <w:lang w:val="en-US" w:eastAsia="zh-CN"/>
              </w:rPr>
              <w:t>渠系构筑物</w:t>
            </w:r>
            <w:r>
              <w:rPr>
                <w:rFonts w:hint="default" w:ascii="Times New Roman" w:hAnsi="Times New Roman" w:eastAsia="宋体" w:cs="Times New Roman"/>
                <w:color w:val="auto"/>
                <w:kern w:val="0"/>
              </w:rPr>
              <w:t>工程实施后，渠道两侧渗漏量减少，两侧地下水位呈下降趋势。但因渠道周围多为</w:t>
            </w:r>
            <w:r>
              <w:rPr>
                <w:rFonts w:hint="default" w:ascii="Times New Roman" w:hAnsi="Times New Roman" w:eastAsia="宋体" w:cs="Times New Roman"/>
                <w:color w:val="auto"/>
                <w:kern w:val="0"/>
                <w:lang w:val="en-US" w:eastAsia="zh-CN"/>
              </w:rPr>
              <w:t>耕地</w:t>
            </w:r>
            <w:r>
              <w:rPr>
                <w:rFonts w:hint="default" w:ascii="Times New Roman" w:hAnsi="Times New Roman" w:eastAsia="宋体" w:cs="Times New Roman"/>
                <w:color w:val="auto"/>
                <w:kern w:val="0"/>
              </w:rPr>
              <w:t>，受灌溉水与渠水的补给，地下水位变化不会太大。</w:t>
            </w:r>
          </w:p>
          <w:p w14:paraId="7664F90D">
            <w:pPr>
              <w:pStyle w:val="113"/>
              <w:ind w:firstLine="482"/>
              <w:rPr>
                <w:rFonts w:hint="default" w:ascii="Times New Roman" w:hAnsi="Times New Roman" w:eastAsia="宋体" w:cs="Times New Roman"/>
                <w:b/>
                <w:color w:val="auto"/>
                <w:kern w:val="0"/>
                <w:highlight w:val="none"/>
              </w:rPr>
            </w:pPr>
            <w:r>
              <w:rPr>
                <w:rFonts w:hint="default" w:ascii="Times New Roman" w:hAnsi="Times New Roman" w:eastAsia="宋体" w:cs="Times New Roman"/>
                <w:b/>
                <w:color w:val="auto"/>
                <w:kern w:val="0"/>
                <w:highlight w:val="none"/>
              </w:rPr>
              <w:t>3经济损益分析</w:t>
            </w:r>
          </w:p>
          <w:p w14:paraId="6C1A108A">
            <w:pPr>
              <w:pStyle w:val="113"/>
              <w:ind w:firstLine="480"/>
              <w:rPr>
                <w:rFonts w:hint="default" w:ascii="Times New Roman" w:hAnsi="Times New Roman" w:eastAsia="宋体" w:cs="Times New Roman"/>
                <w:color w:val="auto"/>
                <w:kern w:val="0"/>
                <w:highlight w:val="none"/>
                <w:lang w:val="en-US" w:eastAsia="zh-CN"/>
              </w:rPr>
            </w:pPr>
            <w:r>
              <w:rPr>
                <w:rFonts w:hint="default" w:ascii="Times New Roman" w:hAnsi="Times New Roman" w:eastAsia="宋体" w:cs="Times New Roman"/>
                <w:color w:val="auto"/>
                <w:kern w:val="0"/>
                <w:highlight w:val="none"/>
                <w:lang w:eastAsia="zh-CN"/>
              </w:rPr>
              <w:t>（</w:t>
            </w:r>
            <w:r>
              <w:rPr>
                <w:rFonts w:hint="default" w:ascii="Times New Roman" w:hAnsi="Times New Roman" w:eastAsia="宋体" w:cs="Times New Roman"/>
                <w:color w:val="auto"/>
                <w:kern w:val="0"/>
                <w:highlight w:val="none"/>
                <w:lang w:val="en-US" w:eastAsia="zh-CN"/>
              </w:rPr>
              <w:t>1</w:t>
            </w:r>
            <w:r>
              <w:rPr>
                <w:rFonts w:hint="default" w:ascii="Times New Roman" w:hAnsi="Times New Roman" w:eastAsia="宋体" w:cs="Times New Roman"/>
                <w:color w:val="auto"/>
                <w:kern w:val="0"/>
                <w:highlight w:val="none"/>
                <w:lang w:eastAsia="zh-CN"/>
              </w:rPr>
              <w:t>）</w:t>
            </w:r>
            <w:r>
              <w:rPr>
                <w:rFonts w:hint="default" w:ascii="Times New Roman" w:hAnsi="Times New Roman" w:eastAsia="宋体" w:cs="Times New Roman"/>
                <w:color w:val="auto"/>
                <w:kern w:val="0"/>
                <w:highlight w:val="none"/>
                <w:lang w:val="en-US" w:eastAsia="zh-CN"/>
              </w:rPr>
              <w:t>节水效益</w:t>
            </w:r>
          </w:p>
          <w:p w14:paraId="6397755D">
            <w:pPr>
              <w:pStyle w:val="113"/>
              <w:ind w:firstLine="480"/>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lang w:eastAsia="zh-CN"/>
              </w:rPr>
              <w:t>防渗渠道工程</w:t>
            </w:r>
            <w:r>
              <w:rPr>
                <w:rFonts w:hint="default" w:ascii="Times New Roman" w:hAnsi="Times New Roman" w:eastAsia="宋体" w:cs="Times New Roman"/>
                <w:color w:val="auto"/>
                <w:kern w:val="0"/>
                <w:highlight w:val="none"/>
              </w:rPr>
              <w:t>控制灌溉面积为</w:t>
            </w:r>
            <w:r>
              <w:rPr>
                <w:rFonts w:hint="eastAsia" w:ascii="Times New Roman" w:hAnsi="Times New Roman" w:cs="Times New Roman"/>
                <w:color w:val="auto"/>
                <w:kern w:val="0"/>
                <w:highlight w:val="none"/>
                <w:lang w:val="en-US" w:eastAsia="zh-CN"/>
              </w:rPr>
              <w:t>0.92万亩</w:t>
            </w:r>
            <w:r>
              <w:rPr>
                <w:rFonts w:hint="default" w:ascii="Times New Roman" w:hAnsi="Times New Roman" w:eastAsia="宋体" w:cs="Times New Roman"/>
                <w:color w:val="auto"/>
                <w:kern w:val="0"/>
                <w:highlight w:val="none"/>
              </w:rPr>
              <w:t>，节水量计算只考虑本次防渗改建渠道工程节水量，以渠道引水量为基数，节水量为</w:t>
            </w:r>
            <w:r>
              <w:rPr>
                <w:rFonts w:hint="eastAsia" w:ascii="Times New Roman" w:hAnsi="Times New Roman" w:cs="Times New Roman"/>
                <w:color w:val="auto"/>
                <w:kern w:val="0"/>
                <w:highlight w:val="none"/>
                <w:lang w:val="en-US" w:eastAsia="zh-CN"/>
              </w:rPr>
              <w:t>62.38万</w:t>
            </w:r>
            <w:r>
              <w:rPr>
                <w:rFonts w:hint="default" w:ascii="Times New Roman" w:hAnsi="Times New Roman" w:eastAsia="宋体" w:cs="Times New Roman"/>
                <w:color w:val="auto"/>
                <w:kern w:val="0"/>
                <w:highlight w:val="none"/>
              </w:rPr>
              <w:t>m³</w:t>
            </w:r>
            <w:r>
              <w:rPr>
                <w:rFonts w:hint="default" w:ascii="Times New Roman" w:hAnsi="Times New Roman" w:eastAsia="宋体" w:cs="Times New Roman"/>
                <w:color w:val="auto"/>
                <w:kern w:val="0"/>
                <w:highlight w:val="none"/>
                <w:lang w:val="en-US" w:eastAsia="zh-CN"/>
              </w:rPr>
              <w:t>，</w:t>
            </w:r>
            <w:r>
              <w:rPr>
                <w:rFonts w:hint="default" w:ascii="Times New Roman" w:hAnsi="Times New Roman" w:eastAsia="宋体" w:cs="Times New Roman"/>
                <w:color w:val="auto"/>
                <w:kern w:val="0"/>
                <w:highlight w:val="none"/>
              </w:rPr>
              <w:t>具有较好的经济效益和环境效益。</w:t>
            </w:r>
          </w:p>
          <w:p w14:paraId="10524AF9">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（2）生态效益分析</w:t>
            </w:r>
          </w:p>
          <w:p w14:paraId="3393000D">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sz w:val="24"/>
                <w:lang w:val="en-US" w:eastAsia="zh-CN"/>
              </w:rPr>
              <w:t>本项目后期施工方通过土地整平及撒草籽等植物措施，生态环境将会在一定程度上改善，甚至会优于原有的生态环境，</w:t>
            </w:r>
            <w:r>
              <w:rPr>
                <w:rFonts w:hint="default" w:ascii="Times New Roman" w:hAnsi="Times New Roman" w:eastAsia="宋体" w:cs="Times New Roman"/>
                <w:color w:val="auto"/>
                <w:lang w:val="en-US" w:eastAsia="zh-CN"/>
              </w:rPr>
              <w:t>对防风固沙、水土流失防治、改善灌区的小气候具有积极的作用。因此该项目实施后具有显著的生态保护效益。</w:t>
            </w:r>
          </w:p>
          <w:p w14:paraId="4D3E8703">
            <w:pPr>
              <w:pStyle w:val="113"/>
              <w:ind w:firstLine="48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（3）社会效益：防渗渠道工程防渗渠投入运行并取得效益后，必然会增加该渠沿途各乡场农牧民的经济收入，提高人民生活水平，促进社会稳定发展和民族团结，为地区的长远发展奠定良好的基础。</w:t>
            </w:r>
          </w:p>
        </w:tc>
      </w:tr>
      <w:tr w14:paraId="64ED07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1" w:hRule="atLeast"/>
          <w:jc w:val="center"/>
        </w:trPr>
        <w:tc>
          <w:tcPr>
            <w:tcW w:w="946" w:type="dxa"/>
            <w:vAlign w:val="center"/>
          </w:tcPr>
          <w:p w14:paraId="236E3939">
            <w:pPr>
              <w:pStyle w:val="28"/>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2"/>
                <w:sz w:val="21"/>
                <w:szCs w:val="21"/>
              </w:rPr>
              <w:t>选址选线环境合理性分析</w:t>
            </w:r>
          </w:p>
        </w:tc>
        <w:tc>
          <w:tcPr>
            <w:tcW w:w="8296" w:type="dxa"/>
          </w:tcPr>
          <w:p w14:paraId="24CC772C">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b/>
                <w:color w:val="auto"/>
                <w:kern w:val="0"/>
                <w:lang w:val="en-US" w:eastAsia="zh-CN"/>
              </w:rPr>
              <w:t>1选线原则</w:t>
            </w:r>
          </w:p>
          <w:p w14:paraId="1E884279">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防渗渠道工程渠线选择主要综合考虑了以下原则：</w:t>
            </w:r>
          </w:p>
          <w:p w14:paraId="74BC2196">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（1）保证灌溉引水、调水、输水要求；</w:t>
            </w:r>
          </w:p>
          <w:p w14:paraId="39F87CAE">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（2）在满足渠道安全运行的条件下使工程量和工程费用最小；</w:t>
            </w:r>
          </w:p>
          <w:p w14:paraId="6578DEEC">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（3）应充分考虑行政区划，以利管理；</w:t>
            </w:r>
          </w:p>
          <w:p w14:paraId="2F56505C">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（4）应和土地利用规划相结合，方便生产和生活。</w:t>
            </w:r>
          </w:p>
          <w:p w14:paraId="2A05A80E">
            <w:pPr>
              <w:pStyle w:val="113"/>
              <w:ind w:firstLine="482"/>
              <w:rPr>
                <w:rFonts w:hint="default" w:ascii="Times New Roman" w:hAnsi="Times New Roman" w:eastAsia="宋体" w:cs="Times New Roman"/>
                <w:b/>
                <w:color w:val="auto"/>
                <w:kern w:val="0"/>
              </w:rPr>
            </w:pPr>
            <w:r>
              <w:rPr>
                <w:rFonts w:hint="default" w:ascii="Times New Roman" w:hAnsi="Times New Roman" w:eastAsia="宋体" w:cs="Times New Roman"/>
                <w:b/>
                <w:color w:val="auto"/>
                <w:kern w:val="0"/>
                <w:lang w:val="en-US" w:eastAsia="zh-CN"/>
              </w:rPr>
              <w:t>2渠线选定</w:t>
            </w:r>
          </w:p>
          <w:p w14:paraId="77132E01">
            <w:pPr>
              <w:pStyle w:val="113"/>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4"/>
                <w:szCs w:val="24"/>
                <w:lang w:val="en-US" w:eastAsia="zh-CN" w:bidi="ar-SA"/>
              </w:rPr>
              <w:t>现有工程未履行环境影响评价，无竣工环境保护验收，本次评价经过环保部门批复后应积极开展环保验收，根据《固定污染源排污许可分类管理名录（2019年版）》，防渗渠道工程不涉及排污许可申请。本项目渠道防渗工程即为现有工程“以新带老”环保措施，本项目防渗渠道工程完成后可以解决渠系水利用系数低、原渠系建筑物设计标准低、无序用水、水资源浪费现象严重等环保节水问题。</w:t>
            </w:r>
            <w:r>
              <w:rPr>
                <w:rFonts w:hint="default" w:ascii="Times New Roman" w:hAnsi="Times New Roman" w:eastAsia="宋体" w:cs="Times New Roman"/>
                <w:color w:val="auto"/>
                <w:lang w:val="en-US" w:eastAsia="zh-CN"/>
              </w:rPr>
              <w:t>本项目渠道现状为土渠，沿线多为耕地、草地、林地、居民点，紧邻乡村道路，渠线相对顺直，没有选择新线的条件；基本沿老渠线布置。</w:t>
            </w:r>
          </w:p>
          <w:p w14:paraId="6682BC68">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kern w:val="2"/>
                <w:sz w:val="24"/>
                <w:szCs w:val="24"/>
                <w:lang w:val="en-US" w:eastAsia="zh-CN" w:bidi="ar-SA"/>
              </w:rPr>
              <w:t>根据</w:t>
            </w:r>
            <w:r>
              <w:rPr>
                <w:rFonts w:hint="default" w:ascii="Times New Roman" w:hAnsi="Times New Roman" w:eastAsia="宋体" w:cs="Times New Roman"/>
                <w:color w:val="auto"/>
                <w:lang w:val="en-US" w:eastAsia="zh-CN"/>
              </w:rPr>
              <w:t>工程区周围的环境因素和灌区规划，经反复踏勘、仔细分析从平面布置、工程量及投资、施工条件、运行管理费、工期及工程效益、安全运行等方面进行比较后最终确定老渠线为本次防渗续建的渠线，因此本项目防渗渠道依托原有渠线可行。</w:t>
            </w:r>
          </w:p>
          <w:p w14:paraId="4DE6EFC0">
            <w:pPr>
              <w:pStyle w:val="113"/>
              <w:ind w:firstLine="482"/>
              <w:rPr>
                <w:rFonts w:hint="default" w:ascii="Times New Roman" w:hAnsi="Times New Roman" w:eastAsia="宋体" w:cs="Times New Roman"/>
                <w:b/>
                <w:color w:val="auto"/>
                <w:kern w:val="0"/>
                <w:lang w:val="en-US" w:eastAsia="zh-CN"/>
              </w:rPr>
            </w:pPr>
            <w:r>
              <w:rPr>
                <w:rFonts w:hint="default" w:ascii="Times New Roman" w:hAnsi="Times New Roman" w:eastAsia="宋体" w:cs="Times New Roman"/>
                <w:b/>
                <w:color w:val="auto"/>
                <w:kern w:val="0"/>
                <w:lang w:val="en-US" w:eastAsia="zh-CN"/>
              </w:rPr>
              <w:t>3临时工程选址合理性分析</w:t>
            </w:r>
          </w:p>
          <w:p w14:paraId="2DCD19A5">
            <w:pPr>
              <w:pStyle w:val="113"/>
              <w:ind w:firstLine="480"/>
              <w:rPr>
                <w:rFonts w:hint="default" w:ascii="Times New Roman" w:hAnsi="Times New Roman" w:eastAsia="宋体" w:cs="Times New Roman"/>
                <w:color w:val="0000C7"/>
                <w:kern w:val="0"/>
                <w:sz w:val="24"/>
                <w:lang w:val="zh-CN" w:eastAsia="zh-CN"/>
              </w:rPr>
            </w:pPr>
            <w:r>
              <w:rPr>
                <w:rFonts w:hint="default" w:ascii="Times New Roman" w:hAnsi="Times New Roman" w:eastAsia="宋体" w:cs="Times New Roman"/>
                <w:color w:val="0000C7"/>
                <w:sz w:val="24"/>
                <w:szCs w:val="24"/>
              </w:rPr>
              <w:t>本项目临时占地主要为</w:t>
            </w:r>
            <w:r>
              <w:rPr>
                <w:rFonts w:hint="default" w:ascii="Times New Roman" w:hAnsi="Times New Roman" w:eastAsia="宋体" w:cs="Times New Roman"/>
                <w:color w:val="0000C7"/>
                <w:sz w:val="24"/>
                <w:lang w:val="en-US" w:eastAsia="zh-CN"/>
              </w:rPr>
              <w:t>渠道工程区、施工作业区、</w:t>
            </w:r>
            <w:r>
              <w:rPr>
                <w:rFonts w:hint="eastAsia" w:ascii="Times New Roman" w:hAnsi="Times New Roman" w:cs="Times New Roman"/>
                <w:color w:val="0000C7"/>
                <w:sz w:val="24"/>
                <w:lang w:val="en-US" w:eastAsia="zh-CN"/>
              </w:rPr>
              <w:t>料场、</w:t>
            </w:r>
            <w:r>
              <w:rPr>
                <w:rFonts w:hint="default" w:ascii="Times New Roman" w:hAnsi="Times New Roman" w:eastAsia="宋体" w:cs="Times New Roman"/>
                <w:color w:val="0000C7"/>
                <w:sz w:val="24"/>
                <w:lang w:val="en-US" w:eastAsia="zh-CN"/>
              </w:rPr>
              <w:t>弃土弃渣场等</w:t>
            </w:r>
            <w:r>
              <w:rPr>
                <w:rFonts w:hint="default" w:ascii="Times New Roman" w:hAnsi="Times New Roman" w:eastAsia="宋体" w:cs="Times New Roman"/>
                <w:color w:val="0000C7"/>
                <w:sz w:val="24"/>
                <w:szCs w:val="24"/>
              </w:rPr>
              <w:t>，</w:t>
            </w:r>
            <w:r>
              <w:rPr>
                <w:rFonts w:hint="default" w:ascii="Times New Roman" w:hAnsi="Times New Roman" w:cs="Times New Roman"/>
                <w:color w:val="0000C7"/>
                <w:sz w:val="24"/>
                <w:szCs w:val="24"/>
                <w:lang w:val="en-US" w:eastAsia="zh-CN"/>
              </w:rPr>
              <w:t>选址位于裸露空地上，</w:t>
            </w:r>
            <w:r>
              <w:rPr>
                <w:rFonts w:hint="eastAsia" w:ascii="Times New Roman" w:hAnsi="Times New Roman" w:eastAsia="宋体" w:cs="Times New Roman"/>
                <w:color w:val="0000C7"/>
                <w:kern w:val="0"/>
                <w:sz w:val="24"/>
                <w:lang w:val="en-US" w:eastAsia="zh-CN"/>
              </w:rPr>
              <w:t>占地类型为未利用地，</w:t>
            </w:r>
            <w:r>
              <w:rPr>
                <w:rFonts w:hint="default" w:ascii="Times New Roman" w:hAnsi="Times New Roman" w:eastAsia="宋体" w:cs="Times New Roman"/>
                <w:color w:val="0000C7"/>
                <w:kern w:val="0"/>
                <w:sz w:val="24"/>
                <w:lang w:val="zh-CN"/>
              </w:rPr>
              <w:t>植被覆盖率低于</w:t>
            </w:r>
            <w:r>
              <w:rPr>
                <w:rFonts w:hint="default" w:ascii="Times New Roman" w:hAnsi="Times New Roman" w:eastAsia="宋体" w:cs="Times New Roman"/>
                <w:color w:val="0000C7"/>
                <w:kern w:val="0"/>
                <w:sz w:val="24"/>
                <w:lang w:val="en-US" w:eastAsia="zh-CN"/>
              </w:rPr>
              <w:t>3</w:t>
            </w:r>
            <w:r>
              <w:rPr>
                <w:rFonts w:hint="default" w:ascii="Times New Roman" w:hAnsi="Times New Roman" w:eastAsia="宋体" w:cs="Times New Roman"/>
                <w:color w:val="0000C7"/>
                <w:kern w:val="0"/>
                <w:sz w:val="24"/>
                <w:lang w:val="zh-CN" w:eastAsia="zh-CN"/>
              </w:rPr>
              <w:t>%</w:t>
            </w:r>
            <w:r>
              <w:rPr>
                <w:rFonts w:hint="default" w:ascii="Times New Roman" w:hAnsi="Times New Roman" w:eastAsia="宋体" w:cs="Times New Roman"/>
                <w:color w:val="0000C7"/>
                <w:kern w:val="0"/>
                <w:sz w:val="24"/>
                <w:lang w:val="zh-CN"/>
              </w:rPr>
              <w:t>，</w:t>
            </w:r>
            <w:r>
              <w:rPr>
                <w:rFonts w:hint="default" w:ascii="Times New Roman" w:hAnsi="Times New Roman" w:eastAsia="宋体" w:cs="Times New Roman"/>
                <w:color w:val="0000C7"/>
                <w:kern w:val="0"/>
                <w:sz w:val="24"/>
                <w:lang w:val="en-US" w:eastAsia="zh-CN"/>
              </w:rPr>
              <w:t>地质稳定，</w:t>
            </w:r>
            <w:r>
              <w:rPr>
                <w:rFonts w:hint="default" w:ascii="Times New Roman" w:hAnsi="Times New Roman" w:eastAsia="宋体" w:cs="Times New Roman"/>
                <w:color w:val="0000C7"/>
                <w:kern w:val="0"/>
                <w:sz w:val="24"/>
                <w:lang w:val="zh-CN" w:eastAsia="zh-CN"/>
              </w:rPr>
              <w:t>地势平坦，</w:t>
            </w:r>
            <w:r>
              <w:rPr>
                <w:rFonts w:hint="default" w:ascii="Times New Roman" w:hAnsi="Times New Roman" w:eastAsia="宋体" w:cs="Times New Roman"/>
                <w:color w:val="0000C7"/>
                <w:kern w:val="0"/>
                <w:sz w:val="24"/>
                <w:lang w:val="en-US" w:eastAsia="zh-CN"/>
              </w:rPr>
              <w:t>不位于洪水汇集区，</w:t>
            </w:r>
            <w:r>
              <w:rPr>
                <w:rFonts w:hint="default" w:ascii="Times New Roman" w:hAnsi="Times New Roman" w:eastAsia="宋体" w:cs="Times New Roman"/>
                <w:color w:val="0000C7"/>
                <w:kern w:val="0"/>
                <w:sz w:val="24"/>
                <w:lang w:val="zh-CN"/>
              </w:rPr>
              <w:t>周围无敏感水体，</w:t>
            </w:r>
            <w:r>
              <w:rPr>
                <w:rFonts w:hint="default" w:ascii="Times New Roman" w:hAnsi="Times New Roman" w:eastAsia="宋体" w:cs="Times New Roman"/>
                <w:color w:val="0000C7"/>
                <w:kern w:val="0"/>
                <w:sz w:val="24"/>
                <w:lang w:val="zh-CN" w:eastAsia="zh-CN"/>
              </w:rPr>
              <w:t>可满足本项目需求。</w:t>
            </w:r>
          </w:p>
          <w:p w14:paraId="3C56BA3F">
            <w:pPr>
              <w:pStyle w:val="113"/>
              <w:ind w:firstLine="480"/>
              <w:rPr>
                <w:rFonts w:hint="default" w:ascii="Times New Roman" w:hAnsi="Times New Roman" w:eastAsia="宋体" w:cs="Times New Roman"/>
                <w:color w:val="0000C7"/>
                <w:kern w:val="0"/>
                <w:sz w:val="24"/>
                <w:lang w:val="en-US" w:eastAsia="zh-CN"/>
              </w:rPr>
            </w:pPr>
            <w:r>
              <w:rPr>
                <w:rFonts w:hint="default" w:ascii="Times New Roman" w:hAnsi="Times New Roman" w:eastAsia="宋体" w:cs="Times New Roman"/>
                <w:color w:val="0000C7"/>
                <w:kern w:val="0"/>
                <w:sz w:val="24"/>
                <w:lang w:val="en-US" w:eastAsia="zh-CN"/>
              </w:rPr>
              <w:t>占地区域土壤在荒漠和半荒漠的生物气候条件下发育，是以灌淤土为主的地带性土壤</w:t>
            </w:r>
            <w:r>
              <w:rPr>
                <w:rFonts w:hint="default" w:ascii="Times New Roman" w:hAnsi="Times New Roman" w:eastAsia="宋体" w:cs="Times New Roman"/>
                <w:color w:val="0000C7"/>
                <w:kern w:val="0"/>
                <w:sz w:val="24"/>
                <w:lang w:val="zh-CN" w:eastAsia="zh-CN"/>
              </w:rPr>
              <w:t>。草本植被主要是旱生、超旱生灌木和多汁盐柴类荒漠植物。</w:t>
            </w:r>
            <w:r>
              <w:rPr>
                <w:rFonts w:hint="default" w:ascii="Times New Roman" w:hAnsi="Times New Roman" w:eastAsia="宋体" w:cs="Times New Roman"/>
                <w:color w:val="0000C7"/>
                <w:kern w:val="0"/>
                <w:sz w:val="24"/>
                <w:lang w:val="en-US" w:eastAsia="zh-CN"/>
              </w:rPr>
              <w:t>弃土弃渣场</w:t>
            </w:r>
            <w:r>
              <w:rPr>
                <w:rFonts w:hint="default" w:ascii="Times New Roman" w:hAnsi="Times New Roman" w:eastAsia="宋体" w:cs="Times New Roman"/>
                <w:color w:val="0000C7"/>
                <w:kern w:val="0"/>
                <w:sz w:val="24"/>
                <w:lang w:val="zh-CN" w:eastAsia="zh-CN"/>
              </w:rPr>
              <w:t>区内野生动物主要有小家鼠、褐家鼠、野兔及小型鸟类等，无国家和自治区级野生保护动物，</w:t>
            </w:r>
            <w:r>
              <w:rPr>
                <w:rFonts w:hint="default" w:ascii="Times New Roman" w:hAnsi="Times New Roman" w:eastAsia="宋体" w:cs="Times New Roman"/>
                <w:color w:val="0000C7"/>
                <w:kern w:val="0"/>
                <w:sz w:val="24"/>
                <w:lang w:val="en-US" w:eastAsia="zh-CN"/>
              </w:rPr>
              <w:t>弃土弃渣场区域地质稳定、不属于洪水泛滥区。</w:t>
            </w:r>
          </w:p>
          <w:p w14:paraId="4708FE94">
            <w:pPr>
              <w:pStyle w:val="113"/>
              <w:ind w:firstLine="480"/>
              <w:rPr>
                <w:rFonts w:hint="default" w:ascii="Times New Roman" w:hAnsi="Times New Roman" w:eastAsia="宋体" w:cs="Times New Roman"/>
                <w:color w:val="auto"/>
                <w:lang w:val="en-US"/>
              </w:rPr>
            </w:pPr>
            <w:r>
              <w:rPr>
                <w:rFonts w:hint="default" w:ascii="Times New Roman" w:hAnsi="Times New Roman" w:eastAsia="宋体" w:cs="Times New Roman"/>
                <w:color w:val="0000C7"/>
                <w:kern w:val="0"/>
                <w:sz w:val="24"/>
                <w:lang w:val="en-US" w:eastAsia="zh-CN"/>
              </w:rPr>
              <w:t>综上所述，本项目</w:t>
            </w:r>
            <w:r>
              <w:rPr>
                <w:rFonts w:hint="eastAsia" w:ascii="Times New Roman" w:hAnsi="Times New Roman" w:eastAsia="宋体" w:cs="Times New Roman"/>
                <w:color w:val="0000C7"/>
                <w:kern w:val="0"/>
                <w:sz w:val="24"/>
                <w:lang w:val="en-US" w:eastAsia="zh-CN"/>
              </w:rPr>
              <w:t>临时工程</w:t>
            </w:r>
            <w:r>
              <w:rPr>
                <w:rFonts w:hint="default" w:ascii="Times New Roman" w:hAnsi="Times New Roman" w:eastAsia="宋体" w:cs="Times New Roman"/>
                <w:color w:val="0000C7"/>
                <w:kern w:val="0"/>
                <w:sz w:val="24"/>
                <w:lang w:val="en-US" w:eastAsia="zh-CN"/>
              </w:rPr>
              <w:t>选址合理。</w:t>
            </w:r>
          </w:p>
        </w:tc>
      </w:tr>
    </w:tbl>
    <w:p w14:paraId="3D8FF936">
      <w:pPr>
        <w:pStyle w:val="28"/>
        <w:jc w:val="center"/>
        <w:rPr>
          <w:rFonts w:hint="default" w:ascii="Times New Roman" w:hAnsi="Times New Roman" w:eastAsia="宋体" w:cs="Times New Roman"/>
          <w:snapToGrid w:val="0"/>
          <w:color w:val="auto"/>
          <w:sz w:val="36"/>
          <w:szCs w:val="36"/>
        </w:rPr>
        <w:sectPr>
          <w:footerReference r:id="rId4" w:type="default"/>
          <w:pgSz w:w="11906" w:h="16838"/>
          <w:pgMar w:top="1440" w:right="1418" w:bottom="1440" w:left="1418" w:header="851" w:footer="1077" w:gutter="0"/>
          <w:pgBorders>
            <w:top w:val="none" w:sz="0" w:space="0"/>
            <w:left w:val="none" w:sz="0" w:space="0"/>
            <w:bottom w:val="none" w:sz="0" w:space="0"/>
            <w:right w:val="none" w:sz="0" w:space="0"/>
          </w:pgBorders>
          <w:pgNumType w:fmt="numberInDash" w:start="1"/>
          <w:cols w:space="720" w:num="1"/>
          <w:docGrid w:linePitch="312" w:charSpace="0"/>
        </w:sectPr>
      </w:pPr>
    </w:p>
    <w:p w14:paraId="4210504D">
      <w:pPr>
        <w:pStyle w:val="28"/>
        <w:adjustRightInd w:val="0"/>
        <w:snapToGrid w:val="0"/>
        <w:spacing w:before="0" w:beforeAutospacing="0" w:after="0" w:afterAutospacing="0" w:line="14" w:lineRule="auto"/>
        <w:jc w:val="center"/>
        <w:outlineLvl w:val="0"/>
        <w:rPr>
          <w:rFonts w:hint="default" w:ascii="Times New Roman" w:hAnsi="Times New Roman" w:eastAsia="宋体" w:cs="Times New Roman"/>
          <w:snapToGrid w:val="0"/>
          <w:color w:val="auto"/>
          <w:sz w:val="30"/>
          <w:szCs w:val="30"/>
        </w:rPr>
      </w:pPr>
    </w:p>
    <w:p w14:paraId="4EB64E04">
      <w:pPr>
        <w:pStyle w:val="28"/>
        <w:jc w:val="center"/>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sz w:val="30"/>
          <w:szCs w:val="30"/>
        </w:rPr>
        <w:t>五、主要生态环境保护措施</w:t>
      </w:r>
    </w:p>
    <w:tbl>
      <w:tblPr>
        <w:tblStyle w:val="33"/>
        <w:tblW w:w="94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3"/>
        <w:gridCol w:w="8693"/>
      </w:tblGrid>
      <w:tr w14:paraId="026D74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689" w:hRule="atLeast"/>
          <w:jc w:val="center"/>
        </w:trPr>
        <w:tc>
          <w:tcPr>
            <w:tcW w:w="753" w:type="dxa"/>
            <w:tcMar>
              <w:left w:w="28" w:type="dxa"/>
              <w:right w:w="28" w:type="dxa"/>
            </w:tcMar>
            <w:vAlign w:val="center"/>
          </w:tcPr>
          <w:p w14:paraId="4A073C58">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pacing w:val="10"/>
                <w:szCs w:val="21"/>
              </w:rPr>
              <w:t>施工期生态环境保护措施</w:t>
            </w:r>
          </w:p>
        </w:tc>
        <w:tc>
          <w:tcPr>
            <w:tcW w:w="8693" w:type="dxa"/>
          </w:tcPr>
          <w:p w14:paraId="71D15DFE">
            <w:pPr>
              <w:pStyle w:val="113"/>
              <w:ind w:firstLine="482"/>
              <w:rPr>
                <w:rFonts w:hint="default" w:ascii="Times New Roman" w:hAnsi="Times New Roman" w:eastAsia="宋体" w:cs="Times New Roman"/>
                <w:b/>
                <w:color w:val="auto"/>
              </w:rPr>
            </w:pPr>
            <w:r>
              <w:rPr>
                <w:rFonts w:hint="default" w:ascii="Times New Roman" w:hAnsi="Times New Roman" w:eastAsia="宋体" w:cs="Times New Roman"/>
                <w:b/>
                <w:color w:val="auto"/>
              </w:rPr>
              <w:t>1施工期环境管理措施</w:t>
            </w:r>
          </w:p>
          <w:p w14:paraId="07963DE7">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应做好施工组织规划工作，尽量少占地；加强施工期间的宣传教育工作，以减少人为因素对植被的破坏。</w:t>
            </w:r>
          </w:p>
          <w:p w14:paraId="4DA6E6E9">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加强对施工人员进行环境保护知识教育，提高施工人员的环境保护意识。</w:t>
            </w:r>
          </w:p>
          <w:p w14:paraId="24DA90D8">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施工期间严禁破坏项目区内与工程本身无关的植被，尤其是施工区外围的绿化带，应加以保护。</w:t>
            </w:r>
          </w:p>
          <w:p w14:paraId="2BB28865">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在签订施工承包合同时，应明确有关环境保护的条款，并在施工过程中予以全过程监督；施工期的环境管理措施由施工部门组织实施。</w:t>
            </w:r>
          </w:p>
          <w:p w14:paraId="16946F19">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lang w:eastAsia="zh-CN"/>
              </w:rPr>
              <w:t>防渗渠道工程</w:t>
            </w:r>
            <w:r>
              <w:rPr>
                <w:rFonts w:hint="default" w:ascii="Times New Roman" w:hAnsi="Times New Roman" w:eastAsia="宋体" w:cs="Times New Roman"/>
                <w:color w:val="auto"/>
              </w:rPr>
              <w:t>设专人负责施工期环境保护措施实施的监督和管理工作。</w:t>
            </w:r>
          </w:p>
          <w:p w14:paraId="51FCC584">
            <w:pPr>
              <w:pStyle w:val="113"/>
              <w:ind w:firstLine="482"/>
              <w:rPr>
                <w:rFonts w:hint="default" w:ascii="Times New Roman" w:hAnsi="Times New Roman" w:eastAsia="宋体" w:cs="Times New Roman"/>
                <w:b/>
                <w:color w:val="auto"/>
              </w:rPr>
            </w:pPr>
            <w:r>
              <w:rPr>
                <w:rFonts w:hint="default" w:ascii="Times New Roman" w:hAnsi="Times New Roman" w:eastAsia="宋体" w:cs="Times New Roman"/>
                <w:b/>
                <w:color w:val="auto"/>
              </w:rPr>
              <w:t>2施工期环境保护治理措施</w:t>
            </w:r>
          </w:p>
          <w:p w14:paraId="718E07F0">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（1）施工期水环境保护措施</w:t>
            </w:r>
          </w:p>
          <w:p w14:paraId="5908C82C">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车辆、机械设备冲洗废水自流入</w:t>
            </w:r>
            <w:r>
              <w:rPr>
                <w:rFonts w:hint="eastAsia" w:ascii="Times New Roman" w:hAnsi="Times New Roman" w:cs="Times New Roman"/>
                <w:color w:val="auto"/>
                <w:lang w:eastAsia="zh-CN"/>
              </w:rPr>
              <w:t>隔油沉淀</w:t>
            </w:r>
            <w:r>
              <w:rPr>
                <w:rFonts w:hint="default" w:ascii="Times New Roman" w:hAnsi="Times New Roman" w:eastAsia="宋体" w:cs="Times New Roman"/>
                <w:color w:val="auto"/>
              </w:rPr>
              <w:t>池，处理后</w:t>
            </w:r>
            <w:r>
              <w:rPr>
                <w:rFonts w:hint="default" w:ascii="Times New Roman" w:hAnsi="Times New Roman" w:eastAsia="宋体" w:cs="Times New Roman"/>
                <w:color w:val="auto"/>
                <w:lang w:eastAsia="zh-CN"/>
              </w:rPr>
              <w:t>回用于砼拌和养护用水</w:t>
            </w:r>
            <w:r>
              <w:rPr>
                <w:rFonts w:hint="default" w:ascii="Times New Roman" w:hAnsi="Times New Roman" w:eastAsia="宋体" w:cs="Times New Roman"/>
                <w:color w:val="auto"/>
              </w:rPr>
              <w:t>。根据废水处理效果，必要时投加絮凝剂。</w:t>
            </w:r>
          </w:p>
          <w:p w14:paraId="6F783144">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施工期生活污水处理：</w:t>
            </w:r>
            <w:r>
              <w:rPr>
                <w:rFonts w:hint="default" w:ascii="Times New Roman" w:hAnsi="Times New Roman" w:eastAsia="宋体" w:cs="Times New Roman"/>
                <w:color w:val="auto"/>
                <w:lang w:eastAsia="zh-CN"/>
              </w:rPr>
              <w:t>施工场地设置临时化粪池，</w:t>
            </w:r>
            <w:r>
              <w:rPr>
                <w:rFonts w:hint="eastAsia" w:ascii="Times New Roman" w:hAnsi="Times New Roman" w:cs="Times New Roman"/>
                <w:color w:val="auto"/>
                <w:lang w:eastAsia="zh-CN"/>
              </w:rPr>
              <w:t>罐车定期清运至莎车县污水处理厂处理</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因此，项目施工期</w:t>
            </w:r>
            <w:r>
              <w:rPr>
                <w:rFonts w:hint="default" w:ascii="Times New Roman" w:hAnsi="Times New Roman" w:eastAsia="宋体" w:cs="Times New Roman"/>
                <w:color w:val="auto"/>
                <w:lang w:val="en-US" w:eastAsia="zh-CN"/>
              </w:rPr>
              <w:t>生活污水</w:t>
            </w:r>
            <w:r>
              <w:rPr>
                <w:rFonts w:hint="default" w:ascii="Times New Roman" w:hAnsi="Times New Roman" w:eastAsia="宋体" w:cs="Times New Roman"/>
                <w:color w:val="auto"/>
              </w:rPr>
              <w:t>得到有效处理，对周围地表水环境影响很小。</w:t>
            </w:r>
          </w:p>
          <w:p w14:paraId="761F20EF">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施工期施工机械一旦产生燃料油跑、冒、滴、漏等现象发生，燃料油除部分挥发散失外，大部分会进入土壤，并随着降雨冲刷、地表径流、地下水入渗等方式进入地表水体和地下水。为了避免此类水污染事件的发生，应以预防施工车辆和机械的跑、冒、滴、漏为主，在施工过程中应严格加强对机械设备的检修和维护力度与频次，发现问题，及时解决，严厉禁止运输车辆和施工机械满身油污进行施工，杜绝施工机械和运输车辆在施工过程中的跑、冒、滴、漏现象的发生。施工机械和车辆一旦出现漏油现象，应立即停止施工并进行机械维修或更换设备。</w:t>
            </w:r>
          </w:p>
          <w:p w14:paraId="374C7782">
            <w:pPr>
              <w:pStyle w:val="113"/>
              <w:ind w:firstLine="48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w:t>
            </w:r>
            <w:r>
              <w:rPr>
                <w:rFonts w:hint="default" w:ascii="Times New Roman" w:hAnsi="Times New Roman" w:eastAsia="宋体" w:cs="Times New Roman"/>
                <w:color w:val="auto"/>
                <w:lang w:val="en-US" w:eastAsia="zh-CN"/>
              </w:rPr>
              <w:t>施工期间</w:t>
            </w:r>
            <w:r>
              <w:rPr>
                <w:rFonts w:hint="eastAsia" w:ascii="Times New Roman" w:hAnsi="Times New Roman" w:eastAsia="宋体" w:cs="Times New Roman"/>
                <w:color w:val="auto"/>
                <w:lang w:val="en-US" w:eastAsia="zh-CN"/>
              </w:rPr>
              <w:t>严格控制施工活动的作业范围，基础开挖做好弃土平整利用和及时外运，合理选址运输线路，</w:t>
            </w:r>
            <w:r>
              <w:rPr>
                <w:rFonts w:hint="default" w:ascii="Times New Roman" w:hAnsi="Times New Roman" w:eastAsia="宋体" w:cs="Times New Roman"/>
                <w:color w:val="auto"/>
              </w:rPr>
              <w:t>确保运输车辆的密封性良好，车厢进行覆盖，防止在运输过程中物料洒落被雨水冲刷进入地表水，造成污染。</w:t>
            </w:r>
            <w:r>
              <w:rPr>
                <w:rFonts w:hint="default" w:ascii="Times New Roman" w:hAnsi="Times New Roman" w:eastAsia="宋体" w:cs="Times New Roman"/>
                <w:color w:val="auto"/>
                <w:lang w:val="en-US" w:eastAsia="zh-CN"/>
              </w:rPr>
              <w:t>做好以上水环境保护措施，可以有效保护施工区域附近</w:t>
            </w:r>
            <w:r>
              <w:rPr>
                <w:rFonts w:hint="default" w:ascii="Times New Roman" w:hAnsi="Times New Roman" w:eastAsia="宋体" w:cs="Times New Roman"/>
                <w:color w:val="auto"/>
                <w:highlight w:val="none"/>
                <w:lang w:val="en-US" w:eastAsia="zh-CN"/>
              </w:rPr>
              <w:t>叶尔羌河水生生态和水质。</w:t>
            </w:r>
          </w:p>
          <w:p w14:paraId="2FB5C8AF">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（2）施工期固体废物的处理措施</w:t>
            </w:r>
          </w:p>
          <w:p w14:paraId="1374723E">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根据施工人员数，在各施工区域设置垃圾桶，安排清洁工负责日常生活垃圾的清扫。工程结束后，拆除施工区的临建设施，对机械停放场、料场、仓库及时进行场地清理，清除建筑垃圾及各种杂物，厕所、污水坑必须清理平整，并用石炭酸、生石灰进行消毒，</w:t>
            </w:r>
            <w:r>
              <w:rPr>
                <w:rFonts w:hint="default" w:ascii="Times New Roman" w:hAnsi="Times New Roman" w:eastAsia="宋体" w:cs="Times New Roman"/>
                <w:color w:val="auto"/>
                <w:lang w:eastAsia="zh-CN"/>
              </w:rPr>
              <w:t>做好</w:t>
            </w:r>
            <w:r>
              <w:rPr>
                <w:rFonts w:hint="default" w:ascii="Times New Roman" w:hAnsi="Times New Roman" w:eastAsia="宋体" w:cs="Times New Roman"/>
                <w:color w:val="auto"/>
              </w:rPr>
              <w:t>施工迹地恢复工作。</w:t>
            </w:r>
          </w:p>
          <w:p w14:paraId="7FC7F45A">
            <w:pPr>
              <w:pStyle w:val="113"/>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各施工承包商应安排专人负责生产废料的收集，废铁、废钢筋、废木碎块等应堆放在</w:t>
            </w:r>
            <w:r>
              <w:rPr>
                <w:rFonts w:hint="default" w:ascii="Times New Roman" w:hAnsi="Times New Roman" w:eastAsia="宋体" w:cs="Times New Roman"/>
                <w:color w:val="auto"/>
                <w:lang w:val="en-US" w:eastAsia="zh-CN"/>
              </w:rPr>
              <w:t>固定的临时弃土场</w:t>
            </w:r>
            <w:r>
              <w:rPr>
                <w:rFonts w:hint="default" w:ascii="Times New Roman" w:hAnsi="Times New Roman" w:eastAsia="宋体" w:cs="Times New Roman"/>
                <w:color w:val="auto"/>
              </w:rPr>
              <w:t>，</w:t>
            </w:r>
            <w:r>
              <w:rPr>
                <w:rFonts w:hint="default" w:ascii="Times New Roman" w:hAnsi="Times New Roman" w:eastAsia="宋体" w:cs="Times New Roman"/>
                <w:color w:val="auto"/>
                <w:kern w:val="0"/>
                <w:sz w:val="24"/>
              </w:rPr>
              <w:t>对施工中产生的建筑垃圾</w:t>
            </w:r>
            <w:r>
              <w:rPr>
                <w:rFonts w:hint="default" w:ascii="Times New Roman" w:hAnsi="Times New Roman" w:eastAsia="宋体" w:cs="Times New Roman"/>
                <w:color w:val="auto"/>
                <w:kern w:val="0"/>
                <w:sz w:val="24"/>
                <w:lang w:eastAsia="zh-CN"/>
              </w:rPr>
              <w:t>能回收的应尽量回收利用，无法利用的集中收集后运至</w:t>
            </w:r>
            <w:r>
              <w:rPr>
                <w:rFonts w:hint="eastAsia" w:ascii="Times New Roman" w:hAnsi="Times New Roman" w:cs="Times New Roman"/>
                <w:color w:val="auto"/>
                <w:kern w:val="0"/>
                <w:sz w:val="24"/>
                <w:lang w:eastAsia="zh-CN"/>
              </w:rPr>
              <w:t>莎车县城市管理部门指定的建筑垃圾存放点</w:t>
            </w:r>
            <w:r>
              <w:rPr>
                <w:rFonts w:hint="default" w:ascii="Times New Roman" w:hAnsi="Times New Roman" w:eastAsia="宋体" w:cs="Times New Roman"/>
                <w:color w:val="auto"/>
                <w:kern w:val="0"/>
                <w:sz w:val="24"/>
                <w:lang w:eastAsia="zh-CN"/>
              </w:rPr>
              <w:t>处理；</w:t>
            </w:r>
            <w:r>
              <w:rPr>
                <w:rFonts w:hint="default" w:ascii="Times New Roman" w:hAnsi="Times New Roman" w:eastAsia="宋体" w:cs="Times New Roman"/>
                <w:color w:val="auto"/>
              </w:rPr>
              <w:t>施工期生活垃圾</w:t>
            </w:r>
            <w:r>
              <w:rPr>
                <w:rFonts w:hint="default" w:ascii="Times New Roman" w:hAnsi="Times New Roman" w:eastAsia="宋体" w:cs="Times New Roman"/>
                <w:color w:val="auto"/>
                <w:lang w:val="en-US" w:eastAsia="zh-CN"/>
              </w:rPr>
              <w:t>委托</w:t>
            </w:r>
            <w:r>
              <w:rPr>
                <w:rFonts w:hint="eastAsia" w:ascii="Times New Roman" w:hAnsi="Times New Roman" w:cs="Times New Roman"/>
                <w:color w:val="auto"/>
                <w:lang w:val="en-US" w:eastAsia="zh-CN"/>
              </w:rPr>
              <w:t>罐车定期清运至莎车县污水处理厂处理</w:t>
            </w:r>
            <w:r>
              <w:rPr>
                <w:rFonts w:hint="default" w:ascii="Times New Roman" w:hAnsi="Times New Roman" w:eastAsia="宋体" w:cs="Times New Roman"/>
                <w:color w:val="auto"/>
                <w:lang w:val="en-US" w:eastAsia="zh-CN"/>
              </w:rPr>
              <w:t>；清淤过程产生的淤泥在临时弃土弃渣场堆放，不得随意弃置，施工结束后尽量用作平整土地、恢复绿化的基土使用，用于改良土壤肥力，不能利用的集中收集后运至</w:t>
            </w:r>
            <w:r>
              <w:rPr>
                <w:rFonts w:hint="eastAsia" w:ascii="Times New Roman" w:hAnsi="Times New Roman" w:cs="Times New Roman"/>
                <w:color w:val="auto"/>
                <w:lang w:val="en-US" w:eastAsia="zh-CN"/>
              </w:rPr>
              <w:t>莎车县城市管理部门指定的建筑垃圾存放点</w:t>
            </w:r>
            <w:r>
              <w:rPr>
                <w:rFonts w:hint="default" w:ascii="Times New Roman" w:hAnsi="Times New Roman" w:eastAsia="宋体" w:cs="Times New Roman"/>
                <w:color w:val="auto"/>
                <w:lang w:val="en-US" w:eastAsia="zh-CN"/>
              </w:rPr>
              <w:t>处理。</w:t>
            </w:r>
          </w:p>
          <w:p w14:paraId="0FE9863E">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（3）施工期大气污染防治措施</w:t>
            </w:r>
          </w:p>
          <w:p w14:paraId="6F4A49DC">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施工期间对环境空气影响最大的是施工扬尘，来源于各种无组织排放源。其中场地清理、土方挖掘填埋、建筑材料运输等工序产生量较大，原材料堆存、建筑结构施工、设备安装等产生量较小或不产生扬尘。由于污染源为扬尘点低的间歇性污染源且施工场地四周建有施工围挡，因此只会在近距离内形成局部污染。</w:t>
            </w:r>
          </w:p>
          <w:p w14:paraId="0FD3EFA2">
            <w:pPr>
              <w:pStyle w:val="96"/>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项目区主导风向为西北风，</w:t>
            </w:r>
            <w:r>
              <w:rPr>
                <w:rFonts w:hint="default" w:ascii="Times New Roman" w:hAnsi="Times New Roman" w:eastAsia="宋体" w:cs="Times New Roman"/>
                <w:color w:val="auto"/>
                <w:highlight w:val="none"/>
              </w:rPr>
              <w:t>当地年平均风速 V=1.</w:t>
            </w:r>
            <w:r>
              <w:rPr>
                <w:rFonts w:hint="default" w:ascii="Times New Roman" w:hAnsi="Times New Roman" w:eastAsia="宋体" w:cs="Times New Roman"/>
                <w:color w:val="auto"/>
                <w:highlight w:val="none"/>
                <w:lang w:val="en-US" w:eastAsia="zh-CN"/>
              </w:rPr>
              <w:t>6</w:t>
            </w:r>
            <w:r>
              <w:rPr>
                <w:rFonts w:hint="default" w:ascii="Times New Roman" w:hAnsi="Times New Roman" w:eastAsia="宋体" w:cs="Times New Roman"/>
                <w:color w:val="auto"/>
                <w:highlight w:val="none"/>
              </w:rPr>
              <w:t>m/s，</w:t>
            </w:r>
            <w:r>
              <w:rPr>
                <w:rFonts w:hint="default" w:ascii="Times New Roman" w:hAnsi="Times New Roman" w:eastAsia="宋体" w:cs="Times New Roman"/>
                <w:color w:val="auto"/>
                <w:szCs w:val="24"/>
                <w:lang w:val="en-US" w:eastAsia="zh-CN"/>
              </w:rPr>
              <w:t>根据</w:t>
            </w:r>
            <w:r>
              <w:rPr>
                <w:rFonts w:hint="default" w:ascii="Times New Roman" w:hAnsi="Times New Roman" w:eastAsia="宋体" w:cs="Times New Roman"/>
                <w:color w:val="auto"/>
                <w:szCs w:val="24"/>
              </w:rPr>
              <w:t>《</w:t>
            </w:r>
            <w:r>
              <w:rPr>
                <w:rFonts w:hint="default" w:ascii="Times New Roman" w:hAnsi="Times New Roman" w:eastAsia="宋体" w:cs="Times New Roman"/>
                <w:color w:val="auto"/>
                <w:szCs w:val="24"/>
                <w:lang w:eastAsia="zh-CN"/>
              </w:rPr>
              <w:t>工业料堆场扬尘整治规范</w:t>
            </w:r>
            <w:r>
              <w:rPr>
                <w:rFonts w:hint="default" w:ascii="Times New Roman" w:hAnsi="Times New Roman" w:eastAsia="宋体" w:cs="Times New Roman"/>
                <w:color w:val="auto"/>
                <w:szCs w:val="24"/>
              </w:rPr>
              <w:t>》</w:t>
            </w:r>
            <w:r>
              <w:rPr>
                <w:rFonts w:hint="default" w:ascii="Times New Roman" w:hAnsi="Times New Roman" w:eastAsia="宋体" w:cs="Times New Roman"/>
                <w:color w:val="auto"/>
                <w:szCs w:val="24"/>
                <w:lang w:eastAsia="zh-CN"/>
              </w:rPr>
              <w:t>（</w:t>
            </w:r>
            <w:r>
              <w:rPr>
                <w:rFonts w:hint="default" w:ascii="Times New Roman" w:hAnsi="Times New Roman" w:eastAsia="宋体" w:cs="Times New Roman"/>
                <w:color w:val="auto"/>
                <w:szCs w:val="24"/>
                <w:lang w:val="en-US" w:eastAsia="zh-CN"/>
              </w:rPr>
              <w:t>DB65/T4061-2017</w:t>
            </w:r>
            <w:r>
              <w:rPr>
                <w:rFonts w:hint="default" w:ascii="Times New Roman" w:hAnsi="Times New Roman" w:eastAsia="宋体" w:cs="Times New Roman"/>
                <w:color w:val="auto"/>
                <w:szCs w:val="24"/>
                <w:lang w:eastAsia="zh-CN"/>
              </w:rPr>
              <w:t>），</w:t>
            </w:r>
            <w:r>
              <w:rPr>
                <w:rFonts w:hint="default" w:ascii="Times New Roman" w:hAnsi="Times New Roman" w:cs="Times New Roman"/>
                <w:color w:val="auto"/>
                <w:szCs w:val="24"/>
                <w:lang w:val="en-US" w:eastAsia="zh-CN"/>
              </w:rPr>
              <w:t>水泥储存属于1类堆场，采用</w:t>
            </w:r>
            <w:r>
              <w:rPr>
                <w:rFonts w:hint="eastAsia" w:ascii="Times New Roman" w:hAnsi="Times New Roman" w:cs="Times New Roman"/>
                <w:color w:val="auto"/>
                <w:szCs w:val="24"/>
                <w:lang w:val="en-US" w:eastAsia="zh-CN"/>
              </w:rPr>
              <w:t>袋装密封</w:t>
            </w:r>
            <w:r>
              <w:rPr>
                <w:rFonts w:hint="default" w:ascii="Times New Roman" w:hAnsi="Times New Roman" w:cs="Times New Roman"/>
                <w:color w:val="auto"/>
                <w:szCs w:val="24"/>
                <w:lang w:val="en-US" w:eastAsia="zh-CN"/>
              </w:rPr>
              <w:t>储存</w:t>
            </w:r>
            <w:r>
              <w:rPr>
                <w:rFonts w:hint="eastAsia" w:ascii="Times New Roman" w:hAnsi="Times New Roman" w:cs="Times New Roman"/>
                <w:color w:val="auto"/>
                <w:szCs w:val="24"/>
                <w:lang w:val="en-US" w:eastAsia="zh-CN"/>
              </w:rPr>
              <w:t>，并采用篷布覆盖</w:t>
            </w:r>
            <w:r>
              <w:rPr>
                <w:rFonts w:hint="default" w:ascii="Times New Roman" w:hAnsi="Times New Roman" w:cs="Times New Roman"/>
                <w:color w:val="auto"/>
                <w:szCs w:val="24"/>
                <w:lang w:val="en-US" w:eastAsia="zh-CN"/>
              </w:rPr>
              <w:t>；</w:t>
            </w:r>
            <w:r>
              <w:rPr>
                <w:rFonts w:hint="default" w:ascii="Times New Roman" w:hAnsi="Times New Roman" w:eastAsia="宋体" w:cs="Times New Roman"/>
                <w:color w:val="auto"/>
                <w:szCs w:val="24"/>
                <w:lang w:val="en-US" w:eastAsia="zh-CN"/>
              </w:rPr>
              <w:t>砂石物料粒径0.5-13mm，属于</w:t>
            </w:r>
            <w:r>
              <w:rPr>
                <w:rFonts w:hint="default" w:ascii="Times New Roman" w:hAnsi="Times New Roman" w:eastAsia="宋体" w:cs="Times New Roman"/>
                <w:color w:val="auto"/>
                <w:szCs w:val="24"/>
                <w:lang w:val="en-US" w:eastAsia="zh-CN"/>
              </w:rPr>
              <w:fldChar w:fldCharType="begin"/>
            </w:r>
            <w:r>
              <w:rPr>
                <w:rFonts w:hint="default" w:ascii="Times New Roman" w:hAnsi="Times New Roman" w:eastAsia="宋体" w:cs="Times New Roman"/>
                <w:color w:val="auto"/>
                <w:szCs w:val="24"/>
                <w:lang w:val="en-US" w:eastAsia="zh-CN"/>
              </w:rPr>
              <w:instrText xml:space="preserve"> = 2 \* ROMAN \* MERGEFORMAT </w:instrText>
            </w:r>
            <w:r>
              <w:rPr>
                <w:rFonts w:hint="default" w:ascii="Times New Roman" w:hAnsi="Times New Roman" w:eastAsia="宋体" w:cs="Times New Roman"/>
                <w:color w:val="auto"/>
                <w:szCs w:val="24"/>
                <w:lang w:val="en-US" w:eastAsia="zh-CN"/>
              </w:rPr>
              <w:fldChar w:fldCharType="separate"/>
            </w:r>
            <w:r>
              <w:rPr>
                <w:rFonts w:hint="default" w:ascii="Times New Roman" w:hAnsi="Times New Roman" w:eastAsia="宋体" w:cs="Times New Roman"/>
                <w:color w:val="auto"/>
                <w:szCs w:val="24"/>
                <w:lang w:val="en-US" w:eastAsia="zh-CN"/>
              </w:rPr>
              <w:t>II</w:t>
            </w:r>
            <w:r>
              <w:rPr>
                <w:rFonts w:hint="default" w:ascii="Times New Roman" w:hAnsi="Times New Roman" w:eastAsia="宋体" w:cs="Times New Roman"/>
                <w:color w:val="auto"/>
                <w:szCs w:val="24"/>
                <w:lang w:val="en-US" w:eastAsia="zh-CN"/>
              </w:rPr>
              <w:fldChar w:fldCharType="end"/>
            </w:r>
            <w:r>
              <w:rPr>
                <w:rFonts w:hint="default" w:ascii="Times New Roman" w:hAnsi="Times New Roman" w:eastAsia="宋体" w:cs="Times New Roman"/>
                <w:color w:val="auto"/>
                <w:szCs w:val="24"/>
                <w:lang w:val="en-US" w:eastAsia="zh-CN"/>
              </w:rPr>
              <w:t>类堆场</w:t>
            </w:r>
            <w:r>
              <w:rPr>
                <w:rFonts w:hint="eastAsia" w:ascii="Times New Roman" w:hAnsi="Times New Roman" w:eastAsia="宋体" w:cs="Times New Roman"/>
                <w:color w:val="auto"/>
                <w:szCs w:val="24"/>
                <w:lang w:val="en-US" w:eastAsia="zh-CN"/>
              </w:rPr>
              <w:t>，</w:t>
            </w:r>
            <w:r>
              <w:rPr>
                <w:rFonts w:hint="eastAsia" w:ascii="Times New Roman" w:hAnsi="Times New Roman" w:cs="Times New Roman"/>
                <w:color w:val="auto"/>
                <w:szCs w:val="24"/>
                <w:lang w:val="en-US" w:eastAsia="zh-CN"/>
              </w:rPr>
              <w:t>采用篷布覆盖，</w:t>
            </w:r>
            <w:r>
              <w:rPr>
                <w:rFonts w:hint="default" w:ascii="Times New Roman" w:hAnsi="Times New Roman" w:cs="Times New Roman"/>
                <w:color w:val="auto"/>
                <w:szCs w:val="24"/>
                <w:lang w:val="en-US" w:eastAsia="zh-CN"/>
              </w:rPr>
              <w:t>并</w:t>
            </w:r>
            <w:r>
              <w:rPr>
                <w:rFonts w:hint="eastAsia" w:ascii="Times New Roman" w:hAnsi="Times New Roman" w:eastAsia="宋体" w:cs="Times New Roman"/>
                <w:color w:val="auto"/>
                <w:szCs w:val="24"/>
                <w:lang w:val="en-US" w:eastAsia="zh-CN"/>
              </w:rPr>
              <w:t>定期洒水</w:t>
            </w:r>
            <w:r>
              <w:rPr>
                <w:rFonts w:hint="default" w:ascii="Times New Roman" w:hAnsi="Times New Roman" w:eastAsia="宋体" w:cs="Times New Roman"/>
                <w:color w:val="auto"/>
                <w:szCs w:val="24"/>
                <w:lang w:val="en-US" w:eastAsia="zh-CN"/>
              </w:rPr>
              <w:t>降尘</w:t>
            </w:r>
            <w:r>
              <w:rPr>
                <w:rFonts w:hint="eastAsia" w:ascii="Times New Roman" w:hAnsi="Times New Roman" w:cs="Times New Roman"/>
                <w:color w:val="auto"/>
                <w:szCs w:val="24"/>
                <w:lang w:val="en-US" w:eastAsia="zh-CN"/>
              </w:rPr>
              <w:t>；</w:t>
            </w:r>
            <w:r>
              <w:rPr>
                <w:rFonts w:hint="default" w:ascii="Times New Roman" w:hAnsi="Times New Roman" w:cs="Times New Roman"/>
                <w:color w:val="auto"/>
                <w:szCs w:val="24"/>
                <w:lang w:val="en-US" w:eastAsia="zh-CN"/>
              </w:rPr>
              <w:t>符合</w:t>
            </w:r>
            <w:r>
              <w:rPr>
                <w:rFonts w:hint="default" w:ascii="Times New Roman" w:hAnsi="Times New Roman" w:eastAsia="宋体" w:cs="Times New Roman"/>
                <w:color w:val="auto"/>
                <w:szCs w:val="24"/>
              </w:rPr>
              <w:t>《</w:t>
            </w:r>
            <w:r>
              <w:rPr>
                <w:rFonts w:hint="default" w:ascii="Times New Roman" w:hAnsi="Times New Roman" w:eastAsia="宋体" w:cs="Times New Roman"/>
                <w:color w:val="auto"/>
                <w:szCs w:val="24"/>
                <w:lang w:eastAsia="zh-CN"/>
              </w:rPr>
              <w:t>工业料堆场扬尘整治规范</w:t>
            </w:r>
            <w:r>
              <w:rPr>
                <w:rFonts w:hint="default" w:ascii="Times New Roman" w:hAnsi="Times New Roman" w:eastAsia="宋体" w:cs="Times New Roman"/>
                <w:color w:val="auto"/>
                <w:szCs w:val="24"/>
              </w:rPr>
              <w:t>》</w:t>
            </w:r>
            <w:r>
              <w:rPr>
                <w:rFonts w:hint="default" w:ascii="Times New Roman" w:hAnsi="Times New Roman" w:eastAsia="宋体" w:cs="Times New Roman"/>
                <w:color w:val="auto"/>
                <w:szCs w:val="24"/>
                <w:lang w:eastAsia="zh-CN"/>
              </w:rPr>
              <w:t>（</w:t>
            </w:r>
            <w:r>
              <w:rPr>
                <w:rFonts w:hint="default" w:ascii="Times New Roman" w:hAnsi="Times New Roman" w:eastAsia="宋体" w:cs="Times New Roman"/>
                <w:color w:val="auto"/>
                <w:szCs w:val="24"/>
                <w:lang w:val="en-US" w:eastAsia="zh-CN"/>
              </w:rPr>
              <w:t>DB65/T4061-2017</w:t>
            </w:r>
            <w:r>
              <w:rPr>
                <w:rFonts w:hint="default" w:ascii="Times New Roman" w:hAnsi="Times New Roman" w:eastAsia="宋体" w:cs="Times New Roman"/>
                <w:color w:val="auto"/>
                <w:szCs w:val="24"/>
                <w:lang w:eastAsia="zh-CN"/>
              </w:rPr>
              <w:t>）</w:t>
            </w:r>
            <w:r>
              <w:rPr>
                <w:rFonts w:hint="default" w:ascii="Times New Roman" w:hAnsi="Times New Roman" w:cs="Times New Roman"/>
                <w:color w:val="auto"/>
                <w:szCs w:val="24"/>
                <w:lang w:val="en-US" w:eastAsia="zh-CN"/>
              </w:rPr>
              <w:t>中各类工业料堆场防尘要求。</w:t>
            </w:r>
          </w:p>
          <w:p w14:paraId="259C73F5">
            <w:pPr>
              <w:autoSpaceDE w:val="0"/>
              <w:autoSpaceDN w:val="0"/>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同时根据《</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"https://baike.baidu.com/item/%E6%96%B0%E7%96%86%E7%BB%B4%E5%90%BE%E5%B0%94%E8%87%AA%E6%B2%BB%E5%8C%BA/906636?fromModule=lemma_inlink" \t "https://baike.baidu.com/item/%E6%96%B0%E7%96%86%E7%BB%B4%E5%90%BE%E5%B0%94%E8%87%AA%E6%B2%BB%E5%8C%BA%E5%A4%A7%E6%B0%94%E6%B1%A1%E6%9F%93%E9%98%B2%E6%B2%BB%E6%9D%A1%E4%BE%8B/_blank"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新疆维吾尔自治区</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大气污染防治条例</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房屋建筑、市政基础设施建设等可能产生扬尘污染活动的施工现场，施工单位应当采取下列防尘措施</w:t>
            </w:r>
            <w:r>
              <w:rPr>
                <w:rFonts w:hint="default" w:ascii="Times New Roman" w:hAnsi="Times New Roman" w:eastAsia="宋体" w:cs="Times New Roman"/>
                <w:color w:val="auto"/>
                <w:sz w:val="24"/>
                <w:szCs w:val="24"/>
                <w:highlight w:val="none"/>
                <w:lang w:eastAsia="zh-CN"/>
              </w:rPr>
              <w:t>：</w:t>
            </w:r>
          </w:p>
          <w:p w14:paraId="3F03BCCF">
            <w:pPr>
              <w:autoSpaceDE w:val="0"/>
              <w:autoSpaceDN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1）临近居民区和途经耕地段，按照标准在施工现场周边设置围挡，并对围挡进行维护；</w:t>
            </w:r>
          </w:p>
          <w:p w14:paraId="50BF8BCB">
            <w:pPr>
              <w:autoSpaceDE w:val="0"/>
              <w:autoSpaceDN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2）在施工现场出入口公示施工现场负责人、环保监督员、扬尘污染主要控制措施、举报电话等信息；</w:t>
            </w:r>
          </w:p>
          <w:p w14:paraId="116FFA73">
            <w:pPr>
              <w:autoSpaceDE w:val="0"/>
              <w:autoSpaceDN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lang w:val="en-US" w:eastAsia="zh-CN"/>
              </w:rPr>
              <w:t>3）对施工现场内主要道路和物料堆放场地进</w:t>
            </w:r>
            <w:r>
              <w:rPr>
                <w:rFonts w:hint="default" w:ascii="Times New Roman" w:hAnsi="Times New Roman" w:eastAsia="宋体" w:cs="Times New Roman"/>
                <w:color w:val="auto"/>
                <w:sz w:val="24"/>
                <w:highlight w:val="none"/>
                <w:lang w:val="en-US" w:eastAsia="zh-CN"/>
              </w:rPr>
              <w:t>行硬化，对其他裸露场地进行覆盖或者临时绿化，对土方进行集中堆放，并采取覆盖或者密闭等措施；</w:t>
            </w:r>
          </w:p>
          <w:p w14:paraId="7FCA1D2D">
            <w:pPr>
              <w:autoSpaceDE w:val="0"/>
              <w:autoSpaceDN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4）施工现场出口处应当设置车辆冲洗设施，施工车辆冲洗干净后方可上路行驶；</w:t>
            </w:r>
          </w:p>
          <w:p w14:paraId="035EDA5D">
            <w:pPr>
              <w:autoSpaceDE w:val="0"/>
              <w:autoSpaceDN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5）道路挖掘施工过程中，及时覆盖破损路面，并采取洒水等措施防治扬尘污染；道路挖掘施工完成后应当及时修复路面；临时便道应当进行硬化处理，并定时洒水；</w:t>
            </w:r>
          </w:p>
          <w:p w14:paraId="336902A0">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sz w:val="24"/>
                <w:highlight w:val="none"/>
                <w:lang w:val="en-US" w:eastAsia="zh-CN"/>
              </w:rPr>
              <w:t>6）及时对施工现场进行清理和平整，不得从高处向下倾倒或者抛洒各类物料和建筑垃圾。</w:t>
            </w:r>
          </w:p>
          <w:p w14:paraId="4F63C610">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土方工程防尘措施：土方工程包括土的开挖、堆放、回填、运输等施工过程，有时还需进行排水、降水、土壁支撑等准备工作。遇到干燥、易起尘的土方工程作业时，必须洒水压尘，尽量缩短起尘操作时间。遇到四级或四级以上大风天气，应停止土方作业，同时作业处覆以防尘网。</w:t>
            </w:r>
          </w:p>
          <w:p w14:paraId="7D1B7420">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建筑材料的防尘管理措施：减少水泥、石灰、砂石等散装物料存放量，减少扬尘和避免混凝土搅拌粉尘产生；</w:t>
            </w:r>
            <w:r>
              <w:rPr>
                <w:rFonts w:hint="default" w:ascii="Times New Roman" w:hAnsi="Times New Roman" w:eastAsia="宋体" w:cs="Times New Roman"/>
                <w:color w:val="auto"/>
                <w:lang w:eastAsia="zh-CN"/>
              </w:rPr>
              <w:t>料场四周设置围挡防风阻尘，堆垛配备篷布遮盖并定期洒水保持湿润，</w:t>
            </w:r>
            <w:r>
              <w:rPr>
                <w:rFonts w:hint="default" w:ascii="Times New Roman" w:hAnsi="Times New Roman" w:eastAsia="宋体" w:cs="Times New Roman"/>
                <w:color w:val="auto"/>
              </w:rPr>
              <w:t>有效减少原料堆存过程扬尘排放。</w:t>
            </w:r>
          </w:p>
          <w:p w14:paraId="357CA672">
            <w:pPr>
              <w:pStyle w:val="113"/>
              <w:ind w:firstLine="480"/>
              <w:rPr>
                <w:rFonts w:hint="default" w:ascii="Times New Roman" w:hAnsi="Times New Roman" w:eastAsia="宋体" w:cs="Times New Roman"/>
                <w:color w:val="auto"/>
                <w:kern w:val="0"/>
              </w:rPr>
            </w:pPr>
            <w:r>
              <w:rPr>
                <w:rFonts w:hint="default" w:ascii="Times New Roman" w:hAnsi="Times New Roman" w:eastAsia="宋体" w:cs="Times New Roman"/>
                <w:color w:val="auto"/>
              </w:rPr>
              <w:t>建筑垃圾的防尘管理措施：施工工程中产生的弃土、弃料及其他建筑垃圾，应及时清运。</w:t>
            </w:r>
          </w:p>
          <w:p w14:paraId="27437DE8">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弃土弃渣临时储存地点：评价要求土方临时储存地点位于</w:t>
            </w:r>
            <w:r>
              <w:rPr>
                <w:rFonts w:hint="default" w:ascii="Times New Roman" w:hAnsi="Times New Roman" w:eastAsia="宋体" w:cs="Times New Roman"/>
                <w:color w:val="auto"/>
                <w:lang w:eastAsia="zh-CN"/>
              </w:rPr>
              <w:t>渠道</w:t>
            </w:r>
            <w:r>
              <w:rPr>
                <w:rFonts w:hint="default" w:ascii="Times New Roman" w:hAnsi="Times New Roman" w:eastAsia="宋体" w:cs="Times New Roman"/>
                <w:color w:val="auto"/>
              </w:rPr>
              <w:t>建设区中部，远离场地周边的村庄。</w:t>
            </w:r>
          </w:p>
          <w:p w14:paraId="2945C11B">
            <w:pPr>
              <w:pStyle w:val="113"/>
              <w:ind w:firstLine="480"/>
              <w:rPr>
                <w:rFonts w:hint="default" w:ascii="Times New Roman" w:hAnsi="Times New Roman" w:eastAsia="宋体" w:cs="Times New Roman"/>
                <w:color w:val="auto"/>
              </w:rPr>
            </w:pPr>
            <w:r>
              <w:rPr>
                <w:rFonts w:hint="eastAsia" w:ascii="Times New Roman" w:hAnsi="Times New Roman" w:cs="Times New Roman"/>
                <w:color w:val="auto"/>
                <w:spacing w:val="1"/>
                <w:sz w:val="24"/>
                <w:szCs w:val="24"/>
                <w:lang w:eastAsia="zh-CN"/>
              </w:rPr>
              <w:t>拌和站</w:t>
            </w:r>
            <w:r>
              <w:rPr>
                <w:rFonts w:hint="default" w:ascii="Times New Roman" w:hAnsi="Times New Roman" w:eastAsia="宋体" w:cs="Times New Roman"/>
                <w:color w:val="auto"/>
                <w:spacing w:val="1"/>
                <w:sz w:val="24"/>
                <w:szCs w:val="24"/>
              </w:rPr>
              <w:t>水泥等易飞扬的物料</w:t>
            </w:r>
            <w:r>
              <w:rPr>
                <w:rFonts w:hint="default" w:ascii="Times New Roman" w:hAnsi="Times New Roman" w:eastAsia="宋体" w:cs="Times New Roman"/>
                <w:color w:val="auto"/>
                <w:sz w:val="24"/>
                <w:szCs w:val="24"/>
              </w:rPr>
              <w:t>运输时用</w:t>
            </w:r>
            <w:r>
              <w:rPr>
                <w:rFonts w:hint="eastAsia" w:ascii="Times New Roman" w:hAnsi="Times New Roman" w:cs="Times New Roman"/>
                <w:color w:val="auto"/>
                <w:sz w:val="24"/>
                <w:szCs w:val="24"/>
                <w:lang w:eastAsia="zh-CN"/>
              </w:rPr>
              <w:t>篷布</w:t>
            </w:r>
            <w:r>
              <w:rPr>
                <w:rFonts w:hint="default" w:ascii="Times New Roman" w:hAnsi="Times New Roman" w:eastAsia="宋体" w:cs="Times New Roman"/>
                <w:color w:val="auto"/>
                <w:sz w:val="24"/>
                <w:szCs w:val="24"/>
              </w:rPr>
              <w:t>覆盖严</w:t>
            </w:r>
            <w:r>
              <w:rPr>
                <w:rFonts w:hint="default" w:ascii="Times New Roman" w:hAnsi="Times New Roman" w:eastAsia="宋体" w:cs="Times New Roman"/>
                <w:color w:val="auto"/>
                <w:spacing w:val="1"/>
                <w:sz w:val="24"/>
                <w:szCs w:val="24"/>
              </w:rPr>
              <w:t>密，并装量适中，不得超限。</w:t>
            </w:r>
          </w:p>
          <w:p w14:paraId="704ED333">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①多尘物料应使用帆布覆盖，采用封闭的运输车或经过改造的可以封闭的运输车进行运输。</w:t>
            </w:r>
          </w:p>
          <w:p w14:paraId="13FA729F">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②对于地基处理时的挖方、填方及剩余方的暂存场，在大风天气极易产生扬尘，评价要求将临时处置、堆放点设在施工场地内，严禁超界；对暂存场进行洒水抑尘，同时对物料进行覆盖；采取防尘布苫盖。</w:t>
            </w:r>
          </w:p>
          <w:p w14:paraId="333E600D">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③合理化施工</w:t>
            </w:r>
            <w:r>
              <w:rPr>
                <w:rFonts w:hint="default" w:ascii="Times New Roman" w:hAnsi="Times New Roman" w:eastAsia="宋体" w:cs="Times New Roman"/>
                <w:color w:val="auto"/>
                <w:lang w:eastAsia="zh-CN"/>
              </w:rPr>
              <w:t>场地</w:t>
            </w:r>
            <w:r>
              <w:rPr>
                <w:rFonts w:hint="default" w:ascii="Times New Roman" w:hAnsi="Times New Roman" w:eastAsia="宋体" w:cs="Times New Roman"/>
                <w:color w:val="auto"/>
              </w:rPr>
              <w:t>平面布置。建设单位建设前应合理布置施工场地平面图，物料堆场、砂石料</w:t>
            </w:r>
            <w:r>
              <w:rPr>
                <w:rFonts w:hint="default" w:ascii="Times New Roman" w:hAnsi="Times New Roman" w:eastAsia="宋体" w:cs="Times New Roman"/>
                <w:color w:val="auto"/>
                <w:lang w:eastAsia="zh-CN"/>
              </w:rPr>
              <w:t>拌和</w:t>
            </w:r>
            <w:r>
              <w:rPr>
                <w:rFonts w:hint="default" w:ascii="Times New Roman" w:hAnsi="Times New Roman" w:eastAsia="宋体" w:cs="Times New Roman"/>
                <w:color w:val="auto"/>
              </w:rPr>
              <w:t>场、临时土方堆存地应尽量远离居民点，并且对其进行遮盖防尘布等措施。</w:t>
            </w:r>
          </w:p>
          <w:p w14:paraId="5275D8BE">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（4）施工期噪声污染防治措施</w:t>
            </w:r>
          </w:p>
          <w:p w14:paraId="79E535A9">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项目施工临近</w:t>
            </w:r>
            <w:r>
              <w:rPr>
                <w:rFonts w:hint="eastAsia" w:ascii="Times New Roman" w:hAnsi="Times New Roman" w:cs="Times New Roman"/>
                <w:color w:val="auto"/>
                <w:sz w:val="24"/>
                <w:lang w:val="en-US" w:eastAsia="zh-CN"/>
              </w:rPr>
              <w:t>阿热塔什村</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项目施工方应</w:t>
            </w:r>
            <w:r>
              <w:rPr>
                <w:rFonts w:hint="default" w:ascii="Times New Roman" w:hAnsi="Times New Roman" w:eastAsia="宋体" w:cs="Times New Roman"/>
                <w:color w:val="auto"/>
                <w:sz w:val="24"/>
              </w:rPr>
              <w:t>合理安排施工时间，禁止夜间进行土石方工程和混凝土浇筑等施工。项目施工时要</w:t>
            </w:r>
            <w:r>
              <w:rPr>
                <w:rFonts w:hint="default" w:ascii="Times New Roman" w:hAnsi="Times New Roman" w:eastAsia="宋体" w:cs="Times New Roman"/>
                <w:color w:val="auto"/>
                <w:sz w:val="24"/>
                <w:lang w:val="en-US" w:eastAsia="zh-CN"/>
              </w:rPr>
              <w:t>提前告知受影响村民并</w:t>
            </w:r>
            <w:r>
              <w:rPr>
                <w:rFonts w:hint="default" w:ascii="Times New Roman" w:hAnsi="Times New Roman" w:eastAsia="宋体" w:cs="Times New Roman"/>
                <w:color w:val="auto"/>
                <w:sz w:val="24"/>
              </w:rPr>
              <w:t>做好噪声</w:t>
            </w:r>
            <w:r>
              <w:rPr>
                <w:rFonts w:hint="eastAsia" w:ascii="Times New Roman" w:hAnsi="Times New Roman" w:cs="Times New Roman"/>
                <w:color w:val="auto"/>
                <w:sz w:val="24"/>
                <w:lang w:val="en-US" w:eastAsia="zh-CN"/>
              </w:rPr>
              <w:t>隔声</w:t>
            </w:r>
            <w:r>
              <w:rPr>
                <w:rFonts w:hint="default" w:ascii="Times New Roman" w:hAnsi="Times New Roman" w:eastAsia="宋体" w:cs="Times New Roman"/>
                <w:color w:val="auto"/>
                <w:sz w:val="24"/>
              </w:rPr>
              <w:t>防护，</w:t>
            </w:r>
            <w:r>
              <w:rPr>
                <w:rFonts w:hint="eastAsia" w:ascii="Times New Roman" w:hAnsi="Times New Roman" w:cs="Times New Roman"/>
                <w:color w:val="auto"/>
                <w:sz w:val="24"/>
                <w:lang w:val="en-US" w:eastAsia="zh-CN"/>
              </w:rPr>
              <w:t>本项目</w:t>
            </w:r>
            <w:r>
              <w:rPr>
                <w:rFonts w:hint="eastAsia" w:ascii="Times New Roman" w:hAnsi="Times New Roman" w:eastAsia="宋体" w:cs="Times New Roman"/>
                <w:color w:val="auto"/>
                <w:sz w:val="24"/>
                <w:lang w:val="en-US" w:eastAsia="zh-CN"/>
              </w:rPr>
              <w:t>选用低噪声设备，并定期维护，使其良好运转，</w:t>
            </w:r>
            <w:r>
              <w:rPr>
                <w:rFonts w:hint="eastAsia" w:ascii="Times New Roman" w:hAnsi="Times New Roman" w:cs="Times New Roman"/>
                <w:color w:val="auto"/>
                <w:sz w:val="24"/>
                <w:lang w:val="en-US" w:eastAsia="zh-CN"/>
              </w:rPr>
              <w:t>施工作业区高噪设备搅拌机等</w:t>
            </w:r>
            <w:r>
              <w:rPr>
                <w:rFonts w:hint="default" w:ascii="Times New Roman" w:hAnsi="Times New Roman" w:eastAsia="宋体" w:cs="Times New Roman"/>
                <w:color w:val="auto"/>
                <w:sz w:val="24"/>
                <w:lang w:val="en-US" w:eastAsia="zh-CN"/>
              </w:rPr>
              <w:t>布置在远离敏感点一侧，</w:t>
            </w:r>
            <w:r>
              <w:rPr>
                <w:rFonts w:hint="eastAsia" w:ascii="Times New Roman" w:hAnsi="Times New Roman" w:eastAsia="宋体" w:cs="Times New Roman"/>
                <w:color w:val="auto"/>
                <w:sz w:val="24"/>
                <w:lang w:val="en-US" w:eastAsia="zh-CN"/>
              </w:rPr>
              <w:t>同时运输车辆经过村庄时，低速并禁止鸣笛。</w:t>
            </w:r>
            <w:r>
              <w:rPr>
                <w:rFonts w:hint="default" w:ascii="Times New Roman" w:hAnsi="Times New Roman" w:eastAsia="宋体" w:cs="Times New Roman"/>
                <w:color w:val="auto"/>
                <w:sz w:val="24"/>
              </w:rPr>
              <w:t>采取降</w:t>
            </w:r>
            <w:r>
              <w:rPr>
                <w:rFonts w:hint="eastAsia" w:ascii="Times New Roman" w:hAnsi="Times New Roman" w:cs="Times New Roman"/>
                <w:color w:val="auto"/>
                <w:sz w:val="24"/>
                <w:lang w:val="en-US" w:eastAsia="zh-CN"/>
              </w:rPr>
              <w:t>以上</w:t>
            </w:r>
            <w:r>
              <w:rPr>
                <w:rFonts w:hint="default" w:ascii="Times New Roman" w:hAnsi="Times New Roman" w:eastAsia="宋体" w:cs="Times New Roman"/>
                <w:color w:val="auto"/>
                <w:sz w:val="24"/>
              </w:rPr>
              <w:t>噪措施后，施工期噪声对周围敏感目标影响</w:t>
            </w:r>
            <w:r>
              <w:rPr>
                <w:rFonts w:hint="default" w:ascii="Times New Roman" w:hAnsi="Times New Roman" w:eastAsia="宋体" w:cs="Times New Roman"/>
                <w:color w:val="auto"/>
                <w:sz w:val="24"/>
                <w:lang w:val="en-US" w:eastAsia="zh-CN"/>
              </w:rPr>
              <w:t>可以接受</w:t>
            </w:r>
            <w:r>
              <w:rPr>
                <w:rFonts w:hint="default" w:ascii="Times New Roman" w:hAnsi="Times New Roman" w:eastAsia="宋体" w:cs="Times New Roman"/>
                <w:color w:val="auto"/>
                <w:sz w:val="24"/>
              </w:rPr>
              <w:t>。</w:t>
            </w:r>
          </w:p>
          <w:p w14:paraId="54616744">
            <w:pPr>
              <w:pStyle w:val="113"/>
              <w:ind w:firstLine="480"/>
              <w:rPr>
                <w:rFonts w:hint="default" w:ascii="Times New Roman" w:hAnsi="Times New Roman" w:eastAsia="宋体" w:cs="Times New Roman"/>
                <w:color w:val="0000C7"/>
              </w:rPr>
            </w:pPr>
            <w:r>
              <w:rPr>
                <w:rFonts w:hint="default" w:ascii="Times New Roman" w:hAnsi="Times New Roman" w:eastAsia="宋体" w:cs="Times New Roman"/>
                <w:color w:val="0000C7"/>
              </w:rPr>
              <w:t>根据新疆维吾尔自治区环境保护条例（修订本）中规定，在居民村附近施工段，零时至八时</w:t>
            </w:r>
            <w:r>
              <w:rPr>
                <w:rFonts w:hint="default" w:ascii="Times New Roman" w:hAnsi="Times New Roman" w:eastAsia="宋体" w:cs="Times New Roman"/>
                <w:color w:val="0000C7"/>
                <w:lang w:eastAsia="zh-CN"/>
              </w:rPr>
              <w:t>（</w:t>
            </w:r>
            <w:r>
              <w:rPr>
                <w:rFonts w:hint="default" w:ascii="Times New Roman" w:hAnsi="Times New Roman" w:eastAsia="宋体" w:cs="Times New Roman"/>
                <w:color w:val="0000C7"/>
              </w:rPr>
              <w:t>北京时间</w:t>
            </w:r>
            <w:r>
              <w:rPr>
                <w:rFonts w:hint="default" w:ascii="Times New Roman" w:hAnsi="Times New Roman" w:eastAsia="宋体" w:cs="Times New Roman"/>
                <w:color w:val="0000C7"/>
                <w:lang w:eastAsia="zh-CN"/>
              </w:rPr>
              <w:t>）</w:t>
            </w:r>
            <w:r>
              <w:rPr>
                <w:rFonts w:hint="default" w:ascii="Times New Roman" w:hAnsi="Times New Roman" w:eastAsia="宋体" w:cs="Times New Roman"/>
                <w:color w:val="0000C7"/>
              </w:rPr>
              <w:t>不得进行产生噪声污染的建筑施工作业；因抢险、抢修作业和生产工艺要求或者特殊需要必须连续作业的，应当报经所在地县</w:t>
            </w:r>
            <w:r>
              <w:rPr>
                <w:rFonts w:hint="default" w:ascii="Times New Roman" w:hAnsi="Times New Roman" w:eastAsia="宋体" w:cs="Times New Roman"/>
                <w:color w:val="0000C7"/>
                <w:lang w:eastAsia="zh-CN"/>
              </w:rPr>
              <w:t>（</w:t>
            </w:r>
            <w:r>
              <w:rPr>
                <w:rFonts w:hint="default" w:ascii="Times New Roman" w:hAnsi="Times New Roman" w:eastAsia="宋体" w:cs="Times New Roman"/>
                <w:color w:val="0000C7"/>
              </w:rPr>
              <w:t>市</w:t>
            </w:r>
            <w:r>
              <w:rPr>
                <w:rFonts w:hint="default" w:ascii="Times New Roman" w:hAnsi="Times New Roman" w:eastAsia="宋体" w:cs="Times New Roman"/>
                <w:color w:val="0000C7"/>
                <w:lang w:eastAsia="zh-CN"/>
              </w:rPr>
              <w:t>）</w:t>
            </w:r>
            <w:r>
              <w:rPr>
                <w:rFonts w:hint="default" w:ascii="Times New Roman" w:hAnsi="Times New Roman" w:eastAsia="宋体" w:cs="Times New Roman"/>
                <w:color w:val="0000C7"/>
              </w:rPr>
              <w:t>人民政府环境保护行政主管部门批准，并在一定范围内予以公告。</w:t>
            </w:r>
          </w:p>
          <w:p w14:paraId="3FE51270">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根据</w:t>
            </w:r>
            <w:r>
              <w:rPr>
                <w:rFonts w:hint="eastAsia" w:ascii="Times New Roman" w:hAnsi="Times New Roman" w:cs="Times New Roman"/>
                <w:color w:val="auto"/>
                <w:lang w:val="en-US" w:eastAsia="zh-CN"/>
              </w:rPr>
              <w:t>噪声</w:t>
            </w:r>
            <w:r>
              <w:rPr>
                <w:rFonts w:hint="default" w:ascii="Times New Roman" w:hAnsi="Times New Roman" w:eastAsia="宋体" w:cs="Times New Roman"/>
                <w:color w:val="auto"/>
              </w:rPr>
              <w:t>预测值，施工机械噪声衰减至50m噪声值＜55d（B）A，项目施工时要做好噪声防护，施工期噪声对周围敏感目标影响不大。同时对高噪声设备附近的现场施工人员采取必要的劳动保护措施，以减轻施工噪声对人员的影响。</w:t>
            </w:r>
          </w:p>
          <w:p w14:paraId="1866BA3F">
            <w:pPr>
              <w:pStyle w:val="113"/>
              <w:numPr>
                <w:ilvl w:val="0"/>
                <w:numId w:val="4"/>
              </w:numPr>
              <w:ind w:firstLine="482"/>
              <w:rPr>
                <w:rFonts w:hint="default" w:ascii="Times New Roman" w:hAnsi="Times New Roman" w:eastAsia="宋体" w:cs="Times New Roman"/>
                <w:b/>
                <w:color w:val="auto"/>
              </w:rPr>
            </w:pPr>
            <w:r>
              <w:rPr>
                <w:rFonts w:hint="default" w:ascii="Times New Roman" w:hAnsi="Times New Roman" w:eastAsia="宋体" w:cs="Times New Roman"/>
                <w:b/>
                <w:color w:val="auto"/>
              </w:rPr>
              <w:t>施工期生态环境保护措施</w:t>
            </w:r>
          </w:p>
          <w:p w14:paraId="4696654D">
            <w:pPr>
              <w:pStyle w:val="113"/>
              <w:ind w:firstLine="480"/>
              <w:rPr>
                <w:rFonts w:hint="default" w:ascii="Times New Roman" w:hAnsi="Times New Roman" w:eastAsia="宋体" w:cs="Times New Roman"/>
                <w:color w:val="auto"/>
                <w:lang w:val="en-US"/>
              </w:rPr>
            </w:pPr>
            <w:r>
              <w:rPr>
                <w:rFonts w:hint="default" w:ascii="Times New Roman" w:hAnsi="Times New Roman" w:eastAsia="宋体" w:cs="Times New Roman"/>
                <w:color w:val="auto"/>
                <w:sz w:val="24"/>
                <w:szCs w:val="24"/>
                <w:lang w:val="en-US" w:eastAsia="zh-CN"/>
              </w:rPr>
              <w:t>本项目在原渠道范围进行改建</w:t>
            </w:r>
            <w:r>
              <w:rPr>
                <w:rFonts w:hint="default" w:ascii="Times New Roman" w:hAnsi="Times New Roman" w:eastAsia="宋体" w:cs="Times New Roman"/>
                <w:color w:val="auto"/>
                <w:sz w:val="24"/>
                <w:lang w:val="en-US" w:eastAsia="zh-CN"/>
              </w:rPr>
              <w:t>，施工过程</w:t>
            </w:r>
            <w:r>
              <w:rPr>
                <w:rFonts w:hint="default" w:ascii="Times New Roman" w:hAnsi="Times New Roman" w:eastAsia="宋体" w:cs="Times New Roman"/>
                <w:color w:val="auto"/>
                <w:sz w:val="24"/>
              </w:rPr>
              <w:t>会</w:t>
            </w:r>
            <w:r>
              <w:rPr>
                <w:rFonts w:hint="default" w:ascii="Times New Roman" w:hAnsi="Times New Roman" w:eastAsia="宋体" w:cs="Times New Roman"/>
                <w:color w:val="auto"/>
                <w:sz w:val="24"/>
                <w:lang w:val="en-US" w:eastAsia="zh-CN"/>
              </w:rPr>
              <w:t>造成</w:t>
            </w:r>
            <w:r>
              <w:rPr>
                <w:rFonts w:hint="default" w:ascii="Times New Roman" w:hAnsi="Times New Roman" w:eastAsia="宋体" w:cs="Times New Roman"/>
                <w:color w:val="auto"/>
                <w:sz w:val="24"/>
              </w:rPr>
              <w:t>占地范围内</w:t>
            </w:r>
            <w:r>
              <w:rPr>
                <w:rFonts w:hint="default" w:ascii="Times New Roman" w:hAnsi="Times New Roman" w:eastAsia="宋体" w:cs="Times New Roman"/>
                <w:color w:val="auto"/>
                <w:sz w:val="24"/>
                <w:lang w:val="en-US" w:eastAsia="zh-CN"/>
              </w:rPr>
              <w:t>杂草、灌木等</w:t>
            </w:r>
            <w:r>
              <w:rPr>
                <w:rFonts w:hint="default" w:ascii="Times New Roman" w:hAnsi="Times New Roman" w:eastAsia="宋体" w:cs="Times New Roman"/>
                <w:color w:val="auto"/>
                <w:sz w:val="24"/>
              </w:rPr>
              <w:t>地表植被</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在一定程度上将导致施工场地地表裸露，降低项目区域的植被覆盖率，遇到雨季则会引起水土流失。</w:t>
            </w:r>
            <w:r>
              <w:rPr>
                <w:rFonts w:hint="default" w:ascii="Times New Roman" w:hAnsi="Times New Roman" w:eastAsia="宋体" w:cs="Times New Roman"/>
                <w:color w:val="auto"/>
                <w:lang w:val="en-US" w:eastAsia="zh-CN"/>
              </w:rPr>
              <w:t>具体生态措施如下。</w:t>
            </w:r>
          </w:p>
          <w:p w14:paraId="424209C0">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w:t>
            </w:r>
            <w:r>
              <w:rPr>
                <w:rFonts w:hint="default" w:ascii="Times New Roman" w:hAnsi="Times New Roman" w:eastAsia="宋体" w:cs="Times New Roman"/>
                <w:color w:val="auto"/>
                <w:sz w:val="24"/>
                <w:lang w:val="en-US" w:eastAsia="zh-CN"/>
              </w:rPr>
              <w:t>严格控制施工生产区、施工营地等大临工程施工作业范围；</w:t>
            </w:r>
            <w:r>
              <w:rPr>
                <w:rFonts w:hint="default" w:ascii="Times New Roman" w:hAnsi="Times New Roman" w:eastAsia="宋体" w:cs="Times New Roman"/>
                <w:color w:val="auto"/>
                <w:sz w:val="24"/>
              </w:rPr>
              <w:t>施工方在工程开挖之前将开挖区域内的表土单独剥离堆放</w:t>
            </w:r>
            <w:r>
              <w:rPr>
                <w:rFonts w:hint="default" w:ascii="Times New Roman" w:hAnsi="Times New Roman" w:eastAsia="宋体" w:cs="Times New Roman"/>
                <w:color w:val="auto"/>
                <w:sz w:val="24"/>
                <w:lang w:val="en-US" w:eastAsia="zh-CN"/>
              </w:rPr>
              <w:t>；在施</w:t>
            </w:r>
            <w:r>
              <w:rPr>
                <w:rFonts w:hint="default" w:ascii="Times New Roman" w:hAnsi="Times New Roman" w:eastAsia="宋体" w:cs="Times New Roman"/>
                <w:color w:val="auto"/>
                <w:sz w:val="24"/>
              </w:rPr>
              <w:t>工结束后将剥离的表土覆于施工迹地对其进行植被恢复及绿化，做到边使用，边平整，边绿化。</w:t>
            </w:r>
            <w:r>
              <w:rPr>
                <w:rFonts w:hint="default" w:ascii="Times New Roman" w:hAnsi="Times New Roman" w:eastAsia="宋体" w:cs="Times New Roman"/>
                <w:color w:val="auto"/>
                <w:sz w:val="24"/>
                <w:lang w:val="en-US" w:eastAsia="zh-CN"/>
              </w:rPr>
              <w:t>施工临时占地避开草地、林地和耕地，利用裸地或空闲地。</w:t>
            </w:r>
            <w:r>
              <w:rPr>
                <w:rFonts w:hint="default" w:ascii="Times New Roman" w:hAnsi="Times New Roman" w:eastAsia="宋体" w:cs="Times New Roman"/>
                <w:color w:val="auto"/>
                <w:sz w:val="24"/>
              </w:rPr>
              <w:t>因施工活动区域面积较小，其植被局部空间分布改变较小，绿地调控环境质量的能力也不会有太大的改变。随着施工活动结束，场地迹地平整、回填等，区域植被通过自然恢复和人工恢复相结合的方式，来改变工程开发前区域植被结构单一的状况，使施工区域生态环境向有利的方向发展。因此，施工活动对评价区内陆生植物的直接影响较小，且可通过植物恢复措施将影响减小到最低程度。</w:t>
            </w:r>
          </w:p>
          <w:p w14:paraId="5AB98865">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w:t>
            </w:r>
            <w:r>
              <w:rPr>
                <w:rFonts w:hint="default" w:ascii="Times New Roman" w:hAnsi="Times New Roman" w:eastAsia="宋体" w:cs="Times New Roman"/>
                <w:color w:val="auto"/>
                <w:lang w:eastAsia="zh-CN"/>
              </w:rPr>
              <w:t>水土流失防治</w:t>
            </w:r>
            <w:r>
              <w:rPr>
                <w:rFonts w:hint="default" w:ascii="Times New Roman" w:hAnsi="Times New Roman" w:eastAsia="宋体" w:cs="Times New Roman"/>
                <w:color w:val="auto"/>
              </w:rPr>
              <w:t>措施</w:t>
            </w:r>
          </w:p>
          <w:p w14:paraId="4BA07D92">
            <w:pPr>
              <w:pStyle w:val="113"/>
              <w:ind w:firstLine="48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莎车县是自治区水土流失重点治理区，为环境敏感区，施工期应严格按照水行政主管部门批准的水土保持报告中的方案要求实施，具体措施如下。</w:t>
            </w:r>
          </w:p>
          <w:p w14:paraId="60E2C34C">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1）渠堤项目区水土保持措施</w:t>
            </w:r>
          </w:p>
          <w:p w14:paraId="45A4FB21">
            <w:pPr>
              <w:pStyle w:val="113"/>
              <w:ind w:firstLine="48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工程措施：</w:t>
            </w:r>
          </w:p>
          <w:p w14:paraId="46585A74">
            <w:pPr>
              <w:pStyle w:val="113"/>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工程施工结束后，对施工扰动的区域进行土地平整，土地平整采用74kw推土机进行，对扰动后凹凸不平的地面采用推土机先削凸填凹。</w:t>
            </w:r>
          </w:p>
          <w:p w14:paraId="284CC395">
            <w:pPr>
              <w:pStyle w:val="113"/>
              <w:ind w:firstLine="48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临时措施：</w:t>
            </w:r>
          </w:p>
          <w:p w14:paraId="07A24D4C">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施工期间应规划施工活动范围，严禁施工材料乱堆乱放，划定适宜的堆料场和弃方堆放场所，以防对植被土壤破坏范围的扩大，安排好现有交通车辆的通行，由专人负责严格控制和管理运输车辆及重型机械的运行范围，以防止破坏土壤和植被，引发水土流失。施工完毕后，对渠道两侧进行土地平整，使其自然恢复地表植被。</w:t>
            </w:r>
          </w:p>
          <w:p w14:paraId="1F261918">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2）临时生产区水土保持措施</w:t>
            </w:r>
          </w:p>
          <w:p w14:paraId="76B1211F">
            <w:pPr>
              <w:pStyle w:val="113"/>
              <w:ind w:firstLine="48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工程措施：</w:t>
            </w:r>
          </w:p>
          <w:p w14:paraId="71A33490">
            <w:pPr>
              <w:pStyle w:val="113"/>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工程施工结束后，对施工扰动的区域进行土地平整，土地平整采用74kw推土机进行，对扰动后凹凸不平的地面采用推土机先削凸填凹。</w:t>
            </w:r>
          </w:p>
          <w:p w14:paraId="5CD2AA94">
            <w:pPr>
              <w:pStyle w:val="113"/>
              <w:ind w:firstLine="48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临时措施：</w:t>
            </w:r>
          </w:p>
          <w:p w14:paraId="40EB06E6">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施工期间应严格划定施工临时生产区域，以避免对防治区以外场地的占压和扰动，并在临时生产区设置水土保持宣传警示牌，加强对施工人员的水土保持教育。施工完成后，主要采取土地平整措施，自然恢复地表植被的措施。</w:t>
            </w:r>
          </w:p>
          <w:p w14:paraId="7EABD479">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3）临时弃土弃渣水土保持措施</w:t>
            </w:r>
          </w:p>
          <w:p w14:paraId="63F8E117">
            <w:pPr>
              <w:pStyle w:val="113"/>
              <w:ind w:firstLine="48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工程措施：</w:t>
            </w:r>
          </w:p>
          <w:p w14:paraId="4156D626">
            <w:pPr>
              <w:pStyle w:val="113"/>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工程施工结束后，对施工扰动的区域进行土地平整，土地平整采用74kw推土机进行，对扰动后凹凸不平的地面采用推土机先削凸填凹。</w:t>
            </w:r>
          </w:p>
          <w:p w14:paraId="5B1CF58A">
            <w:pPr>
              <w:pStyle w:val="113"/>
              <w:ind w:firstLine="48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临时措施：</w:t>
            </w:r>
          </w:p>
          <w:p w14:paraId="46055BFA">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施工期弃渣需临时就近堆放在项目区，以方便施工时的回填利用。堆渣均按照自然稳定边坡堆放，堆放形式设计为梯形台体状，以苫布遮盖，以防发生水蚀。临时弃土、弃渣的堆放应避开植被良好区，不能随处堆放。施工完成后，将弃渣、弃土</w:t>
            </w:r>
            <w:r>
              <w:rPr>
                <w:rFonts w:hint="default" w:ascii="Times New Roman" w:hAnsi="Times New Roman" w:eastAsia="宋体" w:cs="Times New Roman"/>
                <w:color w:val="auto"/>
                <w:lang w:val="en-US" w:eastAsia="zh-CN"/>
              </w:rPr>
              <w:t>集中收集到临时弃土场</w:t>
            </w:r>
            <w:r>
              <w:rPr>
                <w:rFonts w:hint="default" w:ascii="Times New Roman" w:hAnsi="Times New Roman" w:eastAsia="宋体" w:cs="Times New Roman"/>
                <w:color w:val="auto"/>
              </w:rPr>
              <w:t>并恢复、平整场地，自然恢复植被。</w:t>
            </w:r>
          </w:p>
          <w:p w14:paraId="1FEEDCD5">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4）施工生产生活区</w:t>
            </w:r>
          </w:p>
          <w:p w14:paraId="1EA7FF68">
            <w:pPr>
              <w:pStyle w:val="113"/>
              <w:ind w:firstLine="48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工程措施：</w:t>
            </w:r>
          </w:p>
          <w:p w14:paraId="6F92E75A">
            <w:pPr>
              <w:pStyle w:val="113"/>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工程施工结束后，对施工扰动的区域进行土地平整，土地平整采用74kw推土机进行，对扰动后凹凸不平的地面采用推土机先削凸填凹。</w:t>
            </w:r>
          </w:p>
          <w:p w14:paraId="2CEE61F1">
            <w:pPr>
              <w:pStyle w:val="113"/>
              <w:ind w:firstLine="48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临时措施：</w:t>
            </w:r>
          </w:p>
          <w:p w14:paraId="5592BB1B">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施工期适时对地表修整养护，洒水降尘，减少水土流失源，创造</w:t>
            </w:r>
            <w:r>
              <w:rPr>
                <w:rFonts w:hint="default" w:ascii="Times New Roman" w:hAnsi="Times New Roman" w:eastAsia="宋体" w:cs="Times New Roman"/>
                <w:color w:val="auto"/>
                <w:lang w:eastAsia="zh-CN"/>
              </w:rPr>
              <w:t>良好</w:t>
            </w:r>
            <w:r>
              <w:rPr>
                <w:rFonts w:hint="default" w:ascii="Times New Roman" w:hAnsi="Times New Roman" w:eastAsia="宋体" w:cs="Times New Roman"/>
                <w:color w:val="auto"/>
              </w:rPr>
              <w:t>的施工生活环境；规范施工，避免施工机械和人员进入生活区以外的区域。施工完毕后，临建设施予以拆除，建筑物拆迁后有计划的平整场地压实处理。</w:t>
            </w:r>
          </w:p>
        </w:tc>
      </w:tr>
      <w:tr w14:paraId="1EA810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753" w:type="dxa"/>
            <w:tcMar>
              <w:left w:w="28" w:type="dxa"/>
              <w:right w:w="28" w:type="dxa"/>
            </w:tcMar>
            <w:vAlign w:val="center"/>
          </w:tcPr>
          <w:p w14:paraId="6CDCEF16">
            <w:pPr>
              <w:adjustRightInd w:val="0"/>
              <w:snapToGrid w:val="0"/>
              <w:jc w:val="center"/>
              <w:rPr>
                <w:rFonts w:hint="default" w:ascii="Times New Roman" w:hAnsi="Times New Roman" w:eastAsia="宋体" w:cs="Times New Roman"/>
                <w:bCs/>
                <w:color w:val="auto"/>
                <w:spacing w:val="10"/>
                <w:szCs w:val="21"/>
              </w:rPr>
            </w:pPr>
            <w:r>
              <w:rPr>
                <w:rFonts w:hint="default" w:ascii="Times New Roman" w:hAnsi="Times New Roman" w:eastAsia="宋体" w:cs="Times New Roman"/>
                <w:bCs/>
                <w:color w:val="auto"/>
                <w:spacing w:val="10"/>
                <w:szCs w:val="21"/>
              </w:rPr>
              <w:t>运营期生态环境保护措施</w:t>
            </w:r>
          </w:p>
        </w:tc>
        <w:tc>
          <w:tcPr>
            <w:tcW w:w="8693" w:type="dxa"/>
          </w:tcPr>
          <w:p w14:paraId="2CE95E40">
            <w:pPr>
              <w:rPr>
                <w:rFonts w:hint="default" w:ascii="Times New Roman" w:hAnsi="Times New Roman" w:eastAsia="宋体" w:cs="Times New Roman"/>
                <w:color w:val="auto"/>
              </w:rPr>
            </w:pPr>
          </w:p>
          <w:p w14:paraId="319DD0C9">
            <w:pPr>
              <w:pStyle w:val="96"/>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无</w:t>
            </w:r>
          </w:p>
        </w:tc>
      </w:tr>
      <w:tr w14:paraId="0AC378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2" w:hRule="atLeast"/>
          <w:jc w:val="center"/>
        </w:trPr>
        <w:tc>
          <w:tcPr>
            <w:tcW w:w="753" w:type="dxa"/>
            <w:vAlign w:val="center"/>
          </w:tcPr>
          <w:p w14:paraId="24776BD0">
            <w:pPr>
              <w:adjustRightInd w:val="0"/>
              <w:snapToGrid w:val="0"/>
              <w:jc w:val="center"/>
              <w:rPr>
                <w:rFonts w:hint="default" w:ascii="Times New Roman" w:hAnsi="Times New Roman" w:eastAsia="宋体" w:cs="Times New Roman"/>
                <w:bCs/>
                <w:color w:val="auto"/>
                <w:spacing w:val="10"/>
                <w:szCs w:val="21"/>
              </w:rPr>
            </w:pPr>
            <w:r>
              <w:rPr>
                <w:rFonts w:hint="default" w:ascii="Times New Roman" w:hAnsi="Times New Roman" w:eastAsia="宋体" w:cs="Times New Roman"/>
                <w:bCs/>
                <w:color w:val="auto"/>
                <w:sz w:val="24"/>
              </w:rPr>
              <w:t>其他</w:t>
            </w:r>
          </w:p>
        </w:tc>
        <w:tc>
          <w:tcPr>
            <w:tcW w:w="8693" w:type="dxa"/>
          </w:tcPr>
          <w:p w14:paraId="1CF91E67">
            <w:pPr>
              <w:spacing w:line="360" w:lineRule="auto"/>
              <w:ind w:firstLine="482" w:firstLineChars="200"/>
              <w:rPr>
                <w:rFonts w:hint="default" w:ascii="Times New Roman" w:hAnsi="Times New Roman" w:eastAsia="宋体" w:cs="Times New Roman"/>
                <w:b/>
                <w:bCs/>
                <w:color w:val="auto"/>
                <w:sz w:val="24"/>
              </w:rPr>
            </w:pPr>
            <w:bookmarkStart w:id="9" w:name="bookmark467"/>
            <w:r>
              <w:rPr>
                <w:rFonts w:hint="default" w:ascii="Times New Roman" w:hAnsi="Times New Roman" w:eastAsia="宋体" w:cs="Times New Roman"/>
                <w:b/>
                <w:bCs/>
                <w:color w:val="auto"/>
                <w:sz w:val="24"/>
              </w:rPr>
              <w:t>1环境管理</w:t>
            </w:r>
            <w:bookmarkEnd w:id="9"/>
          </w:p>
          <w:p w14:paraId="74A944C8">
            <w:pPr>
              <w:spacing w:line="360" w:lineRule="auto"/>
              <w:ind w:firstLine="482" w:firstLineChars="200"/>
              <w:rPr>
                <w:rFonts w:hint="default" w:ascii="Times New Roman" w:hAnsi="Times New Roman" w:eastAsia="宋体" w:cs="Times New Roman"/>
                <w:b/>
                <w:color w:val="auto"/>
                <w:sz w:val="24"/>
              </w:rPr>
            </w:pPr>
            <w:bookmarkStart w:id="10" w:name="bookmark473"/>
            <w:r>
              <w:rPr>
                <w:rFonts w:hint="default" w:ascii="Times New Roman" w:hAnsi="Times New Roman" w:eastAsia="宋体" w:cs="Times New Roman"/>
                <w:b/>
                <w:color w:val="auto"/>
                <w:sz w:val="24"/>
              </w:rPr>
              <w:t>1.1建设前期环境管理</w:t>
            </w:r>
            <w:bookmarkEnd w:id="10"/>
          </w:p>
          <w:p w14:paraId="6D74719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（1）审核环境影响评价成果，并确保工程初步设计报告中有关环保措施纳入工程设计文件；</w:t>
            </w:r>
          </w:p>
          <w:p w14:paraId="02F5B728">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（2）确保环境保护条款列入招标文件及合同文件；</w:t>
            </w:r>
          </w:p>
          <w:p w14:paraId="71641C49">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（3）筹建环境管理机构，并对环境管理人员进行培训；</w:t>
            </w:r>
          </w:p>
          <w:p w14:paraId="0EDB501F">
            <w:pPr>
              <w:spacing w:line="360" w:lineRule="auto"/>
              <w:ind w:firstLine="480" w:firstLineChars="200"/>
              <w:rPr>
                <w:rFonts w:hint="default" w:ascii="Times New Roman" w:hAnsi="Times New Roman" w:eastAsia="宋体" w:cs="Times New Roman"/>
                <w:color w:val="auto"/>
                <w:sz w:val="24"/>
              </w:rPr>
            </w:pPr>
            <w:bookmarkStart w:id="11" w:name="bookmark474"/>
            <w:r>
              <w:rPr>
                <w:rFonts w:hint="default" w:ascii="Times New Roman" w:hAnsi="Times New Roman" w:eastAsia="宋体" w:cs="Times New Roman"/>
                <w:color w:val="auto"/>
                <w:sz w:val="24"/>
              </w:rPr>
              <w:t>（4）根据工程特点，制定出完善的工程环境保护规章制度与管理方法，编制工程影响区环境保护实施规划。</w:t>
            </w:r>
            <w:bookmarkEnd w:id="11"/>
          </w:p>
          <w:p w14:paraId="02CDC655">
            <w:pPr>
              <w:spacing w:line="360" w:lineRule="auto"/>
              <w:ind w:firstLine="482" w:firstLineChars="200"/>
              <w:rPr>
                <w:rFonts w:hint="default" w:ascii="Times New Roman" w:hAnsi="Times New Roman" w:eastAsia="宋体" w:cs="Times New Roman"/>
                <w:b/>
                <w:color w:val="auto"/>
                <w:sz w:val="24"/>
              </w:rPr>
            </w:pPr>
            <w:bookmarkStart w:id="12" w:name="bookmark475"/>
            <w:r>
              <w:rPr>
                <w:rFonts w:hint="default" w:ascii="Times New Roman" w:hAnsi="Times New Roman" w:eastAsia="宋体" w:cs="Times New Roman"/>
                <w:b/>
                <w:color w:val="auto"/>
                <w:sz w:val="24"/>
              </w:rPr>
              <w:t>1.2施工期环境管理</w:t>
            </w:r>
            <w:bookmarkEnd w:id="12"/>
          </w:p>
          <w:p w14:paraId="036E6B8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遵循国家及当地政府关于环境保护的方针、政策、法令、法规，监督承包商落实工程承包合同中有关环保条款。具体包括：</w:t>
            </w:r>
          </w:p>
          <w:p w14:paraId="667D1642">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（1）监督承包商对</w:t>
            </w:r>
            <w:r>
              <w:rPr>
                <w:rFonts w:hint="default" w:ascii="Times New Roman" w:hAnsi="Times New Roman" w:eastAsia="宋体" w:cs="Times New Roman"/>
                <w:color w:val="auto"/>
                <w:sz w:val="24"/>
                <w:lang w:val="en-US" w:eastAsia="zh-CN"/>
              </w:rPr>
              <w:t>承包</w:t>
            </w:r>
            <w:r>
              <w:rPr>
                <w:rFonts w:hint="default" w:ascii="Times New Roman" w:hAnsi="Times New Roman" w:eastAsia="宋体" w:cs="Times New Roman"/>
                <w:color w:val="auto"/>
                <w:sz w:val="24"/>
              </w:rPr>
              <w:t>合同中有关环保条款的执行情况，并负责解释环保条款，对重大环境问题提出处理意见和报告，责成有关单位限期纠正；</w:t>
            </w:r>
          </w:p>
          <w:p w14:paraId="31B74538">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）全面监督和检查各施工单位环境保护措施实施情况和实际效果，及时处理和解决临时出现的环境污染事件；</w:t>
            </w:r>
            <w:r>
              <w:rPr>
                <w:rFonts w:hint="default" w:ascii="Times New Roman" w:hAnsi="Times New Roman" w:eastAsia="宋体" w:cs="Times New Roman"/>
                <w:color w:val="auto"/>
                <w:sz w:val="24"/>
                <w:lang w:eastAsia="zh-CN"/>
              </w:rPr>
              <w:t>防止</w:t>
            </w:r>
            <w:r>
              <w:rPr>
                <w:rFonts w:hint="default" w:ascii="Times New Roman" w:hAnsi="Times New Roman" w:eastAsia="宋体" w:cs="Times New Roman"/>
                <w:color w:val="auto"/>
                <w:sz w:val="24"/>
              </w:rPr>
              <w:t>和减轻施工作业引起的环境污染和对植被、野生动物的破坏行为和火灾发生；</w:t>
            </w:r>
          </w:p>
          <w:p w14:paraId="75FD9CB5">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）全面检查施工单位负责的渣场、施工迹地的处理、恢复情况，主要包括边坡稳定、迹地恢复及效果等；</w:t>
            </w:r>
          </w:p>
          <w:p w14:paraId="4AC9477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）对施工及管理提出相应要求，尽量减少工程施工给环境带来的不利影响；并且将环保措施纳入工程建设招标中，并且做好施工期日常管理。</w:t>
            </w:r>
          </w:p>
          <w:p w14:paraId="7CA59A0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）在日常工作中</w:t>
            </w:r>
            <w:r>
              <w:rPr>
                <w:rFonts w:hint="default" w:ascii="Times New Roman" w:hAnsi="Times New Roman" w:eastAsia="宋体" w:cs="Times New Roman"/>
                <w:color w:val="auto"/>
                <w:sz w:val="24"/>
                <w:lang w:eastAsia="zh-CN"/>
              </w:rPr>
              <w:t>做好</w:t>
            </w:r>
            <w:r>
              <w:rPr>
                <w:rFonts w:hint="default" w:ascii="Times New Roman" w:hAnsi="Times New Roman" w:eastAsia="宋体" w:cs="Times New Roman"/>
                <w:color w:val="auto"/>
                <w:sz w:val="24"/>
                <w:lang w:val="en-US" w:eastAsia="zh-CN"/>
              </w:rPr>
              <w:t>施工</w:t>
            </w:r>
            <w:r>
              <w:rPr>
                <w:rFonts w:hint="default" w:ascii="Times New Roman" w:hAnsi="Times New Roman" w:eastAsia="宋体" w:cs="Times New Roman"/>
                <w:color w:val="auto"/>
                <w:sz w:val="24"/>
              </w:rPr>
              <w:t>记录及</w:t>
            </w:r>
            <w:r>
              <w:rPr>
                <w:rFonts w:hint="default" w:ascii="Times New Roman" w:hAnsi="Times New Roman" w:eastAsia="宋体" w:cs="Times New Roman"/>
                <w:color w:val="auto"/>
                <w:sz w:val="24"/>
                <w:lang w:val="en-US" w:eastAsia="zh-CN"/>
              </w:rPr>
              <w:t>施工</w:t>
            </w:r>
            <w:r>
              <w:rPr>
                <w:rFonts w:hint="default" w:ascii="Times New Roman" w:hAnsi="Times New Roman" w:eastAsia="宋体" w:cs="Times New Roman"/>
                <w:color w:val="auto"/>
                <w:sz w:val="24"/>
              </w:rPr>
              <w:t>报告，组织质量评定，参与竣工验收；参加承包商提出的环保设施设计和实施进度计划的审查会，提出改进意见；协调业主和承包商之间的关系，处理合同中有关环保部门的违约事件。</w:t>
            </w:r>
          </w:p>
          <w:p w14:paraId="715100B8">
            <w:pPr>
              <w:spacing w:line="360" w:lineRule="auto"/>
              <w:ind w:firstLine="482" w:firstLineChars="200"/>
              <w:rPr>
                <w:rFonts w:hint="default" w:ascii="Times New Roman" w:hAnsi="Times New Roman" w:eastAsia="宋体" w:cs="Times New Roman"/>
                <w:b/>
                <w:bCs/>
                <w:color w:val="auto"/>
                <w:sz w:val="24"/>
              </w:rPr>
            </w:pPr>
            <w:bookmarkStart w:id="13" w:name="bookmark476"/>
            <w:bookmarkStart w:id="14" w:name="bookmark477"/>
            <w:r>
              <w:rPr>
                <w:rFonts w:hint="default" w:ascii="Times New Roman" w:hAnsi="Times New Roman" w:eastAsia="宋体" w:cs="Times New Roman"/>
                <w:b/>
                <w:bCs/>
                <w:color w:val="auto"/>
                <w:sz w:val="24"/>
              </w:rPr>
              <w:t>1.3运行期环境管理</w:t>
            </w:r>
            <w:bookmarkEnd w:id="13"/>
            <w:bookmarkEnd w:id="14"/>
          </w:p>
          <w:p w14:paraId="75A17D12">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为处理好</w:t>
            </w:r>
            <w:r>
              <w:rPr>
                <w:rFonts w:hint="default" w:ascii="Times New Roman" w:hAnsi="Times New Roman" w:eastAsia="宋体" w:cs="Times New Roman"/>
                <w:color w:val="auto"/>
                <w:sz w:val="24"/>
                <w:lang w:eastAsia="zh-CN"/>
              </w:rPr>
              <w:t>防渗渠道工程</w:t>
            </w:r>
            <w:r>
              <w:rPr>
                <w:rFonts w:hint="default" w:ascii="Times New Roman" w:hAnsi="Times New Roman" w:eastAsia="宋体" w:cs="Times New Roman"/>
                <w:color w:val="auto"/>
                <w:sz w:val="24"/>
              </w:rPr>
              <w:t>建设期和运营期与环境保护的关系，实现该项目社会效益、经济效益和环境效益的统一，必须加大其保护与监管力度，在运营期建立环境管理机构。在该项目运营期建设单位应设置专业、称职的环保管理员负责不同时期的环保工作，其工作职责如下：</w:t>
            </w:r>
          </w:p>
          <w:p w14:paraId="2D2025E9">
            <w:pPr>
              <w:spacing w:line="360" w:lineRule="auto"/>
              <w:ind w:firstLine="464" w:firstLineChars="200"/>
              <w:jc w:val="left"/>
              <w:rPr>
                <w:rFonts w:hint="default" w:ascii="Times New Roman" w:hAnsi="Times New Roman" w:eastAsia="宋体" w:cs="Times New Roman"/>
                <w:color w:val="auto"/>
                <w:spacing w:val="-4"/>
                <w:sz w:val="24"/>
              </w:rPr>
            </w:pPr>
            <w:r>
              <w:rPr>
                <w:rFonts w:hint="default" w:ascii="Times New Roman" w:hAnsi="Times New Roman" w:eastAsia="宋体" w:cs="Times New Roman"/>
                <w:color w:val="auto"/>
                <w:spacing w:val="-4"/>
                <w:sz w:val="24"/>
              </w:rPr>
              <w:t>①贯彻落实国家和地方有关的环保法律法规和相关标准；</w:t>
            </w:r>
          </w:p>
          <w:p w14:paraId="2BCB2A02">
            <w:pPr>
              <w:spacing w:line="360" w:lineRule="auto"/>
              <w:ind w:firstLine="464" w:firstLineChars="200"/>
              <w:jc w:val="left"/>
              <w:rPr>
                <w:rFonts w:hint="default" w:ascii="Times New Roman" w:hAnsi="Times New Roman" w:eastAsia="宋体" w:cs="Times New Roman"/>
                <w:color w:val="auto"/>
                <w:spacing w:val="-4"/>
                <w:sz w:val="24"/>
              </w:rPr>
            </w:pPr>
            <w:r>
              <w:rPr>
                <w:rFonts w:hint="default" w:ascii="Times New Roman" w:hAnsi="Times New Roman" w:eastAsia="宋体" w:cs="Times New Roman"/>
                <w:color w:val="auto"/>
                <w:spacing w:val="-4"/>
                <w:sz w:val="24"/>
              </w:rPr>
              <w:t>②组织制定公司的环境保护管理规章制度，并监督检查其执行情况；</w:t>
            </w:r>
          </w:p>
          <w:p w14:paraId="03CAFA6E">
            <w:pPr>
              <w:spacing w:line="360" w:lineRule="auto"/>
              <w:ind w:firstLine="464" w:firstLineChars="200"/>
              <w:jc w:val="left"/>
              <w:rPr>
                <w:rFonts w:hint="default" w:ascii="Times New Roman" w:hAnsi="Times New Roman" w:eastAsia="宋体" w:cs="Times New Roman"/>
                <w:color w:val="auto"/>
                <w:spacing w:val="-4"/>
                <w:sz w:val="24"/>
              </w:rPr>
            </w:pPr>
            <w:r>
              <w:rPr>
                <w:rFonts w:hint="default" w:ascii="Times New Roman" w:hAnsi="Times New Roman" w:eastAsia="宋体" w:cs="Times New Roman"/>
                <w:color w:val="auto"/>
                <w:spacing w:val="-4"/>
                <w:sz w:val="24"/>
              </w:rPr>
              <w:t>③针对公司的具体情况，制定并组织实施环境保护规划和年度工作计划；</w:t>
            </w:r>
          </w:p>
          <w:p w14:paraId="45AD3092">
            <w:pPr>
              <w:spacing w:line="360" w:lineRule="auto"/>
              <w:ind w:firstLine="464" w:firstLineChars="200"/>
              <w:jc w:val="left"/>
              <w:rPr>
                <w:rFonts w:hint="default" w:ascii="Times New Roman" w:hAnsi="Times New Roman" w:eastAsia="宋体" w:cs="Times New Roman"/>
                <w:color w:val="auto"/>
                <w:spacing w:val="-4"/>
                <w:sz w:val="24"/>
              </w:rPr>
            </w:pPr>
            <w:r>
              <w:rPr>
                <w:rFonts w:hint="default" w:ascii="Times New Roman" w:hAnsi="Times New Roman" w:eastAsia="宋体" w:cs="Times New Roman"/>
                <w:color w:val="auto"/>
                <w:spacing w:val="-4"/>
                <w:sz w:val="24"/>
              </w:rPr>
              <w:t>④负责开展日常的环境监测和调查工作，建立健全原始记录，分析掌握污染动态和生态变化；</w:t>
            </w:r>
          </w:p>
          <w:p w14:paraId="3C2C07F2">
            <w:pPr>
              <w:spacing w:line="360" w:lineRule="auto"/>
              <w:ind w:firstLine="464" w:firstLineChars="200"/>
              <w:jc w:val="left"/>
              <w:rPr>
                <w:rFonts w:hint="default" w:ascii="Times New Roman" w:hAnsi="Times New Roman" w:eastAsia="宋体" w:cs="Times New Roman"/>
                <w:color w:val="auto"/>
                <w:spacing w:val="-4"/>
                <w:sz w:val="24"/>
              </w:rPr>
            </w:pPr>
            <w:r>
              <w:rPr>
                <w:rFonts w:hint="default" w:ascii="Times New Roman" w:hAnsi="Times New Roman" w:eastAsia="宋体" w:cs="Times New Roman"/>
                <w:color w:val="auto"/>
                <w:spacing w:val="-4"/>
                <w:sz w:val="24"/>
              </w:rPr>
              <w:t>⑤建立环保档案，做好环保资料的统计整理工作，及时向当地环保部门上报环保工作报表以及提供相应的技术数据；</w:t>
            </w:r>
          </w:p>
          <w:p w14:paraId="4D5845A0">
            <w:pPr>
              <w:spacing w:line="360" w:lineRule="auto"/>
              <w:ind w:firstLine="464" w:firstLineChars="200"/>
              <w:jc w:val="left"/>
              <w:rPr>
                <w:rFonts w:hint="default" w:ascii="Times New Roman" w:hAnsi="Times New Roman" w:eastAsia="宋体" w:cs="Times New Roman"/>
                <w:color w:val="auto"/>
                <w:spacing w:val="-4"/>
                <w:sz w:val="24"/>
                <w:lang w:eastAsia="zh-CN"/>
              </w:rPr>
            </w:pPr>
            <w:r>
              <w:rPr>
                <w:rFonts w:hint="default" w:ascii="Times New Roman" w:hAnsi="Times New Roman" w:eastAsia="宋体" w:cs="Times New Roman"/>
                <w:color w:val="auto"/>
                <w:spacing w:val="-4"/>
                <w:sz w:val="24"/>
              </w:rPr>
              <w:t>⑥监督检查环保设施运行、维护和管理工作；</w:t>
            </w:r>
          </w:p>
          <w:p w14:paraId="095CDFC9">
            <w:pPr>
              <w:spacing w:line="360" w:lineRule="auto"/>
              <w:ind w:firstLine="464" w:firstLineChars="200"/>
              <w:jc w:val="left"/>
              <w:rPr>
                <w:rFonts w:hint="default" w:ascii="Times New Roman" w:hAnsi="Times New Roman" w:eastAsia="宋体" w:cs="Times New Roman"/>
                <w:color w:val="auto"/>
                <w:spacing w:val="-4"/>
                <w:sz w:val="24"/>
              </w:rPr>
            </w:pPr>
            <w:r>
              <w:rPr>
                <w:rFonts w:hint="default" w:ascii="Times New Roman" w:hAnsi="Times New Roman" w:eastAsia="宋体" w:cs="Times New Roman"/>
                <w:color w:val="auto"/>
                <w:spacing w:val="-4"/>
                <w:sz w:val="24"/>
              </w:rPr>
              <w:t>⑦开展环保、安全知识教育，对从事与环保工作有关的特殊岗位（如承担环保设施运行与维护）的员工的技能进行定期培训和考核；</w:t>
            </w:r>
          </w:p>
          <w:p w14:paraId="76EECB15">
            <w:pPr>
              <w:spacing w:line="360" w:lineRule="auto"/>
              <w:ind w:firstLine="464" w:firstLineChars="200"/>
              <w:jc w:val="left"/>
              <w:rPr>
                <w:rFonts w:hint="default" w:ascii="Times New Roman" w:hAnsi="Times New Roman" w:eastAsia="宋体" w:cs="Times New Roman"/>
                <w:color w:val="auto"/>
                <w:spacing w:val="-4"/>
                <w:sz w:val="24"/>
                <w:lang w:eastAsia="zh-CN"/>
              </w:rPr>
            </w:pPr>
            <w:r>
              <w:rPr>
                <w:rFonts w:hint="default" w:ascii="Times New Roman" w:hAnsi="Times New Roman" w:eastAsia="宋体" w:cs="Times New Roman"/>
                <w:color w:val="auto"/>
                <w:spacing w:val="-4"/>
                <w:sz w:val="24"/>
              </w:rPr>
              <w:t>⑧负责处理各类污染事故和突发紧急事件，组织抢救和善后处理工作</w:t>
            </w:r>
            <w:r>
              <w:rPr>
                <w:rFonts w:hint="default" w:ascii="Times New Roman" w:hAnsi="Times New Roman" w:eastAsia="宋体" w:cs="Times New Roman"/>
                <w:color w:val="auto"/>
                <w:spacing w:val="-4"/>
                <w:sz w:val="24"/>
                <w:lang w:eastAsia="zh-CN"/>
              </w:rPr>
              <w:t>。</w:t>
            </w:r>
          </w:p>
          <w:p w14:paraId="70EC4E11">
            <w:pPr>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2生态监测方案</w:t>
            </w:r>
          </w:p>
          <w:p w14:paraId="29A5EEEF">
            <w:pPr>
              <w:spacing w:line="360" w:lineRule="auto"/>
              <w:ind w:firstLine="480" w:firstLineChars="200"/>
              <w:jc w:val="left"/>
              <w:rPr>
                <w:rFonts w:ascii="宋体" w:hAnsi="宋体" w:eastAsia="宋体" w:cs="宋体"/>
                <w:color w:val="auto"/>
                <w:sz w:val="24"/>
                <w:szCs w:val="24"/>
              </w:rPr>
            </w:pPr>
            <w:r>
              <w:rPr>
                <w:rFonts w:ascii="宋体" w:hAnsi="宋体" w:eastAsia="宋体" w:cs="宋体"/>
                <w:color w:val="auto"/>
                <w:sz w:val="24"/>
                <w:szCs w:val="24"/>
              </w:rPr>
              <w:t>根据《建设项目环境影响报告表编制技术指南（生态影响类）（试行）》 要求，本工程环境监测计划主要为生态方面的监测，企业委托有资质的监测单位进行监测，并将监测报告存档。</w:t>
            </w:r>
          </w:p>
          <w:p w14:paraId="45724E48">
            <w:pPr>
              <w:spacing w:line="360" w:lineRule="auto"/>
              <w:ind w:firstLine="464" w:firstLineChars="200"/>
              <w:jc w:val="left"/>
              <w:rPr>
                <w:rFonts w:hint="default" w:ascii="Times New Roman" w:hAnsi="Times New Roman" w:eastAsia="宋体" w:cs="Times New Roman"/>
                <w:color w:val="auto"/>
                <w:spacing w:val="-4"/>
                <w:sz w:val="24"/>
              </w:rPr>
            </w:pPr>
            <w:r>
              <w:rPr>
                <w:rFonts w:hint="default" w:ascii="Times New Roman" w:hAnsi="Times New Roman" w:eastAsia="宋体" w:cs="Times New Roman"/>
                <w:color w:val="auto"/>
                <w:spacing w:val="-4"/>
                <w:sz w:val="24"/>
                <w:lang w:eastAsia="zh-CN"/>
              </w:rPr>
              <w:t>（</w:t>
            </w:r>
            <w:r>
              <w:rPr>
                <w:rFonts w:hint="default" w:ascii="Times New Roman" w:hAnsi="Times New Roman" w:eastAsia="宋体" w:cs="Times New Roman"/>
                <w:color w:val="auto"/>
                <w:spacing w:val="-4"/>
                <w:sz w:val="24"/>
              </w:rPr>
              <w:t>1</w:t>
            </w:r>
            <w:r>
              <w:rPr>
                <w:rFonts w:hint="default" w:ascii="Times New Roman" w:hAnsi="Times New Roman" w:eastAsia="宋体" w:cs="Times New Roman"/>
                <w:color w:val="auto"/>
                <w:spacing w:val="-4"/>
                <w:sz w:val="24"/>
                <w:lang w:eastAsia="zh-CN"/>
              </w:rPr>
              <w:t>）</w:t>
            </w:r>
            <w:r>
              <w:rPr>
                <w:rFonts w:hint="default" w:ascii="Times New Roman" w:hAnsi="Times New Roman" w:eastAsia="宋体" w:cs="Times New Roman"/>
                <w:color w:val="auto"/>
                <w:spacing w:val="-4"/>
                <w:sz w:val="24"/>
              </w:rPr>
              <w:t>监测时间</w:t>
            </w:r>
          </w:p>
          <w:p w14:paraId="04391927">
            <w:pPr>
              <w:spacing w:line="360" w:lineRule="auto"/>
              <w:ind w:firstLine="464" w:firstLineChars="200"/>
              <w:jc w:val="left"/>
              <w:rPr>
                <w:rFonts w:hint="default" w:ascii="Times New Roman" w:hAnsi="Times New Roman" w:eastAsia="宋体" w:cs="Times New Roman"/>
                <w:color w:val="auto"/>
                <w:spacing w:val="-4"/>
                <w:sz w:val="24"/>
                <w:lang w:val="en-US" w:eastAsia="zh-CN"/>
              </w:rPr>
            </w:pPr>
            <w:r>
              <w:rPr>
                <w:rFonts w:hint="eastAsia" w:ascii="Times New Roman" w:hAnsi="Times New Roman" w:cs="Times New Roman"/>
                <w:color w:val="auto"/>
                <w:spacing w:val="-4"/>
                <w:sz w:val="24"/>
                <w:lang w:val="en-US" w:eastAsia="zh-CN"/>
              </w:rPr>
              <w:t>运行后前两年，一年一次</w:t>
            </w:r>
          </w:p>
          <w:p w14:paraId="792A08A5">
            <w:pPr>
              <w:spacing w:line="360" w:lineRule="auto"/>
              <w:ind w:firstLine="464" w:firstLineChars="200"/>
              <w:jc w:val="left"/>
              <w:rPr>
                <w:rFonts w:hint="default" w:ascii="Times New Roman" w:hAnsi="Times New Roman" w:eastAsia="宋体" w:cs="Times New Roman"/>
                <w:color w:val="auto"/>
                <w:spacing w:val="-4"/>
                <w:sz w:val="24"/>
                <w:lang w:val="en-US" w:eastAsia="zh-CN"/>
              </w:rPr>
            </w:pPr>
            <w:r>
              <w:rPr>
                <w:rFonts w:hint="default" w:ascii="Times New Roman" w:hAnsi="Times New Roman" w:eastAsia="宋体" w:cs="Times New Roman"/>
                <w:color w:val="auto"/>
                <w:spacing w:val="-4"/>
                <w:sz w:val="24"/>
                <w:lang w:eastAsia="zh-CN"/>
              </w:rPr>
              <w:t>（2）监测范围</w:t>
            </w:r>
            <w:r>
              <w:rPr>
                <w:rFonts w:hint="eastAsia" w:ascii="Times New Roman" w:hAnsi="Times New Roman" w:eastAsia="宋体" w:cs="Times New Roman"/>
                <w:color w:val="auto"/>
                <w:spacing w:val="-4"/>
                <w:sz w:val="24"/>
                <w:lang w:val="en-US" w:eastAsia="zh-CN"/>
              </w:rPr>
              <w:t>及监测点位</w:t>
            </w:r>
          </w:p>
          <w:p w14:paraId="420EF45E">
            <w:pPr>
              <w:spacing w:line="360" w:lineRule="auto"/>
              <w:ind w:firstLine="464" w:firstLineChars="200"/>
              <w:jc w:val="left"/>
              <w:rPr>
                <w:rFonts w:hint="default" w:ascii="Times New Roman" w:hAnsi="Times New Roman" w:eastAsia="宋体" w:cs="Times New Roman"/>
                <w:color w:val="auto"/>
                <w:spacing w:val="-4"/>
                <w:sz w:val="24"/>
                <w:lang w:eastAsia="zh-CN"/>
              </w:rPr>
            </w:pPr>
            <w:r>
              <w:rPr>
                <w:rFonts w:hint="default" w:ascii="Times New Roman" w:hAnsi="Times New Roman" w:eastAsia="宋体" w:cs="Times New Roman"/>
                <w:color w:val="auto"/>
                <w:spacing w:val="-4"/>
                <w:sz w:val="24"/>
                <w:lang w:eastAsia="zh-CN"/>
              </w:rPr>
              <w:t>临时占地周围植被恢复情况监测</w:t>
            </w:r>
          </w:p>
          <w:p w14:paraId="74FD3521">
            <w:pPr>
              <w:spacing w:line="360" w:lineRule="auto"/>
              <w:ind w:firstLine="464" w:firstLineChars="200"/>
              <w:jc w:val="left"/>
              <w:rPr>
                <w:rFonts w:hint="default" w:ascii="Times New Roman" w:hAnsi="Times New Roman" w:eastAsia="宋体" w:cs="Times New Roman"/>
                <w:color w:val="auto"/>
                <w:spacing w:val="-4"/>
                <w:sz w:val="24"/>
                <w:lang w:eastAsia="zh-CN"/>
              </w:rPr>
            </w:pPr>
            <w:r>
              <w:rPr>
                <w:rFonts w:hint="default" w:ascii="Times New Roman" w:hAnsi="Times New Roman" w:eastAsia="宋体" w:cs="Times New Roman"/>
                <w:color w:val="auto"/>
                <w:spacing w:val="-4"/>
                <w:sz w:val="24"/>
                <w:lang w:eastAsia="zh-CN"/>
              </w:rPr>
              <w:t>（</w:t>
            </w:r>
            <w:r>
              <w:rPr>
                <w:rFonts w:hint="eastAsia" w:ascii="Times New Roman" w:hAnsi="Times New Roman" w:eastAsia="宋体" w:cs="Times New Roman"/>
                <w:color w:val="auto"/>
                <w:spacing w:val="-4"/>
                <w:sz w:val="24"/>
                <w:lang w:val="en-US" w:eastAsia="zh-CN"/>
              </w:rPr>
              <w:t>3</w:t>
            </w:r>
            <w:r>
              <w:rPr>
                <w:rFonts w:hint="default" w:ascii="Times New Roman" w:hAnsi="Times New Roman" w:eastAsia="宋体" w:cs="Times New Roman"/>
                <w:color w:val="auto"/>
                <w:spacing w:val="-4"/>
                <w:sz w:val="24"/>
                <w:lang w:eastAsia="zh-CN"/>
              </w:rPr>
              <w:t>）监测内容</w:t>
            </w:r>
          </w:p>
          <w:p w14:paraId="260C891E">
            <w:pPr>
              <w:spacing w:line="360" w:lineRule="auto"/>
              <w:ind w:firstLine="464" w:firstLineChars="200"/>
              <w:jc w:val="left"/>
              <w:rPr>
                <w:rFonts w:hint="default" w:ascii="Times New Roman" w:hAnsi="Times New Roman" w:eastAsia="宋体" w:cs="Times New Roman"/>
                <w:color w:val="auto"/>
                <w:spacing w:val="-4"/>
                <w:sz w:val="24"/>
                <w:lang w:eastAsia="zh-CN"/>
              </w:rPr>
            </w:pPr>
            <w:r>
              <w:rPr>
                <w:rFonts w:hint="default" w:ascii="Times New Roman" w:hAnsi="Times New Roman" w:eastAsia="宋体" w:cs="Times New Roman"/>
                <w:color w:val="auto"/>
                <w:spacing w:val="-4"/>
                <w:sz w:val="24"/>
                <w:lang w:eastAsia="zh-CN"/>
              </w:rPr>
              <w:t>植被存活率、草籽播撒密度和植被覆盖度</w:t>
            </w:r>
          </w:p>
          <w:p w14:paraId="45A00B2D">
            <w:pPr>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rPr>
              <w:t>环保竣工验收</w:t>
            </w:r>
          </w:p>
          <w:p w14:paraId="76C9D1A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按照《建设项目竣工环境保护验收管理办法》要求，对与建设项目有关的各项环境保护设施，包括为防治污染和保护环境所建成或配备的工程、设备、装置和监测手段，各项生态保护设施，有关项目设计文件规定应采取的其他各项环境保护措施进行验收。</w:t>
            </w:r>
          </w:p>
          <w:p w14:paraId="14FBE0F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建设单位负责组织单项工程验收、专项环境保护工程验收、工程建设阶段验收。建设单位按照“三同时”原则，在主体工程验收时进行专项或综合环境保护验收。建设单位按环境保护验收程序，进行自主验收。</w:t>
            </w:r>
          </w:p>
          <w:p w14:paraId="3B3E3530">
            <w:pPr>
              <w:topLinePunct/>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防渗渠道工程</w:t>
            </w:r>
            <w:r>
              <w:rPr>
                <w:rFonts w:hint="default" w:ascii="Times New Roman" w:hAnsi="Times New Roman" w:eastAsia="宋体" w:cs="Times New Roman"/>
                <w:color w:val="auto"/>
                <w:sz w:val="24"/>
              </w:rPr>
              <w:t>验收内容下表。</w:t>
            </w:r>
          </w:p>
          <w:p w14:paraId="073B3DCA">
            <w:pPr>
              <w:pStyle w:val="13"/>
              <w:ind w:firstLine="422" w:firstLineChars="20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w:t>
            </w:r>
            <w:r>
              <w:rPr>
                <w:rFonts w:hint="default" w:ascii="Times New Roman" w:hAnsi="Times New Roman" w:eastAsia="宋体" w:cs="Times New Roman"/>
                <w:b/>
                <w:color w:val="auto"/>
                <w:szCs w:val="21"/>
                <w:lang w:val="en-US" w:eastAsia="zh-CN"/>
              </w:rPr>
              <w:t>4-4</w:t>
            </w:r>
            <w:r>
              <w:rPr>
                <w:rFonts w:hint="default" w:ascii="Times New Roman" w:hAnsi="Times New Roman" w:eastAsia="宋体" w:cs="Times New Roman"/>
                <w:b/>
                <w:bCs/>
                <w:color w:val="auto"/>
                <w:szCs w:val="21"/>
              </w:rPr>
              <w:t>三同时验收一览表</w:t>
            </w:r>
          </w:p>
          <w:tbl>
            <w:tblPr>
              <w:tblStyle w:val="33"/>
              <w:tblW w:w="84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
              <w:gridCol w:w="582"/>
              <w:gridCol w:w="1682"/>
              <w:gridCol w:w="3759"/>
              <w:gridCol w:w="1387"/>
              <w:gridCol w:w="662"/>
            </w:tblGrid>
            <w:tr w14:paraId="2AD47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395" w:type="dxa"/>
                  <w:tcBorders>
                    <w:top w:val="single" w:color="auto" w:sz="4" w:space="0"/>
                    <w:left w:val="single" w:color="auto" w:sz="4" w:space="0"/>
                    <w:bottom w:val="single" w:color="auto" w:sz="4" w:space="0"/>
                    <w:right w:val="single" w:color="auto" w:sz="4" w:space="0"/>
                  </w:tcBorders>
                  <w:vAlign w:val="center"/>
                </w:tcPr>
                <w:p w14:paraId="3B13E5FA">
                  <w:pPr>
                    <w:pStyle w:val="111"/>
                    <w:jc w:val="center"/>
                    <w:rPr>
                      <w:rFonts w:hint="default" w:ascii="Times New Roman" w:hAnsi="Times New Roman" w:eastAsia="宋体" w:cs="Times New Roman"/>
                      <w:color w:val="auto"/>
                      <w:kern w:val="2"/>
                    </w:rPr>
                  </w:pPr>
                  <w:r>
                    <w:rPr>
                      <w:rFonts w:hint="default" w:ascii="Times New Roman" w:hAnsi="Times New Roman" w:eastAsia="宋体" w:cs="Times New Roman"/>
                      <w:color w:val="auto"/>
                    </w:rPr>
                    <w:t>序号</w:t>
                  </w:r>
                </w:p>
              </w:tc>
              <w:tc>
                <w:tcPr>
                  <w:tcW w:w="582" w:type="dxa"/>
                  <w:tcBorders>
                    <w:top w:val="single" w:color="auto" w:sz="4" w:space="0"/>
                    <w:left w:val="nil"/>
                    <w:bottom w:val="single" w:color="auto" w:sz="4" w:space="0"/>
                    <w:right w:val="single" w:color="auto" w:sz="4" w:space="0"/>
                  </w:tcBorders>
                  <w:vAlign w:val="center"/>
                </w:tcPr>
                <w:p w14:paraId="33691EF1">
                  <w:pPr>
                    <w:pStyle w:val="111"/>
                    <w:jc w:val="center"/>
                    <w:rPr>
                      <w:rFonts w:hint="default" w:ascii="Times New Roman" w:hAnsi="Times New Roman" w:eastAsia="宋体" w:cs="Times New Roman"/>
                      <w:color w:val="auto"/>
                      <w:kern w:val="2"/>
                    </w:rPr>
                  </w:pPr>
                  <w:r>
                    <w:rPr>
                      <w:rFonts w:hint="default" w:ascii="Times New Roman" w:hAnsi="Times New Roman" w:eastAsia="宋体" w:cs="Times New Roman"/>
                      <w:color w:val="auto"/>
                    </w:rPr>
                    <w:t>类别</w:t>
                  </w:r>
                </w:p>
              </w:tc>
              <w:tc>
                <w:tcPr>
                  <w:tcW w:w="1682" w:type="dxa"/>
                  <w:tcBorders>
                    <w:top w:val="single" w:color="auto" w:sz="4" w:space="0"/>
                    <w:left w:val="nil"/>
                    <w:bottom w:val="single" w:color="auto" w:sz="4" w:space="0"/>
                    <w:right w:val="single" w:color="auto" w:sz="4" w:space="0"/>
                  </w:tcBorders>
                  <w:vAlign w:val="center"/>
                </w:tcPr>
                <w:p w14:paraId="563E75EE">
                  <w:pPr>
                    <w:pStyle w:val="111"/>
                    <w:jc w:val="center"/>
                    <w:rPr>
                      <w:rFonts w:hint="default" w:ascii="Times New Roman" w:hAnsi="Times New Roman" w:eastAsia="宋体" w:cs="Times New Roman"/>
                      <w:color w:val="auto"/>
                      <w:kern w:val="2"/>
                    </w:rPr>
                  </w:pPr>
                  <w:r>
                    <w:rPr>
                      <w:rFonts w:hint="default" w:ascii="Times New Roman" w:hAnsi="Times New Roman" w:eastAsia="宋体" w:cs="Times New Roman"/>
                      <w:color w:val="auto"/>
                    </w:rPr>
                    <w:t>治理对象</w:t>
                  </w:r>
                </w:p>
              </w:tc>
              <w:tc>
                <w:tcPr>
                  <w:tcW w:w="3759" w:type="dxa"/>
                  <w:tcBorders>
                    <w:top w:val="single" w:color="auto" w:sz="4" w:space="0"/>
                    <w:left w:val="nil"/>
                    <w:bottom w:val="single" w:color="auto" w:sz="4" w:space="0"/>
                    <w:right w:val="single" w:color="auto" w:sz="4" w:space="0"/>
                  </w:tcBorders>
                  <w:vAlign w:val="center"/>
                </w:tcPr>
                <w:p w14:paraId="56F9B763">
                  <w:pPr>
                    <w:pStyle w:val="111"/>
                    <w:jc w:val="center"/>
                    <w:rPr>
                      <w:rFonts w:hint="default" w:ascii="Times New Roman" w:hAnsi="Times New Roman" w:eastAsia="宋体" w:cs="Times New Roman"/>
                      <w:color w:val="auto"/>
                      <w:kern w:val="2"/>
                    </w:rPr>
                  </w:pPr>
                  <w:r>
                    <w:rPr>
                      <w:rFonts w:hint="default" w:ascii="Times New Roman" w:hAnsi="Times New Roman" w:eastAsia="宋体" w:cs="Times New Roman"/>
                      <w:color w:val="auto"/>
                    </w:rPr>
                    <w:t>治理方案</w:t>
                  </w:r>
                </w:p>
              </w:tc>
              <w:tc>
                <w:tcPr>
                  <w:tcW w:w="1387" w:type="dxa"/>
                  <w:tcBorders>
                    <w:top w:val="single" w:color="auto" w:sz="4" w:space="0"/>
                    <w:left w:val="nil"/>
                    <w:bottom w:val="single" w:color="auto" w:sz="4" w:space="0"/>
                    <w:right w:val="single" w:color="auto" w:sz="4" w:space="0"/>
                  </w:tcBorders>
                  <w:vAlign w:val="center"/>
                </w:tcPr>
                <w:p w14:paraId="4E3B6778">
                  <w:pPr>
                    <w:pStyle w:val="111"/>
                    <w:jc w:val="center"/>
                    <w:rPr>
                      <w:rFonts w:hint="default" w:ascii="Times New Roman" w:hAnsi="Times New Roman" w:eastAsia="宋体" w:cs="Times New Roman"/>
                      <w:color w:val="auto"/>
                      <w:kern w:val="2"/>
                    </w:rPr>
                  </w:pPr>
                  <w:r>
                    <w:rPr>
                      <w:rFonts w:hint="default" w:ascii="Times New Roman" w:hAnsi="Times New Roman" w:eastAsia="宋体" w:cs="Times New Roman"/>
                      <w:color w:val="auto"/>
                    </w:rPr>
                    <w:t>治理效果</w:t>
                  </w:r>
                </w:p>
              </w:tc>
              <w:tc>
                <w:tcPr>
                  <w:tcW w:w="662" w:type="dxa"/>
                  <w:tcBorders>
                    <w:top w:val="single" w:color="auto" w:sz="4" w:space="0"/>
                    <w:left w:val="nil"/>
                    <w:bottom w:val="single" w:color="auto" w:sz="4" w:space="0"/>
                    <w:right w:val="single" w:color="auto" w:sz="4" w:space="0"/>
                  </w:tcBorders>
                  <w:vAlign w:val="center"/>
                </w:tcPr>
                <w:p w14:paraId="701BBB3B">
                  <w:pPr>
                    <w:pStyle w:val="111"/>
                    <w:jc w:val="center"/>
                    <w:rPr>
                      <w:rFonts w:hint="default" w:ascii="Times New Roman" w:hAnsi="Times New Roman" w:eastAsia="宋体" w:cs="Times New Roman"/>
                      <w:color w:val="auto"/>
                      <w:kern w:val="2"/>
                    </w:rPr>
                  </w:pPr>
                  <w:r>
                    <w:rPr>
                      <w:rFonts w:hint="default" w:ascii="Times New Roman" w:hAnsi="Times New Roman" w:eastAsia="宋体" w:cs="Times New Roman"/>
                      <w:color w:val="auto"/>
                    </w:rPr>
                    <w:t>建设计划</w:t>
                  </w:r>
                </w:p>
              </w:tc>
            </w:tr>
            <w:tr w14:paraId="07ACC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395" w:type="dxa"/>
                  <w:vMerge w:val="restart"/>
                  <w:tcBorders>
                    <w:top w:val="nil"/>
                    <w:left w:val="single" w:color="auto" w:sz="4" w:space="0"/>
                    <w:bottom w:val="single" w:color="auto" w:sz="4" w:space="0"/>
                    <w:right w:val="single" w:color="auto" w:sz="4" w:space="0"/>
                  </w:tcBorders>
                  <w:vAlign w:val="center"/>
                </w:tcPr>
                <w:p w14:paraId="2B08260B">
                  <w:pPr>
                    <w:pStyle w:val="111"/>
                    <w:jc w:val="center"/>
                    <w:rPr>
                      <w:rFonts w:hint="default" w:ascii="Times New Roman" w:hAnsi="Times New Roman" w:eastAsia="宋体" w:cs="Times New Roman"/>
                      <w:color w:val="auto"/>
                      <w:kern w:val="2"/>
                    </w:rPr>
                  </w:pPr>
                  <w:r>
                    <w:rPr>
                      <w:rFonts w:hint="default" w:ascii="Times New Roman" w:hAnsi="Times New Roman" w:eastAsia="宋体" w:cs="Times New Roman"/>
                      <w:color w:val="auto"/>
                    </w:rPr>
                    <w:t>1</w:t>
                  </w:r>
                </w:p>
              </w:tc>
              <w:tc>
                <w:tcPr>
                  <w:tcW w:w="582" w:type="dxa"/>
                  <w:vMerge w:val="restart"/>
                  <w:tcBorders>
                    <w:top w:val="nil"/>
                    <w:left w:val="nil"/>
                    <w:bottom w:val="single" w:color="auto" w:sz="4" w:space="0"/>
                    <w:right w:val="single" w:color="auto" w:sz="4" w:space="0"/>
                  </w:tcBorders>
                  <w:vAlign w:val="center"/>
                </w:tcPr>
                <w:p w14:paraId="706F1455">
                  <w:pPr>
                    <w:pStyle w:val="111"/>
                    <w:jc w:val="center"/>
                    <w:rPr>
                      <w:rFonts w:hint="default" w:ascii="Times New Roman" w:hAnsi="Times New Roman" w:eastAsia="宋体" w:cs="Times New Roman"/>
                      <w:color w:val="auto"/>
                      <w:kern w:val="2"/>
                    </w:rPr>
                  </w:pPr>
                  <w:r>
                    <w:rPr>
                      <w:rFonts w:hint="default" w:ascii="Times New Roman" w:hAnsi="Times New Roman" w:eastAsia="宋体" w:cs="Times New Roman"/>
                      <w:color w:val="auto"/>
                    </w:rPr>
                    <w:t>废水治理</w:t>
                  </w:r>
                </w:p>
              </w:tc>
              <w:tc>
                <w:tcPr>
                  <w:tcW w:w="1682" w:type="dxa"/>
                  <w:tcBorders>
                    <w:top w:val="single" w:color="auto" w:sz="4" w:space="0"/>
                    <w:left w:val="nil"/>
                    <w:bottom w:val="single" w:color="auto" w:sz="4" w:space="0"/>
                    <w:right w:val="single" w:color="auto" w:sz="4" w:space="0"/>
                  </w:tcBorders>
                  <w:vAlign w:val="center"/>
                </w:tcPr>
                <w:p w14:paraId="5ED026DF">
                  <w:pPr>
                    <w:pStyle w:val="111"/>
                    <w:jc w:val="center"/>
                    <w:rPr>
                      <w:rFonts w:hint="default" w:ascii="Times New Roman" w:hAnsi="Times New Roman" w:eastAsia="宋体" w:cs="Times New Roman"/>
                      <w:color w:val="auto"/>
                      <w:kern w:val="2"/>
                    </w:rPr>
                  </w:pPr>
                  <w:r>
                    <w:rPr>
                      <w:rFonts w:hint="default" w:ascii="Times New Roman" w:hAnsi="Times New Roman" w:eastAsia="宋体" w:cs="Times New Roman"/>
                      <w:color w:val="auto"/>
                    </w:rPr>
                    <w:t>施工车辆冲洗废水</w:t>
                  </w:r>
                </w:p>
              </w:tc>
              <w:tc>
                <w:tcPr>
                  <w:tcW w:w="3759" w:type="dxa"/>
                  <w:tcBorders>
                    <w:top w:val="single" w:color="auto" w:sz="4" w:space="0"/>
                    <w:left w:val="nil"/>
                    <w:bottom w:val="single" w:color="auto" w:sz="4" w:space="0"/>
                    <w:right w:val="single" w:color="auto" w:sz="4" w:space="0"/>
                  </w:tcBorders>
                  <w:vAlign w:val="center"/>
                </w:tcPr>
                <w:p w14:paraId="2FEB019C">
                  <w:pPr>
                    <w:pStyle w:val="111"/>
                    <w:jc w:val="left"/>
                    <w:rPr>
                      <w:rFonts w:hint="default" w:ascii="Times New Roman" w:hAnsi="Times New Roman" w:eastAsia="宋体" w:cs="Times New Roman"/>
                      <w:color w:val="auto"/>
                      <w:kern w:val="2"/>
                    </w:rPr>
                  </w:pPr>
                  <w:r>
                    <w:rPr>
                      <w:rFonts w:hint="default" w:ascii="Times New Roman" w:hAnsi="Times New Roman" w:eastAsia="宋体" w:cs="Times New Roman"/>
                      <w:color w:val="auto"/>
                    </w:rPr>
                    <w:t>施工区内设置车辆冲洗</w:t>
                  </w:r>
                  <w:r>
                    <w:rPr>
                      <w:rFonts w:hint="eastAsia" w:hAnsi="Times New Roman" w:cs="Times New Roman"/>
                      <w:color w:val="auto"/>
                      <w:lang w:eastAsia="zh-CN"/>
                    </w:rPr>
                    <w:t>隔油沉淀</w:t>
                  </w:r>
                  <w:r>
                    <w:rPr>
                      <w:rFonts w:hint="default" w:ascii="Times New Roman" w:hAnsi="Times New Roman" w:eastAsia="宋体" w:cs="Times New Roman"/>
                      <w:color w:val="auto"/>
                    </w:rPr>
                    <w:t>池，车辆冲洗废水经</w:t>
                  </w:r>
                  <w:r>
                    <w:rPr>
                      <w:rFonts w:hint="eastAsia" w:hAnsi="Times New Roman" w:cs="Times New Roman"/>
                      <w:color w:val="auto"/>
                      <w:lang w:eastAsia="zh-CN"/>
                    </w:rPr>
                    <w:t>隔油沉淀</w:t>
                  </w:r>
                  <w:r>
                    <w:rPr>
                      <w:rFonts w:hint="default" w:ascii="Times New Roman" w:hAnsi="Times New Roman" w:eastAsia="宋体" w:cs="Times New Roman"/>
                      <w:color w:val="auto"/>
                    </w:rPr>
                    <w:t>后</w:t>
                  </w:r>
                  <w:r>
                    <w:rPr>
                      <w:rFonts w:hint="default" w:ascii="Times New Roman" w:hAnsi="Times New Roman" w:eastAsia="宋体" w:cs="Times New Roman"/>
                      <w:color w:val="auto"/>
                      <w:lang w:eastAsia="zh-CN"/>
                    </w:rPr>
                    <w:t>用于砼拌和养护用水</w:t>
                  </w:r>
                  <w:r>
                    <w:rPr>
                      <w:rFonts w:hint="default" w:ascii="Times New Roman" w:hAnsi="Times New Roman" w:eastAsia="宋体" w:cs="Times New Roman"/>
                      <w:color w:val="auto"/>
                    </w:rPr>
                    <w:t>。</w:t>
                  </w:r>
                </w:p>
              </w:tc>
              <w:tc>
                <w:tcPr>
                  <w:tcW w:w="1387" w:type="dxa"/>
                  <w:tcBorders>
                    <w:top w:val="single" w:color="auto" w:sz="4" w:space="0"/>
                    <w:left w:val="nil"/>
                    <w:bottom w:val="single" w:color="auto" w:sz="4" w:space="0"/>
                    <w:right w:val="single" w:color="auto" w:sz="4" w:space="0"/>
                  </w:tcBorders>
                  <w:vAlign w:val="center"/>
                </w:tcPr>
                <w:p w14:paraId="15CC108C">
                  <w:pPr>
                    <w:pStyle w:val="111"/>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不外排</w:t>
                  </w:r>
                </w:p>
              </w:tc>
              <w:tc>
                <w:tcPr>
                  <w:tcW w:w="662" w:type="dxa"/>
                  <w:vMerge w:val="restart"/>
                  <w:tcBorders>
                    <w:top w:val="nil"/>
                    <w:left w:val="nil"/>
                    <w:bottom w:val="single" w:color="auto" w:sz="4" w:space="0"/>
                    <w:right w:val="single" w:color="auto" w:sz="4" w:space="0"/>
                  </w:tcBorders>
                  <w:vAlign w:val="center"/>
                </w:tcPr>
                <w:p w14:paraId="0E564A53">
                  <w:pPr>
                    <w:pStyle w:val="111"/>
                    <w:jc w:val="center"/>
                    <w:rPr>
                      <w:rFonts w:hint="default" w:ascii="Times New Roman" w:hAnsi="Times New Roman" w:eastAsia="宋体" w:cs="Times New Roman"/>
                      <w:color w:val="auto"/>
                      <w:kern w:val="2"/>
                    </w:rPr>
                  </w:pPr>
                  <w:r>
                    <w:rPr>
                      <w:rFonts w:hint="default" w:ascii="Times New Roman" w:hAnsi="Times New Roman" w:eastAsia="宋体" w:cs="Times New Roman"/>
                      <w:color w:val="auto"/>
                    </w:rPr>
                    <w:t>与建设项目同时设计，同时施工，同时使用</w:t>
                  </w:r>
                </w:p>
              </w:tc>
            </w:tr>
            <w:tr w14:paraId="0A6F0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395" w:type="dxa"/>
                  <w:vMerge w:val="continue"/>
                  <w:tcBorders>
                    <w:top w:val="nil"/>
                    <w:left w:val="single" w:color="auto" w:sz="4" w:space="0"/>
                    <w:bottom w:val="single" w:color="auto" w:sz="4" w:space="0"/>
                    <w:right w:val="single" w:color="auto" w:sz="4" w:space="0"/>
                  </w:tcBorders>
                  <w:vAlign w:val="center"/>
                </w:tcPr>
                <w:p w14:paraId="26981929">
                  <w:pPr>
                    <w:pStyle w:val="111"/>
                    <w:jc w:val="center"/>
                    <w:rPr>
                      <w:rFonts w:hint="default" w:ascii="Times New Roman" w:hAnsi="Times New Roman" w:eastAsia="宋体" w:cs="Times New Roman"/>
                      <w:color w:val="auto"/>
                      <w:kern w:val="2"/>
                    </w:rPr>
                  </w:pPr>
                </w:p>
              </w:tc>
              <w:tc>
                <w:tcPr>
                  <w:tcW w:w="582" w:type="dxa"/>
                  <w:vMerge w:val="continue"/>
                  <w:tcBorders>
                    <w:top w:val="nil"/>
                    <w:left w:val="nil"/>
                    <w:bottom w:val="single" w:color="auto" w:sz="4" w:space="0"/>
                    <w:right w:val="single" w:color="auto" w:sz="4" w:space="0"/>
                  </w:tcBorders>
                  <w:vAlign w:val="center"/>
                </w:tcPr>
                <w:p w14:paraId="332CBFC9">
                  <w:pPr>
                    <w:pStyle w:val="111"/>
                    <w:jc w:val="center"/>
                    <w:rPr>
                      <w:rFonts w:hint="default" w:ascii="Times New Roman" w:hAnsi="Times New Roman" w:eastAsia="宋体" w:cs="Times New Roman"/>
                      <w:color w:val="auto"/>
                      <w:kern w:val="2"/>
                    </w:rPr>
                  </w:pPr>
                </w:p>
              </w:tc>
              <w:tc>
                <w:tcPr>
                  <w:tcW w:w="1682" w:type="dxa"/>
                  <w:tcBorders>
                    <w:top w:val="single" w:color="auto" w:sz="4" w:space="0"/>
                    <w:left w:val="nil"/>
                    <w:bottom w:val="single" w:color="auto" w:sz="4" w:space="0"/>
                    <w:right w:val="single" w:color="auto" w:sz="4" w:space="0"/>
                  </w:tcBorders>
                  <w:vAlign w:val="center"/>
                </w:tcPr>
                <w:p w14:paraId="20F25224">
                  <w:pPr>
                    <w:pStyle w:val="111"/>
                    <w:jc w:val="center"/>
                    <w:rPr>
                      <w:rFonts w:hint="default" w:ascii="Times New Roman" w:hAnsi="Times New Roman" w:eastAsia="宋体" w:cs="Times New Roman"/>
                      <w:color w:val="auto"/>
                      <w:kern w:val="2"/>
                    </w:rPr>
                  </w:pPr>
                  <w:r>
                    <w:rPr>
                      <w:rFonts w:hint="default" w:ascii="Times New Roman" w:hAnsi="Times New Roman" w:eastAsia="宋体" w:cs="Times New Roman"/>
                      <w:color w:val="auto"/>
                    </w:rPr>
                    <w:t>生活污水</w:t>
                  </w:r>
                </w:p>
              </w:tc>
              <w:tc>
                <w:tcPr>
                  <w:tcW w:w="3759" w:type="dxa"/>
                  <w:tcBorders>
                    <w:top w:val="single" w:color="auto" w:sz="4" w:space="0"/>
                    <w:left w:val="nil"/>
                    <w:bottom w:val="single" w:color="auto" w:sz="4" w:space="0"/>
                    <w:right w:val="single" w:color="auto" w:sz="4" w:space="0"/>
                  </w:tcBorders>
                  <w:vAlign w:val="center"/>
                </w:tcPr>
                <w:p w14:paraId="0A413CB6">
                  <w:pPr>
                    <w:pStyle w:val="111"/>
                    <w:jc w:val="left"/>
                    <w:rPr>
                      <w:rFonts w:hint="default" w:ascii="Times New Roman" w:hAnsi="Times New Roman" w:eastAsia="宋体" w:cs="Times New Roman"/>
                      <w:color w:val="auto"/>
                      <w:kern w:val="2"/>
                      <w:lang w:val="en-US" w:eastAsia="zh-CN"/>
                    </w:rPr>
                  </w:pPr>
                  <w:r>
                    <w:rPr>
                      <w:rFonts w:hint="default" w:ascii="Times New Roman" w:hAnsi="Times New Roman" w:eastAsia="宋体" w:cs="Times New Roman"/>
                      <w:color w:val="auto"/>
                    </w:rPr>
                    <w:t>施工场地</w:t>
                  </w:r>
                  <w:r>
                    <w:rPr>
                      <w:rFonts w:hint="default" w:ascii="Times New Roman" w:hAnsi="Times New Roman" w:eastAsia="宋体" w:cs="Times New Roman"/>
                      <w:color w:val="auto"/>
                      <w:lang w:eastAsia="zh-CN"/>
                    </w:rPr>
                    <w:t>设置临时化粪池，</w:t>
                  </w:r>
                  <w:r>
                    <w:rPr>
                      <w:rFonts w:hint="eastAsia" w:hAnsi="Times New Roman" w:cs="Times New Roman"/>
                      <w:color w:val="auto"/>
                      <w:lang w:eastAsia="zh-CN"/>
                    </w:rPr>
                    <w:t>罐车定期清运至莎车县污水处理厂处理</w:t>
                  </w:r>
                </w:p>
              </w:tc>
              <w:tc>
                <w:tcPr>
                  <w:tcW w:w="1387" w:type="dxa"/>
                  <w:tcBorders>
                    <w:top w:val="single" w:color="auto" w:sz="4" w:space="0"/>
                    <w:left w:val="nil"/>
                    <w:bottom w:val="single" w:color="auto" w:sz="4" w:space="0"/>
                    <w:right w:val="single" w:color="auto" w:sz="4" w:space="0"/>
                  </w:tcBorders>
                  <w:vAlign w:val="center"/>
                </w:tcPr>
                <w:p w14:paraId="49D8345A">
                  <w:pPr>
                    <w:pStyle w:val="111"/>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综合利用</w:t>
                  </w:r>
                </w:p>
              </w:tc>
              <w:tc>
                <w:tcPr>
                  <w:tcW w:w="662" w:type="dxa"/>
                  <w:vMerge w:val="continue"/>
                  <w:tcBorders>
                    <w:top w:val="nil"/>
                    <w:left w:val="nil"/>
                    <w:bottom w:val="single" w:color="auto" w:sz="4" w:space="0"/>
                    <w:right w:val="single" w:color="auto" w:sz="4" w:space="0"/>
                  </w:tcBorders>
                  <w:vAlign w:val="center"/>
                </w:tcPr>
                <w:p w14:paraId="5E6F4E9F">
                  <w:pPr>
                    <w:pStyle w:val="111"/>
                    <w:jc w:val="center"/>
                    <w:rPr>
                      <w:rFonts w:hint="default" w:ascii="Times New Roman" w:hAnsi="Times New Roman" w:eastAsia="宋体" w:cs="Times New Roman"/>
                      <w:color w:val="auto"/>
                      <w:kern w:val="2"/>
                    </w:rPr>
                  </w:pPr>
                </w:p>
              </w:tc>
            </w:tr>
            <w:tr w14:paraId="6C612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395" w:type="dxa"/>
                  <w:vMerge w:val="restart"/>
                  <w:tcBorders>
                    <w:top w:val="nil"/>
                    <w:left w:val="single" w:color="auto" w:sz="4" w:space="0"/>
                    <w:right w:val="single" w:color="auto" w:sz="4" w:space="0"/>
                  </w:tcBorders>
                  <w:vAlign w:val="center"/>
                </w:tcPr>
                <w:p w14:paraId="60C4C640">
                  <w:pPr>
                    <w:pStyle w:val="111"/>
                    <w:jc w:val="center"/>
                    <w:rPr>
                      <w:rFonts w:hint="default" w:ascii="Times New Roman" w:hAnsi="Times New Roman" w:eastAsia="宋体" w:cs="Times New Roman"/>
                      <w:color w:val="auto"/>
                      <w:kern w:val="2"/>
                    </w:rPr>
                  </w:pPr>
                  <w:r>
                    <w:rPr>
                      <w:rFonts w:hint="default" w:ascii="Times New Roman" w:hAnsi="Times New Roman" w:eastAsia="宋体" w:cs="Times New Roman"/>
                      <w:color w:val="auto"/>
                    </w:rPr>
                    <w:t>2</w:t>
                  </w:r>
                </w:p>
              </w:tc>
              <w:tc>
                <w:tcPr>
                  <w:tcW w:w="582" w:type="dxa"/>
                  <w:vMerge w:val="restart"/>
                  <w:tcBorders>
                    <w:top w:val="nil"/>
                    <w:left w:val="nil"/>
                    <w:right w:val="single" w:color="auto" w:sz="4" w:space="0"/>
                  </w:tcBorders>
                  <w:vAlign w:val="center"/>
                </w:tcPr>
                <w:p w14:paraId="5BC28409">
                  <w:pPr>
                    <w:pStyle w:val="111"/>
                    <w:jc w:val="center"/>
                    <w:rPr>
                      <w:rFonts w:hint="default" w:ascii="Times New Roman" w:hAnsi="Times New Roman" w:eastAsia="宋体" w:cs="Times New Roman"/>
                      <w:color w:val="auto"/>
                      <w:kern w:val="2"/>
                    </w:rPr>
                  </w:pPr>
                  <w:r>
                    <w:rPr>
                      <w:rFonts w:hint="default" w:ascii="Times New Roman" w:hAnsi="Times New Roman" w:eastAsia="宋体" w:cs="Times New Roman"/>
                      <w:color w:val="auto"/>
                    </w:rPr>
                    <w:t>废气治理</w:t>
                  </w:r>
                </w:p>
              </w:tc>
              <w:tc>
                <w:tcPr>
                  <w:tcW w:w="1682" w:type="dxa"/>
                  <w:tcBorders>
                    <w:top w:val="single" w:color="auto" w:sz="4" w:space="0"/>
                    <w:left w:val="nil"/>
                    <w:bottom w:val="single" w:color="auto" w:sz="4" w:space="0"/>
                    <w:right w:val="single" w:color="auto" w:sz="4" w:space="0"/>
                  </w:tcBorders>
                  <w:vAlign w:val="center"/>
                </w:tcPr>
                <w:p w14:paraId="4A269868">
                  <w:pPr>
                    <w:pStyle w:val="111"/>
                    <w:jc w:val="center"/>
                    <w:rPr>
                      <w:rFonts w:hint="default" w:ascii="Times New Roman" w:hAnsi="Times New Roman" w:eastAsia="宋体" w:cs="Times New Roman"/>
                      <w:color w:val="auto"/>
                      <w:kern w:val="2"/>
                    </w:rPr>
                  </w:pPr>
                  <w:r>
                    <w:rPr>
                      <w:rFonts w:hint="default" w:ascii="Times New Roman" w:hAnsi="Times New Roman" w:eastAsia="宋体" w:cs="Times New Roman"/>
                      <w:color w:val="auto"/>
                    </w:rPr>
                    <w:t>施工机械燃油废气</w:t>
                  </w:r>
                </w:p>
              </w:tc>
              <w:tc>
                <w:tcPr>
                  <w:tcW w:w="3759" w:type="dxa"/>
                  <w:tcBorders>
                    <w:top w:val="single" w:color="auto" w:sz="4" w:space="0"/>
                    <w:left w:val="nil"/>
                    <w:bottom w:val="single" w:color="auto" w:sz="4" w:space="0"/>
                    <w:right w:val="single" w:color="auto" w:sz="4" w:space="0"/>
                  </w:tcBorders>
                  <w:vAlign w:val="center"/>
                </w:tcPr>
                <w:p w14:paraId="3B514551">
                  <w:pPr>
                    <w:pStyle w:val="111"/>
                    <w:jc w:val="left"/>
                    <w:rPr>
                      <w:rFonts w:hint="default" w:ascii="Times New Roman" w:hAnsi="Times New Roman" w:eastAsia="宋体" w:cs="Times New Roman"/>
                      <w:color w:val="auto"/>
                      <w:kern w:val="2"/>
                    </w:rPr>
                  </w:pPr>
                  <w:r>
                    <w:rPr>
                      <w:rFonts w:hint="default" w:ascii="Times New Roman" w:hAnsi="Times New Roman" w:eastAsia="宋体" w:cs="Times New Roman"/>
                      <w:color w:val="auto"/>
                    </w:rPr>
                    <w:t>加强车辆保养和维护，减少超载，减少停车怠速时间，以减少燃油废气排放</w:t>
                  </w:r>
                </w:p>
              </w:tc>
              <w:tc>
                <w:tcPr>
                  <w:tcW w:w="1387" w:type="dxa"/>
                  <w:vMerge w:val="restart"/>
                  <w:tcBorders>
                    <w:top w:val="nil"/>
                    <w:left w:val="nil"/>
                    <w:right w:val="single" w:color="auto" w:sz="4" w:space="0"/>
                  </w:tcBorders>
                  <w:vAlign w:val="center"/>
                </w:tcPr>
                <w:p w14:paraId="5ABF1A6E">
                  <w:pPr>
                    <w:pStyle w:val="111"/>
                    <w:jc w:val="center"/>
                    <w:rPr>
                      <w:rFonts w:hint="default" w:ascii="Times New Roman" w:hAnsi="Times New Roman" w:eastAsia="宋体" w:cs="Times New Roman"/>
                      <w:color w:val="auto"/>
                    </w:rPr>
                  </w:pPr>
                  <w:r>
                    <w:rPr>
                      <w:rFonts w:hint="default" w:ascii="Times New Roman" w:hAnsi="Times New Roman" w:eastAsia="宋体" w:cs="Times New Roman"/>
                      <w:color w:val="auto"/>
                    </w:rPr>
                    <w:t>《大气污染物综合排放标准》（GB16297-1996）表2标准</w:t>
                  </w:r>
                </w:p>
              </w:tc>
              <w:tc>
                <w:tcPr>
                  <w:tcW w:w="662" w:type="dxa"/>
                  <w:vMerge w:val="continue"/>
                  <w:tcBorders>
                    <w:top w:val="nil"/>
                    <w:left w:val="nil"/>
                    <w:bottom w:val="single" w:color="auto" w:sz="4" w:space="0"/>
                    <w:right w:val="single" w:color="auto" w:sz="4" w:space="0"/>
                  </w:tcBorders>
                  <w:vAlign w:val="center"/>
                </w:tcPr>
                <w:p w14:paraId="2A789441">
                  <w:pPr>
                    <w:pStyle w:val="111"/>
                    <w:jc w:val="center"/>
                    <w:rPr>
                      <w:rFonts w:hint="default" w:ascii="Times New Roman" w:hAnsi="Times New Roman" w:eastAsia="宋体" w:cs="Times New Roman"/>
                      <w:color w:val="auto"/>
                      <w:kern w:val="2"/>
                    </w:rPr>
                  </w:pPr>
                </w:p>
              </w:tc>
            </w:tr>
            <w:tr w14:paraId="7F293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395" w:type="dxa"/>
                  <w:vMerge w:val="continue"/>
                  <w:tcBorders>
                    <w:left w:val="single" w:color="auto" w:sz="4" w:space="0"/>
                    <w:right w:val="single" w:color="auto" w:sz="4" w:space="0"/>
                  </w:tcBorders>
                  <w:vAlign w:val="center"/>
                </w:tcPr>
                <w:p w14:paraId="3F23972D">
                  <w:pPr>
                    <w:pStyle w:val="111"/>
                    <w:jc w:val="center"/>
                    <w:rPr>
                      <w:rFonts w:hint="default" w:ascii="Times New Roman" w:hAnsi="Times New Roman" w:eastAsia="宋体" w:cs="Times New Roman"/>
                      <w:color w:val="auto"/>
                      <w:kern w:val="2"/>
                    </w:rPr>
                  </w:pPr>
                </w:p>
              </w:tc>
              <w:tc>
                <w:tcPr>
                  <w:tcW w:w="582" w:type="dxa"/>
                  <w:vMerge w:val="continue"/>
                  <w:tcBorders>
                    <w:left w:val="nil"/>
                    <w:right w:val="single" w:color="auto" w:sz="4" w:space="0"/>
                  </w:tcBorders>
                  <w:vAlign w:val="center"/>
                </w:tcPr>
                <w:p w14:paraId="02538D1B">
                  <w:pPr>
                    <w:pStyle w:val="111"/>
                    <w:jc w:val="center"/>
                    <w:rPr>
                      <w:rFonts w:hint="default" w:ascii="Times New Roman" w:hAnsi="Times New Roman" w:eastAsia="宋体" w:cs="Times New Roman"/>
                      <w:color w:val="auto"/>
                      <w:kern w:val="2"/>
                    </w:rPr>
                  </w:pPr>
                </w:p>
              </w:tc>
              <w:tc>
                <w:tcPr>
                  <w:tcW w:w="1682" w:type="dxa"/>
                  <w:tcBorders>
                    <w:top w:val="single" w:color="auto" w:sz="4" w:space="0"/>
                    <w:left w:val="nil"/>
                    <w:bottom w:val="single" w:color="auto" w:sz="4" w:space="0"/>
                    <w:right w:val="single" w:color="auto" w:sz="4" w:space="0"/>
                  </w:tcBorders>
                  <w:vAlign w:val="center"/>
                </w:tcPr>
                <w:p w14:paraId="7DE4713A">
                  <w:pPr>
                    <w:pStyle w:val="111"/>
                    <w:jc w:val="center"/>
                    <w:rPr>
                      <w:rFonts w:hint="default" w:ascii="Times New Roman" w:hAnsi="Times New Roman" w:eastAsia="宋体" w:cs="Times New Roman"/>
                      <w:color w:val="auto"/>
                      <w:kern w:val="2"/>
                    </w:rPr>
                  </w:pPr>
                  <w:r>
                    <w:rPr>
                      <w:rFonts w:hint="default" w:ascii="Times New Roman" w:hAnsi="Times New Roman" w:eastAsia="宋体" w:cs="Times New Roman"/>
                      <w:color w:val="auto"/>
                    </w:rPr>
                    <w:t>施工扬尘</w:t>
                  </w:r>
                </w:p>
              </w:tc>
              <w:tc>
                <w:tcPr>
                  <w:tcW w:w="3759" w:type="dxa"/>
                  <w:vMerge w:val="restart"/>
                  <w:tcBorders>
                    <w:top w:val="single" w:color="auto" w:sz="4" w:space="0"/>
                    <w:left w:val="nil"/>
                    <w:right w:val="single" w:color="auto" w:sz="4" w:space="0"/>
                  </w:tcBorders>
                  <w:vAlign w:val="center"/>
                </w:tcPr>
                <w:p w14:paraId="47D98C79">
                  <w:pPr>
                    <w:pStyle w:val="111"/>
                    <w:jc w:val="left"/>
                    <w:rPr>
                      <w:rFonts w:hint="default" w:ascii="Times New Roman" w:hAnsi="Times New Roman" w:eastAsia="宋体" w:cs="Times New Roman"/>
                      <w:color w:val="auto"/>
                      <w:kern w:val="2"/>
                      <w:lang w:eastAsia="zh-CN"/>
                    </w:rPr>
                  </w:pPr>
                  <w:r>
                    <w:rPr>
                      <w:rFonts w:hint="default" w:ascii="Times New Roman" w:hAnsi="Times New Roman" w:eastAsia="宋体" w:cs="Times New Roman"/>
                      <w:color w:val="auto"/>
                      <w:lang w:eastAsia="zh-CN"/>
                    </w:rPr>
                    <w:t>①料场四周设置围挡防风阻尘，堆垛配备篷布遮盖并定期洒水保持湿润。②对于地基处理时的挖方、填方及剩余方的暂存场，在大风天气极易产生扬尘，评价要求将临时处置、堆放点设在施工场地内，严禁超界；对暂存场进行洒水抑尘，同时对物料进行覆盖；采取防尘布苫盖。③合理化施工场地平面布置。建设单位建设前应合理布置施工场地平面图，物料堆场、砂石料拌和场、临时土方堆存地应尽量远离居民点，并且对其进行遮盖防尘布等措施。</w:t>
                  </w:r>
                </w:p>
              </w:tc>
              <w:tc>
                <w:tcPr>
                  <w:tcW w:w="1387" w:type="dxa"/>
                  <w:vMerge w:val="continue"/>
                  <w:tcBorders>
                    <w:left w:val="nil"/>
                    <w:right w:val="single" w:color="auto" w:sz="4" w:space="0"/>
                  </w:tcBorders>
                  <w:vAlign w:val="center"/>
                </w:tcPr>
                <w:p w14:paraId="31E31207">
                  <w:pPr>
                    <w:pStyle w:val="111"/>
                    <w:jc w:val="center"/>
                    <w:rPr>
                      <w:rFonts w:hint="default" w:ascii="Times New Roman" w:hAnsi="Times New Roman" w:eastAsia="宋体" w:cs="Times New Roman"/>
                      <w:color w:val="auto"/>
                    </w:rPr>
                  </w:pPr>
                </w:p>
              </w:tc>
              <w:tc>
                <w:tcPr>
                  <w:tcW w:w="662" w:type="dxa"/>
                  <w:vMerge w:val="continue"/>
                  <w:tcBorders>
                    <w:top w:val="nil"/>
                    <w:left w:val="nil"/>
                    <w:bottom w:val="single" w:color="auto" w:sz="4" w:space="0"/>
                    <w:right w:val="single" w:color="auto" w:sz="4" w:space="0"/>
                  </w:tcBorders>
                  <w:vAlign w:val="center"/>
                </w:tcPr>
                <w:p w14:paraId="740A4890">
                  <w:pPr>
                    <w:pStyle w:val="111"/>
                    <w:jc w:val="center"/>
                    <w:rPr>
                      <w:rFonts w:hint="default" w:ascii="Times New Roman" w:hAnsi="Times New Roman" w:eastAsia="宋体" w:cs="Times New Roman"/>
                      <w:color w:val="auto"/>
                      <w:kern w:val="2"/>
                    </w:rPr>
                  </w:pPr>
                </w:p>
              </w:tc>
            </w:tr>
            <w:tr w14:paraId="7ABF0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3" w:hRule="atLeast"/>
                <w:jc w:val="center"/>
              </w:trPr>
              <w:tc>
                <w:tcPr>
                  <w:tcW w:w="395" w:type="dxa"/>
                  <w:vMerge w:val="continue"/>
                  <w:tcBorders>
                    <w:left w:val="single" w:color="auto" w:sz="4" w:space="0"/>
                    <w:right w:val="single" w:color="auto" w:sz="4" w:space="0"/>
                  </w:tcBorders>
                  <w:vAlign w:val="center"/>
                </w:tcPr>
                <w:p w14:paraId="225252D8">
                  <w:pPr>
                    <w:pStyle w:val="111"/>
                    <w:jc w:val="center"/>
                    <w:rPr>
                      <w:rFonts w:hint="default" w:ascii="Times New Roman" w:hAnsi="Times New Roman" w:eastAsia="宋体" w:cs="Times New Roman"/>
                      <w:color w:val="auto"/>
                      <w:kern w:val="2"/>
                    </w:rPr>
                  </w:pPr>
                </w:p>
              </w:tc>
              <w:tc>
                <w:tcPr>
                  <w:tcW w:w="582" w:type="dxa"/>
                  <w:vMerge w:val="continue"/>
                  <w:tcBorders>
                    <w:left w:val="nil"/>
                    <w:right w:val="single" w:color="auto" w:sz="4" w:space="0"/>
                  </w:tcBorders>
                  <w:vAlign w:val="center"/>
                </w:tcPr>
                <w:p w14:paraId="4220D885">
                  <w:pPr>
                    <w:pStyle w:val="111"/>
                    <w:jc w:val="center"/>
                    <w:rPr>
                      <w:rFonts w:hint="default" w:ascii="Times New Roman" w:hAnsi="Times New Roman" w:eastAsia="宋体" w:cs="Times New Roman"/>
                      <w:color w:val="auto"/>
                      <w:kern w:val="2"/>
                    </w:rPr>
                  </w:pPr>
                </w:p>
              </w:tc>
              <w:tc>
                <w:tcPr>
                  <w:tcW w:w="1682" w:type="dxa"/>
                  <w:tcBorders>
                    <w:top w:val="single" w:color="auto" w:sz="4" w:space="0"/>
                    <w:left w:val="nil"/>
                    <w:bottom w:val="single" w:color="auto" w:sz="4" w:space="0"/>
                    <w:right w:val="single" w:color="auto" w:sz="4" w:space="0"/>
                  </w:tcBorders>
                  <w:vAlign w:val="center"/>
                </w:tcPr>
                <w:p w14:paraId="19E23A7B">
                  <w:pPr>
                    <w:pStyle w:val="111"/>
                    <w:jc w:val="center"/>
                    <w:rPr>
                      <w:rFonts w:hint="default" w:ascii="Times New Roman" w:hAnsi="Times New Roman" w:eastAsia="宋体" w:cs="Times New Roman"/>
                      <w:color w:val="auto"/>
                    </w:rPr>
                  </w:pPr>
                  <w:r>
                    <w:rPr>
                      <w:rFonts w:hint="default" w:ascii="Times New Roman" w:hAnsi="Times New Roman" w:eastAsia="宋体" w:cs="Times New Roman"/>
                      <w:color w:val="auto"/>
                    </w:rPr>
                    <w:t>料场扬尘</w:t>
                  </w:r>
                </w:p>
              </w:tc>
              <w:tc>
                <w:tcPr>
                  <w:tcW w:w="3759" w:type="dxa"/>
                  <w:vMerge w:val="continue"/>
                  <w:tcBorders>
                    <w:left w:val="nil"/>
                    <w:right w:val="single" w:color="auto" w:sz="4" w:space="0"/>
                  </w:tcBorders>
                  <w:vAlign w:val="center"/>
                </w:tcPr>
                <w:p w14:paraId="0CCF221F">
                  <w:pPr>
                    <w:pStyle w:val="111"/>
                    <w:jc w:val="left"/>
                    <w:rPr>
                      <w:rFonts w:hint="default" w:ascii="Times New Roman" w:hAnsi="Times New Roman" w:eastAsia="宋体" w:cs="Times New Roman"/>
                      <w:color w:val="auto"/>
                    </w:rPr>
                  </w:pPr>
                </w:p>
              </w:tc>
              <w:tc>
                <w:tcPr>
                  <w:tcW w:w="1387" w:type="dxa"/>
                  <w:vMerge w:val="continue"/>
                  <w:tcBorders>
                    <w:left w:val="nil"/>
                    <w:right w:val="single" w:color="auto" w:sz="4" w:space="0"/>
                  </w:tcBorders>
                  <w:vAlign w:val="center"/>
                </w:tcPr>
                <w:p w14:paraId="2242FE72">
                  <w:pPr>
                    <w:pStyle w:val="111"/>
                    <w:jc w:val="center"/>
                    <w:rPr>
                      <w:rFonts w:hint="default" w:ascii="Times New Roman" w:hAnsi="Times New Roman" w:eastAsia="宋体" w:cs="Times New Roman"/>
                      <w:color w:val="auto"/>
                    </w:rPr>
                  </w:pPr>
                </w:p>
              </w:tc>
              <w:tc>
                <w:tcPr>
                  <w:tcW w:w="662" w:type="dxa"/>
                  <w:vMerge w:val="continue"/>
                  <w:tcBorders>
                    <w:top w:val="nil"/>
                    <w:left w:val="nil"/>
                    <w:bottom w:val="single" w:color="auto" w:sz="4" w:space="0"/>
                    <w:right w:val="single" w:color="auto" w:sz="4" w:space="0"/>
                  </w:tcBorders>
                  <w:vAlign w:val="center"/>
                </w:tcPr>
                <w:p w14:paraId="1BEA2FA0">
                  <w:pPr>
                    <w:pStyle w:val="111"/>
                    <w:jc w:val="center"/>
                    <w:rPr>
                      <w:rFonts w:hint="default" w:ascii="Times New Roman" w:hAnsi="Times New Roman" w:eastAsia="宋体" w:cs="Times New Roman"/>
                      <w:color w:val="auto"/>
                      <w:kern w:val="2"/>
                    </w:rPr>
                  </w:pPr>
                </w:p>
              </w:tc>
            </w:tr>
            <w:tr w14:paraId="25281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395" w:type="dxa"/>
                  <w:vMerge w:val="continue"/>
                  <w:tcBorders>
                    <w:left w:val="single" w:color="auto" w:sz="4" w:space="0"/>
                    <w:bottom w:val="single" w:color="auto" w:sz="4" w:space="0"/>
                    <w:right w:val="single" w:color="auto" w:sz="4" w:space="0"/>
                  </w:tcBorders>
                  <w:vAlign w:val="center"/>
                </w:tcPr>
                <w:p w14:paraId="57978FAF">
                  <w:pPr>
                    <w:pStyle w:val="111"/>
                    <w:jc w:val="center"/>
                    <w:rPr>
                      <w:rFonts w:hint="default" w:ascii="Times New Roman" w:hAnsi="Times New Roman" w:eastAsia="宋体" w:cs="Times New Roman"/>
                      <w:color w:val="auto"/>
                      <w:kern w:val="2"/>
                    </w:rPr>
                  </w:pPr>
                </w:p>
              </w:tc>
              <w:tc>
                <w:tcPr>
                  <w:tcW w:w="582" w:type="dxa"/>
                  <w:vMerge w:val="continue"/>
                  <w:tcBorders>
                    <w:left w:val="nil"/>
                    <w:bottom w:val="single" w:color="auto" w:sz="4" w:space="0"/>
                    <w:right w:val="single" w:color="auto" w:sz="4" w:space="0"/>
                  </w:tcBorders>
                  <w:vAlign w:val="center"/>
                </w:tcPr>
                <w:p w14:paraId="5295DF47">
                  <w:pPr>
                    <w:pStyle w:val="111"/>
                    <w:jc w:val="center"/>
                    <w:rPr>
                      <w:rFonts w:hint="default" w:ascii="Times New Roman" w:hAnsi="Times New Roman" w:eastAsia="宋体" w:cs="Times New Roman"/>
                      <w:color w:val="auto"/>
                      <w:kern w:val="2"/>
                    </w:rPr>
                  </w:pPr>
                </w:p>
              </w:tc>
              <w:tc>
                <w:tcPr>
                  <w:tcW w:w="1682" w:type="dxa"/>
                  <w:tcBorders>
                    <w:top w:val="single" w:color="auto" w:sz="4" w:space="0"/>
                    <w:left w:val="nil"/>
                    <w:bottom w:val="single" w:color="auto" w:sz="4" w:space="0"/>
                    <w:right w:val="single" w:color="auto" w:sz="4" w:space="0"/>
                  </w:tcBorders>
                  <w:vAlign w:val="center"/>
                </w:tcPr>
                <w:p w14:paraId="18E462AD">
                  <w:pPr>
                    <w:pStyle w:val="111"/>
                    <w:jc w:val="center"/>
                    <w:rPr>
                      <w:rFonts w:hint="default" w:ascii="Times New Roman" w:hAnsi="Times New Roman" w:eastAsia="宋体" w:cs="Times New Roman"/>
                      <w:color w:val="auto"/>
                    </w:rPr>
                  </w:pPr>
                  <w:r>
                    <w:rPr>
                      <w:rFonts w:hint="default" w:ascii="Times New Roman" w:hAnsi="Times New Roman" w:eastAsia="宋体" w:cs="Times New Roman"/>
                      <w:color w:val="auto"/>
                    </w:rPr>
                    <w:t>弃土弃渣堆放场</w:t>
                  </w:r>
                </w:p>
              </w:tc>
              <w:tc>
                <w:tcPr>
                  <w:tcW w:w="3759" w:type="dxa"/>
                  <w:vMerge w:val="continue"/>
                  <w:tcBorders>
                    <w:left w:val="nil"/>
                    <w:bottom w:val="single" w:color="auto" w:sz="4" w:space="0"/>
                    <w:right w:val="single" w:color="auto" w:sz="4" w:space="0"/>
                  </w:tcBorders>
                  <w:vAlign w:val="center"/>
                </w:tcPr>
                <w:p w14:paraId="1809F043">
                  <w:pPr>
                    <w:pStyle w:val="111"/>
                    <w:jc w:val="left"/>
                    <w:rPr>
                      <w:rFonts w:hint="default" w:ascii="Times New Roman" w:hAnsi="Times New Roman" w:eastAsia="宋体" w:cs="Times New Roman"/>
                      <w:color w:val="auto"/>
                    </w:rPr>
                  </w:pPr>
                </w:p>
              </w:tc>
              <w:tc>
                <w:tcPr>
                  <w:tcW w:w="1387" w:type="dxa"/>
                  <w:vMerge w:val="continue"/>
                  <w:tcBorders>
                    <w:left w:val="nil"/>
                    <w:bottom w:val="single" w:color="auto" w:sz="4" w:space="0"/>
                    <w:right w:val="single" w:color="auto" w:sz="4" w:space="0"/>
                  </w:tcBorders>
                  <w:vAlign w:val="center"/>
                </w:tcPr>
                <w:p w14:paraId="3E6A1A0D">
                  <w:pPr>
                    <w:pStyle w:val="111"/>
                    <w:jc w:val="center"/>
                    <w:rPr>
                      <w:rFonts w:hint="default" w:ascii="Times New Roman" w:hAnsi="Times New Roman" w:eastAsia="宋体" w:cs="Times New Roman"/>
                      <w:color w:val="auto"/>
                    </w:rPr>
                  </w:pPr>
                </w:p>
              </w:tc>
              <w:tc>
                <w:tcPr>
                  <w:tcW w:w="662" w:type="dxa"/>
                  <w:vMerge w:val="continue"/>
                  <w:tcBorders>
                    <w:top w:val="nil"/>
                    <w:left w:val="nil"/>
                    <w:bottom w:val="single" w:color="auto" w:sz="4" w:space="0"/>
                    <w:right w:val="single" w:color="auto" w:sz="4" w:space="0"/>
                  </w:tcBorders>
                  <w:vAlign w:val="center"/>
                </w:tcPr>
                <w:p w14:paraId="77FB86D5">
                  <w:pPr>
                    <w:pStyle w:val="111"/>
                    <w:jc w:val="center"/>
                    <w:rPr>
                      <w:rFonts w:hint="default" w:ascii="Times New Roman" w:hAnsi="Times New Roman" w:eastAsia="宋体" w:cs="Times New Roman"/>
                      <w:color w:val="auto"/>
                      <w:kern w:val="2"/>
                    </w:rPr>
                  </w:pPr>
                </w:p>
              </w:tc>
            </w:tr>
            <w:tr w14:paraId="231A5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395" w:type="dxa"/>
                  <w:tcBorders>
                    <w:top w:val="single" w:color="auto" w:sz="4" w:space="0"/>
                    <w:left w:val="single" w:color="auto" w:sz="4" w:space="0"/>
                    <w:right w:val="single" w:color="auto" w:sz="4" w:space="0"/>
                  </w:tcBorders>
                  <w:vAlign w:val="center"/>
                </w:tcPr>
                <w:p w14:paraId="5F26353E">
                  <w:pPr>
                    <w:pStyle w:val="111"/>
                    <w:jc w:val="center"/>
                    <w:rPr>
                      <w:rFonts w:hint="default" w:ascii="Times New Roman" w:hAnsi="Times New Roman" w:eastAsia="宋体" w:cs="Times New Roman"/>
                      <w:color w:val="auto"/>
                      <w:kern w:val="2"/>
                    </w:rPr>
                  </w:pPr>
                  <w:r>
                    <w:rPr>
                      <w:rFonts w:hint="default" w:ascii="Times New Roman" w:hAnsi="Times New Roman" w:eastAsia="宋体" w:cs="Times New Roman"/>
                      <w:color w:val="auto"/>
                    </w:rPr>
                    <w:t>3</w:t>
                  </w:r>
                </w:p>
              </w:tc>
              <w:tc>
                <w:tcPr>
                  <w:tcW w:w="582" w:type="dxa"/>
                  <w:tcBorders>
                    <w:top w:val="single" w:color="auto" w:sz="4" w:space="0"/>
                    <w:left w:val="nil"/>
                    <w:right w:val="single" w:color="auto" w:sz="4" w:space="0"/>
                  </w:tcBorders>
                  <w:vAlign w:val="center"/>
                </w:tcPr>
                <w:p w14:paraId="639DCA57">
                  <w:pPr>
                    <w:pStyle w:val="111"/>
                    <w:jc w:val="center"/>
                    <w:rPr>
                      <w:rFonts w:hint="default" w:ascii="Times New Roman" w:hAnsi="Times New Roman" w:eastAsia="宋体" w:cs="Times New Roman"/>
                      <w:color w:val="auto"/>
                      <w:kern w:val="2"/>
                    </w:rPr>
                  </w:pPr>
                  <w:r>
                    <w:rPr>
                      <w:rFonts w:hint="default" w:ascii="Times New Roman" w:hAnsi="Times New Roman" w:eastAsia="宋体" w:cs="Times New Roman"/>
                      <w:color w:val="auto"/>
                    </w:rPr>
                    <w:t>噪声治理</w:t>
                  </w:r>
                </w:p>
              </w:tc>
              <w:tc>
                <w:tcPr>
                  <w:tcW w:w="1682" w:type="dxa"/>
                  <w:tcBorders>
                    <w:top w:val="single" w:color="auto" w:sz="4" w:space="0"/>
                    <w:left w:val="nil"/>
                    <w:bottom w:val="single" w:color="auto" w:sz="4" w:space="0"/>
                    <w:right w:val="single" w:color="auto" w:sz="4" w:space="0"/>
                  </w:tcBorders>
                  <w:vAlign w:val="center"/>
                </w:tcPr>
                <w:p w14:paraId="64AEECE7">
                  <w:pPr>
                    <w:pStyle w:val="111"/>
                    <w:jc w:val="center"/>
                    <w:rPr>
                      <w:rFonts w:hint="default" w:ascii="Times New Roman" w:hAnsi="Times New Roman" w:eastAsia="宋体" w:cs="Times New Roman"/>
                      <w:color w:val="auto"/>
                      <w:kern w:val="2"/>
                    </w:rPr>
                  </w:pPr>
                  <w:r>
                    <w:rPr>
                      <w:rFonts w:hint="default" w:ascii="Times New Roman" w:hAnsi="Times New Roman" w:eastAsia="宋体" w:cs="Times New Roman"/>
                      <w:color w:val="auto"/>
                    </w:rPr>
                    <w:t>施工产噪设备</w:t>
                  </w:r>
                </w:p>
              </w:tc>
              <w:tc>
                <w:tcPr>
                  <w:tcW w:w="3759" w:type="dxa"/>
                  <w:tcBorders>
                    <w:top w:val="single" w:color="auto" w:sz="4" w:space="0"/>
                    <w:left w:val="nil"/>
                    <w:bottom w:val="single" w:color="auto" w:sz="4" w:space="0"/>
                    <w:right w:val="single" w:color="auto" w:sz="4" w:space="0"/>
                  </w:tcBorders>
                  <w:vAlign w:val="center"/>
                </w:tcPr>
                <w:p w14:paraId="13334F09">
                  <w:pPr>
                    <w:pStyle w:val="111"/>
                    <w:jc w:val="left"/>
                    <w:rPr>
                      <w:rFonts w:hint="default" w:ascii="Times New Roman" w:hAnsi="Times New Roman" w:eastAsia="宋体" w:cs="Times New Roman"/>
                      <w:color w:val="auto"/>
                    </w:rPr>
                  </w:pPr>
                  <w:r>
                    <w:rPr>
                      <w:rFonts w:hint="default" w:ascii="Times New Roman" w:hAnsi="Times New Roman" w:eastAsia="宋体" w:cs="Times New Roman"/>
                      <w:color w:val="auto"/>
                    </w:rPr>
                    <w:t>使用低噪声设备；合理安排施工时间和施工布局；高噪声设备远离村庄敏感点布置；运输车辆减速慢行，禁止鸣笛</w:t>
                  </w:r>
                </w:p>
              </w:tc>
              <w:tc>
                <w:tcPr>
                  <w:tcW w:w="1387" w:type="dxa"/>
                  <w:tcBorders>
                    <w:top w:val="single" w:color="auto" w:sz="4" w:space="0"/>
                    <w:left w:val="nil"/>
                    <w:bottom w:val="single" w:color="auto" w:sz="4" w:space="0"/>
                    <w:right w:val="single" w:color="auto" w:sz="4" w:space="0"/>
                  </w:tcBorders>
                  <w:vAlign w:val="center"/>
                </w:tcPr>
                <w:p w14:paraId="55BCF97B">
                  <w:pPr>
                    <w:pStyle w:val="111"/>
                    <w:jc w:val="center"/>
                    <w:rPr>
                      <w:rFonts w:hint="default" w:ascii="Times New Roman" w:hAnsi="Times New Roman" w:eastAsia="宋体" w:cs="Times New Roman"/>
                      <w:color w:val="auto"/>
                      <w:kern w:val="2"/>
                    </w:rPr>
                  </w:pPr>
                  <w:r>
                    <w:rPr>
                      <w:rFonts w:hint="default" w:ascii="Times New Roman" w:hAnsi="Times New Roman" w:eastAsia="宋体" w:cs="Times New Roman"/>
                      <w:color w:val="auto"/>
                    </w:rPr>
                    <w:t>《建筑施工场界环境噪声排放标准》（GB12523-2011）</w:t>
                  </w:r>
                </w:p>
              </w:tc>
              <w:tc>
                <w:tcPr>
                  <w:tcW w:w="662" w:type="dxa"/>
                  <w:vMerge w:val="continue"/>
                  <w:tcBorders>
                    <w:top w:val="nil"/>
                    <w:left w:val="nil"/>
                    <w:bottom w:val="single" w:color="auto" w:sz="4" w:space="0"/>
                    <w:right w:val="single" w:color="auto" w:sz="4" w:space="0"/>
                  </w:tcBorders>
                  <w:vAlign w:val="center"/>
                </w:tcPr>
                <w:p w14:paraId="64DF52C0">
                  <w:pPr>
                    <w:pStyle w:val="111"/>
                    <w:jc w:val="center"/>
                    <w:rPr>
                      <w:rFonts w:hint="default" w:ascii="Times New Roman" w:hAnsi="Times New Roman" w:eastAsia="宋体" w:cs="Times New Roman"/>
                      <w:color w:val="auto"/>
                      <w:kern w:val="2"/>
                    </w:rPr>
                  </w:pPr>
                </w:p>
              </w:tc>
            </w:tr>
            <w:tr w14:paraId="6FEB9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395" w:type="dxa"/>
                  <w:vMerge w:val="restart"/>
                  <w:tcBorders>
                    <w:top w:val="nil"/>
                    <w:left w:val="single" w:color="auto" w:sz="4" w:space="0"/>
                    <w:bottom w:val="single" w:color="auto" w:sz="4" w:space="0"/>
                    <w:right w:val="single" w:color="auto" w:sz="4" w:space="0"/>
                  </w:tcBorders>
                  <w:vAlign w:val="center"/>
                </w:tcPr>
                <w:p w14:paraId="308420F2">
                  <w:pPr>
                    <w:pStyle w:val="111"/>
                    <w:jc w:val="center"/>
                    <w:rPr>
                      <w:rFonts w:hint="default" w:ascii="Times New Roman" w:hAnsi="Times New Roman" w:eastAsia="宋体" w:cs="Times New Roman"/>
                      <w:color w:val="auto"/>
                      <w:kern w:val="2"/>
                    </w:rPr>
                  </w:pPr>
                  <w:r>
                    <w:rPr>
                      <w:rFonts w:hint="default" w:ascii="Times New Roman" w:hAnsi="Times New Roman" w:eastAsia="宋体" w:cs="Times New Roman"/>
                      <w:color w:val="auto"/>
                    </w:rPr>
                    <w:t>4</w:t>
                  </w:r>
                </w:p>
              </w:tc>
              <w:tc>
                <w:tcPr>
                  <w:tcW w:w="582" w:type="dxa"/>
                  <w:vMerge w:val="restart"/>
                  <w:tcBorders>
                    <w:top w:val="nil"/>
                    <w:left w:val="nil"/>
                    <w:bottom w:val="single" w:color="auto" w:sz="4" w:space="0"/>
                    <w:right w:val="single" w:color="auto" w:sz="4" w:space="0"/>
                  </w:tcBorders>
                  <w:vAlign w:val="center"/>
                </w:tcPr>
                <w:p w14:paraId="1B38EBC2">
                  <w:pPr>
                    <w:pStyle w:val="111"/>
                    <w:jc w:val="center"/>
                    <w:rPr>
                      <w:rFonts w:hint="default" w:ascii="Times New Roman" w:hAnsi="Times New Roman" w:eastAsia="宋体" w:cs="Times New Roman"/>
                      <w:color w:val="auto"/>
                      <w:kern w:val="2"/>
                    </w:rPr>
                  </w:pPr>
                  <w:r>
                    <w:rPr>
                      <w:rFonts w:hint="default" w:ascii="Times New Roman" w:hAnsi="Times New Roman" w:eastAsia="宋体" w:cs="Times New Roman"/>
                      <w:color w:val="auto"/>
                    </w:rPr>
                    <w:t>固废治理</w:t>
                  </w:r>
                </w:p>
              </w:tc>
              <w:tc>
                <w:tcPr>
                  <w:tcW w:w="1682" w:type="dxa"/>
                  <w:tcBorders>
                    <w:top w:val="single" w:color="auto" w:sz="4" w:space="0"/>
                    <w:left w:val="nil"/>
                    <w:bottom w:val="single" w:color="auto" w:sz="4" w:space="0"/>
                    <w:right w:val="single" w:color="auto" w:sz="4" w:space="0"/>
                  </w:tcBorders>
                  <w:vAlign w:val="center"/>
                </w:tcPr>
                <w:p w14:paraId="744786D4">
                  <w:pPr>
                    <w:pStyle w:val="111"/>
                    <w:jc w:val="center"/>
                    <w:rPr>
                      <w:rFonts w:hint="default" w:ascii="Times New Roman" w:hAnsi="Times New Roman" w:eastAsia="宋体" w:cs="Times New Roman"/>
                      <w:color w:val="auto"/>
                    </w:rPr>
                  </w:pPr>
                  <w:r>
                    <w:rPr>
                      <w:rFonts w:hint="default" w:ascii="Times New Roman" w:hAnsi="Times New Roman" w:eastAsia="宋体" w:cs="Times New Roman"/>
                      <w:color w:val="auto"/>
                    </w:rPr>
                    <w:t>施工工程弃土</w:t>
                  </w:r>
                </w:p>
              </w:tc>
              <w:tc>
                <w:tcPr>
                  <w:tcW w:w="3759" w:type="dxa"/>
                  <w:tcBorders>
                    <w:top w:val="single" w:color="auto" w:sz="4" w:space="0"/>
                    <w:left w:val="nil"/>
                    <w:bottom w:val="single" w:color="auto" w:sz="4" w:space="0"/>
                    <w:right w:val="single" w:color="auto" w:sz="4" w:space="0"/>
                  </w:tcBorders>
                  <w:vAlign w:val="center"/>
                </w:tcPr>
                <w:p w14:paraId="304BFDD6">
                  <w:pPr>
                    <w:pStyle w:val="111"/>
                    <w:jc w:val="left"/>
                    <w:rPr>
                      <w:rFonts w:hint="default" w:ascii="Times New Roman" w:hAnsi="Times New Roman" w:eastAsia="宋体" w:cs="Times New Roman"/>
                      <w:color w:val="auto"/>
                    </w:rPr>
                  </w:pPr>
                  <w:r>
                    <w:rPr>
                      <w:rFonts w:hint="eastAsia" w:hAnsi="Times New Roman" w:cs="Times New Roman"/>
                      <w:color w:val="auto"/>
                      <w:lang w:val="en-US" w:eastAsia="zh-CN"/>
                    </w:rPr>
                    <w:t>弃土方及时用于土地平整和回填使用，无法利用的</w:t>
                  </w:r>
                  <w:r>
                    <w:rPr>
                      <w:rFonts w:hint="default" w:ascii="Times New Roman" w:hAnsi="Times New Roman" w:eastAsia="宋体" w:cs="Times New Roman"/>
                      <w:color w:val="auto"/>
                      <w:lang w:val="en-US" w:eastAsia="zh-CN"/>
                    </w:rPr>
                    <w:t>送至</w:t>
                  </w:r>
                  <w:r>
                    <w:rPr>
                      <w:rFonts w:hint="eastAsia" w:hAnsi="Times New Roman" w:cs="Times New Roman"/>
                      <w:color w:val="auto"/>
                      <w:lang w:val="en-US" w:eastAsia="zh-CN"/>
                    </w:rPr>
                    <w:t>莎车县城市管理部门指定的建筑垃圾存放点</w:t>
                  </w:r>
                  <w:r>
                    <w:rPr>
                      <w:rFonts w:hint="default" w:ascii="Times New Roman" w:hAnsi="Times New Roman" w:eastAsia="宋体" w:cs="Times New Roman"/>
                      <w:color w:val="auto"/>
                      <w:lang w:val="en-US" w:eastAsia="zh-CN"/>
                    </w:rPr>
                    <w:t>处理进行综合利用，不得随意倾倒</w:t>
                  </w:r>
                </w:p>
              </w:tc>
              <w:tc>
                <w:tcPr>
                  <w:tcW w:w="1387" w:type="dxa"/>
                  <w:tcBorders>
                    <w:top w:val="single" w:color="auto" w:sz="4" w:space="0"/>
                    <w:left w:val="nil"/>
                    <w:bottom w:val="single" w:color="auto" w:sz="4" w:space="0"/>
                    <w:right w:val="single" w:color="auto" w:sz="4" w:space="0"/>
                  </w:tcBorders>
                  <w:vAlign w:val="center"/>
                </w:tcPr>
                <w:p w14:paraId="17D03CCD">
                  <w:pPr>
                    <w:pStyle w:val="111"/>
                    <w:jc w:val="center"/>
                    <w:rPr>
                      <w:rFonts w:hint="default" w:ascii="Times New Roman" w:hAnsi="Times New Roman" w:eastAsia="宋体" w:cs="Times New Roman"/>
                      <w:color w:val="auto"/>
                    </w:rPr>
                  </w:pPr>
                  <w:r>
                    <w:rPr>
                      <w:rFonts w:hint="default" w:ascii="Times New Roman" w:hAnsi="Times New Roman" w:eastAsia="宋体" w:cs="Times New Roman"/>
                      <w:color w:val="auto"/>
                    </w:rPr>
                    <w:t>资源化</w:t>
                  </w:r>
                </w:p>
              </w:tc>
              <w:tc>
                <w:tcPr>
                  <w:tcW w:w="662" w:type="dxa"/>
                  <w:vMerge w:val="continue"/>
                  <w:tcBorders>
                    <w:top w:val="nil"/>
                    <w:left w:val="nil"/>
                    <w:bottom w:val="single" w:color="auto" w:sz="4" w:space="0"/>
                    <w:right w:val="single" w:color="auto" w:sz="4" w:space="0"/>
                  </w:tcBorders>
                  <w:vAlign w:val="center"/>
                </w:tcPr>
                <w:p w14:paraId="3FCADEC4">
                  <w:pPr>
                    <w:pStyle w:val="111"/>
                    <w:jc w:val="center"/>
                    <w:rPr>
                      <w:rFonts w:hint="default" w:ascii="Times New Roman" w:hAnsi="Times New Roman" w:eastAsia="宋体" w:cs="Times New Roman"/>
                      <w:color w:val="auto"/>
                      <w:kern w:val="2"/>
                    </w:rPr>
                  </w:pPr>
                </w:p>
              </w:tc>
            </w:tr>
            <w:tr w14:paraId="2E691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395" w:type="dxa"/>
                  <w:vMerge w:val="continue"/>
                  <w:tcBorders>
                    <w:top w:val="nil"/>
                    <w:left w:val="single" w:color="auto" w:sz="4" w:space="0"/>
                    <w:bottom w:val="single" w:color="auto" w:sz="4" w:space="0"/>
                    <w:right w:val="single" w:color="auto" w:sz="4" w:space="0"/>
                  </w:tcBorders>
                  <w:vAlign w:val="center"/>
                </w:tcPr>
                <w:p w14:paraId="270213E5">
                  <w:pPr>
                    <w:pStyle w:val="111"/>
                    <w:jc w:val="center"/>
                    <w:rPr>
                      <w:rFonts w:hint="default" w:ascii="Times New Roman" w:hAnsi="Times New Roman" w:eastAsia="宋体" w:cs="Times New Roman"/>
                      <w:color w:val="auto"/>
                      <w:kern w:val="2"/>
                    </w:rPr>
                  </w:pPr>
                </w:p>
              </w:tc>
              <w:tc>
                <w:tcPr>
                  <w:tcW w:w="582" w:type="dxa"/>
                  <w:vMerge w:val="continue"/>
                  <w:tcBorders>
                    <w:top w:val="nil"/>
                    <w:left w:val="nil"/>
                    <w:bottom w:val="single" w:color="auto" w:sz="4" w:space="0"/>
                    <w:right w:val="single" w:color="auto" w:sz="4" w:space="0"/>
                  </w:tcBorders>
                  <w:vAlign w:val="center"/>
                </w:tcPr>
                <w:p w14:paraId="0E5C1632">
                  <w:pPr>
                    <w:pStyle w:val="111"/>
                    <w:jc w:val="center"/>
                    <w:rPr>
                      <w:rFonts w:hint="default" w:ascii="Times New Roman" w:hAnsi="Times New Roman" w:eastAsia="宋体" w:cs="Times New Roman"/>
                      <w:color w:val="auto"/>
                      <w:kern w:val="2"/>
                    </w:rPr>
                  </w:pPr>
                </w:p>
              </w:tc>
              <w:tc>
                <w:tcPr>
                  <w:tcW w:w="1682" w:type="dxa"/>
                  <w:tcBorders>
                    <w:top w:val="single" w:color="auto" w:sz="4" w:space="0"/>
                    <w:left w:val="nil"/>
                    <w:bottom w:val="single" w:color="auto" w:sz="4" w:space="0"/>
                    <w:right w:val="single" w:color="auto" w:sz="4" w:space="0"/>
                  </w:tcBorders>
                  <w:vAlign w:val="center"/>
                </w:tcPr>
                <w:p w14:paraId="25A24A9B">
                  <w:pPr>
                    <w:pStyle w:val="111"/>
                    <w:jc w:val="center"/>
                    <w:rPr>
                      <w:rFonts w:hint="default" w:ascii="Times New Roman" w:hAnsi="Times New Roman" w:eastAsia="宋体" w:cs="Times New Roman"/>
                      <w:color w:val="auto"/>
                    </w:rPr>
                  </w:pPr>
                  <w:r>
                    <w:rPr>
                      <w:rFonts w:hint="default" w:ascii="Times New Roman" w:hAnsi="Times New Roman" w:eastAsia="宋体" w:cs="Times New Roman"/>
                      <w:color w:val="auto"/>
                    </w:rPr>
                    <w:t>施工</w:t>
                  </w:r>
                  <w:r>
                    <w:rPr>
                      <w:rFonts w:hint="default" w:ascii="Times New Roman" w:hAnsi="Times New Roman" w:eastAsia="宋体" w:cs="Times New Roman"/>
                      <w:color w:val="auto"/>
                      <w:kern w:val="2"/>
                    </w:rPr>
                    <w:t>建筑垃圾</w:t>
                  </w:r>
                </w:p>
              </w:tc>
              <w:tc>
                <w:tcPr>
                  <w:tcW w:w="3759" w:type="dxa"/>
                  <w:tcBorders>
                    <w:top w:val="single" w:color="auto" w:sz="4" w:space="0"/>
                    <w:left w:val="nil"/>
                    <w:bottom w:val="single" w:color="auto" w:sz="4" w:space="0"/>
                    <w:right w:val="single" w:color="auto" w:sz="4" w:space="0"/>
                  </w:tcBorders>
                  <w:vAlign w:val="center"/>
                </w:tcPr>
                <w:p w14:paraId="0022F527">
                  <w:pPr>
                    <w:pStyle w:val="111"/>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对施工中产生的建筑垃圾能回收的应尽量回收利用，无法利用的集中收集后运至</w:t>
                  </w:r>
                  <w:r>
                    <w:rPr>
                      <w:rFonts w:hint="eastAsia" w:hAnsi="Times New Roman" w:cs="Times New Roman"/>
                      <w:color w:val="auto"/>
                      <w:lang w:val="en-US" w:eastAsia="zh-CN"/>
                    </w:rPr>
                    <w:t>莎车县城市管理部门指定的建筑垃圾存放点</w:t>
                  </w:r>
                  <w:r>
                    <w:rPr>
                      <w:rFonts w:hint="default" w:ascii="Times New Roman" w:hAnsi="Times New Roman" w:eastAsia="宋体" w:cs="Times New Roman"/>
                      <w:color w:val="auto"/>
                      <w:lang w:val="en-US" w:eastAsia="zh-CN"/>
                    </w:rPr>
                    <w:t>处理</w:t>
                  </w:r>
                </w:p>
              </w:tc>
              <w:tc>
                <w:tcPr>
                  <w:tcW w:w="1387" w:type="dxa"/>
                  <w:tcBorders>
                    <w:top w:val="single" w:color="auto" w:sz="4" w:space="0"/>
                    <w:left w:val="nil"/>
                    <w:bottom w:val="single" w:color="auto" w:sz="4" w:space="0"/>
                    <w:right w:val="single" w:color="auto" w:sz="4" w:space="0"/>
                  </w:tcBorders>
                  <w:vAlign w:val="center"/>
                </w:tcPr>
                <w:p w14:paraId="05718CE5">
                  <w:pPr>
                    <w:pStyle w:val="111"/>
                    <w:jc w:val="center"/>
                    <w:rPr>
                      <w:rFonts w:hint="default" w:ascii="Times New Roman" w:hAnsi="Times New Roman" w:eastAsia="宋体" w:cs="Times New Roman"/>
                      <w:color w:val="auto"/>
                    </w:rPr>
                  </w:pPr>
                  <w:r>
                    <w:rPr>
                      <w:rFonts w:hint="default" w:ascii="Times New Roman" w:hAnsi="Times New Roman" w:eastAsia="宋体" w:cs="Times New Roman"/>
                      <w:color w:val="auto"/>
                    </w:rPr>
                    <w:t>无害化</w:t>
                  </w:r>
                </w:p>
              </w:tc>
              <w:tc>
                <w:tcPr>
                  <w:tcW w:w="662" w:type="dxa"/>
                  <w:vMerge w:val="continue"/>
                  <w:tcBorders>
                    <w:top w:val="nil"/>
                    <w:left w:val="nil"/>
                    <w:bottom w:val="single" w:color="auto" w:sz="4" w:space="0"/>
                    <w:right w:val="single" w:color="auto" w:sz="4" w:space="0"/>
                  </w:tcBorders>
                  <w:vAlign w:val="center"/>
                </w:tcPr>
                <w:p w14:paraId="2A6B9B83">
                  <w:pPr>
                    <w:pStyle w:val="111"/>
                    <w:jc w:val="center"/>
                    <w:rPr>
                      <w:rFonts w:hint="default" w:ascii="Times New Roman" w:hAnsi="Times New Roman" w:eastAsia="宋体" w:cs="Times New Roman"/>
                      <w:color w:val="auto"/>
                      <w:kern w:val="2"/>
                    </w:rPr>
                  </w:pPr>
                </w:p>
              </w:tc>
            </w:tr>
            <w:tr w14:paraId="156C4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395" w:type="dxa"/>
                  <w:vMerge w:val="continue"/>
                  <w:tcBorders>
                    <w:top w:val="nil"/>
                    <w:left w:val="single" w:color="auto" w:sz="4" w:space="0"/>
                    <w:bottom w:val="single" w:color="auto" w:sz="4" w:space="0"/>
                    <w:right w:val="single" w:color="auto" w:sz="4" w:space="0"/>
                  </w:tcBorders>
                  <w:vAlign w:val="center"/>
                </w:tcPr>
                <w:p w14:paraId="7DE135E2">
                  <w:pPr>
                    <w:pStyle w:val="111"/>
                    <w:jc w:val="center"/>
                    <w:rPr>
                      <w:rFonts w:hint="default" w:ascii="Times New Roman" w:hAnsi="Times New Roman" w:eastAsia="宋体" w:cs="Times New Roman"/>
                      <w:color w:val="auto"/>
                      <w:kern w:val="2"/>
                    </w:rPr>
                  </w:pPr>
                </w:p>
              </w:tc>
              <w:tc>
                <w:tcPr>
                  <w:tcW w:w="582" w:type="dxa"/>
                  <w:vMerge w:val="continue"/>
                  <w:tcBorders>
                    <w:top w:val="nil"/>
                    <w:left w:val="nil"/>
                    <w:bottom w:val="single" w:color="auto" w:sz="4" w:space="0"/>
                    <w:right w:val="single" w:color="auto" w:sz="4" w:space="0"/>
                  </w:tcBorders>
                  <w:vAlign w:val="center"/>
                </w:tcPr>
                <w:p w14:paraId="0C017241">
                  <w:pPr>
                    <w:pStyle w:val="111"/>
                    <w:jc w:val="center"/>
                    <w:rPr>
                      <w:rFonts w:hint="default" w:ascii="Times New Roman" w:hAnsi="Times New Roman" w:eastAsia="宋体" w:cs="Times New Roman"/>
                      <w:color w:val="auto"/>
                      <w:kern w:val="2"/>
                    </w:rPr>
                  </w:pPr>
                </w:p>
              </w:tc>
              <w:tc>
                <w:tcPr>
                  <w:tcW w:w="1682" w:type="dxa"/>
                  <w:tcBorders>
                    <w:top w:val="single" w:color="auto" w:sz="4" w:space="0"/>
                    <w:left w:val="nil"/>
                    <w:bottom w:val="single" w:color="auto" w:sz="4" w:space="0"/>
                    <w:right w:val="single" w:color="auto" w:sz="4" w:space="0"/>
                  </w:tcBorders>
                  <w:vAlign w:val="center"/>
                </w:tcPr>
                <w:p w14:paraId="0E266663">
                  <w:pPr>
                    <w:pStyle w:val="111"/>
                    <w:jc w:val="center"/>
                    <w:rPr>
                      <w:rFonts w:hint="default" w:ascii="Times New Roman" w:hAnsi="Times New Roman" w:eastAsia="宋体" w:cs="Times New Roman"/>
                      <w:color w:val="auto"/>
                    </w:rPr>
                  </w:pPr>
                  <w:r>
                    <w:rPr>
                      <w:rFonts w:hint="default" w:ascii="Times New Roman" w:hAnsi="Times New Roman" w:eastAsia="宋体" w:cs="Times New Roman"/>
                      <w:color w:val="auto"/>
                    </w:rPr>
                    <w:t>施工人员生活垃圾</w:t>
                  </w:r>
                </w:p>
              </w:tc>
              <w:tc>
                <w:tcPr>
                  <w:tcW w:w="3759" w:type="dxa"/>
                  <w:tcBorders>
                    <w:top w:val="single" w:color="auto" w:sz="4" w:space="0"/>
                    <w:left w:val="nil"/>
                    <w:bottom w:val="single" w:color="auto" w:sz="4" w:space="0"/>
                    <w:right w:val="single" w:color="auto" w:sz="4" w:space="0"/>
                  </w:tcBorders>
                  <w:vAlign w:val="center"/>
                </w:tcPr>
                <w:p w14:paraId="5294C462">
                  <w:pPr>
                    <w:pStyle w:val="111"/>
                    <w:jc w:val="left"/>
                    <w:rPr>
                      <w:rFonts w:hint="default" w:ascii="Times New Roman" w:hAnsi="Times New Roman" w:eastAsia="宋体" w:cs="Times New Roman"/>
                      <w:color w:val="auto"/>
                    </w:rPr>
                  </w:pPr>
                  <w:r>
                    <w:rPr>
                      <w:rFonts w:hint="default" w:ascii="Times New Roman" w:hAnsi="Times New Roman" w:eastAsia="宋体" w:cs="Times New Roman"/>
                      <w:color w:val="auto"/>
                    </w:rPr>
                    <w:t>生活垃圾每天收集，交环卫部门进行处理</w:t>
                  </w:r>
                </w:p>
              </w:tc>
              <w:tc>
                <w:tcPr>
                  <w:tcW w:w="1387" w:type="dxa"/>
                  <w:tcBorders>
                    <w:top w:val="single" w:color="auto" w:sz="4" w:space="0"/>
                    <w:left w:val="nil"/>
                    <w:bottom w:val="nil"/>
                    <w:right w:val="single" w:color="auto" w:sz="4" w:space="0"/>
                  </w:tcBorders>
                  <w:vAlign w:val="center"/>
                </w:tcPr>
                <w:p w14:paraId="7964B7CE">
                  <w:pPr>
                    <w:pStyle w:val="111"/>
                    <w:jc w:val="center"/>
                    <w:rPr>
                      <w:rFonts w:hint="default" w:ascii="Times New Roman" w:hAnsi="Times New Roman" w:eastAsia="宋体" w:cs="Times New Roman"/>
                      <w:color w:val="auto"/>
                    </w:rPr>
                  </w:pPr>
                  <w:r>
                    <w:rPr>
                      <w:rFonts w:hint="default" w:ascii="Times New Roman" w:hAnsi="Times New Roman" w:eastAsia="宋体" w:cs="Times New Roman"/>
                      <w:color w:val="auto"/>
                    </w:rPr>
                    <w:t>无害化</w:t>
                  </w:r>
                </w:p>
              </w:tc>
              <w:tc>
                <w:tcPr>
                  <w:tcW w:w="662" w:type="dxa"/>
                  <w:vMerge w:val="continue"/>
                  <w:tcBorders>
                    <w:top w:val="nil"/>
                    <w:left w:val="nil"/>
                    <w:bottom w:val="single" w:color="auto" w:sz="4" w:space="0"/>
                    <w:right w:val="single" w:color="auto" w:sz="4" w:space="0"/>
                  </w:tcBorders>
                  <w:vAlign w:val="center"/>
                </w:tcPr>
                <w:p w14:paraId="5C5C7E18">
                  <w:pPr>
                    <w:pStyle w:val="111"/>
                    <w:jc w:val="center"/>
                    <w:rPr>
                      <w:rFonts w:hint="default" w:ascii="Times New Roman" w:hAnsi="Times New Roman" w:eastAsia="宋体" w:cs="Times New Roman"/>
                      <w:color w:val="auto"/>
                      <w:kern w:val="2"/>
                    </w:rPr>
                  </w:pPr>
                </w:p>
              </w:tc>
            </w:tr>
            <w:tr w14:paraId="405DC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395" w:type="dxa"/>
                  <w:tcBorders>
                    <w:top w:val="single" w:color="auto" w:sz="4" w:space="0"/>
                    <w:left w:val="single" w:color="auto" w:sz="4" w:space="0"/>
                    <w:bottom w:val="single" w:color="auto" w:sz="4" w:space="0"/>
                    <w:right w:val="single" w:color="auto" w:sz="4" w:space="0"/>
                  </w:tcBorders>
                  <w:vAlign w:val="center"/>
                </w:tcPr>
                <w:p w14:paraId="633CAD10">
                  <w:pPr>
                    <w:pStyle w:val="111"/>
                    <w:jc w:val="center"/>
                    <w:rPr>
                      <w:rFonts w:hint="default" w:ascii="Times New Roman" w:hAnsi="Times New Roman" w:eastAsia="宋体" w:cs="Times New Roman"/>
                      <w:color w:val="auto"/>
                      <w:kern w:val="2"/>
                    </w:rPr>
                  </w:pPr>
                  <w:r>
                    <w:rPr>
                      <w:rFonts w:hint="default" w:ascii="Times New Roman" w:hAnsi="Times New Roman" w:eastAsia="宋体" w:cs="Times New Roman"/>
                      <w:color w:val="auto"/>
                    </w:rPr>
                    <w:t>5</w:t>
                  </w:r>
                </w:p>
              </w:tc>
              <w:tc>
                <w:tcPr>
                  <w:tcW w:w="582" w:type="dxa"/>
                  <w:tcBorders>
                    <w:top w:val="single" w:color="auto" w:sz="4" w:space="0"/>
                    <w:left w:val="nil"/>
                    <w:bottom w:val="single" w:color="auto" w:sz="4" w:space="0"/>
                    <w:right w:val="single" w:color="auto" w:sz="4" w:space="0"/>
                  </w:tcBorders>
                  <w:vAlign w:val="center"/>
                </w:tcPr>
                <w:p w14:paraId="097B8839">
                  <w:pPr>
                    <w:pStyle w:val="111"/>
                    <w:jc w:val="center"/>
                    <w:rPr>
                      <w:rFonts w:hint="default" w:ascii="Times New Roman" w:hAnsi="Times New Roman" w:eastAsia="宋体" w:cs="Times New Roman"/>
                      <w:color w:val="auto"/>
                      <w:kern w:val="2"/>
                    </w:rPr>
                  </w:pPr>
                  <w:r>
                    <w:rPr>
                      <w:rFonts w:hint="default" w:ascii="Times New Roman" w:hAnsi="Times New Roman" w:eastAsia="宋体" w:cs="Times New Roman"/>
                      <w:color w:val="auto"/>
                    </w:rPr>
                    <w:t>生态保护措施及临时工程恢复</w:t>
                  </w:r>
                </w:p>
              </w:tc>
              <w:tc>
                <w:tcPr>
                  <w:tcW w:w="5441" w:type="dxa"/>
                  <w:gridSpan w:val="2"/>
                  <w:tcBorders>
                    <w:top w:val="single" w:color="auto" w:sz="4" w:space="0"/>
                    <w:left w:val="nil"/>
                    <w:bottom w:val="single" w:color="auto" w:sz="4" w:space="0"/>
                    <w:right w:val="single" w:color="auto" w:sz="4" w:space="0"/>
                  </w:tcBorders>
                  <w:vAlign w:val="center"/>
                </w:tcPr>
                <w:p w14:paraId="71FC2618">
                  <w:pPr>
                    <w:pStyle w:val="111"/>
                    <w:jc w:val="left"/>
                    <w:rPr>
                      <w:rFonts w:hint="default" w:ascii="Times New Roman" w:hAnsi="Times New Roman" w:eastAsia="宋体" w:cs="Times New Roman"/>
                      <w:color w:val="auto"/>
                    </w:rPr>
                  </w:pPr>
                  <w:r>
                    <w:rPr>
                      <w:rFonts w:hint="default" w:ascii="Times New Roman" w:hAnsi="Times New Roman" w:eastAsia="宋体" w:cs="Times New Roman"/>
                      <w:color w:val="auto"/>
                    </w:rPr>
                    <w:t>（1）</w:t>
                  </w:r>
                  <w:r>
                    <w:rPr>
                      <w:rFonts w:hint="default" w:ascii="Times New Roman" w:hAnsi="Times New Roman" w:eastAsia="宋体" w:cs="Times New Roman"/>
                      <w:color w:val="auto"/>
                      <w:lang w:val="en-US" w:eastAsia="zh-CN"/>
                    </w:rPr>
                    <w:t>严格控制施工作业范围</w:t>
                  </w:r>
                  <w:r>
                    <w:rPr>
                      <w:rFonts w:hint="default" w:ascii="Times New Roman" w:hAnsi="Times New Roman" w:eastAsia="宋体" w:cs="Times New Roman"/>
                      <w:color w:val="auto"/>
                    </w:rPr>
                    <w:t>，禁止随意占压、扰动和破坏地表；施工结束后迹地进行清理平整和地表恢复；严禁随意砍伐和破坏非施工区域内的野生植被；施工机械采用低噪声设备，尽量减少施工噪声对野生动物及鸟类的正常栖息。</w:t>
                  </w:r>
                </w:p>
                <w:p w14:paraId="670EEE7A">
                  <w:pPr>
                    <w:pStyle w:val="111"/>
                    <w:jc w:val="left"/>
                    <w:rPr>
                      <w:rFonts w:hint="default" w:ascii="Times New Roman" w:hAnsi="Times New Roman" w:eastAsia="宋体" w:cs="Times New Roman"/>
                      <w:color w:val="auto"/>
                    </w:rPr>
                  </w:pPr>
                  <w:r>
                    <w:rPr>
                      <w:rFonts w:hint="default" w:ascii="Times New Roman" w:hAnsi="Times New Roman" w:eastAsia="宋体" w:cs="Times New Roman"/>
                      <w:color w:val="auto"/>
                    </w:rPr>
                    <w:t>（2）</w:t>
                  </w:r>
                  <w:r>
                    <w:rPr>
                      <w:rFonts w:hint="default" w:ascii="Times New Roman" w:hAnsi="Times New Roman" w:eastAsia="宋体" w:cs="Times New Roman"/>
                      <w:color w:val="auto"/>
                      <w:lang w:eastAsia="zh-CN"/>
                    </w:rPr>
                    <w:t>水土流失防治</w:t>
                  </w:r>
                  <w:r>
                    <w:rPr>
                      <w:rFonts w:hint="default" w:ascii="Times New Roman" w:hAnsi="Times New Roman" w:eastAsia="宋体" w:cs="Times New Roman"/>
                      <w:color w:val="auto"/>
                    </w:rPr>
                    <w:t>措施</w:t>
                  </w:r>
                </w:p>
                <w:p w14:paraId="6183BC88">
                  <w:pPr>
                    <w:pStyle w:val="111"/>
                    <w:jc w:val="left"/>
                    <w:rPr>
                      <w:rFonts w:hint="default" w:ascii="Times New Roman" w:hAnsi="Times New Roman" w:eastAsia="宋体" w:cs="Times New Roman"/>
                      <w:color w:val="auto"/>
                    </w:rPr>
                  </w:pPr>
                  <w:r>
                    <w:rPr>
                      <w:rFonts w:hint="default" w:ascii="Times New Roman" w:hAnsi="Times New Roman" w:eastAsia="宋体" w:cs="Times New Roman"/>
                      <w:color w:val="auto"/>
                    </w:rPr>
                    <w:t>1）渠</w:t>
                  </w:r>
                  <w:r>
                    <w:rPr>
                      <w:rFonts w:hint="default" w:ascii="Times New Roman" w:hAnsi="Times New Roman" w:eastAsia="宋体" w:cs="Times New Roman"/>
                      <w:color w:val="auto"/>
                      <w:lang w:val="en-US" w:eastAsia="zh-CN"/>
                    </w:rPr>
                    <w:t>道</w:t>
                  </w:r>
                  <w:r>
                    <w:rPr>
                      <w:rFonts w:hint="default" w:ascii="Times New Roman" w:hAnsi="Times New Roman" w:eastAsia="宋体" w:cs="Times New Roman"/>
                      <w:color w:val="auto"/>
                    </w:rPr>
                    <w:t>项目区水土保持措施</w:t>
                  </w:r>
                </w:p>
                <w:p w14:paraId="0743CB78">
                  <w:pPr>
                    <w:pStyle w:val="111"/>
                    <w:jc w:val="left"/>
                    <w:rPr>
                      <w:rFonts w:hint="default" w:ascii="Times New Roman" w:hAnsi="Times New Roman" w:eastAsia="宋体" w:cs="Times New Roman"/>
                      <w:color w:val="auto"/>
                    </w:rPr>
                  </w:pPr>
                  <w:r>
                    <w:rPr>
                      <w:rFonts w:hint="default" w:ascii="Times New Roman" w:hAnsi="Times New Roman" w:eastAsia="宋体" w:cs="Times New Roman"/>
                      <w:color w:val="auto"/>
                    </w:rPr>
                    <w:t>施工期间应规划施工活动范围，严禁施工材料乱堆乱放，划定适宜的堆料场和弃方堆放场所，以防对植被土壤破坏范围的扩大，安排好现有交通车辆的通行，由专人负责严格控制和管理运输车辆及重型机械的运行范围，以防止破坏土壤和植被，引发水土流失。施工完毕后，对渠道两侧进行土地平整，使其自然恢复地表植被，并建设</w:t>
                  </w:r>
                  <w:r>
                    <w:rPr>
                      <w:rFonts w:hint="default" w:ascii="Times New Roman" w:hAnsi="Times New Roman" w:eastAsia="宋体" w:cs="Times New Roman"/>
                      <w:color w:val="auto"/>
                      <w:lang w:eastAsia="zh-CN"/>
                    </w:rPr>
                    <w:t>林地</w:t>
                  </w:r>
                  <w:r>
                    <w:rPr>
                      <w:rFonts w:hint="default" w:ascii="Times New Roman" w:hAnsi="Times New Roman" w:eastAsia="宋体" w:cs="Times New Roman"/>
                      <w:color w:val="auto"/>
                    </w:rPr>
                    <w:t>。</w:t>
                  </w:r>
                </w:p>
                <w:p w14:paraId="542E737C">
                  <w:pPr>
                    <w:pStyle w:val="111"/>
                    <w:jc w:val="left"/>
                    <w:rPr>
                      <w:rFonts w:hint="default" w:ascii="Times New Roman" w:hAnsi="Times New Roman" w:eastAsia="宋体" w:cs="Times New Roman"/>
                      <w:color w:val="auto"/>
                    </w:rPr>
                  </w:pPr>
                  <w:r>
                    <w:rPr>
                      <w:rFonts w:hint="default" w:ascii="Times New Roman" w:hAnsi="Times New Roman" w:eastAsia="宋体" w:cs="Times New Roman"/>
                      <w:color w:val="auto"/>
                    </w:rPr>
                    <w:t>2）临时生产区水土保持措施</w:t>
                  </w:r>
                </w:p>
                <w:p w14:paraId="0B6D3383">
                  <w:pPr>
                    <w:pStyle w:val="111"/>
                    <w:jc w:val="left"/>
                    <w:rPr>
                      <w:rFonts w:hint="default" w:ascii="Times New Roman" w:hAnsi="Times New Roman" w:eastAsia="宋体" w:cs="Times New Roman"/>
                      <w:color w:val="auto"/>
                    </w:rPr>
                  </w:pPr>
                  <w:r>
                    <w:rPr>
                      <w:rFonts w:hint="default" w:ascii="Times New Roman" w:hAnsi="Times New Roman" w:eastAsia="宋体" w:cs="Times New Roman"/>
                      <w:color w:val="auto"/>
                    </w:rPr>
                    <w:t>施工期间应严格划定施工临时生产区域，以避免对防治区以外场地的占压和扰动，并在临时生产区设置水土保持宣传警示牌，加强对施工人员的水土保持教育。施工完成后，主要采取土地平整措施，自然恢复地表植被的措施。</w:t>
                  </w:r>
                </w:p>
                <w:p w14:paraId="200CE478">
                  <w:pPr>
                    <w:pStyle w:val="111"/>
                    <w:jc w:val="left"/>
                    <w:rPr>
                      <w:rFonts w:hint="default" w:ascii="Times New Roman" w:hAnsi="Times New Roman" w:eastAsia="宋体" w:cs="Times New Roman"/>
                      <w:color w:val="auto"/>
                    </w:rPr>
                  </w:pPr>
                  <w:r>
                    <w:rPr>
                      <w:rFonts w:hint="default" w:ascii="Times New Roman" w:hAnsi="Times New Roman" w:eastAsia="宋体" w:cs="Times New Roman"/>
                      <w:color w:val="auto"/>
                    </w:rPr>
                    <w:t>3）临时</w:t>
                  </w:r>
                  <w:r>
                    <w:rPr>
                      <w:rFonts w:hint="default" w:ascii="Times New Roman" w:hAnsi="Times New Roman" w:eastAsia="宋体" w:cs="Times New Roman"/>
                      <w:color w:val="auto"/>
                      <w:lang w:val="en-US" w:eastAsia="zh-CN"/>
                    </w:rPr>
                    <w:t>弃土场</w:t>
                  </w:r>
                  <w:r>
                    <w:rPr>
                      <w:rFonts w:hint="default" w:ascii="Times New Roman" w:hAnsi="Times New Roman" w:eastAsia="宋体" w:cs="Times New Roman"/>
                      <w:color w:val="auto"/>
                    </w:rPr>
                    <w:t>水土保持措施</w:t>
                  </w:r>
                </w:p>
                <w:p w14:paraId="3F1BE54F">
                  <w:pPr>
                    <w:pStyle w:val="111"/>
                    <w:jc w:val="left"/>
                    <w:rPr>
                      <w:rFonts w:hint="default" w:ascii="Times New Roman" w:hAnsi="Times New Roman" w:eastAsia="宋体" w:cs="Times New Roman"/>
                      <w:color w:val="auto"/>
                    </w:rPr>
                  </w:pPr>
                  <w:r>
                    <w:rPr>
                      <w:rFonts w:hint="default" w:ascii="Times New Roman" w:hAnsi="Times New Roman" w:eastAsia="宋体" w:cs="Times New Roman"/>
                      <w:color w:val="auto"/>
                    </w:rPr>
                    <w:t>施工期弃渣需临时就近堆放在项目区，以方便施工时的回填利用。堆渣均按照自然稳定边坡堆放，堆放形式设计为梯形台体状，以苫布遮盖，以防发生水蚀。临时弃土、弃渣的堆放应避开植被良好区，不能随处堆放。施工完成后，将弃渣、弃土</w:t>
                  </w:r>
                  <w:r>
                    <w:rPr>
                      <w:rFonts w:hint="default" w:ascii="Times New Roman" w:hAnsi="Times New Roman" w:eastAsia="宋体" w:cs="Times New Roman"/>
                      <w:color w:val="auto"/>
                      <w:lang w:val="en-US" w:eastAsia="zh-CN"/>
                    </w:rPr>
                    <w:t>集中收集到临时弃土场</w:t>
                  </w:r>
                  <w:r>
                    <w:rPr>
                      <w:rFonts w:hint="default" w:ascii="Times New Roman" w:hAnsi="Times New Roman" w:eastAsia="宋体" w:cs="Times New Roman"/>
                      <w:color w:val="auto"/>
                    </w:rPr>
                    <w:t>并恢复、平整场地，自然恢复植被。</w:t>
                  </w:r>
                </w:p>
                <w:p w14:paraId="0B2568D1">
                  <w:pPr>
                    <w:pStyle w:val="111"/>
                    <w:jc w:val="left"/>
                    <w:rPr>
                      <w:rFonts w:hint="default" w:ascii="Times New Roman" w:hAnsi="Times New Roman" w:eastAsia="宋体" w:cs="Times New Roman"/>
                      <w:color w:val="auto"/>
                    </w:rPr>
                  </w:pPr>
                </w:p>
              </w:tc>
              <w:tc>
                <w:tcPr>
                  <w:tcW w:w="1387" w:type="dxa"/>
                  <w:tcBorders>
                    <w:top w:val="single" w:color="auto" w:sz="4" w:space="0"/>
                    <w:left w:val="nil"/>
                    <w:bottom w:val="single" w:color="auto" w:sz="4" w:space="0"/>
                    <w:right w:val="single" w:color="auto" w:sz="4" w:space="0"/>
                  </w:tcBorders>
                  <w:vAlign w:val="center"/>
                </w:tcPr>
                <w:p w14:paraId="6E49843F">
                  <w:pPr>
                    <w:pStyle w:val="111"/>
                    <w:jc w:val="center"/>
                    <w:rPr>
                      <w:rFonts w:hint="default" w:ascii="Times New Roman" w:hAnsi="Times New Roman" w:eastAsia="宋体" w:cs="Times New Roman"/>
                      <w:color w:val="auto"/>
                      <w:kern w:val="2"/>
                    </w:rPr>
                  </w:pPr>
                  <w:r>
                    <w:rPr>
                      <w:rFonts w:hint="default" w:ascii="Times New Roman" w:hAnsi="Times New Roman" w:eastAsia="宋体" w:cs="Times New Roman"/>
                      <w:color w:val="auto"/>
                    </w:rPr>
                    <w:t>减缓生态影响</w:t>
                  </w:r>
                </w:p>
              </w:tc>
              <w:tc>
                <w:tcPr>
                  <w:tcW w:w="662" w:type="dxa"/>
                  <w:vMerge w:val="continue"/>
                  <w:tcBorders>
                    <w:top w:val="nil"/>
                    <w:left w:val="nil"/>
                    <w:bottom w:val="single" w:color="auto" w:sz="4" w:space="0"/>
                    <w:right w:val="single" w:color="auto" w:sz="4" w:space="0"/>
                  </w:tcBorders>
                  <w:vAlign w:val="center"/>
                </w:tcPr>
                <w:p w14:paraId="4D955CFE">
                  <w:pPr>
                    <w:pStyle w:val="111"/>
                    <w:jc w:val="center"/>
                    <w:rPr>
                      <w:rFonts w:hint="default" w:ascii="Times New Roman" w:hAnsi="Times New Roman" w:eastAsia="宋体" w:cs="Times New Roman"/>
                      <w:color w:val="auto"/>
                      <w:kern w:val="2"/>
                    </w:rPr>
                  </w:pPr>
                </w:p>
              </w:tc>
            </w:tr>
          </w:tbl>
          <w:p w14:paraId="786892D7">
            <w:pPr>
              <w:spacing w:line="360" w:lineRule="auto"/>
              <w:rPr>
                <w:rFonts w:hint="default" w:ascii="Times New Roman" w:hAnsi="Times New Roman" w:eastAsia="宋体" w:cs="Times New Roman"/>
                <w:color w:val="auto"/>
                <w:sz w:val="24"/>
              </w:rPr>
            </w:pPr>
          </w:p>
        </w:tc>
      </w:tr>
      <w:tr w14:paraId="7152E1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14" w:hRule="atLeast"/>
          <w:jc w:val="center"/>
        </w:trPr>
        <w:tc>
          <w:tcPr>
            <w:tcW w:w="753" w:type="dxa"/>
            <w:vAlign w:val="center"/>
          </w:tcPr>
          <w:p w14:paraId="7C3F8504">
            <w:pPr>
              <w:adjustRightInd w:val="0"/>
              <w:snapToGrid w:val="0"/>
              <w:jc w:val="center"/>
              <w:rPr>
                <w:rFonts w:hint="default" w:ascii="Times New Roman" w:hAnsi="Times New Roman" w:eastAsia="宋体" w:cs="Times New Roman"/>
                <w:bCs/>
                <w:color w:val="auto"/>
                <w:spacing w:val="10"/>
                <w:szCs w:val="21"/>
              </w:rPr>
            </w:pPr>
            <w:r>
              <w:rPr>
                <w:rFonts w:hint="default" w:ascii="Times New Roman" w:hAnsi="Times New Roman" w:eastAsia="宋体" w:cs="Times New Roman"/>
                <w:bCs/>
                <w:color w:val="auto"/>
                <w:sz w:val="24"/>
              </w:rPr>
              <w:t>环保投资</w:t>
            </w:r>
          </w:p>
        </w:tc>
        <w:tc>
          <w:tcPr>
            <w:tcW w:w="8693" w:type="dxa"/>
          </w:tcPr>
          <w:p w14:paraId="67B5F984">
            <w:pPr>
              <w:spacing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环保投资</w:t>
            </w:r>
          </w:p>
          <w:p w14:paraId="310E5BA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防渗渠道工程</w:t>
            </w:r>
            <w:r>
              <w:rPr>
                <w:rFonts w:hint="default" w:ascii="Times New Roman" w:hAnsi="Times New Roman" w:eastAsia="宋体" w:cs="Times New Roman"/>
                <w:color w:val="auto"/>
                <w:sz w:val="24"/>
              </w:rPr>
              <w:t>总投资</w:t>
            </w:r>
            <w:r>
              <w:rPr>
                <w:rFonts w:hint="eastAsia" w:ascii="Times New Roman" w:hAnsi="Times New Roman" w:cs="Times New Roman"/>
                <w:color w:val="auto"/>
                <w:sz w:val="24"/>
                <w:lang w:val="en-US" w:eastAsia="zh-CN"/>
              </w:rPr>
              <w:t>988</w:t>
            </w:r>
            <w:r>
              <w:rPr>
                <w:rFonts w:hint="default" w:ascii="Times New Roman" w:hAnsi="Times New Roman" w:eastAsia="宋体" w:cs="Times New Roman"/>
                <w:color w:val="auto"/>
                <w:sz w:val="24"/>
                <w:lang w:val="en-US" w:eastAsia="zh-CN"/>
              </w:rPr>
              <w:t>万</w:t>
            </w:r>
            <w:r>
              <w:rPr>
                <w:rFonts w:hint="default" w:ascii="Times New Roman" w:hAnsi="Times New Roman" w:eastAsia="宋体" w:cs="Times New Roman"/>
                <w:color w:val="auto"/>
                <w:sz w:val="24"/>
              </w:rPr>
              <w:t>元，环保投资合计为</w:t>
            </w:r>
            <w:r>
              <w:rPr>
                <w:rFonts w:hint="eastAsia" w:ascii="Times New Roman" w:hAnsi="Times New Roman" w:cs="Times New Roman"/>
                <w:color w:val="auto"/>
                <w:sz w:val="24"/>
                <w:lang w:val="en-US" w:eastAsia="zh-CN"/>
              </w:rPr>
              <w:t>42.8</w:t>
            </w:r>
            <w:r>
              <w:rPr>
                <w:rFonts w:hint="default" w:ascii="Times New Roman" w:hAnsi="Times New Roman" w:eastAsia="宋体" w:cs="Times New Roman"/>
                <w:color w:val="auto"/>
                <w:sz w:val="24"/>
                <w:lang w:val="en-US" w:eastAsia="zh-CN"/>
              </w:rPr>
              <w:t>万</w:t>
            </w:r>
            <w:r>
              <w:rPr>
                <w:rFonts w:hint="default" w:ascii="Times New Roman" w:hAnsi="Times New Roman" w:eastAsia="宋体" w:cs="Times New Roman"/>
                <w:color w:val="auto"/>
                <w:sz w:val="24"/>
              </w:rPr>
              <w:t>元，占项目总投资的</w:t>
            </w:r>
            <w:r>
              <w:rPr>
                <w:rFonts w:hint="eastAsia" w:ascii="Times New Roman" w:hAnsi="Times New Roman" w:cs="Times New Roman"/>
                <w:color w:val="auto"/>
                <w:sz w:val="24"/>
                <w:lang w:val="en-US" w:eastAsia="zh-CN"/>
              </w:rPr>
              <w:t>4.33</w:t>
            </w:r>
            <w:r>
              <w:rPr>
                <w:rFonts w:hint="default" w:ascii="Times New Roman" w:hAnsi="Times New Roman" w:eastAsia="宋体" w:cs="Times New Roman"/>
                <w:color w:val="auto"/>
                <w:sz w:val="24"/>
              </w:rPr>
              <w:t>％，具体投资见表</w:t>
            </w:r>
            <w:r>
              <w:rPr>
                <w:rFonts w:hint="default" w:ascii="Times New Roman" w:hAnsi="Times New Roman" w:eastAsia="宋体" w:cs="Times New Roman"/>
                <w:color w:val="auto"/>
                <w:sz w:val="24"/>
                <w:lang w:val="en-US" w:eastAsia="zh-CN"/>
              </w:rPr>
              <w:t>4-5</w:t>
            </w:r>
            <w:r>
              <w:rPr>
                <w:rFonts w:hint="default" w:ascii="Times New Roman" w:hAnsi="Times New Roman" w:eastAsia="宋体" w:cs="Times New Roman"/>
                <w:color w:val="auto"/>
                <w:sz w:val="24"/>
              </w:rPr>
              <w:t>。</w:t>
            </w:r>
          </w:p>
          <w:p w14:paraId="2F8B3820">
            <w:pPr>
              <w:pStyle w:val="13"/>
              <w:ind w:firstLine="422" w:firstLineChars="20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w:t>
            </w:r>
            <w:r>
              <w:rPr>
                <w:rFonts w:hint="default" w:ascii="Times New Roman" w:hAnsi="Times New Roman" w:eastAsia="宋体" w:cs="Times New Roman"/>
                <w:b/>
                <w:color w:val="auto"/>
                <w:szCs w:val="21"/>
                <w:lang w:val="en-US" w:eastAsia="zh-CN"/>
              </w:rPr>
              <w:t>4-5</w:t>
            </w:r>
            <w:r>
              <w:rPr>
                <w:rFonts w:hint="default" w:ascii="Times New Roman" w:hAnsi="Times New Roman" w:eastAsia="宋体" w:cs="Times New Roman"/>
                <w:b/>
                <w:bCs/>
                <w:color w:val="auto"/>
                <w:szCs w:val="21"/>
              </w:rPr>
              <w:t>环保投资估算</w:t>
            </w:r>
          </w:p>
          <w:tbl>
            <w:tblPr>
              <w:tblStyle w:val="33"/>
              <w:tblW w:w="846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1"/>
              <w:gridCol w:w="1927"/>
              <w:gridCol w:w="4793"/>
              <w:gridCol w:w="926"/>
            </w:tblGrid>
            <w:tr w14:paraId="531A5D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jc w:val="center"/>
              </w:trPr>
              <w:tc>
                <w:tcPr>
                  <w:tcW w:w="821" w:type="dxa"/>
                  <w:tcBorders>
                    <w:top w:val="single" w:color="000000" w:sz="4" w:space="0"/>
                    <w:left w:val="single" w:color="000000" w:sz="4" w:space="0"/>
                    <w:bottom w:val="single" w:color="000000" w:sz="4" w:space="0"/>
                    <w:right w:val="single" w:color="000000" w:sz="4" w:space="0"/>
                  </w:tcBorders>
                  <w:vAlign w:val="center"/>
                </w:tcPr>
                <w:p w14:paraId="0F3D8DDD">
                  <w:pPr>
                    <w:pStyle w:val="111"/>
                    <w:jc w:val="center"/>
                    <w:rPr>
                      <w:rFonts w:hint="default" w:ascii="Times New Roman" w:hAnsi="Times New Roman" w:eastAsia="宋体" w:cs="Times New Roman"/>
                      <w:color w:val="auto"/>
                    </w:rPr>
                  </w:pPr>
                  <w:r>
                    <w:rPr>
                      <w:rFonts w:hint="default" w:ascii="Times New Roman" w:hAnsi="Times New Roman" w:eastAsia="宋体" w:cs="Times New Roman"/>
                      <w:color w:val="auto"/>
                    </w:rPr>
                    <w:t>序号</w:t>
                  </w:r>
                </w:p>
              </w:tc>
              <w:tc>
                <w:tcPr>
                  <w:tcW w:w="1927" w:type="dxa"/>
                  <w:tcBorders>
                    <w:top w:val="single" w:color="000000" w:sz="4" w:space="0"/>
                    <w:left w:val="nil"/>
                    <w:bottom w:val="single" w:color="000000" w:sz="4" w:space="0"/>
                    <w:right w:val="single" w:color="000000" w:sz="4" w:space="0"/>
                  </w:tcBorders>
                  <w:vAlign w:val="center"/>
                </w:tcPr>
                <w:p w14:paraId="22EC3432">
                  <w:pPr>
                    <w:pStyle w:val="111"/>
                    <w:jc w:val="center"/>
                    <w:rPr>
                      <w:rFonts w:hint="default" w:ascii="Times New Roman" w:hAnsi="Times New Roman" w:eastAsia="宋体" w:cs="Times New Roman"/>
                      <w:color w:val="auto"/>
                    </w:rPr>
                  </w:pPr>
                  <w:r>
                    <w:rPr>
                      <w:rFonts w:hint="default" w:ascii="Times New Roman" w:hAnsi="Times New Roman" w:eastAsia="宋体" w:cs="Times New Roman"/>
                      <w:color w:val="auto"/>
                    </w:rPr>
                    <w:t>项目</w:t>
                  </w:r>
                </w:p>
              </w:tc>
              <w:tc>
                <w:tcPr>
                  <w:tcW w:w="4793" w:type="dxa"/>
                  <w:tcBorders>
                    <w:top w:val="single" w:color="000000" w:sz="4" w:space="0"/>
                    <w:left w:val="nil"/>
                    <w:bottom w:val="single" w:color="000000" w:sz="4" w:space="0"/>
                    <w:right w:val="single" w:color="000000" w:sz="4" w:space="0"/>
                  </w:tcBorders>
                  <w:vAlign w:val="center"/>
                </w:tcPr>
                <w:p w14:paraId="2DFC5573">
                  <w:pPr>
                    <w:pStyle w:val="111"/>
                    <w:jc w:val="center"/>
                    <w:rPr>
                      <w:rFonts w:hint="default" w:ascii="Times New Roman" w:hAnsi="Times New Roman" w:eastAsia="宋体" w:cs="Times New Roman"/>
                      <w:color w:val="auto"/>
                    </w:rPr>
                  </w:pPr>
                  <w:r>
                    <w:rPr>
                      <w:rFonts w:hint="default" w:ascii="Times New Roman" w:hAnsi="Times New Roman" w:eastAsia="宋体" w:cs="Times New Roman"/>
                      <w:color w:val="auto"/>
                    </w:rPr>
                    <w:t>内容</w:t>
                  </w:r>
                </w:p>
              </w:tc>
              <w:tc>
                <w:tcPr>
                  <w:tcW w:w="926" w:type="dxa"/>
                  <w:tcBorders>
                    <w:top w:val="single" w:color="000000" w:sz="4" w:space="0"/>
                    <w:left w:val="nil"/>
                    <w:bottom w:val="single" w:color="000000" w:sz="4" w:space="0"/>
                    <w:right w:val="single" w:color="000000" w:sz="4" w:space="0"/>
                  </w:tcBorders>
                  <w:vAlign w:val="center"/>
                </w:tcPr>
                <w:p w14:paraId="47537566">
                  <w:pPr>
                    <w:pStyle w:val="111"/>
                    <w:jc w:val="center"/>
                    <w:rPr>
                      <w:rFonts w:hint="default" w:ascii="Times New Roman" w:hAnsi="Times New Roman" w:eastAsia="宋体" w:cs="Times New Roman"/>
                      <w:color w:val="auto"/>
                    </w:rPr>
                  </w:pPr>
                  <w:r>
                    <w:rPr>
                      <w:rFonts w:hint="default" w:ascii="Times New Roman" w:hAnsi="Times New Roman" w:eastAsia="宋体" w:cs="Times New Roman"/>
                      <w:color w:val="auto"/>
                    </w:rPr>
                    <w:t>投资</w:t>
                  </w:r>
                </w:p>
                <w:p w14:paraId="6DB61220">
                  <w:pPr>
                    <w:pStyle w:val="111"/>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（万元）</w:t>
                  </w:r>
                </w:p>
              </w:tc>
            </w:tr>
            <w:tr w14:paraId="16C7BE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jc w:val="center"/>
              </w:trPr>
              <w:tc>
                <w:tcPr>
                  <w:tcW w:w="821" w:type="dxa"/>
                  <w:tcBorders>
                    <w:top w:val="single" w:color="000000" w:sz="4" w:space="0"/>
                    <w:left w:val="single" w:color="000000" w:sz="4" w:space="0"/>
                    <w:bottom w:val="single" w:color="000000" w:sz="4" w:space="0"/>
                    <w:right w:val="single" w:color="000000" w:sz="4" w:space="0"/>
                  </w:tcBorders>
                  <w:vAlign w:val="center"/>
                </w:tcPr>
                <w:p w14:paraId="7850F4DD">
                  <w:pPr>
                    <w:pStyle w:val="111"/>
                    <w:jc w:val="center"/>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1927" w:type="dxa"/>
                  <w:tcBorders>
                    <w:top w:val="single" w:color="000000" w:sz="4" w:space="0"/>
                    <w:left w:val="nil"/>
                    <w:bottom w:val="single" w:color="000000" w:sz="4" w:space="0"/>
                    <w:right w:val="single" w:color="000000" w:sz="4" w:space="0"/>
                  </w:tcBorders>
                  <w:vAlign w:val="center"/>
                </w:tcPr>
                <w:p w14:paraId="7E2B62A7">
                  <w:pPr>
                    <w:pStyle w:val="111"/>
                    <w:jc w:val="center"/>
                    <w:rPr>
                      <w:rFonts w:hint="default" w:ascii="Times New Roman" w:hAnsi="Times New Roman" w:eastAsia="宋体" w:cs="Times New Roman"/>
                      <w:color w:val="auto"/>
                    </w:rPr>
                  </w:pPr>
                  <w:r>
                    <w:rPr>
                      <w:rFonts w:hint="default" w:ascii="Times New Roman" w:hAnsi="Times New Roman" w:eastAsia="宋体" w:cs="Times New Roman"/>
                      <w:color w:val="auto"/>
                    </w:rPr>
                    <w:t>施工期扬尘防治</w:t>
                  </w:r>
                </w:p>
              </w:tc>
              <w:tc>
                <w:tcPr>
                  <w:tcW w:w="4793" w:type="dxa"/>
                  <w:tcBorders>
                    <w:top w:val="single" w:color="000000" w:sz="4" w:space="0"/>
                    <w:left w:val="nil"/>
                    <w:bottom w:val="single" w:color="000000" w:sz="4" w:space="0"/>
                    <w:right w:val="single" w:color="000000" w:sz="4" w:space="0"/>
                  </w:tcBorders>
                  <w:vAlign w:val="center"/>
                </w:tcPr>
                <w:p w14:paraId="7825E7C5">
                  <w:pPr>
                    <w:pStyle w:val="111"/>
                    <w:ind w:firstLine="420" w:firstLineChars="200"/>
                    <w:jc w:val="center"/>
                    <w:rPr>
                      <w:rFonts w:hint="default" w:ascii="Times New Roman" w:hAnsi="Times New Roman" w:eastAsia="宋体" w:cs="Times New Roman"/>
                      <w:color w:val="0000FF"/>
                      <w:lang w:eastAsia="zh-CN"/>
                    </w:rPr>
                  </w:pPr>
                  <w:r>
                    <w:rPr>
                      <w:rFonts w:hint="default" w:ascii="Times New Roman" w:hAnsi="Times New Roman" w:eastAsia="宋体" w:cs="Times New Roman"/>
                      <w:color w:val="0000FF"/>
                      <w:lang w:eastAsia="zh-CN"/>
                    </w:rPr>
                    <w:t>施工</w:t>
                  </w:r>
                  <w:r>
                    <w:rPr>
                      <w:rFonts w:hint="eastAsia" w:hAnsi="Times New Roman" w:eastAsia="宋体" w:cs="Times New Roman"/>
                      <w:color w:val="0000FF"/>
                      <w:lang w:val="en-US" w:eastAsia="zh-CN"/>
                    </w:rPr>
                    <w:t>作业区</w:t>
                  </w:r>
                  <w:r>
                    <w:rPr>
                      <w:rFonts w:hint="default" w:ascii="Times New Roman" w:hAnsi="Times New Roman" w:eastAsia="宋体" w:cs="Times New Roman"/>
                      <w:color w:val="0000FF"/>
                      <w:lang w:eastAsia="zh-CN"/>
                    </w:rPr>
                    <w:t>、道路洒水</w:t>
                  </w:r>
                  <w:r>
                    <w:rPr>
                      <w:rFonts w:hint="eastAsia" w:hAnsi="Times New Roman" w:eastAsia="宋体" w:cs="Times New Roman"/>
                      <w:color w:val="0000FF"/>
                      <w:lang w:val="en-US" w:eastAsia="zh-CN"/>
                    </w:rPr>
                    <w:t>降尘</w:t>
                  </w:r>
                  <w:r>
                    <w:rPr>
                      <w:rFonts w:hint="default" w:ascii="Times New Roman" w:hAnsi="Times New Roman" w:eastAsia="宋体" w:cs="Times New Roman"/>
                      <w:color w:val="0000FF"/>
                      <w:lang w:eastAsia="zh-CN"/>
                    </w:rPr>
                    <w:t>，</w:t>
                  </w:r>
                  <w:r>
                    <w:rPr>
                      <w:rFonts w:hint="eastAsia" w:hAnsi="Times New Roman" w:eastAsia="宋体" w:cs="Times New Roman"/>
                      <w:color w:val="0000FF"/>
                      <w:lang w:val="en-US" w:eastAsia="zh-CN"/>
                    </w:rPr>
                    <w:t>施工围挡、</w:t>
                  </w:r>
                  <w:r>
                    <w:rPr>
                      <w:rFonts w:hint="default" w:ascii="Times New Roman" w:hAnsi="Times New Roman" w:eastAsia="宋体" w:cs="Times New Roman"/>
                      <w:color w:val="0000FF"/>
                      <w:lang w:eastAsia="zh-CN"/>
                    </w:rPr>
                    <w:t>物料遮盖等</w:t>
                  </w:r>
                </w:p>
              </w:tc>
              <w:tc>
                <w:tcPr>
                  <w:tcW w:w="926" w:type="dxa"/>
                  <w:tcBorders>
                    <w:top w:val="single" w:color="000000" w:sz="4" w:space="0"/>
                    <w:left w:val="nil"/>
                    <w:bottom w:val="single" w:color="000000" w:sz="4" w:space="0"/>
                    <w:right w:val="single" w:color="000000" w:sz="4" w:space="0"/>
                  </w:tcBorders>
                  <w:vAlign w:val="center"/>
                </w:tcPr>
                <w:p w14:paraId="57EA7DAC">
                  <w:pPr>
                    <w:keepNext w:val="0"/>
                    <w:keepLines w:val="0"/>
                    <w:widowControl/>
                    <w:suppressLineNumbers w:val="0"/>
                    <w:jc w:val="center"/>
                    <w:textAlignment w:val="bottom"/>
                    <w:rPr>
                      <w:rFonts w:hint="default" w:ascii="Times New Roman" w:hAnsi="Times New Roman" w:eastAsia="宋体" w:cs="Times New Roman"/>
                      <w:color w:val="auto"/>
                      <w:lang w:val="en-US"/>
                    </w:rPr>
                  </w:pPr>
                  <w:r>
                    <w:rPr>
                      <w:rFonts w:hint="eastAsia" w:ascii="宋体" w:hAnsi="宋体" w:eastAsia="宋体" w:cs="宋体"/>
                      <w:i w:val="0"/>
                      <w:iCs w:val="0"/>
                      <w:color w:val="auto"/>
                      <w:kern w:val="0"/>
                      <w:sz w:val="22"/>
                      <w:szCs w:val="22"/>
                      <w:u w:val="none"/>
                      <w:lang w:val="en-US" w:eastAsia="zh-CN" w:bidi="ar"/>
                    </w:rPr>
                    <w:t>7.5</w:t>
                  </w:r>
                </w:p>
              </w:tc>
            </w:tr>
            <w:tr w14:paraId="716D45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21" w:type="dxa"/>
                  <w:tcBorders>
                    <w:top w:val="single" w:color="000000" w:sz="4" w:space="0"/>
                    <w:left w:val="single" w:color="000000" w:sz="4" w:space="0"/>
                    <w:bottom w:val="single" w:color="000000" w:sz="4" w:space="0"/>
                    <w:right w:val="single" w:color="000000" w:sz="4" w:space="0"/>
                  </w:tcBorders>
                  <w:vAlign w:val="center"/>
                </w:tcPr>
                <w:p w14:paraId="1EA9A2FF">
                  <w:pPr>
                    <w:pStyle w:val="111"/>
                    <w:jc w:val="center"/>
                    <w:rPr>
                      <w:rFonts w:hint="default" w:ascii="Times New Roman" w:hAnsi="Times New Roman" w:eastAsia="宋体" w:cs="Times New Roman"/>
                      <w:color w:val="auto"/>
                    </w:rPr>
                  </w:pPr>
                  <w:r>
                    <w:rPr>
                      <w:rFonts w:hint="default" w:ascii="Times New Roman" w:hAnsi="Times New Roman" w:eastAsia="宋体" w:cs="Times New Roman"/>
                      <w:color w:val="auto"/>
                    </w:rPr>
                    <w:t>2</w:t>
                  </w:r>
                </w:p>
              </w:tc>
              <w:tc>
                <w:tcPr>
                  <w:tcW w:w="1927" w:type="dxa"/>
                  <w:tcBorders>
                    <w:top w:val="single" w:color="000000" w:sz="4" w:space="0"/>
                    <w:left w:val="nil"/>
                    <w:bottom w:val="single" w:color="000000" w:sz="4" w:space="0"/>
                    <w:right w:val="single" w:color="000000" w:sz="4" w:space="0"/>
                  </w:tcBorders>
                  <w:vAlign w:val="center"/>
                </w:tcPr>
                <w:p w14:paraId="6E9E189C">
                  <w:pPr>
                    <w:pStyle w:val="111"/>
                    <w:jc w:val="center"/>
                    <w:rPr>
                      <w:rFonts w:hint="default" w:ascii="Times New Roman" w:hAnsi="Times New Roman" w:eastAsia="宋体" w:cs="Times New Roman"/>
                      <w:color w:val="auto"/>
                    </w:rPr>
                  </w:pPr>
                  <w:r>
                    <w:rPr>
                      <w:rFonts w:hint="default" w:ascii="Times New Roman" w:hAnsi="Times New Roman" w:eastAsia="宋体" w:cs="Times New Roman"/>
                      <w:color w:val="auto"/>
                    </w:rPr>
                    <w:t>施工期废水防治</w:t>
                  </w:r>
                </w:p>
              </w:tc>
              <w:tc>
                <w:tcPr>
                  <w:tcW w:w="4793" w:type="dxa"/>
                  <w:tcBorders>
                    <w:top w:val="single" w:color="000000" w:sz="4" w:space="0"/>
                    <w:left w:val="nil"/>
                    <w:bottom w:val="single" w:color="000000" w:sz="4" w:space="0"/>
                    <w:right w:val="single" w:color="000000" w:sz="4" w:space="0"/>
                  </w:tcBorders>
                  <w:vAlign w:val="center"/>
                </w:tcPr>
                <w:p w14:paraId="6F57F805">
                  <w:pPr>
                    <w:pStyle w:val="111"/>
                    <w:ind w:firstLine="420" w:firstLineChars="200"/>
                    <w:jc w:val="center"/>
                    <w:rPr>
                      <w:rFonts w:hint="default" w:ascii="Times New Roman" w:hAnsi="Times New Roman" w:eastAsia="宋体" w:cs="Times New Roman"/>
                      <w:color w:val="0000FF"/>
                    </w:rPr>
                  </w:pPr>
                  <w:r>
                    <w:rPr>
                      <w:rFonts w:hint="default" w:ascii="Times New Roman" w:hAnsi="Times New Roman" w:eastAsia="宋体" w:cs="Times New Roman"/>
                      <w:color w:val="0000FF"/>
                    </w:rPr>
                    <w:t>施工场地</w:t>
                  </w:r>
                  <w:r>
                    <w:rPr>
                      <w:rFonts w:hint="default" w:ascii="Times New Roman" w:hAnsi="Times New Roman" w:eastAsia="宋体" w:cs="Times New Roman"/>
                      <w:color w:val="0000FF"/>
                      <w:lang w:eastAsia="zh-CN"/>
                    </w:rPr>
                    <w:t>设置临时化粪池（</w:t>
                  </w:r>
                  <w:r>
                    <w:rPr>
                      <w:rFonts w:hint="default" w:ascii="Times New Roman" w:hAnsi="Times New Roman" w:eastAsia="宋体" w:cs="Times New Roman"/>
                      <w:color w:val="0000FF"/>
                      <w:lang w:val="en-US" w:eastAsia="zh-CN"/>
                    </w:rPr>
                    <w:t>3m</w:t>
                  </w:r>
                  <w:r>
                    <w:rPr>
                      <w:rFonts w:hint="default" w:ascii="Times New Roman" w:hAnsi="Times New Roman" w:eastAsia="宋体" w:cs="Times New Roman"/>
                      <w:color w:val="0000FF"/>
                      <w:vertAlign w:val="superscript"/>
                      <w:lang w:val="en-US" w:eastAsia="zh-CN"/>
                    </w:rPr>
                    <w:t>3</w:t>
                  </w:r>
                  <w:r>
                    <w:rPr>
                      <w:rFonts w:hint="default" w:ascii="Times New Roman" w:hAnsi="Times New Roman" w:eastAsia="宋体" w:cs="Times New Roman"/>
                      <w:color w:val="0000FF"/>
                      <w:lang w:eastAsia="zh-CN"/>
                    </w:rPr>
                    <w:t>）</w:t>
                  </w:r>
                  <w:r>
                    <w:rPr>
                      <w:rFonts w:hint="eastAsia" w:hAnsi="Times New Roman" w:cs="Times New Roman"/>
                      <w:color w:val="0000FF"/>
                      <w:lang w:val="en-US" w:eastAsia="zh-CN"/>
                    </w:rPr>
                    <w:t>、</w:t>
                  </w:r>
                  <w:r>
                    <w:rPr>
                      <w:rFonts w:hint="eastAsia" w:hAnsi="Times New Roman" w:cs="Times New Roman"/>
                      <w:color w:val="0000FF"/>
                      <w:lang w:eastAsia="zh-CN"/>
                    </w:rPr>
                    <w:t>隔油沉淀</w:t>
                  </w:r>
                  <w:r>
                    <w:rPr>
                      <w:rFonts w:hint="default" w:ascii="Times New Roman" w:hAnsi="Times New Roman" w:eastAsia="宋体" w:cs="Times New Roman"/>
                      <w:color w:val="0000FF"/>
                    </w:rPr>
                    <w:t>池</w:t>
                  </w:r>
                  <w:r>
                    <w:rPr>
                      <w:rFonts w:hint="default" w:ascii="Times New Roman" w:hAnsi="Times New Roman" w:eastAsia="宋体" w:cs="Times New Roman"/>
                      <w:color w:val="0000FF"/>
                      <w:lang w:eastAsia="zh-CN"/>
                    </w:rPr>
                    <w:t>（</w:t>
                  </w:r>
                  <w:r>
                    <w:rPr>
                      <w:rFonts w:hint="eastAsia" w:hAnsi="Times New Roman" w:cs="Times New Roman"/>
                      <w:color w:val="0000FF"/>
                      <w:lang w:val="en-US" w:eastAsia="zh-CN"/>
                    </w:rPr>
                    <w:t>2</w:t>
                  </w:r>
                  <w:r>
                    <w:rPr>
                      <w:rFonts w:hint="default" w:ascii="Times New Roman" w:hAnsi="Times New Roman" w:eastAsia="宋体" w:cs="Times New Roman"/>
                      <w:color w:val="0000FF"/>
                      <w:lang w:val="en-US" w:eastAsia="zh-CN"/>
                    </w:rPr>
                    <w:t>m</w:t>
                  </w:r>
                  <w:r>
                    <w:rPr>
                      <w:rFonts w:hint="default" w:ascii="Times New Roman" w:hAnsi="Times New Roman" w:eastAsia="宋体" w:cs="Times New Roman"/>
                      <w:color w:val="0000FF"/>
                      <w:vertAlign w:val="superscript"/>
                      <w:lang w:val="en-US" w:eastAsia="zh-CN"/>
                    </w:rPr>
                    <w:t>3</w:t>
                  </w:r>
                  <w:r>
                    <w:rPr>
                      <w:rFonts w:hint="default" w:ascii="Times New Roman" w:hAnsi="Times New Roman" w:eastAsia="宋体" w:cs="Times New Roman"/>
                      <w:color w:val="0000FF"/>
                      <w:lang w:eastAsia="zh-CN"/>
                    </w:rPr>
                    <w:t>）</w:t>
                  </w:r>
                </w:p>
              </w:tc>
              <w:tc>
                <w:tcPr>
                  <w:tcW w:w="926" w:type="dxa"/>
                  <w:tcBorders>
                    <w:top w:val="single" w:color="000000" w:sz="4" w:space="0"/>
                    <w:left w:val="nil"/>
                    <w:bottom w:val="single" w:color="000000" w:sz="4" w:space="0"/>
                    <w:right w:val="single" w:color="000000" w:sz="4" w:space="0"/>
                  </w:tcBorders>
                  <w:vAlign w:val="center"/>
                </w:tcPr>
                <w:p w14:paraId="3511DEF1">
                  <w:pPr>
                    <w:keepNext w:val="0"/>
                    <w:keepLines w:val="0"/>
                    <w:widowControl/>
                    <w:suppressLineNumbers w:val="0"/>
                    <w:jc w:val="center"/>
                    <w:textAlignment w:val="bottom"/>
                    <w:rPr>
                      <w:rFonts w:hint="default" w:ascii="Times New Roman" w:hAnsi="Times New Roman" w:eastAsia="宋体" w:cs="Times New Roman"/>
                      <w:color w:val="auto"/>
                      <w:lang w:val="en-US" w:eastAsia="zh-CN"/>
                    </w:rPr>
                  </w:pPr>
                  <w:r>
                    <w:rPr>
                      <w:rFonts w:hint="eastAsia" w:ascii="宋体" w:hAnsi="宋体" w:eastAsia="宋体" w:cs="宋体"/>
                      <w:i w:val="0"/>
                      <w:iCs w:val="0"/>
                      <w:color w:val="auto"/>
                      <w:kern w:val="0"/>
                      <w:sz w:val="22"/>
                      <w:szCs w:val="22"/>
                      <w:u w:val="none"/>
                      <w:lang w:val="en-US" w:eastAsia="zh-CN" w:bidi="ar"/>
                    </w:rPr>
                    <w:t>2.1</w:t>
                  </w:r>
                </w:p>
              </w:tc>
            </w:tr>
            <w:tr w14:paraId="61A9BB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21" w:type="dxa"/>
                  <w:tcBorders>
                    <w:top w:val="single" w:color="000000" w:sz="4" w:space="0"/>
                    <w:left w:val="single" w:color="000000" w:sz="4" w:space="0"/>
                    <w:right w:val="single" w:color="000000" w:sz="4" w:space="0"/>
                  </w:tcBorders>
                  <w:vAlign w:val="center"/>
                </w:tcPr>
                <w:p w14:paraId="278D4571">
                  <w:pPr>
                    <w:pStyle w:val="111"/>
                    <w:jc w:val="center"/>
                    <w:rPr>
                      <w:rFonts w:hint="default" w:ascii="Times New Roman" w:hAnsi="Times New Roman" w:eastAsia="宋体" w:cs="Times New Roman"/>
                      <w:color w:val="auto"/>
                    </w:rPr>
                  </w:pPr>
                  <w:r>
                    <w:rPr>
                      <w:rFonts w:hint="default" w:ascii="Times New Roman" w:hAnsi="Times New Roman" w:eastAsia="宋体" w:cs="Times New Roman"/>
                      <w:color w:val="auto"/>
                    </w:rPr>
                    <w:t>3</w:t>
                  </w:r>
                </w:p>
              </w:tc>
              <w:tc>
                <w:tcPr>
                  <w:tcW w:w="1927" w:type="dxa"/>
                  <w:tcBorders>
                    <w:top w:val="single" w:color="000000" w:sz="4" w:space="0"/>
                    <w:left w:val="nil"/>
                    <w:bottom w:val="single" w:color="000000" w:sz="4" w:space="0"/>
                    <w:right w:val="single" w:color="000000" w:sz="4" w:space="0"/>
                  </w:tcBorders>
                  <w:vAlign w:val="center"/>
                </w:tcPr>
                <w:p w14:paraId="733A9760">
                  <w:pPr>
                    <w:pStyle w:val="111"/>
                    <w:jc w:val="center"/>
                    <w:rPr>
                      <w:rFonts w:hint="default" w:ascii="Times New Roman" w:hAnsi="Times New Roman" w:eastAsia="宋体" w:cs="Times New Roman"/>
                      <w:color w:val="auto"/>
                    </w:rPr>
                  </w:pPr>
                  <w:r>
                    <w:rPr>
                      <w:rFonts w:hint="default" w:ascii="Times New Roman" w:hAnsi="Times New Roman" w:eastAsia="宋体" w:cs="Times New Roman"/>
                      <w:color w:val="auto"/>
                    </w:rPr>
                    <w:t>施工期噪声防治</w:t>
                  </w:r>
                </w:p>
              </w:tc>
              <w:tc>
                <w:tcPr>
                  <w:tcW w:w="4793" w:type="dxa"/>
                  <w:tcBorders>
                    <w:top w:val="single" w:color="000000" w:sz="4" w:space="0"/>
                    <w:left w:val="nil"/>
                    <w:bottom w:val="single" w:color="000000" w:sz="4" w:space="0"/>
                    <w:right w:val="single" w:color="000000" w:sz="4" w:space="0"/>
                  </w:tcBorders>
                  <w:vAlign w:val="center"/>
                </w:tcPr>
                <w:p w14:paraId="1A32052B">
                  <w:pPr>
                    <w:pStyle w:val="111"/>
                    <w:ind w:firstLine="420" w:firstLineChars="200"/>
                    <w:jc w:val="center"/>
                    <w:rPr>
                      <w:rFonts w:hint="default" w:ascii="Times New Roman" w:hAnsi="Times New Roman" w:eastAsia="宋体" w:cs="Times New Roman"/>
                      <w:color w:val="0000FF"/>
                      <w:lang w:eastAsia="zh-CN"/>
                    </w:rPr>
                  </w:pPr>
                  <w:r>
                    <w:rPr>
                      <w:rFonts w:hint="default" w:ascii="Times New Roman" w:hAnsi="Times New Roman" w:eastAsia="宋体" w:cs="Times New Roman"/>
                      <w:color w:val="0000FF"/>
                      <w:lang w:eastAsia="zh-CN"/>
                    </w:rPr>
                    <w:t>选用低噪声设备；噪声设备远离村庄等敏感点布置及管理措施</w:t>
                  </w:r>
                </w:p>
              </w:tc>
              <w:tc>
                <w:tcPr>
                  <w:tcW w:w="926" w:type="dxa"/>
                  <w:tcBorders>
                    <w:top w:val="single" w:color="000000" w:sz="4" w:space="0"/>
                    <w:left w:val="nil"/>
                    <w:right w:val="single" w:color="000000" w:sz="4" w:space="0"/>
                  </w:tcBorders>
                  <w:vAlign w:val="center"/>
                </w:tcPr>
                <w:p w14:paraId="1BA760C5">
                  <w:pPr>
                    <w:keepNext w:val="0"/>
                    <w:keepLines w:val="0"/>
                    <w:widowControl/>
                    <w:suppressLineNumbers w:val="0"/>
                    <w:jc w:val="center"/>
                    <w:textAlignment w:val="bottom"/>
                    <w:rPr>
                      <w:rFonts w:hint="default" w:ascii="Times New Roman" w:hAnsi="Times New Roman" w:eastAsia="宋体" w:cs="Times New Roman"/>
                      <w:color w:val="auto"/>
                    </w:rPr>
                  </w:pPr>
                  <w:r>
                    <w:rPr>
                      <w:rFonts w:hint="eastAsia" w:ascii="宋体" w:hAnsi="宋体" w:eastAsia="宋体" w:cs="宋体"/>
                      <w:i w:val="0"/>
                      <w:iCs w:val="0"/>
                      <w:color w:val="auto"/>
                      <w:kern w:val="0"/>
                      <w:sz w:val="22"/>
                      <w:szCs w:val="22"/>
                      <w:u w:val="none"/>
                      <w:lang w:val="en-US" w:eastAsia="zh-CN" w:bidi="ar"/>
                    </w:rPr>
                    <w:t>2.6</w:t>
                  </w:r>
                </w:p>
              </w:tc>
            </w:tr>
            <w:tr w14:paraId="59080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21" w:type="dxa"/>
                  <w:tcBorders>
                    <w:top w:val="single" w:color="000000" w:sz="4" w:space="0"/>
                    <w:left w:val="single" w:color="000000" w:sz="4" w:space="0"/>
                    <w:bottom w:val="single" w:color="000000" w:sz="4" w:space="0"/>
                    <w:right w:val="single" w:color="000000" w:sz="4" w:space="0"/>
                  </w:tcBorders>
                  <w:vAlign w:val="center"/>
                </w:tcPr>
                <w:p w14:paraId="052BC41A">
                  <w:pPr>
                    <w:pStyle w:val="111"/>
                    <w:jc w:val="center"/>
                    <w:rPr>
                      <w:rFonts w:hint="default" w:ascii="Times New Roman" w:hAnsi="Times New Roman" w:eastAsia="宋体" w:cs="Times New Roman"/>
                      <w:color w:val="auto"/>
                    </w:rPr>
                  </w:pPr>
                  <w:r>
                    <w:rPr>
                      <w:rFonts w:hint="default" w:ascii="Times New Roman" w:hAnsi="Times New Roman" w:eastAsia="宋体" w:cs="Times New Roman"/>
                      <w:color w:val="auto"/>
                    </w:rPr>
                    <w:t>4</w:t>
                  </w:r>
                </w:p>
              </w:tc>
              <w:tc>
                <w:tcPr>
                  <w:tcW w:w="1927" w:type="dxa"/>
                  <w:tcBorders>
                    <w:top w:val="single" w:color="000000" w:sz="4" w:space="0"/>
                    <w:left w:val="nil"/>
                    <w:bottom w:val="single" w:color="000000" w:sz="4" w:space="0"/>
                    <w:right w:val="single" w:color="000000" w:sz="4" w:space="0"/>
                  </w:tcBorders>
                  <w:vAlign w:val="center"/>
                </w:tcPr>
                <w:p w14:paraId="368A2C55">
                  <w:pPr>
                    <w:pStyle w:val="111"/>
                    <w:jc w:val="center"/>
                    <w:rPr>
                      <w:rFonts w:hint="default" w:ascii="Times New Roman" w:hAnsi="Times New Roman" w:eastAsia="宋体" w:cs="Times New Roman"/>
                      <w:color w:val="auto"/>
                    </w:rPr>
                  </w:pPr>
                  <w:r>
                    <w:rPr>
                      <w:rFonts w:hint="default" w:ascii="Times New Roman" w:hAnsi="Times New Roman" w:eastAsia="宋体" w:cs="Times New Roman"/>
                      <w:color w:val="auto"/>
                    </w:rPr>
                    <w:t>施工期固体废物处理</w:t>
                  </w:r>
                </w:p>
              </w:tc>
              <w:tc>
                <w:tcPr>
                  <w:tcW w:w="4793" w:type="dxa"/>
                  <w:tcBorders>
                    <w:top w:val="single" w:color="000000" w:sz="4" w:space="0"/>
                    <w:left w:val="nil"/>
                    <w:bottom w:val="single" w:color="000000" w:sz="4" w:space="0"/>
                    <w:right w:val="single" w:color="000000" w:sz="4" w:space="0"/>
                  </w:tcBorders>
                  <w:vAlign w:val="center"/>
                </w:tcPr>
                <w:p w14:paraId="0B8FD25E">
                  <w:pPr>
                    <w:pStyle w:val="111"/>
                    <w:jc w:val="center"/>
                    <w:rPr>
                      <w:rFonts w:hint="default" w:ascii="Times New Roman" w:hAnsi="Times New Roman" w:eastAsia="宋体" w:cs="Times New Roman"/>
                      <w:color w:val="0000FF"/>
                    </w:rPr>
                  </w:pPr>
                  <w:r>
                    <w:rPr>
                      <w:rFonts w:hint="eastAsia" w:hAnsi="Times New Roman" w:cs="Times New Roman"/>
                      <w:color w:val="0000FF"/>
                      <w:lang w:val="en-US" w:eastAsia="zh-CN"/>
                    </w:rPr>
                    <w:t>弃土方及时用于土地平整和回填使用，</w:t>
                  </w:r>
                  <w:r>
                    <w:rPr>
                      <w:rFonts w:hint="default" w:ascii="Times New Roman" w:hAnsi="Times New Roman" w:eastAsia="宋体" w:cs="Times New Roman"/>
                      <w:color w:val="0000FF"/>
                      <w:lang w:val="en-US" w:eastAsia="zh-CN"/>
                    </w:rPr>
                    <w:t>建筑垃圾尽量回收利用，</w:t>
                  </w:r>
                  <w:r>
                    <w:rPr>
                      <w:rFonts w:hint="eastAsia" w:hAnsi="Times New Roman" w:cs="Times New Roman"/>
                      <w:color w:val="0000FF"/>
                      <w:lang w:val="en-US" w:eastAsia="zh-CN"/>
                    </w:rPr>
                    <w:t>无法利用弃土及建筑垃圾</w:t>
                  </w:r>
                  <w:r>
                    <w:rPr>
                      <w:rFonts w:hint="default" w:ascii="Times New Roman" w:hAnsi="Times New Roman" w:eastAsia="宋体" w:cs="Times New Roman"/>
                      <w:color w:val="0000FF"/>
                      <w:lang w:val="en-US" w:eastAsia="zh-CN"/>
                    </w:rPr>
                    <w:t>送至</w:t>
                  </w:r>
                  <w:r>
                    <w:rPr>
                      <w:rFonts w:hint="eastAsia" w:hAnsi="Times New Roman" w:cs="Times New Roman"/>
                      <w:color w:val="0000FF"/>
                      <w:lang w:val="en-US" w:eastAsia="zh-CN"/>
                    </w:rPr>
                    <w:t>莎车县城市管理部门指定的建筑垃圾存放点</w:t>
                  </w:r>
                  <w:r>
                    <w:rPr>
                      <w:rFonts w:hint="default" w:ascii="Times New Roman" w:hAnsi="Times New Roman" w:eastAsia="宋体" w:cs="Times New Roman"/>
                      <w:color w:val="0000FF"/>
                      <w:lang w:val="en-US" w:eastAsia="zh-CN"/>
                    </w:rPr>
                    <w:t>处理；</w:t>
                  </w:r>
                  <w:r>
                    <w:rPr>
                      <w:rFonts w:hint="default" w:ascii="Times New Roman" w:hAnsi="Times New Roman" w:eastAsia="宋体" w:cs="Times New Roman"/>
                      <w:color w:val="0000FF"/>
                    </w:rPr>
                    <w:t>生活垃圾每天收集，交环卫部门进行处理</w:t>
                  </w:r>
                </w:p>
              </w:tc>
              <w:tc>
                <w:tcPr>
                  <w:tcW w:w="926" w:type="dxa"/>
                  <w:tcBorders>
                    <w:top w:val="single" w:color="000000" w:sz="4" w:space="0"/>
                    <w:left w:val="nil"/>
                    <w:bottom w:val="single" w:color="000000" w:sz="4" w:space="0"/>
                    <w:right w:val="single" w:color="000000" w:sz="4" w:space="0"/>
                  </w:tcBorders>
                  <w:vAlign w:val="center"/>
                </w:tcPr>
                <w:p w14:paraId="2C861385">
                  <w:pPr>
                    <w:keepNext w:val="0"/>
                    <w:keepLines w:val="0"/>
                    <w:widowControl/>
                    <w:suppressLineNumbers w:val="0"/>
                    <w:jc w:val="center"/>
                    <w:textAlignment w:val="bottom"/>
                    <w:rPr>
                      <w:rFonts w:hint="default" w:ascii="Times New Roman" w:hAnsi="Times New Roman" w:eastAsia="宋体" w:cs="Times New Roman"/>
                      <w:color w:val="auto"/>
                      <w:lang w:val="en-US"/>
                    </w:rPr>
                  </w:pPr>
                  <w:r>
                    <w:rPr>
                      <w:rFonts w:hint="eastAsia" w:ascii="宋体" w:hAnsi="宋体" w:eastAsia="宋体" w:cs="宋体"/>
                      <w:i w:val="0"/>
                      <w:iCs w:val="0"/>
                      <w:color w:val="auto"/>
                      <w:kern w:val="0"/>
                      <w:sz w:val="22"/>
                      <w:szCs w:val="22"/>
                      <w:u w:val="none"/>
                      <w:lang w:val="en-US" w:eastAsia="zh-CN" w:bidi="ar"/>
                    </w:rPr>
                    <w:t>2.4</w:t>
                  </w:r>
                </w:p>
              </w:tc>
            </w:tr>
            <w:tr w14:paraId="7D5557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21" w:type="dxa"/>
                  <w:tcBorders>
                    <w:top w:val="single" w:color="000000" w:sz="4" w:space="0"/>
                    <w:left w:val="single" w:color="000000" w:sz="4" w:space="0"/>
                    <w:bottom w:val="single" w:color="000000" w:sz="4" w:space="0"/>
                    <w:right w:val="single" w:color="000000" w:sz="4" w:space="0"/>
                  </w:tcBorders>
                  <w:vAlign w:val="center"/>
                </w:tcPr>
                <w:p w14:paraId="2B1A9477">
                  <w:pPr>
                    <w:pStyle w:val="111"/>
                    <w:jc w:val="center"/>
                    <w:rPr>
                      <w:rFonts w:hint="default" w:ascii="Times New Roman" w:hAnsi="Times New Roman" w:eastAsia="宋体" w:cs="Times New Roman"/>
                      <w:color w:val="auto"/>
                    </w:rPr>
                  </w:pPr>
                  <w:r>
                    <w:rPr>
                      <w:rFonts w:hint="default" w:ascii="Times New Roman" w:hAnsi="Times New Roman" w:eastAsia="宋体" w:cs="Times New Roman"/>
                      <w:color w:val="auto"/>
                    </w:rPr>
                    <w:t>5</w:t>
                  </w:r>
                </w:p>
              </w:tc>
              <w:tc>
                <w:tcPr>
                  <w:tcW w:w="1927" w:type="dxa"/>
                  <w:tcBorders>
                    <w:top w:val="single" w:color="000000" w:sz="4" w:space="0"/>
                    <w:left w:val="nil"/>
                    <w:bottom w:val="single" w:color="000000" w:sz="4" w:space="0"/>
                    <w:right w:val="single" w:color="000000" w:sz="4" w:space="0"/>
                  </w:tcBorders>
                  <w:vAlign w:val="center"/>
                </w:tcPr>
                <w:p w14:paraId="337667C0">
                  <w:pPr>
                    <w:pStyle w:val="111"/>
                    <w:jc w:val="center"/>
                    <w:rPr>
                      <w:rFonts w:hint="default" w:hAnsi="Times New Roman" w:eastAsia="宋体" w:cs="Times New Roman"/>
                      <w:color w:val="auto"/>
                      <w:lang w:val="en-US" w:eastAsia="zh-CN"/>
                    </w:rPr>
                  </w:pPr>
                  <w:r>
                    <w:rPr>
                      <w:rFonts w:hint="default" w:hAnsi="Times New Roman" w:eastAsia="宋体" w:cs="Times New Roman"/>
                      <w:color w:val="auto"/>
                      <w:lang w:val="en-US" w:eastAsia="zh-CN"/>
                    </w:rPr>
                    <w:t>生态措施</w:t>
                  </w:r>
                </w:p>
              </w:tc>
              <w:tc>
                <w:tcPr>
                  <w:tcW w:w="4793" w:type="dxa"/>
                  <w:tcBorders>
                    <w:top w:val="single" w:color="000000" w:sz="4" w:space="0"/>
                    <w:left w:val="nil"/>
                    <w:bottom w:val="single" w:color="000000" w:sz="4" w:space="0"/>
                    <w:right w:val="single" w:color="000000" w:sz="4" w:space="0"/>
                  </w:tcBorders>
                  <w:vAlign w:val="center"/>
                </w:tcPr>
                <w:p w14:paraId="672672D7">
                  <w:pPr>
                    <w:pStyle w:val="111"/>
                    <w:jc w:val="center"/>
                    <w:rPr>
                      <w:rFonts w:hint="default" w:hAnsi="Times New Roman" w:eastAsia="宋体" w:cs="Times New Roman"/>
                      <w:color w:val="0000FF"/>
                      <w:lang w:val="en-US" w:eastAsia="zh-CN"/>
                    </w:rPr>
                  </w:pPr>
                  <w:r>
                    <w:rPr>
                      <w:rFonts w:hint="eastAsia" w:hAnsi="Times New Roman" w:eastAsia="宋体" w:cs="Times New Roman"/>
                      <w:color w:val="0000FF"/>
                      <w:lang w:val="en-US" w:eastAsia="zh-CN"/>
                    </w:rPr>
                    <w:t>对临时占地进行土地平整后用原表土覆盖，并进行植被恢复</w:t>
                  </w:r>
                </w:p>
              </w:tc>
              <w:tc>
                <w:tcPr>
                  <w:tcW w:w="926" w:type="dxa"/>
                  <w:tcBorders>
                    <w:top w:val="single" w:color="000000" w:sz="4" w:space="0"/>
                    <w:left w:val="nil"/>
                    <w:bottom w:val="single" w:color="000000" w:sz="4" w:space="0"/>
                    <w:right w:val="single" w:color="000000" w:sz="4" w:space="0"/>
                  </w:tcBorders>
                  <w:vAlign w:val="center"/>
                </w:tcPr>
                <w:p w14:paraId="745F234D">
                  <w:pPr>
                    <w:keepNext w:val="0"/>
                    <w:keepLines w:val="0"/>
                    <w:widowControl/>
                    <w:suppressLineNumbers w:val="0"/>
                    <w:jc w:val="center"/>
                    <w:textAlignment w:val="bottom"/>
                    <w:rPr>
                      <w:rFonts w:hint="default" w:ascii="Times New Roman" w:hAnsi="Times New Roman" w:eastAsia="宋体" w:cs="Times New Roman"/>
                      <w:color w:val="auto"/>
                      <w:lang w:val="en-US"/>
                    </w:rPr>
                  </w:pPr>
                  <w:r>
                    <w:rPr>
                      <w:rFonts w:hint="eastAsia" w:ascii="宋体" w:hAnsi="宋体" w:eastAsia="宋体" w:cs="宋体"/>
                      <w:i w:val="0"/>
                      <w:iCs w:val="0"/>
                      <w:color w:val="auto"/>
                      <w:kern w:val="0"/>
                      <w:sz w:val="22"/>
                      <w:szCs w:val="22"/>
                      <w:u w:val="none"/>
                      <w:lang w:val="en-US" w:eastAsia="zh-CN" w:bidi="ar"/>
                    </w:rPr>
                    <w:t>28.2</w:t>
                  </w:r>
                </w:p>
              </w:tc>
            </w:tr>
            <w:tr w14:paraId="7E0CB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7541" w:type="dxa"/>
                  <w:gridSpan w:val="3"/>
                  <w:tcBorders>
                    <w:top w:val="single" w:color="000000" w:sz="4" w:space="0"/>
                    <w:left w:val="single" w:color="000000" w:sz="4" w:space="0"/>
                    <w:bottom w:val="single" w:color="000000" w:sz="4" w:space="0"/>
                    <w:right w:val="single" w:color="000000" w:sz="4" w:space="0"/>
                  </w:tcBorders>
                  <w:vAlign w:val="center"/>
                </w:tcPr>
                <w:p w14:paraId="097BA3A7">
                  <w:pPr>
                    <w:pStyle w:val="111"/>
                    <w:jc w:val="center"/>
                    <w:rPr>
                      <w:rFonts w:hint="default" w:ascii="Times New Roman" w:hAnsi="Times New Roman" w:eastAsia="宋体" w:cs="Times New Roman"/>
                      <w:color w:val="auto"/>
                    </w:rPr>
                  </w:pPr>
                  <w:r>
                    <w:rPr>
                      <w:rFonts w:hint="default" w:ascii="Times New Roman" w:hAnsi="Times New Roman" w:eastAsia="宋体" w:cs="Times New Roman"/>
                      <w:color w:val="auto"/>
                    </w:rPr>
                    <w:t>合计</w:t>
                  </w:r>
                </w:p>
              </w:tc>
              <w:tc>
                <w:tcPr>
                  <w:tcW w:w="926" w:type="dxa"/>
                  <w:tcBorders>
                    <w:top w:val="single" w:color="000000" w:sz="4" w:space="0"/>
                    <w:left w:val="nil"/>
                    <w:bottom w:val="single" w:color="000000" w:sz="4" w:space="0"/>
                    <w:right w:val="single" w:color="000000" w:sz="4" w:space="0"/>
                  </w:tcBorders>
                  <w:vAlign w:val="center"/>
                </w:tcPr>
                <w:p w14:paraId="55A39076">
                  <w:pPr>
                    <w:keepNext w:val="0"/>
                    <w:keepLines w:val="0"/>
                    <w:widowControl/>
                    <w:suppressLineNumbers w:val="0"/>
                    <w:jc w:val="center"/>
                    <w:textAlignment w:val="bottom"/>
                    <w:rPr>
                      <w:rFonts w:hint="default" w:ascii="Times New Roman" w:hAnsi="Times New Roman" w:eastAsia="宋体" w:cs="Times New Roman"/>
                      <w:color w:val="auto"/>
                      <w:lang w:val="en-US" w:eastAsia="zh-CN"/>
                    </w:rPr>
                  </w:pPr>
                  <w:r>
                    <w:rPr>
                      <w:rFonts w:hint="eastAsia" w:ascii="宋体" w:hAnsi="宋体" w:eastAsia="宋体" w:cs="宋体"/>
                      <w:i w:val="0"/>
                      <w:iCs w:val="0"/>
                      <w:color w:val="auto"/>
                      <w:kern w:val="0"/>
                      <w:sz w:val="22"/>
                      <w:szCs w:val="22"/>
                      <w:u w:val="none"/>
                      <w:lang w:val="en-US" w:eastAsia="zh-CN" w:bidi="ar"/>
                    </w:rPr>
                    <w:t>42.8</w:t>
                  </w:r>
                </w:p>
              </w:tc>
            </w:tr>
          </w:tbl>
          <w:p w14:paraId="02259782">
            <w:pPr>
              <w:adjustRightInd w:val="0"/>
              <w:snapToGrid w:val="0"/>
              <w:rPr>
                <w:rFonts w:hint="default" w:ascii="Times New Roman" w:hAnsi="Times New Roman" w:eastAsia="宋体" w:cs="Times New Roman"/>
                <w:bCs/>
                <w:color w:val="auto"/>
                <w:spacing w:val="10"/>
                <w:szCs w:val="21"/>
              </w:rPr>
            </w:pPr>
          </w:p>
        </w:tc>
      </w:tr>
    </w:tbl>
    <w:p w14:paraId="5F9FFF27">
      <w:pPr>
        <w:rPr>
          <w:rFonts w:hint="default" w:ascii="Times New Roman" w:hAnsi="Times New Roman" w:eastAsia="宋体" w:cs="Times New Roman"/>
          <w:color w:val="auto"/>
        </w:rPr>
        <w:sectPr>
          <w:pgSz w:w="11907" w:h="16840"/>
          <w:pgMar w:top="1440" w:right="1797" w:bottom="1440" w:left="1797" w:header="851" w:footer="1077" w:gutter="0"/>
          <w:pgBorders>
            <w:top w:val="none" w:sz="0" w:space="0"/>
            <w:left w:val="none" w:sz="0" w:space="0"/>
            <w:bottom w:val="none" w:sz="0" w:space="0"/>
            <w:right w:val="none" w:sz="0" w:space="0"/>
          </w:pgBorders>
          <w:pgNumType w:fmt="numberInDash"/>
          <w:cols w:space="720" w:num="1"/>
          <w:docGrid w:linePitch="312" w:charSpace="0"/>
        </w:sectPr>
      </w:pPr>
    </w:p>
    <w:p w14:paraId="2D0F6869">
      <w:pPr>
        <w:pStyle w:val="28"/>
        <w:jc w:val="center"/>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sz w:val="30"/>
          <w:szCs w:val="30"/>
        </w:rPr>
        <w:t>六、生态环境保护措施监督检查清单</w:t>
      </w:r>
    </w:p>
    <w:tbl>
      <w:tblPr>
        <w:tblStyle w:val="33"/>
        <w:tblW w:w="90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4200"/>
        <w:gridCol w:w="1309"/>
        <w:gridCol w:w="1012"/>
        <w:gridCol w:w="1315"/>
      </w:tblGrid>
      <w:tr w14:paraId="050DD5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236" w:type="dxa"/>
            <w:vMerge w:val="restart"/>
            <w:tcBorders>
              <w:tl2br w:val="single" w:color="auto" w:sz="4" w:space="0"/>
            </w:tcBorders>
          </w:tcPr>
          <w:p w14:paraId="1E2AFF41">
            <w:pPr>
              <w:pStyle w:val="78"/>
              <w:rPr>
                <w:rFonts w:hint="default" w:ascii="Times New Roman" w:hAnsi="Times New Roman" w:eastAsia="宋体" w:cs="Times New Roman"/>
                <w:color w:val="auto"/>
              </w:rPr>
            </w:pPr>
            <w:r>
              <w:rPr>
                <w:rFonts w:hint="default" w:ascii="Times New Roman" w:hAnsi="Times New Roman" w:eastAsia="宋体" w:cs="Times New Roman"/>
                <w:color w:val="auto"/>
              </w:rPr>
              <w:t>内容</w:t>
            </w:r>
          </w:p>
          <w:p w14:paraId="6B0325B4">
            <w:pPr>
              <w:pStyle w:val="78"/>
              <w:rPr>
                <w:rFonts w:hint="default" w:ascii="Times New Roman" w:hAnsi="Times New Roman" w:eastAsia="宋体" w:cs="Times New Roman"/>
                <w:color w:val="auto"/>
              </w:rPr>
            </w:pPr>
            <w:r>
              <w:rPr>
                <w:rFonts w:hint="default" w:ascii="Times New Roman" w:hAnsi="Times New Roman" w:eastAsia="宋体" w:cs="Times New Roman"/>
                <w:color w:val="auto"/>
              </w:rPr>
              <w:t>要素</w:t>
            </w:r>
          </w:p>
        </w:tc>
        <w:tc>
          <w:tcPr>
            <w:tcW w:w="5509" w:type="dxa"/>
            <w:gridSpan w:val="2"/>
            <w:vAlign w:val="center"/>
          </w:tcPr>
          <w:p w14:paraId="5F0362FF">
            <w:pPr>
              <w:pStyle w:val="78"/>
              <w:rPr>
                <w:rFonts w:hint="default" w:ascii="Times New Roman" w:hAnsi="Times New Roman" w:eastAsia="宋体" w:cs="Times New Roman"/>
                <w:color w:val="auto"/>
              </w:rPr>
            </w:pPr>
            <w:r>
              <w:rPr>
                <w:rFonts w:hint="default" w:ascii="Times New Roman" w:hAnsi="Times New Roman" w:eastAsia="宋体" w:cs="Times New Roman"/>
                <w:color w:val="auto"/>
              </w:rPr>
              <w:t>施工期</w:t>
            </w:r>
          </w:p>
        </w:tc>
        <w:tc>
          <w:tcPr>
            <w:tcW w:w="2327" w:type="dxa"/>
            <w:gridSpan w:val="2"/>
            <w:vAlign w:val="center"/>
          </w:tcPr>
          <w:p w14:paraId="41636BEF">
            <w:pPr>
              <w:pStyle w:val="78"/>
              <w:rPr>
                <w:rFonts w:hint="default" w:ascii="Times New Roman" w:hAnsi="Times New Roman" w:eastAsia="宋体" w:cs="Times New Roman"/>
                <w:color w:val="auto"/>
              </w:rPr>
            </w:pPr>
            <w:r>
              <w:rPr>
                <w:rFonts w:hint="default" w:ascii="Times New Roman" w:hAnsi="Times New Roman" w:eastAsia="宋体" w:cs="Times New Roman"/>
                <w:color w:val="auto"/>
              </w:rPr>
              <w:t>运营期</w:t>
            </w:r>
          </w:p>
        </w:tc>
      </w:tr>
      <w:tr w14:paraId="059379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6" w:type="dxa"/>
            <w:vMerge w:val="continue"/>
          </w:tcPr>
          <w:p w14:paraId="005542AF">
            <w:pPr>
              <w:pStyle w:val="78"/>
              <w:rPr>
                <w:rFonts w:hint="default" w:ascii="Times New Roman" w:hAnsi="Times New Roman" w:eastAsia="宋体" w:cs="Times New Roman"/>
                <w:color w:val="auto"/>
              </w:rPr>
            </w:pPr>
          </w:p>
        </w:tc>
        <w:tc>
          <w:tcPr>
            <w:tcW w:w="4200" w:type="dxa"/>
            <w:vAlign w:val="center"/>
          </w:tcPr>
          <w:p w14:paraId="01092E0B">
            <w:pPr>
              <w:pStyle w:val="78"/>
              <w:rPr>
                <w:rFonts w:hint="default" w:ascii="Times New Roman" w:hAnsi="Times New Roman" w:eastAsia="宋体" w:cs="Times New Roman"/>
                <w:color w:val="auto"/>
              </w:rPr>
            </w:pPr>
            <w:r>
              <w:rPr>
                <w:rFonts w:hint="default" w:ascii="Times New Roman" w:hAnsi="Times New Roman" w:eastAsia="宋体" w:cs="Times New Roman"/>
                <w:color w:val="auto"/>
              </w:rPr>
              <w:t>环境保护措施</w:t>
            </w:r>
          </w:p>
        </w:tc>
        <w:tc>
          <w:tcPr>
            <w:tcW w:w="1309" w:type="dxa"/>
            <w:vAlign w:val="center"/>
          </w:tcPr>
          <w:p w14:paraId="1944598D">
            <w:pPr>
              <w:pStyle w:val="78"/>
              <w:rPr>
                <w:rFonts w:hint="default" w:ascii="Times New Roman" w:hAnsi="Times New Roman" w:eastAsia="宋体" w:cs="Times New Roman"/>
                <w:color w:val="auto"/>
              </w:rPr>
            </w:pPr>
            <w:r>
              <w:rPr>
                <w:rFonts w:hint="default" w:ascii="Times New Roman" w:hAnsi="Times New Roman" w:eastAsia="宋体" w:cs="Times New Roman"/>
                <w:color w:val="auto"/>
              </w:rPr>
              <w:t>验收要求</w:t>
            </w:r>
          </w:p>
        </w:tc>
        <w:tc>
          <w:tcPr>
            <w:tcW w:w="1012" w:type="dxa"/>
            <w:vAlign w:val="center"/>
          </w:tcPr>
          <w:p w14:paraId="4B90D6CA">
            <w:pPr>
              <w:pStyle w:val="78"/>
              <w:rPr>
                <w:rFonts w:hint="default" w:ascii="Times New Roman" w:hAnsi="Times New Roman" w:eastAsia="宋体" w:cs="Times New Roman"/>
                <w:color w:val="auto"/>
              </w:rPr>
            </w:pPr>
            <w:r>
              <w:rPr>
                <w:rFonts w:hint="default" w:ascii="Times New Roman" w:hAnsi="Times New Roman" w:eastAsia="宋体" w:cs="Times New Roman"/>
                <w:color w:val="auto"/>
              </w:rPr>
              <w:t>环境保护措施</w:t>
            </w:r>
          </w:p>
        </w:tc>
        <w:tc>
          <w:tcPr>
            <w:tcW w:w="1315" w:type="dxa"/>
            <w:vAlign w:val="center"/>
          </w:tcPr>
          <w:p w14:paraId="568B4292">
            <w:pPr>
              <w:pStyle w:val="78"/>
              <w:rPr>
                <w:rFonts w:hint="default" w:ascii="Times New Roman" w:hAnsi="Times New Roman" w:eastAsia="宋体" w:cs="Times New Roman"/>
                <w:color w:val="auto"/>
              </w:rPr>
            </w:pPr>
            <w:r>
              <w:rPr>
                <w:rFonts w:hint="default" w:ascii="Times New Roman" w:hAnsi="Times New Roman" w:eastAsia="宋体" w:cs="Times New Roman"/>
                <w:color w:val="auto"/>
              </w:rPr>
              <w:t>验收要求</w:t>
            </w:r>
          </w:p>
        </w:tc>
      </w:tr>
      <w:tr w14:paraId="49A357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36" w:type="dxa"/>
            <w:vAlign w:val="center"/>
          </w:tcPr>
          <w:p w14:paraId="57A1A0EB">
            <w:pPr>
              <w:pStyle w:val="78"/>
              <w:rPr>
                <w:rFonts w:hint="default" w:ascii="Times New Roman" w:hAnsi="Times New Roman" w:eastAsia="宋体" w:cs="Times New Roman"/>
                <w:color w:val="auto"/>
              </w:rPr>
            </w:pPr>
            <w:r>
              <w:rPr>
                <w:rFonts w:hint="default" w:ascii="Times New Roman" w:hAnsi="Times New Roman" w:eastAsia="宋体" w:cs="Times New Roman"/>
                <w:color w:val="auto"/>
              </w:rPr>
              <w:t>陆生生态</w:t>
            </w:r>
          </w:p>
        </w:tc>
        <w:tc>
          <w:tcPr>
            <w:tcW w:w="4200" w:type="dxa"/>
            <w:vAlign w:val="center"/>
          </w:tcPr>
          <w:p w14:paraId="04C3245E">
            <w:pPr>
              <w:pStyle w:val="111"/>
              <w:jc w:val="left"/>
              <w:rPr>
                <w:rFonts w:hint="default" w:ascii="Times New Roman" w:hAnsi="Times New Roman" w:eastAsia="宋体" w:cs="Times New Roman"/>
                <w:color w:val="auto"/>
              </w:rPr>
            </w:pPr>
            <w:r>
              <w:rPr>
                <w:rFonts w:hint="default" w:ascii="Times New Roman" w:hAnsi="Times New Roman" w:eastAsia="宋体" w:cs="Times New Roman"/>
                <w:color w:val="auto"/>
              </w:rPr>
              <w:t>（1）</w:t>
            </w:r>
            <w:r>
              <w:rPr>
                <w:rFonts w:hint="default" w:ascii="Times New Roman" w:hAnsi="Times New Roman" w:eastAsia="宋体" w:cs="Times New Roman"/>
                <w:color w:val="auto"/>
                <w:lang w:val="en-US" w:eastAsia="zh-CN"/>
              </w:rPr>
              <w:t>严格控制施工作业范围</w:t>
            </w:r>
            <w:r>
              <w:rPr>
                <w:rFonts w:hint="default" w:ascii="Times New Roman" w:hAnsi="Times New Roman" w:eastAsia="宋体" w:cs="Times New Roman"/>
                <w:color w:val="auto"/>
              </w:rPr>
              <w:t>，禁止随意占压、扰动和破坏地表；施工结束后迹地进行清理平整和地表恢复；严禁随意砍伐和破坏非施工区域内的野生植被；施工机械采用低噪声设备，尽量减少施工噪声对野生动物及鸟类的正常栖息。</w:t>
            </w:r>
          </w:p>
          <w:p w14:paraId="01610EE5">
            <w:pPr>
              <w:pStyle w:val="111"/>
              <w:jc w:val="left"/>
              <w:rPr>
                <w:rFonts w:hint="default" w:ascii="Times New Roman" w:hAnsi="Times New Roman" w:eastAsia="宋体" w:cs="Times New Roman"/>
                <w:color w:val="auto"/>
              </w:rPr>
            </w:pPr>
            <w:r>
              <w:rPr>
                <w:rFonts w:hint="default" w:ascii="Times New Roman" w:hAnsi="Times New Roman" w:eastAsia="宋体" w:cs="Times New Roman"/>
                <w:color w:val="auto"/>
              </w:rPr>
              <w:t>（2）</w:t>
            </w:r>
            <w:r>
              <w:rPr>
                <w:rFonts w:hint="default" w:ascii="Times New Roman" w:hAnsi="Times New Roman" w:eastAsia="宋体" w:cs="Times New Roman"/>
                <w:color w:val="auto"/>
                <w:lang w:eastAsia="zh-CN"/>
              </w:rPr>
              <w:t>水土流失防治</w:t>
            </w:r>
            <w:r>
              <w:rPr>
                <w:rFonts w:hint="default" w:ascii="Times New Roman" w:hAnsi="Times New Roman" w:eastAsia="宋体" w:cs="Times New Roman"/>
                <w:color w:val="auto"/>
              </w:rPr>
              <w:t>措施</w:t>
            </w:r>
          </w:p>
          <w:p w14:paraId="2DFB9C38">
            <w:pPr>
              <w:pStyle w:val="111"/>
              <w:jc w:val="left"/>
              <w:rPr>
                <w:rFonts w:hint="default" w:ascii="Times New Roman" w:hAnsi="Times New Roman" w:eastAsia="宋体" w:cs="Times New Roman"/>
                <w:color w:val="auto"/>
              </w:rPr>
            </w:pPr>
            <w:r>
              <w:rPr>
                <w:rFonts w:hint="default" w:ascii="Times New Roman" w:hAnsi="Times New Roman" w:eastAsia="宋体" w:cs="Times New Roman"/>
                <w:color w:val="auto"/>
              </w:rPr>
              <w:t>1）渠</w:t>
            </w:r>
            <w:r>
              <w:rPr>
                <w:rFonts w:hint="default" w:ascii="Times New Roman" w:hAnsi="Times New Roman" w:eastAsia="宋体" w:cs="Times New Roman"/>
                <w:color w:val="auto"/>
                <w:lang w:val="en-US" w:eastAsia="zh-CN"/>
              </w:rPr>
              <w:t>道</w:t>
            </w:r>
            <w:r>
              <w:rPr>
                <w:rFonts w:hint="default" w:ascii="Times New Roman" w:hAnsi="Times New Roman" w:eastAsia="宋体" w:cs="Times New Roman"/>
                <w:color w:val="auto"/>
              </w:rPr>
              <w:t>项目区水土保持措施</w:t>
            </w:r>
          </w:p>
          <w:p w14:paraId="166D87E6">
            <w:pPr>
              <w:pStyle w:val="111"/>
              <w:jc w:val="left"/>
              <w:rPr>
                <w:rFonts w:hint="default" w:ascii="Times New Roman" w:hAnsi="Times New Roman" w:eastAsia="宋体" w:cs="Times New Roman"/>
                <w:color w:val="auto"/>
              </w:rPr>
            </w:pPr>
            <w:r>
              <w:rPr>
                <w:rFonts w:hint="default" w:ascii="Times New Roman" w:hAnsi="Times New Roman" w:eastAsia="宋体" w:cs="Times New Roman"/>
                <w:color w:val="auto"/>
              </w:rPr>
              <w:t>施工期间应规划施工活动范围，严禁施工材料乱堆乱放，划定适宜的堆料场和弃方堆放场所，以防对植被土壤破坏范围的扩大，安排好现有交通车辆的通行，由专人负责严格控制和管理运输车辆及重型机械的运行范围，以防止破坏土壤和植被，引发水土流失。施工完毕后，对渠道两侧进行土地平整，使其自然恢复地表植被，并建设</w:t>
            </w:r>
            <w:r>
              <w:rPr>
                <w:rFonts w:hint="default" w:ascii="Times New Roman" w:hAnsi="Times New Roman" w:eastAsia="宋体" w:cs="Times New Roman"/>
                <w:color w:val="auto"/>
                <w:lang w:eastAsia="zh-CN"/>
              </w:rPr>
              <w:t>林地</w:t>
            </w:r>
            <w:r>
              <w:rPr>
                <w:rFonts w:hint="default" w:ascii="Times New Roman" w:hAnsi="Times New Roman" w:eastAsia="宋体" w:cs="Times New Roman"/>
                <w:color w:val="auto"/>
              </w:rPr>
              <w:t>。</w:t>
            </w:r>
          </w:p>
          <w:p w14:paraId="2CFD1C09">
            <w:pPr>
              <w:pStyle w:val="111"/>
              <w:jc w:val="left"/>
              <w:rPr>
                <w:rFonts w:hint="default" w:ascii="Times New Roman" w:hAnsi="Times New Roman" w:eastAsia="宋体" w:cs="Times New Roman"/>
                <w:color w:val="auto"/>
              </w:rPr>
            </w:pPr>
            <w:r>
              <w:rPr>
                <w:rFonts w:hint="default" w:ascii="Times New Roman" w:hAnsi="Times New Roman" w:eastAsia="宋体" w:cs="Times New Roman"/>
                <w:color w:val="auto"/>
              </w:rPr>
              <w:t>2）临时生产区水土保持措施</w:t>
            </w:r>
          </w:p>
          <w:p w14:paraId="1FC54BC4">
            <w:pPr>
              <w:pStyle w:val="111"/>
              <w:jc w:val="left"/>
              <w:rPr>
                <w:rFonts w:hint="default" w:ascii="Times New Roman" w:hAnsi="Times New Roman" w:eastAsia="宋体" w:cs="Times New Roman"/>
                <w:color w:val="auto"/>
              </w:rPr>
            </w:pPr>
            <w:r>
              <w:rPr>
                <w:rFonts w:hint="default" w:ascii="Times New Roman" w:hAnsi="Times New Roman" w:eastAsia="宋体" w:cs="Times New Roman"/>
                <w:color w:val="auto"/>
              </w:rPr>
              <w:t>施工期间应严格划定施工临时生产区域，以避免对防治区以外场地的占压和扰动，并在临时生产区设置水土保持宣传警示牌，加强对施工人员的水土保持教育。施工完成后，主要采取土地平整措施，自然恢复地表植被的措施。</w:t>
            </w:r>
          </w:p>
          <w:p w14:paraId="1B36DF16">
            <w:pPr>
              <w:pStyle w:val="111"/>
              <w:jc w:val="left"/>
              <w:rPr>
                <w:rFonts w:hint="default" w:ascii="Times New Roman" w:hAnsi="Times New Roman" w:eastAsia="宋体" w:cs="Times New Roman"/>
                <w:color w:val="auto"/>
              </w:rPr>
            </w:pPr>
            <w:r>
              <w:rPr>
                <w:rFonts w:hint="default" w:ascii="Times New Roman" w:hAnsi="Times New Roman" w:eastAsia="宋体" w:cs="Times New Roman"/>
                <w:color w:val="auto"/>
              </w:rPr>
              <w:t>3）临时</w:t>
            </w:r>
            <w:r>
              <w:rPr>
                <w:rFonts w:hint="default" w:ascii="Times New Roman" w:hAnsi="Times New Roman" w:eastAsia="宋体" w:cs="Times New Roman"/>
                <w:color w:val="auto"/>
                <w:lang w:val="en-US" w:eastAsia="zh-CN"/>
              </w:rPr>
              <w:t>弃土场</w:t>
            </w:r>
            <w:r>
              <w:rPr>
                <w:rFonts w:hint="default" w:ascii="Times New Roman" w:hAnsi="Times New Roman" w:eastAsia="宋体" w:cs="Times New Roman"/>
                <w:color w:val="auto"/>
              </w:rPr>
              <w:t>水土保持措施</w:t>
            </w:r>
          </w:p>
          <w:p w14:paraId="26A8171D">
            <w:pPr>
              <w:pStyle w:val="111"/>
              <w:ind w:firstLine="42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rPr>
              <w:t>施工期弃渣需临时就近堆放在项目区，以方便施工时的回填利用。堆渣均按照自然稳定边坡堆放，堆放形式设计为梯形台体状，以苫布遮盖，以防发生水蚀。临时弃土、弃渣的堆放应避开植被良好区，不能随处堆放。施工完成后，将弃渣、弃土</w:t>
            </w:r>
            <w:r>
              <w:rPr>
                <w:rFonts w:hint="default" w:ascii="Times New Roman" w:hAnsi="Times New Roman" w:eastAsia="宋体" w:cs="Times New Roman"/>
                <w:color w:val="auto"/>
                <w:lang w:val="en-US" w:eastAsia="zh-CN"/>
              </w:rPr>
              <w:t>集中收集到临时弃土场</w:t>
            </w:r>
            <w:r>
              <w:rPr>
                <w:rFonts w:hint="default" w:ascii="Times New Roman" w:hAnsi="Times New Roman" w:eastAsia="宋体" w:cs="Times New Roman"/>
                <w:color w:val="auto"/>
              </w:rPr>
              <w:t>并恢复、平整场地，自然恢复植被。</w:t>
            </w:r>
          </w:p>
        </w:tc>
        <w:tc>
          <w:tcPr>
            <w:tcW w:w="1309" w:type="dxa"/>
            <w:vAlign w:val="center"/>
          </w:tcPr>
          <w:p w14:paraId="66A3455E">
            <w:pPr>
              <w:pStyle w:val="78"/>
              <w:rPr>
                <w:rFonts w:hint="default" w:ascii="Times New Roman" w:hAnsi="Times New Roman" w:eastAsia="宋体" w:cs="Times New Roman"/>
                <w:color w:val="auto"/>
              </w:rPr>
            </w:pPr>
            <w:r>
              <w:rPr>
                <w:rFonts w:hint="default" w:ascii="Times New Roman" w:hAnsi="Times New Roman" w:eastAsia="宋体" w:cs="Times New Roman"/>
                <w:color w:val="auto"/>
              </w:rPr>
              <w:t>进行清理平整、地表恢复和</w:t>
            </w:r>
            <w:r>
              <w:rPr>
                <w:rFonts w:hint="default" w:ascii="Times New Roman" w:hAnsi="Times New Roman" w:eastAsia="宋体" w:cs="Times New Roman"/>
                <w:color w:val="auto"/>
                <w:lang w:val="en-US" w:eastAsia="zh-CN"/>
              </w:rPr>
              <w:t>植被</w:t>
            </w:r>
            <w:r>
              <w:rPr>
                <w:rFonts w:hint="default" w:ascii="Times New Roman" w:hAnsi="Times New Roman" w:eastAsia="宋体" w:cs="Times New Roman"/>
                <w:color w:val="auto"/>
              </w:rPr>
              <w:t>建设</w:t>
            </w:r>
          </w:p>
        </w:tc>
        <w:tc>
          <w:tcPr>
            <w:tcW w:w="1012" w:type="dxa"/>
            <w:vAlign w:val="center"/>
          </w:tcPr>
          <w:p w14:paraId="78AA0CBD">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315" w:type="dxa"/>
            <w:vAlign w:val="center"/>
          </w:tcPr>
          <w:p w14:paraId="575796FD">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4D9EA3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1236" w:type="dxa"/>
            <w:vAlign w:val="center"/>
          </w:tcPr>
          <w:p w14:paraId="1B058572">
            <w:pPr>
              <w:pStyle w:val="78"/>
              <w:rPr>
                <w:rFonts w:hint="default" w:ascii="Times New Roman" w:hAnsi="Times New Roman" w:eastAsia="宋体" w:cs="Times New Roman"/>
                <w:color w:val="auto"/>
              </w:rPr>
            </w:pPr>
            <w:r>
              <w:rPr>
                <w:rFonts w:hint="default" w:ascii="Times New Roman" w:hAnsi="Times New Roman" w:eastAsia="宋体" w:cs="Times New Roman"/>
                <w:color w:val="auto"/>
              </w:rPr>
              <w:t>水生生态、地表水环境</w:t>
            </w:r>
          </w:p>
        </w:tc>
        <w:tc>
          <w:tcPr>
            <w:tcW w:w="4200" w:type="dxa"/>
            <w:vAlign w:val="center"/>
          </w:tcPr>
          <w:p w14:paraId="531A5F72">
            <w:pPr>
              <w:pStyle w:val="78"/>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施工场地</w:t>
            </w:r>
            <w:r>
              <w:rPr>
                <w:rFonts w:hint="default" w:ascii="Times New Roman" w:hAnsi="Times New Roman" w:eastAsia="宋体" w:cs="Times New Roman"/>
                <w:color w:val="auto"/>
                <w:lang w:eastAsia="zh-CN"/>
              </w:rPr>
              <w:t>设置临时化粪池，</w:t>
            </w:r>
            <w:r>
              <w:rPr>
                <w:rFonts w:hint="eastAsia" w:cs="Times New Roman"/>
                <w:color w:val="auto"/>
                <w:lang w:eastAsia="zh-CN"/>
              </w:rPr>
              <w:t>罐车定期清运至莎车县污水处理厂处理</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车辆、机械设备冲洗废水自流入</w:t>
            </w:r>
            <w:r>
              <w:rPr>
                <w:rFonts w:hint="eastAsia" w:cs="Times New Roman"/>
                <w:color w:val="auto"/>
                <w:lang w:eastAsia="zh-CN"/>
              </w:rPr>
              <w:t>隔油沉淀</w:t>
            </w:r>
            <w:r>
              <w:rPr>
                <w:rFonts w:hint="default" w:ascii="Times New Roman" w:hAnsi="Times New Roman" w:eastAsia="宋体" w:cs="Times New Roman"/>
                <w:color w:val="auto"/>
              </w:rPr>
              <w:t>池，处理后</w:t>
            </w:r>
            <w:r>
              <w:rPr>
                <w:rFonts w:hint="default" w:ascii="Times New Roman" w:hAnsi="Times New Roman" w:eastAsia="宋体" w:cs="Times New Roman"/>
                <w:color w:val="auto"/>
                <w:lang w:eastAsia="zh-CN"/>
              </w:rPr>
              <w:t>回用于砼拌和养护用水</w:t>
            </w:r>
          </w:p>
        </w:tc>
        <w:tc>
          <w:tcPr>
            <w:tcW w:w="1309" w:type="dxa"/>
            <w:vAlign w:val="center"/>
          </w:tcPr>
          <w:p w14:paraId="6CD0B93E">
            <w:pPr>
              <w:pStyle w:val="78"/>
              <w:rPr>
                <w:rFonts w:hint="eastAsia" w:ascii="Times New Roman" w:hAnsi="Times New Roman" w:eastAsia="宋体" w:cs="Times New Roman"/>
                <w:color w:val="auto"/>
                <w:lang w:eastAsia="zh-CN"/>
              </w:rPr>
            </w:pPr>
            <w:r>
              <w:rPr>
                <w:rFonts w:hint="eastAsia" w:cs="Times New Roman"/>
                <w:color w:val="auto"/>
                <w:lang w:eastAsia="zh-CN"/>
              </w:rPr>
              <w:t>废水</w:t>
            </w:r>
            <w:r>
              <w:rPr>
                <w:rFonts w:hint="eastAsia" w:cs="Times New Roman"/>
                <w:color w:val="auto"/>
                <w:lang w:val="en-US" w:eastAsia="zh-CN"/>
              </w:rPr>
              <w:t>不</w:t>
            </w:r>
            <w:r>
              <w:rPr>
                <w:rFonts w:hint="eastAsia" w:cs="Times New Roman"/>
                <w:color w:val="auto"/>
                <w:lang w:eastAsia="zh-CN"/>
              </w:rPr>
              <w:t>直排</w:t>
            </w:r>
          </w:p>
        </w:tc>
        <w:tc>
          <w:tcPr>
            <w:tcW w:w="1012" w:type="dxa"/>
            <w:vAlign w:val="center"/>
          </w:tcPr>
          <w:p w14:paraId="607CD3B5">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315" w:type="dxa"/>
            <w:vAlign w:val="center"/>
          </w:tcPr>
          <w:p w14:paraId="6E377190">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753402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36" w:type="dxa"/>
            <w:vAlign w:val="center"/>
          </w:tcPr>
          <w:p w14:paraId="3CFBCACA">
            <w:pPr>
              <w:pStyle w:val="78"/>
              <w:rPr>
                <w:rFonts w:hint="default" w:ascii="Times New Roman" w:hAnsi="Times New Roman" w:eastAsia="宋体" w:cs="Times New Roman"/>
                <w:color w:val="auto"/>
              </w:rPr>
            </w:pPr>
            <w:r>
              <w:rPr>
                <w:rFonts w:hint="default" w:ascii="Times New Roman" w:hAnsi="Times New Roman" w:eastAsia="宋体" w:cs="Times New Roman"/>
                <w:color w:val="auto"/>
              </w:rPr>
              <w:t>地下水及土壤环境</w:t>
            </w:r>
          </w:p>
        </w:tc>
        <w:tc>
          <w:tcPr>
            <w:tcW w:w="4200" w:type="dxa"/>
            <w:vAlign w:val="center"/>
          </w:tcPr>
          <w:p w14:paraId="76168008">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309" w:type="dxa"/>
            <w:vAlign w:val="center"/>
          </w:tcPr>
          <w:p w14:paraId="4FCC520E">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012" w:type="dxa"/>
            <w:vAlign w:val="center"/>
          </w:tcPr>
          <w:p w14:paraId="7A3A7787">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315" w:type="dxa"/>
            <w:vAlign w:val="center"/>
          </w:tcPr>
          <w:p w14:paraId="2D0D7B98">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25BC47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36" w:type="dxa"/>
            <w:vAlign w:val="center"/>
          </w:tcPr>
          <w:p w14:paraId="5198B163">
            <w:pPr>
              <w:pStyle w:val="78"/>
              <w:rPr>
                <w:rFonts w:hint="default" w:ascii="Times New Roman" w:hAnsi="Times New Roman" w:eastAsia="宋体" w:cs="Times New Roman"/>
                <w:color w:val="auto"/>
              </w:rPr>
            </w:pPr>
            <w:r>
              <w:rPr>
                <w:rFonts w:hint="default" w:ascii="Times New Roman" w:hAnsi="Times New Roman" w:eastAsia="宋体" w:cs="Times New Roman"/>
                <w:color w:val="auto"/>
              </w:rPr>
              <w:t>声环境</w:t>
            </w:r>
          </w:p>
        </w:tc>
        <w:tc>
          <w:tcPr>
            <w:tcW w:w="4200" w:type="dxa"/>
            <w:vAlign w:val="center"/>
          </w:tcPr>
          <w:p w14:paraId="55E3262A">
            <w:pPr>
              <w:pStyle w:val="78"/>
              <w:rPr>
                <w:rFonts w:hint="default" w:ascii="Times New Roman" w:hAnsi="Times New Roman" w:eastAsia="宋体" w:cs="Times New Roman"/>
                <w:color w:val="auto"/>
              </w:rPr>
            </w:pPr>
            <w:r>
              <w:rPr>
                <w:rFonts w:hint="default" w:ascii="Times New Roman" w:hAnsi="Times New Roman" w:eastAsia="宋体" w:cs="Times New Roman"/>
                <w:color w:val="auto"/>
              </w:rPr>
              <w:t>使用低噪声设备；合理安排施工时间和施工布局；高噪声设备远离敏感点布置；运输车辆减速慢行，禁止鸣笛</w:t>
            </w:r>
          </w:p>
        </w:tc>
        <w:tc>
          <w:tcPr>
            <w:tcW w:w="1309" w:type="dxa"/>
            <w:vAlign w:val="center"/>
          </w:tcPr>
          <w:p w14:paraId="4E91372B">
            <w:pPr>
              <w:pStyle w:val="78"/>
              <w:rPr>
                <w:rFonts w:hint="default" w:ascii="Times New Roman" w:hAnsi="Times New Roman" w:eastAsia="宋体" w:cs="Times New Roman"/>
                <w:color w:val="auto"/>
              </w:rPr>
            </w:pPr>
            <w:r>
              <w:rPr>
                <w:rFonts w:hint="default" w:ascii="Times New Roman" w:hAnsi="Times New Roman" w:eastAsia="宋体" w:cs="Times New Roman"/>
                <w:color w:val="auto"/>
              </w:rPr>
              <w:t>场界噪声能满足《建筑施工场界环境噪声排放标准》（GB12523-2011）</w:t>
            </w:r>
          </w:p>
        </w:tc>
        <w:tc>
          <w:tcPr>
            <w:tcW w:w="1012" w:type="dxa"/>
            <w:vAlign w:val="center"/>
          </w:tcPr>
          <w:p w14:paraId="37DA999E">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315" w:type="dxa"/>
            <w:vAlign w:val="center"/>
          </w:tcPr>
          <w:p w14:paraId="4E367B43">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4ECEF1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236" w:type="dxa"/>
            <w:vAlign w:val="center"/>
          </w:tcPr>
          <w:p w14:paraId="164AEF53">
            <w:pPr>
              <w:pStyle w:val="78"/>
              <w:rPr>
                <w:rFonts w:hint="default" w:ascii="Times New Roman" w:hAnsi="Times New Roman" w:eastAsia="宋体" w:cs="Times New Roman"/>
                <w:color w:val="auto"/>
              </w:rPr>
            </w:pPr>
            <w:r>
              <w:rPr>
                <w:rFonts w:hint="default" w:ascii="Times New Roman" w:hAnsi="Times New Roman" w:eastAsia="宋体" w:cs="Times New Roman"/>
                <w:color w:val="auto"/>
              </w:rPr>
              <w:t>振动</w:t>
            </w:r>
          </w:p>
        </w:tc>
        <w:tc>
          <w:tcPr>
            <w:tcW w:w="4200" w:type="dxa"/>
            <w:vAlign w:val="center"/>
          </w:tcPr>
          <w:p w14:paraId="5EA41649">
            <w:pPr>
              <w:pStyle w:val="78"/>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309" w:type="dxa"/>
            <w:vAlign w:val="center"/>
          </w:tcPr>
          <w:p w14:paraId="296BDBFC">
            <w:pPr>
              <w:pStyle w:val="78"/>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012" w:type="dxa"/>
            <w:vAlign w:val="center"/>
          </w:tcPr>
          <w:p w14:paraId="7282370D">
            <w:pPr>
              <w:pStyle w:val="78"/>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315" w:type="dxa"/>
            <w:vAlign w:val="center"/>
          </w:tcPr>
          <w:p w14:paraId="3E311FEF">
            <w:pPr>
              <w:pStyle w:val="78"/>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6C88C5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1236" w:type="dxa"/>
            <w:vAlign w:val="center"/>
          </w:tcPr>
          <w:p w14:paraId="0B23D5B4">
            <w:pPr>
              <w:pStyle w:val="78"/>
              <w:rPr>
                <w:rFonts w:hint="default" w:ascii="Times New Roman" w:hAnsi="Times New Roman" w:eastAsia="宋体" w:cs="Times New Roman"/>
                <w:color w:val="auto"/>
              </w:rPr>
            </w:pPr>
            <w:r>
              <w:rPr>
                <w:rFonts w:hint="default" w:ascii="Times New Roman" w:hAnsi="Times New Roman" w:eastAsia="宋体" w:cs="Times New Roman"/>
                <w:color w:val="auto"/>
              </w:rPr>
              <w:t>大气环境</w:t>
            </w:r>
          </w:p>
        </w:tc>
        <w:tc>
          <w:tcPr>
            <w:tcW w:w="4200" w:type="dxa"/>
            <w:vAlign w:val="center"/>
          </w:tcPr>
          <w:p w14:paraId="2F8C0745">
            <w:pPr>
              <w:pStyle w:val="78"/>
              <w:rPr>
                <w:rFonts w:hint="default" w:ascii="Times New Roman" w:hAnsi="Times New Roman" w:eastAsia="宋体" w:cs="Times New Roman"/>
                <w:color w:val="auto"/>
              </w:rPr>
            </w:pPr>
            <w:r>
              <w:rPr>
                <w:rFonts w:hint="default" w:ascii="Times New Roman" w:hAnsi="Times New Roman" w:eastAsia="宋体" w:cs="Times New Roman"/>
                <w:color w:val="auto"/>
              </w:rPr>
              <w:t>加强车辆保养和维护，减少超载，减少停车怠速时间，以减少燃油废气排放；施工期间加强环境管理，加强对施工现场管理，露土覆盖，加强出入车辆冲洗，控制车辆驶入驶出速度；</w:t>
            </w:r>
            <w:r>
              <w:rPr>
                <w:rFonts w:hint="default" w:ascii="Times New Roman" w:hAnsi="Times New Roman" w:eastAsia="宋体" w:cs="Times New Roman"/>
                <w:color w:val="auto"/>
                <w:lang w:eastAsia="zh-CN"/>
              </w:rPr>
              <w:t>料场四周设置围挡防风阻尘，堆垛配备篷布遮盖并定期洒水保持湿润</w:t>
            </w:r>
            <w:r>
              <w:rPr>
                <w:rFonts w:hint="default" w:ascii="Times New Roman" w:hAnsi="Times New Roman" w:eastAsia="宋体" w:cs="Times New Roman"/>
                <w:color w:val="auto"/>
              </w:rPr>
              <w:t>，有效减少原料堆存过程扬尘排放</w:t>
            </w:r>
          </w:p>
        </w:tc>
        <w:tc>
          <w:tcPr>
            <w:tcW w:w="1309" w:type="dxa"/>
            <w:vAlign w:val="center"/>
          </w:tcPr>
          <w:p w14:paraId="16C7EC37">
            <w:pPr>
              <w:pStyle w:val="78"/>
              <w:rPr>
                <w:rFonts w:hint="default" w:ascii="Times New Roman" w:hAnsi="Times New Roman" w:eastAsia="宋体" w:cs="Times New Roman"/>
                <w:color w:val="auto"/>
              </w:rPr>
            </w:pPr>
            <w:r>
              <w:rPr>
                <w:rFonts w:hint="default" w:ascii="Times New Roman" w:hAnsi="Times New Roman" w:eastAsia="宋体" w:cs="Times New Roman"/>
                <w:color w:val="auto"/>
              </w:rPr>
              <w:t>《大气污染物综合排放标准》（GB16297-1996）表2标准</w:t>
            </w:r>
          </w:p>
        </w:tc>
        <w:tc>
          <w:tcPr>
            <w:tcW w:w="1012" w:type="dxa"/>
            <w:vAlign w:val="center"/>
          </w:tcPr>
          <w:p w14:paraId="61F845AE">
            <w:pPr>
              <w:pStyle w:val="78"/>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315" w:type="dxa"/>
            <w:vAlign w:val="center"/>
          </w:tcPr>
          <w:p w14:paraId="72F689F2">
            <w:pPr>
              <w:pStyle w:val="78"/>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472B16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1236" w:type="dxa"/>
            <w:vAlign w:val="center"/>
          </w:tcPr>
          <w:p w14:paraId="37F53ABE">
            <w:pPr>
              <w:pStyle w:val="78"/>
              <w:rPr>
                <w:rFonts w:hint="default" w:ascii="Times New Roman" w:hAnsi="Times New Roman" w:eastAsia="宋体" w:cs="Times New Roman"/>
                <w:color w:val="auto"/>
              </w:rPr>
            </w:pPr>
            <w:r>
              <w:rPr>
                <w:rFonts w:hint="default" w:ascii="Times New Roman" w:hAnsi="Times New Roman" w:eastAsia="宋体" w:cs="Times New Roman"/>
                <w:color w:val="auto"/>
              </w:rPr>
              <w:t>固体废物</w:t>
            </w:r>
          </w:p>
        </w:tc>
        <w:tc>
          <w:tcPr>
            <w:tcW w:w="4200" w:type="dxa"/>
            <w:vAlign w:val="center"/>
          </w:tcPr>
          <w:p w14:paraId="6D1F9F73">
            <w:pPr>
              <w:pStyle w:val="113"/>
              <w:spacing w:line="240" w:lineRule="auto"/>
              <w:ind w:firstLine="0" w:firstLineChars="0"/>
              <w:rPr>
                <w:rFonts w:hint="default" w:ascii="Times New Roman" w:hAnsi="Times New Roman" w:eastAsia="宋体" w:cs="Times New Roman"/>
                <w:color w:val="auto"/>
              </w:rPr>
            </w:pPr>
            <w:r>
              <w:rPr>
                <w:rFonts w:hint="eastAsia" w:ascii="Times New Roman" w:hAnsi="Times New Roman" w:cs="Times New Roman"/>
                <w:color w:val="auto"/>
                <w:sz w:val="21"/>
                <w:szCs w:val="21"/>
                <w:lang w:val="en-US" w:eastAsia="zh-CN"/>
              </w:rPr>
              <w:t>弃土方及时用于土地平整和回填使用，无法利用的</w:t>
            </w:r>
            <w:r>
              <w:rPr>
                <w:rFonts w:hint="default" w:ascii="Times New Roman" w:hAnsi="Times New Roman" w:eastAsia="宋体" w:cs="Times New Roman"/>
                <w:color w:val="auto"/>
                <w:sz w:val="21"/>
                <w:szCs w:val="21"/>
                <w:lang w:val="en-US" w:eastAsia="zh-CN"/>
              </w:rPr>
              <w:t>送至</w:t>
            </w:r>
            <w:r>
              <w:rPr>
                <w:rFonts w:hint="eastAsia" w:ascii="Times New Roman" w:hAnsi="Times New Roman" w:cs="Times New Roman"/>
                <w:color w:val="auto"/>
                <w:sz w:val="21"/>
                <w:szCs w:val="21"/>
                <w:lang w:val="en-US" w:eastAsia="zh-CN"/>
              </w:rPr>
              <w:t>莎车县城市管理部门指定的建筑垃圾存放点</w:t>
            </w:r>
            <w:r>
              <w:rPr>
                <w:rFonts w:hint="default" w:ascii="Times New Roman" w:hAnsi="Times New Roman" w:eastAsia="宋体" w:cs="Times New Roman"/>
                <w:color w:val="auto"/>
                <w:sz w:val="21"/>
                <w:szCs w:val="21"/>
                <w:lang w:val="en-US" w:eastAsia="zh-CN"/>
              </w:rPr>
              <w:t>处理进行综合利用，不得随意倾倒</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对施工中产生的建筑垃圾能回收的应尽量回收利用，无法利用的集中收集后运至</w:t>
            </w:r>
            <w:r>
              <w:rPr>
                <w:rFonts w:hint="eastAsia" w:ascii="Times New Roman" w:hAnsi="Times New Roman" w:cs="Times New Roman"/>
                <w:color w:val="auto"/>
                <w:sz w:val="21"/>
                <w:szCs w:val="21"/>
                <w:lang w:val="en-US" w:eastAsia="zh-CN"/>
              </w:rPr>
              <w:t>莎车县城市管理部门指定的建筑垃圾存放点</w:t>
            </w:r>
            <w:r>
              <w:rPr>
                <w:rFonts w:hint="default" w:ascii="Times New Roman" w:hAnsi="Times New Roman" w:eastAsia="宋体" w:cs="Times New Roman"/>
                <w:color w:val="auto"/>
                <w:sz w:val="21"/>
                <w:szCs w:val="21"/>
                <w:lang w:val="en-US" w:eastAsia="zh-CN"/>
              </w:rPr>
              <w:t>处理；</w:t>
            </w:r>
            <w:r>
              <w:rPr>
                <w:rFonts w:hint="default" w:ascii="Times New Roman" w:hAnsi="Times New Roman" w:eastAsia="宋体" w:cs="Times New Roman"/>
                <w:color w:val="auto"/>
                <w:sz w:val="21"/>
                <w:szCs w:val="21"/>
              </w:rPr>
              <w:t>生活垃圾每天收集，交环卫部门进行处理</w:t>
            </w:r>
          </w:p>
        </w:tc>
        <w:tc>
          <w:tcPr>
            <w:tcW w:w="1309" w:type="dxa"/>
            <w:vAlign w:val="center"/>
          </w:tcPr>
          <w:p w14:paraId="11937E90">
            <w:pPr>
              <w:pStyle w:val="78"/>
              <w:rPr>
                <w:rFonts w:hint="default" w:ascii="Times New Roman" w:hAnsi="Times New Roman" w:eastAsia="宋体" w:cs="Times New Roman"/>
                <w:color w:val="auto"/>
              </w:rPr>
            </w:pPr>
            <w:r>
              <w:rPr>
                <w:rFonts w:hint="default" w:ascii="Times New Roman" w:hAnsi="Times New Roman" w:eastAsia="宋体" w:cs="Times New Roman"/>
                <w:color w:val="auto"/>
              </w:rPr>
              <w:t>固体废物都合理处置，没有随意堆放和排放现象</w:t>
            </w:r>
          </w:p>
        </w:tc>
        <w:tc>
          <w:tcPr>
            <w:tcW w:w="1012" w:type="dxa"/>
            <w:vAlign w:val="center"/>
          </w:tcPr>
          <w:p w14:paraId="6AA96D0C">
            <w:pPr>
              <w:pStyle w:val="78"/>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315" w:type="dxa"/>
            <w:vAlign w:val="center"/>
          </w:tcPr>
          <w:p w14:paraId="09770A87">
            <w:pPr>
              <w:pStyle w:val="78"/>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009C07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236" w:type="dxa"/>
            <w:vAlign w:val="center"/>
          </w:tcPr>
          <w:p w14:paraId="360DB8AC">
            <w:pPr>
              <w:pStyle w:val="78"/>
              <w:rPr>
                <w:rFonts w:hint="default" w:ascii="Times New Roman" w:hAnsi="Times New Roman" w:eastAsia="宋体" w:cs="Times New Roman"/>
                <w:color w:val="auto"/>
              </w:rPr>
            </w:pPr>
            <w:r>
              <w:rPr>
                <w:rFonts w:hint="default" w:ascii="Times New Roman" w:hAnsi="Times New Roman" w:eastAsia="宋体" w:cs="Times New Roman"/>
                <w:color w:val="auto"/>
              </w:rPr>
              <w:t>电磁环境</w:t>
            </w:r>
          </w:p>
        </w:tc>
        <w:tc>
          <w:tcPr>
            <w:tcW w:w="4200" w:type="dxa"/>
            <w:vAlign w:val="center"/>
          </w:tcPr>
          <w:p w14:paraId="45C70A2E">
            <w:pPr>
              <w:pStyle w:val="78"/>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309" w:type="dxa"/>
            <w:vAlign w:val="center"/>
          </w:tcPr>
          <w:p w14:paraId="2F88618A">
            <w:pPr>
              <w:pStyle w:val="78"/>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012" w:type="dxa"/>
            <w:vAlign w:val="center"/>
          </w:tcPr>
          <w:p w14:paraId="5E6FFE23">
            <w:pPr>
              <w:pStyle w:val="78"/>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315" w:type="dxa"/>
            <w:vAlign w:val="center"/>
          </w:tcPr>
          <w:p w14:paraId="3EBF872C">
            <w:pPr>
              <w:pStyle w:val="78"/>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4C385F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236" w:type="dxa"/>
            <w:vAlign w:val="center"/>
          </w:tcPr>
          <w:p w14:paraId="1FC42119">
            <w:pPr>
              <w:pStyle w:val="78"/>
              <w:rPr>
                <w:rFonts w:hint="default" w:ascii="Times New Roman" w:hAnsi="Times New Roman" w:eastAsia="宋体" w:cs="Times New Roman"/>
                <w:color w:val="auto"/>
              </w:rPr>
            </w:pPr>
            <w:r>
              <w:rPr>
                <w:rFonts w:hint="default" w:ascii="Times New Roman" w:hAnsi="Times New Roman" w:eastAsia="宋体" w:cs="Times New Roman"/>
                <w:color w:val="auto"/>
              </w:rPr>
              <w:t>环境风险</w:t>
            </w:r>
          </w:p>
        </w:tc>
        <w:tc>
          <w:tcPr>
            <w:tcW w:w="4200" w:type="dxa"/>
            <w:vAlign w:val="center"/>
          </w:tcPr>
          <w:p w14:paraId="064CF1EF">
            <w:pPr>
              <w:pStyle w:val="78"/>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309" w:type="dxa"/>
            <w:vAlign w:val="center"/>
          </w:tcPr>
          <w:p w14:paraId="3EB38C65">
            <w:pPr>
              <w:pStyle w:val="78"/>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012" w:type="dxa"/>
            <w:vAlign w:val="center"/>
          </w:tcPr>
          <w:p w14:paraId="5B7BA70C">
            <w:pPr>
              <w:pStyle w:val="78"/>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315" w:type="dxa"/>
            <w:vAlign w:val="center"/>
          </w:tcPr>
          <w:p w14:paraId="0DCA84D7">
            <w:pPr>
              <w:pStyle w:val="78"/>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6DD233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236" w:type="dxa"/>
            <w:vAlign w:val="center"/>
          </w:tcPr>
          <w:p w14:paraId="3F6DCBBC">
            <w:pPr>
              <w:pStyle w:val="78"/>
              <w:rPr>
                <w:rFonts w:hint="default" w:ascii="Times New Roman" w:hAnsi="Times New Roman" w:eastAsia="宋体" w:cs="Times New Roman"/>
                <w:color w:val="auto"/>
              </w:rPr>
            </w:pPr>
            <w:r>
              <w:rPr>
                <w:rFonts w:hint="default" w:ascii="Times New Roman" w:hAnsi="Times New Roman" w:eastAsia="宋体" w:cs="Times New Roman"/>
                <w:color w:val="auto"/>
              </w:rPr>
              <w:t>环境监测</w:t>
            </w:r>
          </w:p>
        </w:tc>
        <w:tc>
          <w:tcPr>
            <w:tcW w:w="4200" w:type="dxa"/>
            <w:vAlign w:val="center"/>
          </w:tcPr>
          <w:p w14:paraId="6C5B66AD">
            <w:pPr>
              <w:pStyle w:val="78"/>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309" w:type="dxa"/>
            <w:vAlign w:val="center"/>
          </w:tcPr>
          <w:p w14:paraId="5B04B666">
            <w:pPr>
              <w:pStyle w:val="78"/>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012" w:type="dxa"/>
            <w:vAlign w:val="center"/>
          </w:tcPr>
          <w:p w14:paraId="0CE9F78B">
            <w:pPr>
              <w:pStyle w:val="78"/>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315" w:type="dxa"/>
            <w:vAlign w:val="center"/>
          </w:tcPr>
          <w:p w14:paraId="2F6DC6D9">
            <w:pPr>
              <w:pStyle w:val="78"/>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4A020F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36" w:type="dxa"/>
            <w:vAlign w:val="center"/>
          </w:tcPr>
          <w:p w14:paraId="5E2A8E06">
            <w:pPr>
              <w:pStyle w:val="78"/>
              <w:rPr>
                <w:rFonts w:hint="default" w:ascii="Times New Roman" w:hAnsi="Times New Roman" w:eastAsia="宋体" w:cs="Times New Roman"/>
                <w:color w:val="auto"/>
              </w:rPr>
            </w:pPr>
            <w:r>
              <w:rPr>
                <w:rFonts w:hint="default" w:ascii="Times New Roman" w:hAnsi="Times New Roman" w:eastAsia="宋体" w:cs="Times New Roman"/>
                <w:color w:val="auto"/>
              </w:rPr>
              <w:t>其他</w:t>
            </w:r>
          </w:p>
        </w:tc>
        <w:tc>
          <w:tcPr>
            <w:tcW w:w="7836" w:type="dxa"/>
            <w:gridSpan w:val="4"/>
            <w:vAlign w:val="center"/>
          </w:tcPr>
          <w:p w14:paraId="6E50A1FC">
            <w:pPr>
              <w:spacing w:line="360" w:lineRule="auto"/>
              <w:ind w:firstLine="42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rPr>
              <w:t>无</w:t>
            </w:r>
          </w:p>
          <w:p w14:paraId="1C8A754D">
            <w:pPr>
              <w:pStyle w:val="78"/>
              <w:rPr>
                <w:rFonts w:hint="default" w:ascii="Times New Roman" w:hAnsi="Times New Roman" w:eastAsia="宋体" w:cs="Times New Roman"/>
                <w:color w:val="auto"/>
              </w:rPr>
            </w:pPr>
          </w:p>
        </w:tc>
      </w:tr>
    </w:tbl>
    <w:p w14:paraId="3666BE53">
      <w:pPr>
        <w:jc w:val="center"/>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rPr>
        <w:br w:type="page"/>
      </w:r>
      <w:r>
        <w:rPr>
          <w:rFonts w:hint="default" w:ascii="Times New Roman" w:hAnsi="Times New Roman" w:eastAsia="宋体" w:cs="Times New Roman"/>
          <w:snapToGrid w:val="0"/>
          <w:color w:val="auto"/>
          <w:sz w:val="30"/>
          <w:szCs w:val="30"/>
        </w:rPr>
        <w:t>七、结论</w:t>
      </w:r>
    </w:p>
    <w:tbl>
      <w:tblPr>
        <w:tblStyle w:val="33"/>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14:paraId="70A722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03" w:hRule="exact"/>
          <w:jc w:val="center"/>
        </w:trPr>
        <w:tc>
          <w:tcPr>
            <w:tcW w:w="9289" w:type="dxa"/>
            <w:vAlign w:val="center"/>
          </w:tcPr>
          <w:p w14:paraId="00FE0074">
            <w:pPr>
              <w:autoSpaceDE w:val="0"/>
              <w:autoSpaceDN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一、结论</w:t>
            </w:r>
          </w:p>
          <w:p w14:paraId="1F6D13AF">
            <w:pPr>
              <w:autoSpaceDE w:val="0"/>
              <w:autoSpaceDN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本项目</w:t>
            </w:r>
            <w:r>
              <w:rPr>
                <w:rFonts w:hint="default" w:ascii="Times New Roman" w:hAnsi="Times New Roman" w:eastAsia="宋体" w:cs="Times New Roman"/>
                <w:color w:val="auto"/>
                <w:sz w:val="24"/>
              </w:rPr>
              <w:t>属于</w:t>
            </w:r>
            <w:r>
              <w:rPr>
                <w:rFonts w:hint="default" w:ascii="Times New Roman" w:hAnsi="Times New Roman" w:eastAsia="宋体" w:cs="Times New Roman"/>
                <w:color w:val="auto"/>
                <w:sz w:val="24"/>
                <w:lang w:val="en-US" w:eastAsia="zh-CN"/>
              </w:rPr>
              <w:t>灌区防渗渠道</w:t>
            </w:r>
            <w:r>
              <w:rPr>
                <w:rFonts w:hint="default" w:ascii="Times New Roman" w:hAnsi="Times New Roman" w:eastAsia="宋体" w:cs="Times New Roman"/>
                <w:color w:val="auto"/>
                <w:sz w:val="24"/>
              </w:rPr>
              <w:t>改造项目，项目区有一定的农业设施基础，灌区排水设施齐全，规划布局合理、交通便利，电力通讯畅通等诸多因素都为项目建设提供了良好的条件，可快速发挥经济和社会效益，投资少，见效快。</w:t>
            </w:r>
            <w:r>
              <w:rPr>
                <w:rFonts w:hint="default" w:ascii="Times New Roman" w:hAnsi="Times New Roman" w:eastAsia="宋体" w:cs="Times New Roman"/>
                <w:color w:val="auto"/>
                <w:sz w:val="24"/>
                <w:lang w:eastAsia="zh-CN"/>
              </w:rPr>
              <w:t>防渗渠道工程</w:t>
            </w:r>
            <w:r>
              <w:rPr>
                <w:rFonts w:hint="default" w:ascii="Times New Roman" w:hAnsi="Times New Roman" w:eastAsia="宋体" w:cs="Times New Roman"/>
                <w:color w:val="auto"/>
                <w:sz w:val="24"/>
              </w:rPr>
              <w:t>符合产业政策和当地总体规划，工程实施后满足环保要求，在确保各项污染治理措施和生态治理措施落实的前提下，从环保角度而言，</w:t>
            </w:r>
            <w:r>
              <w:rPr>
                <w:rFonts w:hint="default" w:ascii="Times New Roman" w:hAnsi="Times New Roman" w:eastAsia="宋体" w:cs="Times New Roman"/>
                <w:color w:val="auto"/>
                <w:sz w:val="24"/>
                <w:lang w:eastAsia="zh-CN"/>
              </w:rPr>
              <w:t>防渗渠道工程</w:t>
            </w:r>
            <w:r>
              <w:rPr>
                <w:rFonts w:hint="default" w:ascii="Times New Roman" w:hAnsi="Times New Roman" w:eastAsia="宋体" w:cs="Times New Roman"/>
                <w:color w:val="auto"/>
                <w:sz w:val="24"/>
              </w:rPr>
              <w:t>是可行的。</w:t>
            </w:r>
          </w:p>
          <w:p w14:paraId="2EF56584">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二、建议</w:t>
            </w:r>
          </w:p>
          <w:p w14:paraId="4E3DC14A">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（1）严格落实</w:t>
            </w:r>
            <w:r>
              <w:rPr>
                <w:rFonts w:hint="default" w:ascii="Times New Roman" w:hAnsi="Times New Roman" w:eastAsia="宋体" w:cs="Times New Roman"/>
                <w:color w:val="auto"/>
                <w:lang w:val="en-US" w:eastAsia="zh-CN"/>
              </w:rPr>
              <w:t>施工期</w:t>
            </w:r>
            <w:r>
              <w:rPr>
                <w:rFonts w:hint="default" w:ascii="Times New Roman" w:hAnsi="Times New Roman" w:eastAsia="宋体" w:cs="Times New Roman"/>
                <w:color w:val="auto"/>
              </w:rPr>
              <w:t>各项污染治理措施，确保污染物达标排放。</w:t>
            </w:r>
          </w:p>
          <w:p w14:paraId="1D08ABE1">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（2）严格执行施工期环境管理制度，施工期间施工机械尽量远离村庄居民点，减少废气、扬尘和噪声对居民正常生活的影响。</w:t>
            </w:r>
          </w:p>
          <w:p w14:paraId="37254D05">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（3）对渠道</w:t>
            </w:r>
            <w:r>
              <w:rPr>
                <w:rFonts w:hint="default" w:ascii="Times New Roman" w:hAnsi="Times New Roman" w:eastAsia="宋体" w:cs="Times New Roman"/>
                <w:color w:val="auto"/>
                <w:lang w:val="en-US" w:eastAsia="zh-CN"/>
              </w:rPr>
              <w:t>建筑物</w:t>
            </w:r>
            <w:r>
              <w:rPr>
                <w:rFonts w:hint="default" w:ascii="Times New Roman" w:hAnsi="Times New Roman" w:eastAsia="宋体" w:cs="Times New Roman"/>
                <w:color w:val="auto"/>
              </w:rPr>
              <w:t>施工应做好规划，施工尽可能避开交通高峰期和大雨、大风天气，避免夜间施工。</w:t>
            </w:r>
          </w:p>
          <w:p w14:paraId="52D057D6">
            <w:pPr>
              <w:pStyle w:val="113"/>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（4）积极配合当地政府和环保部门对施工周围环境质量进行严格监督。</w:t>
            </w:r>
          </w:p>
          <w:p w14:paraId="7403170F">
            <w:pPr>
              <w:pStyle w:val="113"/>
              <w:ind w:firstLine="4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rPr>
              <w:t>（5）建筑垃圾</w:t>
            </w:r>
            <w:r>
              <w:rPr>
                <w:rFonts w:hint="default" w:ascii="Times New Roman" w:hAnsi="Times New Roman" w:eastAsia="宋体" w:cs="Times New Roman"/>
                <w:color w:val="auto"/>
                <w:lang w:val="en-US" w:eastAsia="zh-CN"/>
              </w:rPr>
              <w:t>尽量</w:t>
            </w:r>
            <w:r>
              <w:rPr>
                <w:rFonts w:hint="default" w:ascii="Times New Roman" w:hAnsi="Times New Roman" w:eastAsia="宋体" w:cs="Times New Roman"/>
                <w:color w:val="auto"/>
              </w:rPr>
              <w:t>回收利用，无法利用的集中收集后运至</w:t>
            </w:r>
            <w:r>
              <w:rPr>
                <w:rFonts w:hint="eastAsia" w:ascii="Times New Roman" w:hAnsi="Times New Roman" w:cs="Times New Roman"/>
                <w:color w:val="auto"/>
                <w:lang w:eastAsia="zh-CN"/>
              </w:rPr>
              <w:t>莎车县城市管理部门指定的建筑垃圾存放点</w:t>
            </w:r>
            <w:r>
              <w:rPr>
                <w:rFonts w:hint="default" w:ascii="Times New Roman" w:hAnsi="Times New Roman" w:eastAsia="宋体" w:cs="Times New Roman"/>
                <w:color w:val="auto"/>
              </w:rPr>
              <w:t>处理，减少对交通的影响。</w:t>
            </w:r>
          </w:p>
          <w:p w14:paraId="728398B5">
            <w:pPr>
              <w:autoSpaceDE w:val="0"/>
              <w:autoSpaceDN w:val="0"/>
              <w:spacing w:line="360" w:lineRule="auto"/>
              <w:ind w:firstLine="480" w:firstLineChars="200"/>
              <w:rPr>
                <w:rFonts w:hint="default" w:ascii="Times New Roman" w:hAnsi="Times New Roman" w:eastAsia="宋体" w:cs="Times New Roman"/>
                <w:color w:val="auto"/>
                <w:sz w:val="24"/>
              </w:rPr>
            </w:pPr>
          </w:p>
          <w:p w14:paraId="644E16DF">
            <w:pPr>
              <w:autoSpaceDE w:val="0"/>
              <w:autoSpaceDN w:val="0"/>
              <w:spacing w:line="360" w:lineRule="auto"/>
              <w:ind w:firstLine="480" w:firstLineChars="200"/>
              <w:rPr>
                <w:rFonts w:hint="default" w:ascii="Times New Roman" w:hAnsi="Times New Roman" w:eastAsia="宋体" w:cs="Times New Roman"/>
                <w:color w:val="auto"/>
                <w:sz w:val="24"/>
              </w:rPr>
            </w:pPr>
          </w:p>
          <w:p w14:paraId="445F7CBD">
            <w:pPr>
              <w:autoSpaceDE w:val="0"/>
              <w:autoSpaceDN w:val="0"/>
              <w:spacing w:line="360" w:lineRule="auto"/>
              <w:ind w:firstLine="480" w:firstLineChars="200"/>
              <w:rPr>
                <w:rFonts w:hint="default" w:ascii="Times New Roman" w:hAnsi="Times New Roman" w:eastAsia="宋体" w:cs="Times New Roman"/>
                <w:color w:val="auto"/>
                <w:sz w:val="24"/>
              </w:rPr>
            </w:pPr>
          </w:p>
          <w:p w14:paraId="04EF91C2">
            <w:pPr>
              <w:autoSpaceDE w:val="0"/>
              <w:autoSpaceDN w:val="0"/>
              <w:spacing w:line="360" w:lineRule="auto"/>
              <w:ind w:firstLine="480" w:firstLineChars="200"/>
              <w:rPr>
                <w:rFonts w:hint="default" w:ascii="Times New Roman" w:hAnsi="Times New Roman" w:eastAsia="宋体" w:cs="Times New Roman"/>
                <w:color w:val="auto"/>
                <w:sz w:val="24"/>
              </w:rPr>
            </w:pPr>
          </w:p>
          <w:p w14:paraId="058E651E">
            <w:pPr>
              <w:autoSpaceDE w:val="0"/>
              <w:autoSpaceDN w:val="0"/>
              <w:spacing w:line="360" w:lineRule="auto"/>
              <w:ind w:firstLine="480" w:firstLineChars="200"/>
              <w:rPr>
                <w:rFonts w:hint="default" w:ascii="Times New Roman" w:hAnsi="Times New Roman" w:eastAsia="宋体" w:cs="Times New Roman"/>
                <w:color w:val="auto"/>
                <w:sz w:val="24"/>
              </w:rPr>
            </w:pPr>
          </w:p>
          <w:p w14:paraId="503911F8">
            <w:pPr>
              <w:autoSpaceDE w:val="0"/>
              <w:autoSpaceDN w:val="0"/>
              <w:spacing w:line="360" w:lineRule="auto"/>
              <w:ind w:firstLine="480" w:firstLineChars="200"/>
              <w:rPr>
                <w:rFonts w:hint="default" w:ascii="Times New Roman" w:hAnsi="Times New Roman" w:eastAsia="宋体" w:cs="Times New Roman"/>
                <w:color w:val="auto"/>
                <w:sz w:val="24"/>
              </w:rPr>
            </w:pPr>
          </w:p>
          <w:p w14:paraId="36D54E0E">
            <w:pPr>
              <w:autoSpaceDE w:val="0"/>
              <w:autoSpaceDN w:val="0"/>
              <w:spacing w:line="360" w:lineRule="auto"/>
              <w:ind w:firstLine="480" w:firstLineChars="200"/>
              <w:rPr>
                <w:rFonts w:hint="default" w:ascii="Times New Roman" w:hAnsi="Times New Roman" w:eastAsia="宋体" w:cs="Times New Roman"/>
                <w:color w:val="auto"/>
                <w:sz w:val="24"/>
              </w:rPr>
            </w:pPr>
          </w:p>
          <w:p w14:paraId="77033478">
            <w:pPr>
              <w:autoSpaceDE w:val="0"/>
              <w:autoSpaceDN w:val="0"/>
              <w:spacing w:line="360" w:lineRule="auto"/>
              <w:ind w:firstLine="480" w:firstLineChars="200"/>
              <w:rPr>
                <w:rFonts w:hint="default" w:ascii="Times New Roman" w:hAnsi="Times New Roman" w:eastAsia="宋体" w:cs="Times New Roman"/>
                <w:color w:val="auto"/>
                <w:sz w:val="24"/>
              </w:rPr>
            </w:pPr>
          </w:p>
          <w:p w14:paraId="758A972C">
            <w:pPr>
              <w:autoSpaceDE w:val="0"/>
              <w:autoSpaceDN w:val="0"/>
              <w:spacing w:line="360" w:lineRule="auto"/>
              <w:ind w:firstLine="480" w:firstLineChars="200"/>
              <w:rPr>
                <w:rFonts w:hint="default" w:ascii="Times New Roman" w:hAnsi="Times New Roman" w:eastAsia="宋体" w:cs="Times New Roman"/>
                <w:color w:val="auto"/>
                <w:sz w:val="24"/>
              </w:rPr>
            </w:pPr>
          </w:p>
          <w:p w14:paraId="0085A9D3">
            <w:pPr>
              <w:autoSpaceDE w:val="0"/>
              <w:autoSpaceDN w:val="0"/>
              <w:spacing w:line="360" w:lineRule="auto"/>
              <w:ind w:firstLine="480" w:firstLineChars="200"/>
              <w:rPr>
                <w:rFonts w:hint="default" w:ascii="Times New Roman" w:hAnsi="Times New Roman" w:eastAsia="宋体" w:cs="Times New Roman"/>
                <w:color w:val="auto"/>
                <w:sz w:val="24"/>
              </w:rPr>
            </w:pPr>
          </w:p>
          <w:p w14:paraId="78ECA59E">
            <w:pPr>
              <w:autoSpaceDE w:val="0"/>
              <w:autoSpaceDN w:val="0"/>
              <w:spacing w:line="360" w:lineRule="auto"/>
              <w:ind w:firstLine="480" w:firstLineChars="200"/>
              <w:rPr>
                <w:rFonts w:hint="default" w:ascii="Times New Roman" w:hAnsi="Times New Roman" w:eastAsia="宋体" w:cs="Times New Roman"/>
                <w:color w:val="auto"/>
                <w:sz w:val="24"/>
              </w:rPr>
            </w:pPr>
          </w:p>
          <w:p w14:paraId="50F1C293">
            <w:pPr>
              <w:autoSpaceDE w:val="0"/>
              <w:autoSpaceDN w:val="0"/>
              <w:spacing w:line="360" w:lineRule="auto"/>
              <w:ind w:firstLine="480" w:firstLineChars="200"/>
              <w:rPr>
                <w:rFonts w:hint="default" w:ascii="Times New Roman" w:hAnsi="Times New Roman" w:eastAsia="宋体" w:cs="Times New Roman"/>
                <w:color w:val="auto"/>
                <w:sz w:val="24"/>
              </w:rPr>
            </w:pPr>
          </w:p>
          <w:p w14:paraId="79F535F4">
            <w:pPr>
              <w:autoSpaceDE w:val="0"/>
              <w:autoSpaceDN w:val="0"/>
              <w:spacing w:line="360" w:lineRule="auto"/>
              <w:ind w:firstLine="480" w:firstLineChars="200"/>
              <w:rPr>
                <w:rFonts w:hint="default" w:ascii="Times New Roman" w:hAnsi="Times New Roman" w:eastAsia="宋体" w:cs="Times New Roman"/>
                <w:color w:val="auto"/>
                <w:sz w:val="24"/>
              </w:rPr>
            </w:pPr>
          </w:p>
          <w:p w14:paraId="60BF6DEC">
            <w:pPr>
              <w:autoSpaceDE w:val="0"/>
              <w:autoSpaceDN w:val="0"/>
              <w:spacing w:line="360" w:lineRule="auto"/>
              <w:ind w:firstLine="480" w:firstLineChars="200"/>
              <w:rPr>
                <w:rFonts w:hint="default" w:ascii="Times New Roman" w:hAnsi="Times New Roman" w:eastAsia="宋体" w:cs="Times New Roman"/>
                <w:color w:val="auto"/>
                <w:sz w:val="24"/>
              </w:rPr>
            </w:pPr>
          </w:p>
          <w:p w14:paraId="1E81E4F9">
            <w:pPr>
              <w:autoSpaceDE w:val="0"/>
              <w:autoSpaceDN w:val="0"/>
              <w:spacing w:line="360" w:lineRule="auto"/>
              <w:ind w:firstLine="480" w:firstLineChars="200"/>
              <w:rPr>
                <w:rFonts w:hint="default" w:ascii="Times New Roman" w:hAnsi="Times New Roman" w:eastAsia="宋体" w:cs="Times New Roman"/>
                <w:color w:val="auto"/>
                <w:sz w:val="24"/>
              </w:rPr>
            </w:pPr>
          </w:p>
          <w:p w14:paraId="27E50A77">
            <w:pPr>
              <w:autoSpaceDE w:val="0"/>
              <w:autoSpaceDN w:val="0"/>
              <w:spacing w:line="360" w:lineRule="auto"/>
              <w:ind w:firstLine="480" w:firstLineChars="200"/>
              <w:rPr>
                <w:rFonts w:hint="default" w:ascii="Times New Roman" w:hAnsi="Times New Roman" w:eastAsia="宋体" w:cs="Times New Roman"/>
                <w:color w:val="auto"/>
                <w:sz w:val="24"/>
              </w:rPr>
            </w:pPr>
          </w:p>
          <w:p w14:paraId="0D662344">
            <w:pPr>
              <w:autoSpaceDE w:val="0"/>
              <w:autoSpaceDN w:val="0"/>
              <w:spacing w:line="360" w:lineRule="auto"/>
              <w:rPr>
                <w:rFonts w:hint="default" w:ascii="Times New Roman" w:hAnsi="Times New Roman" w:eastAsia="宋体" w:cs="Times New Roman"/>
                <w:color w:val="auto"/>
                <w:sz w:val="24"/>
              </w:rPr>
            </w:pPr>
          </w:p>
        </w:tc>
      </w:tr>
    </w:tbl>
    <w:p w14:paraId="349444C0">
      <w:pPr>
        <w:adjustRightInd w:val="0"/>
        <w:snapToGrid w:val="0"/>
        <w:spacing w:before="192" w:beforeLines="80"/>
        <w:rPr>
          <w:rFonts w:hint="default" w:ascii="Times New Roman" w:hAnsi="Times New Roman" w:eastAsia="宋体" w:cs="Times New Roman"/>
          <w:color w:val="auto"/>
        </w:rPr>
      </w:pPr>
    </w:p>
    <w:sectPr>
      <w:pgSz w:w="11906" w:h="16838"/>
      <w:pgMar w:top="1440" w:right="1800" w:bottom="1440" w:left="1800" w:header="851" w:footer="1077" w:gutter="0"/>
      <w:pgBorders>
        <w:top w:val="none" w:sz="0" w:space="0"/>
        <w:left w:val="none" w:sz="0" w:space="0"/>
        <w:bottom w:val="none" w:sz="0" w:space="0"/>
        <w:right w:val="none" w:sz="0" w:space="0"/>
      </w:pgBorders>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Brush Script MT">
    <w:altName w:val="Mongolian Baiti"/>
    <w:panose1 w:val="03060802040406070304"/>
    <w:charset w:val="00"/>
    <w:family w:val="script"/>
    <w:pitch w:val="default"/>
    <w:sig w:usb0="00000000" w:usb1="00000000" w:usb2="00000000" w:usb3="00000000" w:csb0="20000001"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15C08">
    <w:pPr>
      <w:pStyle w:val="1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27C8C">
    <w:pPr>
      <w:pStyle w:val="18"/>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79705" cy="139700"/>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79705" cy="139700"/>
                      </a:xfrm>
                      <a:prstGeom prst="rect">
                        <a:avLst/>
                      </a:prstGeom>
                      <a:noFill/>
                      <a:ln>
                        <a:noFill/>
                      </a:ln>
                    </wps:spPr>
                    <wps:txbx>
                      <w:txbxContent>
                        <w:p w14:paraId="535CE0F7">
                          <w:pPr>
                            <w:pStyle w:val="18"/>
                          </w:pPr>
                          <w:r>
                            <w:rPr>
                              <w:rFonts w:hint="eastAsia"/>
                            </w:rPr>
                            <w:fldChar w:fldCharType="begin"/>
                          </w:r>
                          <w:r>
                            <w:rPr>
                              <w:rFonts w:hint="eastAsia"/>
                            </w:rPr>
                            <w:instrText xml:space="preserve"> PAGE  \* MERGEFORMAT </w:instrText>
                          </w:r>
                          <w:r>
                            <w:rPr>
                              <w:rFonts w:hint="eastAsia"/>
                            </w:rPr>
                            <w:fldChar w:fldCharType="separate"/>
                          </w:r>
                          <w:r>
                            <w:t>- 1 -</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1pt;width:14.15pt;mso-position-horizontal:center;mso-position-horizontal-relative:margin;mso-wrap-style:none;z-index:251659264;mso-width-relative:page;mso-height-relative:page;" filled="f" stroked="f" coordsize="21600,21600" o:gfxdata="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pFnrHQAAAAAwEAAA8AAAAAAAAAAQAgAAAAIgAAAGRycy9kb3du&#10;cmV2LnhtbFBLAQIUABQAAAAIAIdO4kAXJ+2MBwIAAAIEAAAOAAAAAAAAAAEAIAAAAB8BAABkcnMv&#10;ZTJvRG9jLnhtbFBLBQYAAAAABgAGAFkBAACYBQAAAAA=&#10;">
              <v:fill on="f" focussize="0,0"/>
              <v:stroke on="f"/>
              <v:imagedata o:title=""/>
              <o:lock v:ext="edit" aspectratio="f"/>
              <v:textbox inset="0mm,0mm,0mm,0mm" style="mso-fit-shape-to-text:t;">
                <w:txbxContent>
                  <w:p w14:paraId="535CE0F7">
                    <w:pPr>
                      <w:pStyle w:val="18"/>
                    </w:pPr>
                    <w:r>
                      <w:rPr>
                        <w:rFonts w:hint="eastAsia"/>
                      </w:rPr>
                      <w:fldChar w:fldCharType="begin"/>
                    </w:r>
                    <w:r>
                      <w:rPr>
                        <w:rFonts w:hint="eastAsia"/>
                      </w:rPr>
                      <w:instrText xml:space="preserve"> PAGE  \* MERGEFORMAT </w:instrText>
                    </w:r>
                    <w:r>
                      <w:rPr>
                        <w:rFonts w:hint="eastAsia"/>
                      </w:rPr>
                      <w:fldChar w:fldCharType="separate"/>
                    </w:r>
                    <w:r>
                      <w:t>- 1 -</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59BE95"/>
    <w:multiLevelType w:val="singleLevel"/>
    <w:tmpl w:val="A759BE95"/>
    <w:lvl w:ilvl="0" w:tentative="0">
      <w:start w:val="4"/>
      <w:numFmt w:val="decimal"/>
      <w:suff w:val="nothing"/>
      <w:lvlText w:val="（%1）"/>
      <w:lvlJc w:val="left"/>
    </w:lvl>
  </w:abstractNum>
  <w:abstractNum w:abstractNumId="1">
    <w:nsid w:val="BCC69282"/>
    <w:multiLevelType w:val="singleLevel"/>
    <w:tmpl w:val="BCC69282"/>
    <w:lvl w:ilvl="0" w:tentative="0">
      <w:start w:val="2"/>
      <w:numFmt w:val="decimal"/>
      <w:suff w:val="nothing"/>
      <w:lvlText w:val="%1、"/>
      <w:lvlJc w:val="left"/>
      <w:pPr>
        <w:ind w:left="-62"/>
      </w:pPr>
    </w:lvl>
  </w:abstractNum>
  <w:abstractNum w:abstractNumId="2">
    <w:nsid w:val="4FBF1015"/>
    <w:multiLevelType w:val="singleLevel"/>
    <w:tmpl w:val="4FBF1015"/>
    <w:lvl w:ilvl="0" w:tentative="0">
      <w:start w:val="3"/>
      <w:numFmt w:val="decimal"/>
      <w:suff w:val="nothing"/>
      <w:lvlText w:val="%1、"/>
      <w:lvlJc w:val="left"/>
    </w:lvl>
  </w:abstractNum>
  <w:abstractNum w:abstractNumId="3">
    <w:nsid w:val="7662715A"/>
    <w:multiLevelType w:val="singleLevel"/>
    <w:tmpl w:val="7662715A"/>
    <w:lvl w:ilvl="0" w:tentative="0">
      <w:start w:val="1"/>
      <w:numFmt w:val="bullet"/>
      <w:pStyle w:val="14"/>
      <w:lvlText w:val=""/>
      <w:lvlJc w:val="left"/>
      <w:pPr>
        <w:tabs>
          <w:tab w:val="left" w:pos="2040"/>
        </w:tabs>
        <w:ind w:left="2040" w:hanging="360"/>
      </w:pPr>
      <w:rPr>
        <w:rFonts w:hint="default" w:ascii="Wingdings" w:hAnsi="Wingdings"/>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MwZWVlODc4NDk5Y2UxNDBlZDMyYzQ5ZDZjZmI5NWMifQ=="/>
    <w:docVar w:name="KSO_WPS_MARK_KEY" w:val="0376d06e-7c0e-43c4-b25d-16f91bbf3f89"/>
  </w:docVars>
  <w:rsids>
    <w:rsidRoot w:val="00A14947"/>
    <w:rsid w:val="00001CED"/>
    <w:rsid w:val="00001E67"/>
    <w:rsid w:val="00003CD8"/>
    <w:rsid w:val="00004096"/>
    <w:rsid w:val="000054CC"/>
    <w:rsid w:val="00014965"/>
    <w:rsid w:val="00014B24"/>
    <w:rsid w:val="0001523A"/>
    <w:rsid w:val="00016ECB"/>
    <w:rsid w:val="000269F6"/>
    <w:rsid w:val="00031939"/>
    <w:rsid w:val="00031F23"/>
    <w:rsid w:val="00032D25"/>
    <w:rsid w:val="000337AC"/>
    <w:rsid w:val="000358F3"/>
    <w:rsid w:val="00042482"/>
    <w:rsid w:val="0005219D"/>
    <w:rsid w:val="0005568F"/>
    <w:rsid w:val="00056BAF"/>
    <w:rsid w:val="0006153D"/>
    <w:rsid w:val="00061B1F"/>
    <w:rsid w:val="000664DB"/>
    <w:rsid w:val="0007127D"/>
    <w:rsid w:val="00071AE5"/>
    <w:rsid w:val="000731A0"/>
    <w:rsid w:val="00074783"/>
    <w:rsid w:val="000801E0"/>
    <w:rsid w:val="00082A29"/>
    <w:rsid w:val="0008331D"/>
    <w:rsid w:val="00083C18"/>
    <w:rsid w:val="0008436A"/>
    <w:rsid w:val="00086ED2"/>
    <w:rsid w:val="00087448"/>
    <w:rsid w:val="00092899"/>
    <w:rsid w:val="00094264"/>
    <w:rsid w:val="00095B9F"/>
    <w:rsid w:val="000974EE"/>
    <w:rsid w:val="000A0054"/>
    <w:rsid w:val="000A178E"/>
    <w:rsid w:val="000A48F7"/>
    <w:rsid w:val="000A557E"/>
    <w:rsid w:val="000A5909"/>
    <w:rsid w:val="000A725E"/>
    <w:rsid w:val="000B058F"/>
    <w:rsid w:val="000B05A0"/>
    <w:rsid w:val="000B693F"/>
    <w:rsid w:val="000C09AC"/>
    <w:rsid w:val="000C0A63"/>
    <w:rsid w:val="000C437E"/>
    <w:rsid w:val="000C4EF9"/>
    <w:rsid w:val="000C5353"/>
    <w:rsid w:val="000D2251"/>
    <w:rsid w:val="000E5F16"/>
    <w:rsid w:val="000E7A43"/>
    <w:rsid w:val="000F4452"/>
    <w:rsid w:val="000F6DA1"/>
    <w:rsid w:val="000F701B"/>
    <w:rsid w:val="001056A0"/>
    <w:rsid w:val="0011076D"/>
    <w:rsid w:val="00115279"/>
    <w:rsid w:val="00115AB5"/>
    <w:rsid w:val="00116745"/>
    <w:rsid w:val="00117459"/>
    <w:rsid w:val="0011749A"/>
    <w:rsid w:val="00120743"/>
    <w:rsid w:val="00123AC7"/>
    <w:rsid w:val="00127789"/>
    <w:rsid w:val="00127A68"/>
    <w:rsid w:val="00132D33"/>
    <w:rsid w:val="0013388C"/>
    <w:rsid w:val="00140B13"/>
    <w:rsid w:val="00141B68"/>
    <w:rsid w:val="001466DA"/>
    <w:rsid w:val="00147ECB"/>
    <w:rsid w:val="00151A4C"/>
    <w:rsid w:val="00152976"/>
    <w:rsid w:val="00154DE1"/>
    <w:rsid w:val="00155B40"/>
    <w:rsid w:val="00157435"/>
    <w:rsid w:val="00161C91"/>
    <w:rsid w:val="001622C1"/>
    <w:rsid w:val="00163ABB"/>
    <w:rsid w:val="00163EEA"/>
    <w:rsid w:val="00164DBF"/>
    <w:rsid w:val="00167A07"/>
    <w:rsid w:val="0017046A"/>
    <w:rsid w:val="001704A3"/>
    <w:rsid w:val="0017504D"/>
    <w:rsid w:val="00175B1E"/>
    <w:rsid w:val="00177422"/>
    <w:rsid w:val="00177DE3"/>
    <w:rsid w:val="00184831"/>
    <w:rsid w:val="00184F10"/>
    <w:rsid w:val="00185546"/>
    <w:rsid w:val="0019146B"/>
    <w:rsid w:val="00193213"/>
    <w:rsid w:val="00194398"/>
    <w:rsid w:val="0019583D"/>
    <w:rsid w:val="001A1551"/>
    <w:rsid w:val="001A47EB"/>
    <w:rsid w:val="001A7D2A"/>
    <w:rsid w:val="001B3006"/>
    <w:rsid w:val="001B574C"/>
    <w:rsid w:val="001C0AF9"/>
    <w:rsid w:val="001C0C93"/>
    <w:rsid w:val="001C1430"/>
    <w:rsid w:val="001C155A"/>
    <w:rsid w:val="001C48C0"/>
    <w:rsid w:val="001D6726"/>
    <w:rsid w:val="001E6016"/>
    <w:rsid w:val="001E79CC"/>
    <w:rsid w:val="001F3347"/>
    <w:rsid w:val="001F3ADA"/>
    <w:rsid w:val="001F4440"/>
    <w:rsid w:val="001F69E4"/>
    <w:rsid w:val="00206A65"/>
    <w:rsid w:val="00207BC2"/>
    <w:rsid w:val="0021164E"/>
    <w:rsid w:val="002122CF"/>
    <w:rsid w:val="00212D31"/>
    <w:rsid w:val="002130C7"/>
    <w:rsid w:val="00217D48"/>
    <w:rsid w:val="002218A8"/>
    <w:rsid w:val="002227D8"/>
    <w:rsid w:val="0022306D"/>
    <w:rsid w:val="00223341"/>
    <w:rsid w:val="00224671"/>
    <w:rsid w:val="00226574"/>
    <w:rsid w:val="002278EC"/>
    <w:rsid w:val="00232348"/>
    <w:rsid w:val="002342C8"/>
    <w:rsid w:val="002357C7"/>
    <w:rsid w:val="002367C4"/>
    <w:rsid w:val="00237AD5"/>
    <w:rsid w:val="00243112"/>
    <w:rsid w:val="00244E51"/>
    <w:rsid w:val="00247D73"/>
    <w:rsid w:val="0025679E"/>
    <w:rsid w:val="00256EAD"/>
    <w:rsid w:val="00260C68"/>
    <w:rsid w:val="00263142"/>
    <w:rsid w:val="00264881"/>
    <w:rsid w:val="002648B0"/>
    <w:rsid w:val="002651A6"/>
    <w:rsid w:val="00275271"/>
    <w:rsid w:val="0027535E"/>
    <w:rsid w:val="00275AA6"/>
    <w:rsid w:val="002804E8"/>
    <w:rsid w:val="002807D5"/>
    <w:rsid w:val="00282CCD"/>
    <w:rsid w:val="00284B00"/>
    <w:rsid w:val="00286460"/>
    <w:rsid w:val="00287F3C"/>
    <w:rsid w:val="00291F04"/>
    <w:rsid w:val="00295FFC"/>
    <w:rsid w:val="00296953"/>
    <w:rsid w:val="002A168C"/>
    <w:rsid w:val="002A2C48"/>
    <w:rsid w:val="002A3507"/>
    <w:rsid w:val="002A3EED"/>
    <w:rsid w:val="002A3F1B"/>
    <w:rsid w:val="002A4A39"/>
    <w:rsid w:val="002A5A17"/>
    <w:rsid w:val="002A6425"/>
    <w:rsid w:val="002B1AC7"/>
    <w:rsid w:val="002B3D2E"/>
    <w:rsid w:val="002B49E2"/>
    <w:rsid w:val="002B7B00"/>
    <w:rsid w:val="002B7C44"/>
    <w:rsid w:val="002C1388"/>
    <w:rsid w:val="002C14E0"/>
    <w:rsid w:val="002C1794"/>
    <w:rsid w:val="002C3C6A"/>
    <w:rsid w:val="002C4AA6"/>
    <w:rsid w:val="002D1692"/>
    <w:rsid w:val="002D42DB"/>
    <w:rsid w:val="002E09BC"/>
    <w:rsid w:val="002E120C"/>
    <w:rsid w:val="002E1F3A"/>
    <w:rsid w:val="002E298A"/>
    <w:rsid w:val="002E46E1"/>
    <w:rsid w:val="002F02A4"/>
    <w:rsid w:val="002F272B"/>
    <w:rsid w:val="002F4CFE"/>
    <w:rsid w:val="002F4D11"/>
    <w:rsid w:val="002F7C6D"/>
    <w:rsid w:val="003027E4"/>
    <w:rsid w:val="0030332C"/>
    <w:rsid w:val="0031119E"/>
    <w:rsid w:val="00312296"/>
    <w:rsid w:val="0031340E"/>
    <w:rsid w:val="00314BFE"/>
    <w:rsid w:val="00316464"/>
    <w:rsid w:val="0032073A"/>
    <w:rsid w:val="00321D8E"/>
    <w:rsid w:val="0032574B"/>
    <w:rsid w:val="00331394"/>
    <w:rsid w:val="00331ED3"/>
    <w:rsid w:val="00334369"/>
    <w:rsid w:val="00334996"/>
    <w:rsid w:val="00336969"/>
    <w:rsid w:val="00336C52"/>
    <w:rsid w:val="00340380"/>
    <w:rsid w:val="00341442"/>
    <w:rsid w:val="00341B3E"/>
    <w:rsid w:val="00341B42"/>
    <w:rsid w:val="00344108"/>
    <w:rsid w:val="00344F98"/>
    <w:rsid w:val="00345154"/>
    <w:rsid w:val="0034560E"/>
    <w:rsid w:val="00350523"/>
    <w:rsid w:val="00352975"/>
    <w:rsid w:val="003567FD"/>
    <w:rsid w:val="00356868"/>
    <w:rsid w:val="00357A0A"/>
    <w:rsid w:val="0036485B"/>
    <w:rsid w:val="00372EB1"/>
    <w:rsid w:val="00373B0D"/>
    <w:rsid w:val="00376988"/>
    <w:rsid w:val="00376C0D"/>
    <w:rsid w:val="00381A72"/>
    <w:rsid w:val="00381C06"/>
    <w:rsid w:val="003921D8"/>
    <w:rsid w:val="003A0753"/>
    <w:rsid w:val="003A123A"/>
    <w:rsid w:val="003A1948"/>
    <w:rsid w:val="003A479D"/>
    <w:rsid w:val="003A4CA9"/>
    <w:rsid w:val="003B1440"/>
    <w:rsid w:val="003B152A"/>
    <w:rsid w:val="003B2E93"/>
    <w:rsid w:val="003B4360"/>
    <w:rsid w:val="003B545B"/>
    <w:rsid w:val="003C6A07"/>
    <w:rsid w:val="003C7A32"/>
    <w:rsid w:val="003D3A73"/>
    <w:rsid w:val="003D3EE9"/>
    <w:rsid w:val="003E4525"/>
    <w:rsid w:val="003E6BD0"/>
    <w:rsid w:val="003E7681"/>
    <w:rsid w:val="003E768B"/>
    <w:rsid w:val="003F0809"/>
    <w:rsid w:val="003F5591"/>
    <w:rsid w:val="003F611C"/>
    <w:rsid w:val="003F755C"/>
    <w:rsid w:val="00403A68"/>
    <w:rsid w:val="00406F01"/>
    <w:rsid w:val="00411B36"/>
    <w:rsid w:val="004121D7"/>
    <w:rsid w:val="0041431B"/>
    <w:rsid w:val="00416D50"/>
    <w:rsid w:val="00417772"/>
    <w:rsid w:val="00420BD4"/>
    <w:rsid w:val="00420C0F"/>
    <w:rsid w:val="00420CC1"/>
    <w:rsid w:val="00420E6A"/>
    <w:rsid w:val="004248A0"/>
    <w:rsid w:val="00426696"/>
    <w:rsid w:val="0042715F"/>
    <w:rsid w:val="00433CA9"/>
    <w:rsid w:val="0043521D"/>
    <w:rsid w:val="00442024"/>
    <w:rsid w:val="0044254C"/>
    <w:rsid w:val="00443F6A"/>
    <w:rsid w:val="00447F04"/>
    <w:rsid w:val="00450A17"/>
    <w:rsid w:val="0045173E"/>
    <w:rsid w:val="0045305F"/>
    <w:rsid w:val="00455A31"/>
    <w:rsid w:val="00461D69"/>
    <w:rsid w:val="00466321"/>
    <w:rsid w:val="004672AF"/>
    <w:rsid w:val="004727B0"/>
    <w:rsid w:val="004750D1"/>
    <w:rsid w:val="00480247"/>
    <w:rsid w:val="0048081D"/>
    <w:rsid w:val="0048117E"/>
    <w:rsid w:val="004855F6"/>
    <w:rsid w:val="00486F0C"/>
    <w:rsid w:val="00494670"/>
    <w:rsid w:val="00496F80"/>
    <w:rsid w:val="004A0D89"/>
    <w:rsid w:val="004A0EB4"/>
    <w:rsid w:val="004A3823"/>
    <w:rsid w:val="004A59BB"/>
    <w:rsid w:val="004A6C1E"/>
    <w:rsid w:val="004B0C7D"/>
    <w:rsid w:val="004B43A3"/>
    <w:rsid w:val="004B4C49"/>
    <w:rsid w:val="004B58A5"/>
    <w:rsid w:val="004B63D9"/>
    <w:rsid w:val="004C0882"/>
    <w:rsid w:val="004C55BE"/>
    <w:rsid w:val="004C7DBD"/>
    <w:rsid w:val="004D2B93"/>
    <w:rsid w:val="004E5B30"/>
    <w:rsid w:val="004F0779"/>
    <w:rsid w:val="004F1230"/>
    <w:rsid w:val="004F173F"/>
    <w:rsid w:val="004F177C"/>
    <w:rsid w:val="004F2DCE"/>
    <w:rsid w:val="004F4A70"/>
    <w:rsid w:val="00501EE6"/>
    <w:rsid w:val="005039CB"/>
    <w:rsid w:val="0050558F"/>
    <w:rsid w:val="005057E0"/>
    <w:rsid w:val="00506286"/>
    <w:rsid w:val="00510813"/>
    <w:rsid w:val="00511DE0"/>
    <w:rsid w:val="00515276"/>
    <w:rsid w:val="00517AC4"/>
    <w:rsid w:val="00517F02"/>
    <w:rsid w:val="00520A00"/>
    <w:rsid w:val="00524547"/>
    <w:rsid w:val="0052454F"/>
    <w:rsid w:val="005245E5"/>
    <w:rsid w:val="00525864"/>
    <w:rsid w:val="005258A2"/>
    <w:rsid w:val="00530F7C"/>
    <w:rsid w:val="00533971"/>
    <w:rsid w:val="00534567"/>
    <w:rsid w:val="00534F43"/>
    <w:rsid w:val="00535A84"/>
    <w:rsid w:val="00536889"/>
    <w:rsid w:val="00542E07"/>
    <w:rsid w:val="00545BB2"/>
    <w:rsid w:val="00554A7B"/>
    <w:rsid w:val="0055527C"/>
    <w:rsid w:val="0055572C"/>
    <w:rsid w:val="005600CB"/>
    <w:rsid w:val="0056064F"/>
    <w:rsid w:val="00561B84"/>
    <w:rsid w:val="005643FF"/>
    <w:rsid w:val="005652C5"/>
    <w:rsid w:val="00571D98"/>
    <w:rsid w:val="005720AE"/>
    <w:rsid w:val="005732FD"/>
    <w:rsid w:val="0057334B"/>
    <w:rsid w:val="00575E9E"/>
    <w:rsid w:val="0058030D"/>
    <w:rsid w:val="00582045"/>
    <w:rsid w:val="005855A3"/>
    <w:rsid w:val="0058647B"/>
    <w:rsid w:val="00590AE3"/>
    <w:rsid w:val="005918F1"/>
    <w:rsid w:val="0059328C"/>
    <w:rsid w:val="0059424C"/>
    <w:rsid w:val="005977D1"/>
    <w:rsid w:val="005A06B7"/>
    <w:rsid w:val="005A1759"/>
    <w:rsid w:val="005A2A35"/>
    <w:rsid w:val="005B58F8"/>
    <w:rsid w:val="005B7B4E"/>
    <w:rsid w:val="005C17CE"/>
    <w:rsid w:val="005D0369"/>
    <w:rsid w:val="005D53FE"/>
    <w:rsid w:val="005D65F4"/>
    <w:rsid w:val="005D7A0F"/>
    <w:rsid w:val="005D7D4E"/>
    <w:rsid w:val="005E0438"/>
    <w:rsid w:val="005E1791"/>
    <w:rsid w:val="005E2CE6"/>
    <w:rsid w:val="005E6324"/>
    <w:rsid w:val="005F0819"/>
    <w:rsid w:val="005F228B"/>
    <w:rsid w:val="005F29CD"/>
    <w:rsid w:val="005F4DFB"/>
    <w:rsid w:val="005F6CC0"/>
    <w:rsid w:val="00603E5B"/>
    <w:rsid w:val="00604BC8"/>
    <w:rsid w:val="006115F8"/>
    <w:rsid w:val="00615B4C"/>
    <w:rsid w:val="00615B5D"/>
    <w:rsid w:val="0062146F"/>
    <w:rsid w:val="00623B5E"/>
    <w:rsid w:val="006301D4"/>
    <w:rsid w:val="00630C59"/>
    <w:rsid w:val="00631E3A"/>
    <w:rsid w:val="00633337"/>
    <w:rsid w:val="006343AF"/>
    <w:rsid w:val="0063634A"/>
    <w:rsid w:val="0064250D"/>
    <w:rsid w:val="0064405A"/>
    <w:rsid w:val="0064623E"/>
    <w:rsid w:val="006535EB"/>
    <w:rsid w:val="0065395B"/>
    <w:rsid w:val="00663016"/>
    <w:rsid w:val="0066527C"/>
    <w:rsid w:val="00665377"/>
    <w:rsid w:val="00674605"/>
    <w:rsid w:val="006748B8"/>
    <w:rsid w:val="006833A5"/>
    <w:rsid w:val="006846FB"/>
    <w:rsid w:val="0068535B"/>
    <w:rsid w:val="0068736E"/>
    <w:rsid w:val="006876C5"/>
    <w:rsid w:val="006912A1"/>
    <w:rsid w:val="0069290A"/>
    <w:rsid w:val="00692BE8"/>
    <w:rsid w:val="00697032"/>
    <w:rsid w:val="00697344"/>
    <w:rsid w:val="006975AC"/>
    <w:rsid w:val="006A15FB"/>
    <w:rsid w:val="006A20A6"/>
    <w:rsid w:val="006A72BF"/>
    <w:rsid w:val="006B1B93"/>
    <w:rsid w:val="006B20A4"/>
    <w:rsid w:val="006B332A"/>
    <w:rsid w:val="006B33BD"/>
    <w:rsid w:val="006C3E18"/>
    <w:rsid w:val="006C3F75"/>
    <w:rsid w:val="006D170E"/>
    <w:rsid w:val="006D6985"/>
    <w:rsid w:val="006E06AF"/>
    <w:rsid w:val="006F1789"/>
    <w:rsid w:val="00701FC1"/>
    <w:rsid w:val="00702197"/>
    <w:rsid w:val="00702C8A"/>
    <w:rsid w:val="00706C5D"/>
    <w:rsid w:val="00707502"/>
    <w:rsid w:val="007118E6"/>
    <w:rsid w:val="00714710"/>
    <w:rsid w:val="00714BB7"/>
    <w:rsid w:val="00717D1F"/>
    <w:rsid w:val="00721567"/>
    <w:rsid w:val="007225C9"/>
    <w:rsid w:val="007326D1"/>
    <w:rsid w:val="00735CD7"/>
    <w:rsid w:val="0073698C"/>
    <w:rsid w:val="007427AB"/>
    <w:rsid w:val="007517E6"/>
    <w:rsid w:val="00752FC5"/>
    <w:rsid w:val="00754034"/>
    <w:rsid w:val="00754BF1"/>
    <w:rsid w:val="00755A30"/>
    <w:rsid w:val="00755E1C"/>
    <w:rsid w:val="00756556"/>
    <w:rsid w:val="0076132B"/>
    <w:rsid w:val="00761D9A"/>
    <w:rsid w:val="007623AE"/>
    <w:rsid w:val="007671E9"/>
    <w:rsid w:val="00767448"/>
    <w:rsid w:val="00770B19"/>
    <w:rsid w:val="00774FA0"/>
    <w:rsid w:val="00776620"/>
    <w:rsid w:val="00777B6D"/>
    <w:rsid w:val="00784427"/>
    <w:rsid w:val="00784855"/>
    <w:rsid w:val="00784F39"/>
    <w:rsid w:val="0078545C"/>
    <w:rsid w:val="007906C4"/>
    <w:rsid w:val="00791F8C"/>
    <w:rsid w:val="007940EA"/>
    <w:rsid w:val="007957CF"/>
    <w:rsid w:val="007967E8"/>
    <w:rsid w:val="007A07F9"/>
    <w:rsid w:val="007A4C1E"/>
    <w:rsid w:val="007A63F2"/>
    <w:rsid w:val="007A6C91"/>
    <w:rsid w:val="007B68DE"/>
    <w:rsid w:val="007C1857"/>
    <w:rsid w:val="007C1B4B"/>
    <w:rsid w:val="007C23CA"/>
    <w:rsid w:val="007C27AB"/>
    <w:rsid w:val="007C514F"/>
    <w:rsid w:val="007D0F95"/>
    <w:rsid w:val="007D4A89"/>
    <w:rsid w:val="007D703B"/>
    <w:rsid w:val="007D7ECB"/>
    <w:rsid w:val="007E25A1"/>
    <w:rsid w:val="007E3C5C"/>
    <w:rsid w:val="007E4BD2"/>
    <w:rsid w:val="007E7145"/>
    <w:rsid w:val="007F3916"/>
    <w:rsid w:val="00801179"/>
    <w:rsid w:val="00802479"/>
    <w:rsid w:val="00803D24"/>
    <w:rsid w:val="00805372"/>
    <w:rsid w:val="00805B7B"/>
    <w:rsid w:val="0081293E"/>
    <w:rsid w:val="00814FFB"/>
    <w:rsid w:val="0081664E"/>
    <w:rsid w:val="00820568"/>
    <w:rsid w:val="008253DC"/>
    <w:rsid w:val="0082705D"/>
    <w:rsid w:val="00831A80"/>
    <w:rsid w:val="00832800"/>
    <w:rsid w:val="008332C8"/>
    <w:rsid w:val="00833743"/>
    <w:rsid w:val="008340A4"/>
    <w:rsid w:val="00836799"/>
    <w:rsid w:val="00837028"/>
    <w:rsid w:val="00837131"/>
    <w:rsid w:val="008376C3"/>
    <w:rsid w:val="00841969"/>
    <w:rsid w:val="00841AA9"/>
    <w:rsid w:val="00844285"/>
    <w:rsid w:val="00845F57"/>
    <w:rsid w:val="008521E0"/>
    <w:rsid w:val="008525B0"/>
    <w:rsid w:val="0085437C"/>
    <w:rsid w:val="00865389"/>
    <w:rsid w:val="00866E2B"/>
    <w:rsid w:val="00867CBC"/>
    <w:rsid w:val="008702C3"/>
    <w:rsid w:val="008768BD"/>
    <w:rsid w:val="00876C30"/>
    <w:rsid w:val="00877017"/>
    <w:rsid w:val="008773C0"/>
    <w:rsid w:val="00877A6A"/>
    <w:rsid w:val="00880364"/>
    <w:rsid w:val="00881806"/>
    <w:rsid w:val="00886C4C"/>
    <w:rsid w:val="0088711C"/>
    <w:rsid w:val="00892ECF"/>
    <w:rsid w:val="00892F06"/>
    <w:rsid w:val="00894285"/>
    <w:rsid w:val="008A2424"/>
    <w:rsid w:val="008A40AE"/>
    <w:rsid w:val="008A4E19"/>
    <w:rsid w:val="008A67C5"/>
    <w:rsid w:val="008B22E1"/>
    <w:rsid w:val="008B3C78"/>
    <w:rsid w:val="008B4AE9"/>
    <w:rsid w:val="008B7AED"/>
    <w:rsid w:val="008C30AD"/>
    <w:rsid w:val="008C3CE3"/>
    <w:rsid w:val="008C6676"/>
    <w:rsid w:val="008D056B"/>
    <w:rsid w:val="008D068E"/>
    <w:rsid w:val="008D0F7A"/>
    <w:rsid w:val="008D63BE"/>
    <w:rsid w:val="008D65AC"/>
    <w:rsid w:val="008D6CB4"/>
    <w:rsid w:val="008E0CFF"/>
    <w:rsid w:val="008E10F6"/>
    <w:rsid w:val="008E1292"/>
    <w:rsid w:val="008E5833"/>
    <w:rsid w:val="008E5D6B"/>
    <w:rsid w:val="008E689B"/>
    <w:rsid w:val="008E76F0"/>
    <w:rsid w:val="008F15FE"/>
    <w:rsid w:val="008F1752"/>
    <w:rsid w:val="008F2A94"/>
    <w:rsid w:val="008F5187"/>
    <w:rsid w:val="008F709C"/>
    <w:rsid w:val="00900748"/>
    <w:rsid w:val="0090312B"/>
    <w:rsid w:val="00904961"/>
    <w:rsid w:val="0090564D"/>
    <w:rsid w:val="009078BE"/>
    <w:rsid w:val="00914200"/>
    <w:rsid w:val="00916A6D"/>
    <w:rsid w:val="0091736D"/>
    <w:rsid w:val="00917B20"/>
    <w:rsid w:val="009249D4"/>
    <w:rsid w:val="00931001"/>
    <w:rsid w:val="00931863"/>
    <w:rsid w:val="00933524"/>
    <w:rsid w:val="00936753"/>
    <w:rsid w:val="0094278D"/>
    <w:rsid w:val="00951513"/>
    <w:rsid w:val="0095308A"/>
    <w:rsid w:val="009539AA"/>
    <w:rsid w:val="00955AEE"/>
    <w:rsid w:val="00955DDD"/>
    <w:rsid w:val="00956F14"/>
    <w:rsid w:val="009571C9"/>
    <w:rsid w:val="00957973"/>
    <w:rsid w:val="00957B7F"/>
    <w:rsid w:val="009620FD"/>
    <w:rsid w:val="0096247A"/>
    <w:rsid w:val="009626DE"/>
    <w:rsid w:val="00965F4B"/>
    <w:rsid w:val="009701E4"/>
    <w:rsid w:val="00970F8A"/>
    <w:rsid w:val="00971FB5"/>
    <w:rsid w:val="00972D2A"/>
    <w:rsid w:val="00975CC5"/>
    <w:rsid w:val="00976328"/>
    <w:rsid w:val="00976B4E"/>
    <w:rsid w:val="0098324E"/>
    <w:rsid w:val="00984458"/>
    <w:rsid w:val="00985283"/>
    <w:rsid w:val="00987322"/>
    <w:rsid w:val="00995451"/>
    <w:rsid w:val="00997E3B"/>
    <w:rsid w:val="009A0F3B"/>
    <w:rsid w:val="009A4487"/>
    <w:rsid w:val="009A7081"/>
    <w:rsid w:val="009A72C7"/>
    <w:rsid w:val="009B0897"/>
    <w:rsid w:val="009B6544"/>
    <w:rsid w:val="009C77E0"/>
    <w:rsid w:val="009D0852"/>
    <w:rsid w:val="009D1FBF"/>
    <w:rsid w:val="009E2C97"/>
    <w:rsid w:val="009E3589"/>
    <w:rsid w:val="009E399C"/>
    <w:rsid w:val="009E43C1"/>
    <w:rsid w:val="009E7E95"/>
    <w:rsid w:val="009F0E6B"/>
    <w:rsid w:val="009F116F"/>
    <w:rsid w:val="009F329E"/>
    <w:rsid w:val="009F32A4"/>
    <w:rsid w:val="009F7ED3"/>
    <w:rsid w:val="00A03607"/>
    <w:rsid w:val="00A03B83"/>
    <w:rsid w:val="00A047FF"/>
    <w:rsid w:val="00A04FEF"/>
    <w:rsid w:val="00A122CD"/>
    <w:rsid w:val="00A12A32"/>
    <w:rsid w:val="00A14248"/>
    <w:rsid w:val="00A14947"/>
    <w:rsid w:val="00A23DC5"/>
    <w:rsid w:val="00A24628"/>
    <w:rsid w:val="00A26F04"/>
    <w:rsid w:val="00A33656"/>
    <w:rsid w:val="00A34028"/>
    <w:rsid w:val="00A35568"/>
    <w:rsid w:val="00A37056"/>
    <w:rsid w:val="00A4358F"/>
    <w:rsid w:val="00A45AF7"/>
    <w:rsid w:val="00A46489"/>
    <w:rsid w:val="00A46F67"/>
    <w:rsid w:val="00A54AA1"/>
    <w:rsid w:val="00A55382"/>
    <w:rsid w:val="00A568FF"/>
    <w:rsid w:val="00A602C1"/>
    <w:rsid w:val="00A6134B"/>
    <w:rsid w:val="00A61496"/>
    <w:rsid w:val="00A61833"/>
    <w:rsid w:val="00A624C6"/>
    <w:rsid w:val="00A63CEC"/>
    <w:rsid w:val="00A7031E"/>
    <w:rsid w:val="00A728B1"/>
    <w:rsid w:val="00A7589D"/>
    <w:rsid w:val="00A75B65"/>
    <w:rsid w:val="00A763DE"/>
    <w:rsid w:val="00A766FB"/>
    <w:rsid w:val="00A803D6"/>
    <w:rsid w:val="00A8076A"/>
    <w:rsid w:val="00A81282"/>
    <w:rsid w:val="00A81AD5"/>
    <w:rsid w:val="00A85FF0"/>
    <w:rsid w:val="00A8713F"/>
    <w:rsid w:val="00A91167"/>
    <w:rsid w:val="00A9171C"/>
    <w:rsid w:val="00A92FFD"/>
    <w:rsid w:val="00A95975"/>
    <w:rsid w:val="00A9708D"/>
    <w:rsid w:val="00AA1D6B"/>
    <w:rsid w:val="00AA2C17"/>
    <w:rsid w:val="00AA4172"/>
    <w:rsid w:val="00AB1914"/>
    <w:rsid w:val="00AB5330"/>
    <w:rsid w:val="00AB7747"/>
    <w:rsid w:val="00AC2532"/>
    <w:rsid w:val="00AD0419"/>
    <w:rsid w:val="00AD1507"/>
    <w:rsid w:val="00AD5A70"/>
    <w:rsid w:val="00AD5E7E"/>
    <w:rsid w:val="00AD738B"/>
    <w:rsid w:val="00AE1BF4"/>
    <w:rsid w:val="00AE5D97"/>
    <w:rsid w:val="00AE6794"/>
    <w:rsid w:val="00AF0A9D"/>
    <w:rsid w:val="00AF108C"/>
    <w:rsid w:val="00AF2AAA"/>
    <w:rsid w:val="00AF4C43"/>
    <w:rsid w:val="00B01110"/>
    <w:rsid w:val="00B02262"/>
    <w:rsid w:val="00B03AC5"/>
    <w:rsid w:val="00B03CEC"/>
    <w:rsid w:val="00B119D4"/>
    <w:rsid w:val="00B1209F"/>
    <w:rsid w:val="00B12AD0"/>
    <w:rsid w:val="00B12DD1"/>
    <w:rsid w:val="00B245E8"/>
    <w:rsid w:val="00B24F30"/>
    <w:rsid w:val="00B31ABF"/>
    <w:rsid w:val="00B32484"/>
    <w:rsid w:val="00B335AE"/>
    <w:rsid w:val="00B37AF6"/>
    <w:rsid w:val="00B37CE1"/>
    <w:rsid w:val="00B37D1D"/>
    <w:rsid w:val="00B40ACF"/>
    <w:rsid w:val="00B46BAA"/>
    <w:rsid w:val="00B50B5F"/>
    <w:rsid w:val="00B52F57"/>
    <w:rsid w:val="00B54128"/>
    <w:rsid w:val="00B55826"/>
    <w:rsid w:val="00B60426"/>
    <w:rsid w:val="00B60C08"/>
    <w:rsid w:val="00B622DD"/>
    <w:rsid w:val="00B63522"/>
    <w:rsid w:val="00B72926"/>
    <w:rsid w:val="00B72C29"/>
    <w:rsid w:val="00B755C0"/>
    <w:rsid w:val="00B76F1D"/>
    <w:rsid w:val="00B77861"/>
    <w:rsid w:val="00B863FF"/>
    <w:rsid w:val="00B92A19"/>
    <w:rsid w:val="00B9544C"/>
    <w:rsid w:val="00B95BC0"/>
    <w:rsid w:val="00BA1B67"/>
    <w:rsid w:val="00BA29E9"/>
    <w:rsid w:val="00BB3618"/>
    <w:rsid w:val="00BC0C9E"/>
    <w:rsid w:val="00BC32DC"/>
    <w:rsid w:val="00BC5649"/>
    <w:rsid w:val="00BD1B51"/>
    <w:rsid w:val="00BD47F6"/>
    <w:rsid w:val="00BE312D"/>
    <w:rsid w:val="00BE3FCA"/>
    <w:rsid w:val="00BE71E9"/>
    <w:rsid w:val="00BF4085"/>
    <w:rsid w:val="00BF424C"/>
    <w:rsid w:val="00BF79EE"/>
    <w:rsid w:val="00C01E3F"/>
    <w:rsid w:val="00C01F10"/>
    <w:rsid w:val="00C05719"/>
    <w:rsid w:val="00C10578"/>
    <w:rsid w:val="00C1078F"/>
    <w:rsid w:val="00C15EFA"/>
    <w:rsid w:val="00C17D62"/>
    <w:rsid w:val="00C21FDC"/>
    <w:rsid w:val="00C24EE7"/>
    <w:rsid w:val="00C2596A"/>
    <w:rsid w:val="00C271BE"/>
    <w:rsid w:val="00C27425"/>
    <w:rsid w:val="00C31EBD"/>
    <w:rsid w:val="00C328FE"/>
    <w:rsid w:val="00C33A05"/>
    <w:rsid w:val="00C34238"/>
    <w:rsid w:val="00C349D0"/>
    <w:rsid w:val="00C42500"/>
    <w:rsid w:val="00C42909"/>
    <w:rsid w:val="00C4409D"/>
    <w:rsid w:val="00C455BE"/>
    <w:rsid w:val="00C51E5F"/>
    <w:rsid w:val="00C5226D"/>
    <w:rsid w:val="00C60C08"/>
    <w:rsid w:val="00C61E4B"/>
    <w:rsid w:val="00C62E3A"/>
    <w:rsid w:val="00C64503"/>
    <w:rsid w:val="00C64A1F"/>
    <w:rsid w:val="00C64BFF"/>
    <w:rsid w:val="00C65D57"/>
    <w:rsid w:val="00C67ACF"/>
    <w:rsid w:val="00C704F4"/>
    <w:rsid w:val="00C75EAB"/>
    <w:rsid w:val="00C763C9"/>
    <w:rsid w:val="00C76DC8"/>
    <w:rsid w:val="00C77460"/>
    <w:rsid w:val="00C80057"/>
    <w:rsid w:val="00C803B8"/>
    <w:rsid w:val="00C82C79"/>
    <w:rsid w:val="00C84753"/>
    <w:rsid w:val="00C84790"/>
    <w:rsid w:val="00C91611"/>
    <w:rsid w:val="00C92A5E"/>
    <w:rsid w:val="00C9455B"/>
    <w:rsid w:val="00CA2074"/>
    <w:rsid w:val="00CA3585"/>
    <w:rsid w:val="00CA3D5A"/>
    <w:rsid w:val="00CA4B2A"/>
    <w:rsid w:val="00CA4C7C"/>
    <w:rsid w:val="00CB0183"/>
    <w:rsid w:val="00CB1EA3"/>
    <w:rsid w:val="00CB552C"/>
    <w:rsid w:val="00CB5A10"/>
    <w:rsid w:val="00CB6A9E"/>
    <w:rsid w:val="00CC100B"/>
    <w:rsid w:val="00CC16E5"/>
    <w:rsid w:val="00CC6181"/>
    <w:rsid w:val="00CD2BCD"/>
    <w:rsid w:val="00CD36AA"/>
    <w:rsid w:val="00CD3791"/>
    <w:rsid w:val="00CD65B0"/>
    <w:rsid w:val="00CE02CD"/>
    <w:rsid w:val="00CE10E9"/>
    <w:rsid w:val="00CE5D2C"/>
    <w:rsid w:val="00D0072E"/>
    <w:rsid w:val="00D02F9E"/>
    <w:rsid w:val="00D15727"/>
    <w:rsid w:val="00D16332"/>
    <w:rsid w:val="00D2168D"/>
    <w:rsid w:val="00D223B4"/>
    <w:rsid w:val="00D24972"/>
    <w:rsid w:val="00D2515E"/>
    <w:rsid w:val="00D279BD"/>
    <w:rsid w:val="00D308ED"/>
    <w:rsid w:val="00D52574"/>
    <w:rsid w:val="00D56178"/>
    <w:rsid w:val="00D56CF0"/>
    <w:rsid w:val="00D56F5C"/>
    <w:rsid w:val="00D704B1"/>
    <w:rsid w:val="00D70699"/>
    <w:rsid w:val="00D70B63"/>
    <w:rsid w:val="00D7269C"/>
    <w:rsid w:val="00D72B92"/>
    <w:rsid w:val="00D72ED4"/>
    <w:rsid w:val="00D73F61"/>
    <w:rsid w:val="00D753DE"/>
    <w:rsid w:val="00D754C0"/>
    <w:rsid w:val="00D7573B"/>
    <w:rsid w:val="00D776A2"/>
    <w:rsid w:val="00D801C4"/>
    <w:rsid w:val="00D8417F"/>
    <w:rsid w:val="00D90836"/>
    <w:rsid w:val="00D92BEA"/>
    <w:rsid w:val="00D95896"/>
    <w:rsid w:val="00D95CC6"/>
    <w:rsid w:val="00DA2DA3"/>
    <w:rsid w:val="00DA6615"/>
    <w:rsid w:val="00DA76AE"/>
    <w:rsid w:val="00DB181E"/>
    <w:rsid w:val="00DB1C7A"/>
    <w:rsid w:val="00DB20F7"/>
    <w:rsid w:val="00DB2983"/>
    <w:rsid w:val="00DB343D"/>
    <w:rsid w:val="00DB5579"/>
    <w:rsid w:val="00DB5CFE"/>
    <w:rsid w:val="00DC72A6"/>
    <w:rsid w:val="00DD2113"/>
    <w:rsid w:val="00DD265E"/>
    <w:rsid w:val="00DD2C58"/>
    <w:rsid w:val="00DE2904"/>
    <w:rsid w:val="00DE29E8"/>
    <w:rsid w:val="00DE4CFA"/>
    <w:rsid w:val="00DF1930"/>
    <w:rsid w:val="00DF514A"/>
    <w:rsid w:val="00E01204"/>
    <w:rsid w:val="00E0358D"/>
    <w:rsid w:val="00E06327"/>
    <w:rsid w:val="00E12203"/>
    <w:rsid w:val="00E2064B"/>
    <w:rsid w:val="00E22C69"/>
    <w:rsid w:val="00E2512D"/>
    <w:rsid w:val="00E25239"/>
    <w:rsid w:val="00E265B1"/>
    <w:rsid w:val="00E275B0"/>
    <w:rsid w:val="00E31CD6"/>
    <w:rsid w:val="00E36066"/>
    <w:rsid w:val="00E36CDC"/>
    <w:rsid w:val="00E412D0"/>
    <w:rsid w:val="00E47CDB"/>
    <w:rsid w:val="00E53247"/>
    <w:rsid w:val="00E54A8E"/>
    <w:rsid w:val="00E566BC"/>
    <w:rsid w:val="00E60982"/>
    <w:rsid w:val="00E60C8D"/>
    <w:rsid w:val="00E6162F"/>
    <w:rsid w:val="00E6311B"/>
    <w:rsid w:val="00E65D97"/>
    <w:rsid w:val="00E67EFD"/>
    <w:rsid w:val="00E702DC"/>
    <w:rsid w:val="00E71FFB"/>
    <w:rsid w:val="00E76D1D"/>
    <w:rsid w:val="00E806F8"/>
    <w:rsid w:val="00E87300"/>
    <w:rsid w:val="00E87752"/>
    <w:rsid w:val="00E8793B"/>
    <w:rsid w:val="00E90F81"/>
    <w:rsid w:val="00E91A6D"/>
    <w:rsid w:val="00E9242D"/>
    <w:rsid w:val="00E9678D"/>
    <w:rsid w:val="00E97292"/>
    <w:rsid w:val="00EA4FCB"/>
    <w:rsid w:val="00EB041C"/>
    <w:rsid w:val="00EC16D6"/>
    <w:rsid w:val="00EC5874"/>
    <w:rsid w:val="00ED192D"/>
    <w:rsid w:val="00ED1A99"/>
    <w:rsid w:val="00ED2FC3"/>
    <w:rsid w:val="00ED30B4"/>
    <w:rsid w:val="00ED31F5"/>
    <w:rsid w:val="00EE2E83"/>
    <w:rsid w:val="00EF1146"/>
    <w:rsid w:val="00EF1733"/>
    <w:rsid w:val="00EF2759"/>
    <w:rsid w:val="00EF45EB"/>
    <w:rsid w:val="00EF5099"/>
    <w:rsid w:val="00EF52D4"/>
    <w:rsid w:val="00EF5E33"/>
    <w:rsid w:val="00EF6E0A"/>
    <w:rsid w:val="00F00075"/>
    <w:rsid w:val="00F05479"/>
    <w:rsid w:val="00F06860"/>
    <w:rsid w:val="00F07822"/>
    <w:rsid w:val="00F07B9E"/>
    <w:rsid w:val="00F15C95"/>
    <w:rsid w:val="00F17B3F"/>
    <w:rsid w:val="00F22985"/>
    <w:rsid w:val="00F241AB"/>
    <w:rsid w:val="00F26F0A"/>
    <w:rsid w:val="00F310F2"/>
    <w:rsid w:val="00F31382"/>
    <w:rsid w:val="00F34246"/>
    <w:rsid w:val="00F35829"/>
    <w:rsid w:val="00F372F0"/>
    <w:rsid w:val="00F4007A"/>
    <w:rsid w:val="00F40DAA"/>
    <w:rsid w:val="00F42868"/>
    <w:rsid w:val="00F429E6"/>
    <w:rsid w:val="00F465A7"/>
    <w:rsid w:val="00F50B7C"/>
    <w:rsid w:val="00F5202D"/>
    <w:rsid w:val="00F52CF6"/>
    <w:rsid w:val="00F54496"/>
    <w:rsid w:val="00F54600"/>
    <w:rsid w:val="00F54849"/>
    <w:rsid w:val="00F56C38"/>
    <w:rsid w:val="00F61097"/>
    <w:rsid w:val="00F6525C"/>
    <w:rsid w:val="00F70093"/>
    <w:rsid w:val="00F74345"/>
    <w:rsid w:val="00F74441"/>
    <w:rsid w:val="00F74904"/>
    <w:rsid w:val="00F751D8"/>
    <w:rsid w:val="00F77F30"/>
    <w:rsid w:val="00F82589"/>
    <w:rsid w:val="00F82B19"/>
    <w:rsid w:val="00F87561"/>
    <w:rsid w:val="00F90AA7"/>
    <w:rsid w:val="00F9212D"/>
    <w:rsid w:val="00F9257A"/>
    <w:rsid w:val="00FA301A"/>
    <w:rsid w:val="00FA3B75"/>
    <w:rsid w:val="00FA406A"/>
    <w:rsid w:val="00FA4991"/>
    <w:rsid w:val="00FA5CB6"/>
    <w:rsid w:val="00FA6AD2"/>
    <w:rsid w:val="00FB1749"/>
    <w:rsid w:val="00FB1978"/>
    <w:rsid w:val="00FC00C9"/>
    <w:rsid w:val="00FC51FB"/>
    <w:rsid w:val="00FC66AC"/>
    <w:rsid w:val="00FD1568"/>
    <w:rsid w:val="00FD18F4"/>
    <w:rsid w:val="00FD371D"/>
    <w:rsid w:val="00FD74B4"/>
    <w:rsid w:val="00FE3048"/>
    <w:rsid w:val="00FE491A"/>
    <w:rsid w:val="00FE66D8"/>
    <w:rsid w:val="00FF349A"/>
    <w:rsid w:val="00FF6FCE"/>
    <w:rsid w:val="00FF7518"/>
    <w:rsid w:val="00FF7C26"/>
    <w:rsid w:val="00FF7FD8"/>
    <w:rsid w:val="01337D81"/>
    <w:rsid w:val="01657C13"/>
    <w:rsid w:val="01735F55"/>
    <w:rsid w:val="01770A47"/>
    <w:rsid w:val="01A93842"/>
    <w:rsid w:val="01C55106"/>
    <w:rsid w:val="01DD1E9F"/>
    <w:rsid w:val="021533E7"/>
    <w:rsid w:val="022004F2"/>
    <w:rsid w:val="02382318"/>
    <w:rsid w:val="02484AD2"/>
    <w:rsid w:val="024B4BB9"/>
    <w:rsid w:val="026779BA"/>
    <w:rsid w:val="0281282A"/>
    <w:rsid w:val="02963DFC"/>
    <w:rsid w:val="029C7664"/>
    <w:rsid w:val="02D171B3"/>
    <w:rsid w:val="02EC31EC"/>
    <w:rsid w:val="02F56D74"/>
    <w:rsid w:val="030417D3"/>
    <w:rsid w:val="03045209"/>
    <w:rsid w:val="03237D85"/>
    <w:rsid w:val="033C2BF5"/>
    <w:rsid w:val="037405E1"/>
    <w:rsid w:val="037D56E7"/>
    <w:rsid w:val="038F71C9"/>
    <w:rsid w:val="03B03554"/>
    <w:rsid w:val="03EC63C9"/>
    <w:rsid w:val="040F3E66"/>
    <w:rsid w:val="04115E30"/>
    <w:rsid w:val="043438CC"/>
    <w:rsid w:val="04581CB1"/>
    <w:rsid w:val="045A1585"/>
    <w:rsid w:val="046C5148"/>
    <w:rsid w:val="049F168E"/>
    <w:rsid w:val="04AB1DE0"/>
    <w:rsid w:val="04C66C1A"/>
    <w:rsid w:val="04D12363"/>
    <w:rsid w:val="04D134DA"/>
    <w:rsid w:val="04D330E5"/>
    <w:rsid w:val="04D534BD"/>
    <w:rsid w:val="04DC4690"/>
    <w:rsid w:val="04E21C1B"/>
    <w:rsid w:val="05031C1C"/>
    <w:rsid w:val="05502988"/>
    <w:rsid w:val="05742AC8"/>
    <w:rsid w:val="05D9297D"/>
    <w:rsid w:val="05DB66F5"/>
    <w:rsid w:val="05EE467B"/>
    <w:rsid w:val="06035C4C"/>
    <w:rsid w:val="06071298"/>
    <w:rsid w:val="062260D2"/>
    <w:rsid w:val="06237A80"/>
    <w:rsid w:val="062F07EF"/>
    <w:rsid w:val="06352F05"/>
    <w:rsid w:val="063C28CE"/>
    <w:rsid w:val="063E7D85"/>
    <w:rsid w:val="0676132A"/>
    <w:rsid w:val="06872CD5"/>
    <w:rsid w:val="06C14A7F"/>
    <w:rsid w:val="06C54CB0"/>
    <w:rsid w:val="06FD2F49"/>
    <w:rsid w:val="070875E0"/>
    <w:rsid w:val="07131EBF"/>
    <w:rsid w:val="0728596A"/>
    <w:rsid w:val="07293586"/>
    <w:rsid w:val="07295285"/>
    <w:rsid w:val="072A7707"/>
    <w:rsid w:val="07770C56"/>
    <w:rsid w:val="07904BF6"/>
    <w:rsid w:val="079E79DA"/>
    <w:rsid w:val="07C05BA3"/>
    <w:rsid w:val="07CC2981"/>
    <w:rsid w:val="07DB478B"/>
    <w:rsid w:val="07F615C4"/>
    <w:rsid w:val="081C4F35"/>
    <w:rsid w:val="082A74C0"/>
    <w:rsid w:val="087518A1"/>
    <w:rsid w:val="0882554E"/>
    <w:rsid w:val="08954B7F"/>
    <w:rsid w:val="08E2520D"/>
    <w:rsid w:val="08F15CB0"/>
    <w:rsid w:val="08F31FA8"/>
    <w:rsid w:val="09016473"/>
    <w:rsid w:val="091B505B"/>
    <w:rsid w:val="092217DD"/>
    <w:rsid w:val="093A7294"/>
    <w:rsid w:val="094561C0"/>
    <w:rsid w:val="095A6844"/>
    <w:rsid w:val="097F3C2D"/>
    <w:rsid w:val="09836CDF"/>
    <w:rsid w:val="099C263F"/>
    <w:rsid w:val="09B72FD5"/>
    <w:rsid w:val="09B75F71"/>
    <w:rsid w:val="09BC6293"/>
    <w:rsid w:val="09C86F91"/>
    <w:rsid w:val="09D04097"/>
    <w:rsid w:val="09F71624"/>
    <w:rsid w:val="09FB7366"/>
    <w:rsid w:val="0A1A13CB"/>
    <w:rsid w:val="0A1B77DC"/>
    <w:rsid w:val="0A540824"/>
    <w:rsid w:val="0A566859"/>
    <w:rsid w:val="0A5D1DCF"/>
    <w:rsid w:val="0A821835"/>
    <w:rsid w:val="0A821898"/>
    <w:rsid w:val="0A8B2D6E"/>
    <w:rsid w:val="0AB47515"/>
    <w:rsid w:val="0AB94B2B"/>
    <w:rsid w:val="0ABF68D7"/>
    <w:rsid w:val="0AEF054D"/>
    <w:rsid w:val="0B1B7594"/>
    <w:rsid w:val="0B352404"/>
    <w:rsid w:val="0B3D575C"/>
    <w:rsid w:val="0B770C6E"/>
    <w:rsid w:val="0B845139"/>
    <w:rsid w:val="0BD264F9"/>
    <w:rsid w:val="0BD27BF6"/>
    <w:rsid w:val="0C087501"/>
    <w:rsid w:val="0C5114BF"/>
    <w:rsid w:val="0C9910B8"/>
    <w:rsid w:val="0CA05FA3"/>
    <w:rsid w:val="0CA971D2"/>
    <w:rsid w:val="0CEB2FB8"/>
    <w:rsid w:val="0CEC11E8"/>
    <w:rsid w:val="0D0E115E"/>
    <w:rsid w:val="0D1150F2"/>
    <w:rsid w:val="0D183779"/>
    <w:rsid w:val="0D197B03"/>
    <w:rsid w:val="0D215336"/>
    <w:rsid w:val="0D36415C"/>
    <w:rsid w:val="0D3D4525"/>
    <w:rsid w:val="0D5C7F45"/>
    <w:rsid w:val="0D892E9F"/>
    <w:rsid w:val="0DB31D06"/>
    <w:rsid w:val="0DBC505E"/>
    <w:rsid w:val="0DC45CC1"/>
    <w:rsid w:val="0DD26D47"/>
    <w:rsid w:val="0DDC4F8B"/>
    <w:rsid w:val="0DE87C01"/>
    <w:rsid w:val="0E0D354A"/>
    <w:rsid w:val="0E110D06"/>
    <w:rsid w:val="0E1C78AB"/>
    <w:rsid w:val="0E3E3CC5"/>
    <w:rsid w:val="0E567261"/>
    <w:rsid w:val="0E601E8E"/>
    <w:rsid w:val="0E666D78"/>
    <w:rsid w:val="0E820056"/>
    <w:rsid w:val="0E8D07A9"/>
    <w:rsid w:val="0EB72147"/>
    <w:rsid w:val="0EB977F0"/>
    <w:rsid w:val="0EBC4BEA"/>
    <w:rsid w:val="0F045549"/>
    <w:rsid w:val="0F0767AD"/>
    <w:rsid w:val="0F13775A"/>
    <w:rsid w:val="0F242EBB"/>
    <w:rsid w:val="0F39623B"/>
    <w:rsid w:val="0F4D20F6"/>
    <w:rsid w:val="0F6634D4"/>
    <w:rsid w:val="0F76748F"/>
    <w:rsid w:val="0F9A112B"/>
    <w:rsid w:val="0F9A13CF"/>
    <w:rsid w:val="0FAB49D7"/>
    <w:rsid w:val="0FAB7138"/>
    <w:rsid w:val="0FC87CEA"/>
    <w:rsid w:val="0FDC3796"/>
    <w:rsid w:val="104430E9"/>
    <w:rsid w:val="105421D6"/>
    <w:rsid w:val="10613C9B"/>
    <w:rsid w:val="106612B1"/>
    <w:rsid w:val="106D2F64"/>
    <w:rsid w:val="106F78E7"/>
    <w:rsid w:val="107E2BFA"/>
    <w:rsid w:val="10836845"/>
    <w:rsid w:val="10B63710"/>
    <w:rsid w:val="10BE733F"/>
    <w:rsid w:val="10C9546A"/>
    <w:rsid w:val="10DB57FB"/>
    <w:rsid w:val="1102722C"/>
    <w:rsid w:val="111C2F7A"/>
    <w:rsid w:val="111E1B8C"/>
    <w:rsid w:val="112E0F4F"/>
    <w:rsid w:val="113013DE"/>
    <w:rsid w:val="11391602"/>
    <w:rsid w:val="11643A43"/>
    <w:rsid w:val="117B740C"/>
    <w:rsid w:val="117F262B"/>
    <w:rsid w:val="11843FEF"/>
    <w:rsid w:val="118B2237"/>
    <w:rsid w:val="11B3447B"/>
    <w:rsid w:val="11C47BB0"/>
    <w:rsid w:val="11DA1558"/>
    <w:rsid w:val="11E64458"/>
    <w:rsid w:val="122B06C2"/>
    <w:rsid w:val="12500FB5"/>
    <w:rsid w:val="12641821"/>
    <w:rsid w:val="126D4B79"/>
    <w:rsid w:val="12706417"/>
    <w:rsid w:val="12791770"/>
    <w:rsid w:val="12A85BB1"/>
    <w:rsid w:val="12B3439A"/>
    <w:rsid w:val="13207E3D"/>
    <w:rsid w:val="132C67E2"/>
    <w:rsid w:val="136715C8"/>
    <w:rsid w:val="13767A5D"/>
    <w:rsid w:val="1380268A"/>
    <w:rsid w:val="13951726"/>
    <w:rsid w:val="13985C26"/>
    <w:rsid w:val="1399374C"/>
    <w:rsid w:val="13A66595"/>
    <w:rsid w:val="13EE3A98"/>
    <w:rsid w:val="13FD1F2D"/>
    <w:rsid w:val="13FF7A53"/>
    <w:rsid w:val="14396509"/>
    <w:rsid w:val="143A57E9"/>
    <w:rsid w:val="1447165C"/>
    <w:rsid w:val="146D2C0E"/>
    <w:rsid w:val="146F0270"/>
    <w:rsid w:val="14761DCD"/>
    <w:rsid w:val="14776AEA"/>
    <w:rsid w:val="147C3310"/>
    <w:rsid w:val="148D505F"/>
    <w:rsid w:val="14C34F24"/>
    <w:rsid w:val="14EA24B1"/>
    <w:rsid w:val="152A0AFF"/>
    <w:rsid w:val="1532372A"/>
    <w:rsid w:val="155B33AF"/>
    <w:rsid w:val="155E2E9F"/>
    <w:rsid w:val="158E72E0"/>
    <w:rsid w:val="15BB3E4D"/>
    <w:rsid w:val="15EC04AB"/>
    <w:rsid w:val="160C6457"/>
    <w:rsid w:val="164B3423"/>
    <w:rsid w:val="1650051A"/>
    <w:rsid w:val="167A7BF9"/>
    <w:rsid w:val="16924BAE"/>
    <w:rsid w:val="16AD19E8"/>
    <w:rsid w:val="16F94C2D"/>
    <w:rsid w:val="1723434B"/>
    <w:rsid w:val="17512B32"/>
    <w:rsid w:val="176965A2"/>
    <w:rsid w:val="17735226"/>
    <w:rsid w:val="17836BED"/>
    <w:rsid w:val="17D31922"/>
    <w:rsid w:val="17D9680D"/>
    <w:rsid w:val="17FD24FB"/>
    <w:rsid w:val="18730A0F"/>
    <w:rsid w:val="18C66D91"/>
    <w:rsid w:val="18DF42F7"/>
    <w:rsid w:val="18F002B2"/>
    <w:rsid w:val="19445F08"/>
    <w:rsid w:val="19510D51"/>
    <w:rsid w:val="19631A87"/>
    <w:rsid w:val="19687E48"/>
    <w:rsid w:val="198F7DDA"/>
    <w:rsid w:val="19AA220F"/>
    <w:rsid w:val="19AF2FA5"/>
    <w:rsid w:val="19E03E83"/>
    <w:rsid w:val="1A1C66C0"/>
    <w:rsid w:val="1A216FF4"/>
    <w:rsid w:val="1A22449B"/>
    <w:rsid w:val="1A385A6D"/>
    <w:rsid w:val="1A42393B"/>
    <w:rsid w:val="1A512FD2"/>
    <w:rsid w:val="1A6920CA"/>
    <w:rsid w:val="1A903AFB"/>
    <w:rsid w:val="1AA475A6"/>
    <w:rsid w:val="1AE14356"/>
    <w:rsid w:val="1AE94FB9"/>
    <w:rsid w:val="1AFF2817"/>
    <w:rsid w:val="1B046F80"/>
    <w:rsid w:val="1B3267B5"/>
    <w:rsid w:val="1B3426D8"/>
    <w:rsid w:val="1B4B7A22"/>
    <w:rsid w:val="1B4D379A"/>
    <w:rsid w:val="1B7156DA"/>
    <w:rsid w:val="1BA2598E"/>
    <w:rsid w:val="1BA8087B"/>
    <w:rsid w:val="1BC25DC8"/>
    <w:rsid w:val="1BC41013"/>
    <w:rsid w:val="1BE85270"/>
    <w:rsid w:val="1C1B3898"/>
    <w:rsid w:val="1C5A43C0"/>
    <w:rsid w:val="1C5E7925"/>
    <w:rsid w:val="1C744D56"/>
    <w:rsid w:val="1C84143D"/>
    <w:rsid w:val="1C887FC8"/>
    <w:rsid w:val="1CC01D49"/>
    <w:rsid w:val="1CF17012"/>
    <w:rsid w:val="1D014845"/>
    <w:rsid w:val="1D0E0D07"/>
    <w:rsid w:val="1D3C5874"/>
    <w:rsid w:val="1D4E55A7"/>
    <w:rsid w:val="1D5F1562"/>
    <w:rsid w:val="1D5F6196"/>
    <w:rsid w:val="1D6132A5"/>
    <w:rsid w:val="1D7C0366"/>
    <w:rsid w:val="1D882867"/>
    <w:rsid w:val="1D8E56D5"/>
    <w:rsid w:val="1D975FBE"/>
    <w:rsid w:val="1D9E208B"/>
    <w:rsid w:val="1DB0172A"/>
    <w:rsid w:val="1DFB74DD"/>
    <w:rsid w:val="1E0F11DA"/>
    <w:rsid w:val="1E1B7B7F"/>
    <w:rsid w:val="1E285DF8"/>
    <w:rsid w:val="1E3A0AC0"/>
    <w:rsid w:val="1E594203"/>
    <w:rsid w:val="1E7A43DA"/>
    <w:rsid w:val="1EA27958"/>
    <w:rsid w:val="1EAA2CB1"/>
    <w:rsid w:val="1EB277FE"/>
    <w:rsid w:val="1ED57D2E"/>
    <w:rsid w:val="1EDC730E"/>
    <w:rsid w:val="1F02489B"/>
    <w:rsid w:val="1F060A31"/>
    <w:rsid w:val="1F0D396C"/>
    <w:rsid w:val="1F0E0875"/>
    <w:rsid w:val="1F180A63"/>
    <w:rsid w:val="1F1F6785"/>
    <w:rsid w:val="1F291E28"/>
    <w:rsid w:val="1F487665"/>
    <w:rsid w:val="1F4B7FF0"/>
    <w:rsid w:val="1F6D7F66"/>
    <w:rsid w:val="1F7A08D5"/>
    <w:rsid w:val="1F841754"/>
    <w:rsid w:val="1F8B663F"/>
    <w:rsid w:val="1F9279CD"/>
    <w:rsid w:val="1FC41B50"/>
    <w:rsid w:val="1FC55FF4"/>
    <w:rsid w:val="1FD71884"/>
    <w:rsid w:val="1FD955FC"/>
    <w:rsid w:val="1FE7539E"/>
    <w:rsid w:val="20085831"/>
    <w:rsid w:val="20087C8F"/>
    <w:rsid w:val="201C198C"/>
    <w:rsid w:val="20286583"/>
    <w:rsid w:val="20457135"/>
    <w:rsid w:val="208318B0"/>
    <w:rsid w:val="209535D3"/>
    <w:rsid w:val="20963CB8"/>
    <w:rsid w:val="20A47B29"/>
    <w:rsid w:val="20AA343C"/>
    <w:rsid w:val="20B07FB6"/>
    <w:rsid w:val="20BF0C96"/>
    <w:rsid w:val="20C462AC"/>
    <w:rsid w:val="21095EC1"/>
    <w:rsid w:val="21154D5A"/>
    <w:rsid w:val="212F6808"/>
    <w:rsid w:val="213A031C"/>
    <w:rsid w:val="213B74B1"/>
    <w:rsid w:val="21417BC3"/>
    <w:rsid w:val="21423675"/>
    <w:rsid w:val="215533A8"/>
    <w:rsid w:val="215A2310"/>
    <w:rsid w:val="215D225D"/>
    <w:rsid w:val="217F0425"/>
    <w:rsid w:val="218872DA"/>
    <w:rsid w:val="218C669E"/>
    <w:rsid w:val="21B7196D"/>
    <w:rsid w:val="21CE6CB6"/>
    <w:rsid w:val="21DE318A"/>
    <w:rsid w:val="21E87D78"/>
    <w:rsid w:val="21EF5B80"/>
    <w:rsid w:val="21FC1A76"/>
    <w:rsid w:val="2205630B"/>
    <w:rsid w:val="22360479"/>
    <w:rsid w:val="22370B39"/>
    <w:rsid w:val="22394A78"/>
    <w:rsid w:val="22511DC1"/>
    <w:rsid w:val="22576990"/>
    <w:rsid w:val="225B2C40"/>
    <w:rsid w:val="226A11CD"/>
    <w:rsid w:val="2273689A"/>
    <w:rsid w:val="22736A7A"/>
    <w:rsid w:val="22794E74"/>
    <w:rsid w:val="22856E57"/>
    <w:rsid w:val="228D0920"/>
    <w:rsid w:val="228D7546"/>
    <w:rsid w:val="229C4EAB"/>
    <w:rsid w:val="22D327D6"/>
    <w:rsid w:val="22F15352"/>
    <w:rsid w:val="23310AE9"/>
    <w:rsid w:val="23411E36"/>
    <w:rsid w:val="234B6811"/>
    <w:rsid w:val="238166D6"/>
    <w:rsid w:val="239857CE"/>
    <w:rsid w:val="23EA4FD7"/>
    <w:rsid w:val="23F52C20"/>
    <w:rsid w:val="23F66FE6"/>
    <w:rsid w:val="23FA3D93"/>
    <w:rsid w:val="23FF75FB"/>
    <w:rsid w:val="241E3F05"/>
    <w:rsid w:val="24207C9D"/>
    <w:rsid w:val="24271353"/>
    <w:rsid w:val="24523D08"/>
    <w:rsid w:val="245E07C6"/>
    <w:rsid w:val="24AE5664"/>
    <w:rsid w:val="24BC54EC"/>
    <w:rsid w:val="24C04FDC"/>
    <w:rsid w:val="24D8349B"/>
    <w:rsid w:val="24E231A5"/>
    <w:rsid w:val="24FE5BD8"/>
    <w:rsid w:val="2504136D"/>
    <w:rsid w:val="2514176E"/>
    <w:rsid w:val="252D53FE"/>
    <w:rsid w:val="253B4663"/>
    <w:rsid w:val="253D662D"/>
    <w:rsid w:val="25585215"/>
    <w:rsid w:val="256911D0"/>
    <w:rsid w:val="258162A8"/>
    <w:rsid w:val="25911F9F"/>
    <w:rsid w:val="25EC2D81"/>
    <w:rsid w:val="260E7907"/>
    <w:rsid w:val="263B7010"/>
    <w:rsid w:val="264528BD"/>
    <w:rsid w:val="265E4AAD"/>
    <w:rsid w:val="2685203A"/>
    <w:rsid w:val="268E10DF"/>
    <w:rsid w:val="26976211"/>
    <w:rsid w:val="269E2F30"/>
    <w:rsid w:val="26A7198C"/>
    <w:rsid w:val="26A821CC"/>
    <w:rsid w:val="26B24DF9"/>
    <w:rsid w:val="26C03072"/>
    <w:rsid w:val="26D53F50"/>
    <w:rsid w:val="26E1123A"/>
    <w:rsid w:val="26E50D2A"/>
    <w:rsid w:val="26F176CF"/>
    <w:rsid w:val="27222D49"/>
    <w:rsid w:val="27751E74"/>
    <w:rsid w:val="27930786"/>
    <w:rsid w:val="27D15DD1"/>
    <w:rsid w:val="27D52B4D"/>
    <w:rsid w:val="27D72D69"/>
    <w:rsid w:val="27DA0163"/>
    <w:rsid w:val="27E7349D"/>
    <w:rsid w:val="280312DC"/>
    <w:rsid w:val="28341F69"/>
    <w:rsid w:val="28425D08"/>
    <w:rsid w:val="286659B1"/>
    <w:rsid w:val="287C746C"/>
    <w:rsid w:val="28962517"/>
    <w:rsid w:val="28990440"/>
    <w:rsid w:val="289A5B44"/>
    <w:rsid w:val="289E73E3"/>
    <w:rsid w:val="28A76295"/>
    <w:rsid w:val="28BE1833"/>
    <w:rsid w:val="28C80903"/>
    <w:rsid w:val="29206EB8"/>
    <w:rsid w:val="29231FDE"/>
    <w:rsid w:val="292C0E92"/>
    <w:rsid w:val="29565F0F"/>
    <w:rsid w:val="2976210D"/>
    <w:rsid w:val="29852351"/>
    <w:rsid w:val="29B3244D"/>
    <w:rsid w:val="29B63ACC"/>
    <w:rsid w:val="29D137E8"/>
    <w:rsid w:val="29E325E0"/>
    <w:rsid w:val="29FA4AED"/>
    <w:rsid w:val="29FF72BC"/>
    <w:rsid w:val="2A082BA9"/>
    <w:rsid w:val="2A1262DA"/>
    <w:rsid w:val="2A452503"/>
    <w:rsid w:val="2A5561C7"/>
    <w:rsid w:val="2A5563CF"/>
    <w:rsid w:val="2A573CED"/>
    <w:rsid w:val="2A64465C"/>
    <w:rsid w:val="2A670826"/>
    <w:rsid w:val="2A7A6004"/>
    <w:rsid w:val="2AAE24A7"/>
    <w:rsid w:val="2ACB6489"/>
    <w:rsid w:val="2ACE2FF1"/>
    <w:rsid w:val="2ADE440E"/>
    <w:rsid w:val="2B2A7FEE"/>
    <w:rsid w:val="2B30453E"/>
    <w:rsid w:val="2B603075"/>
    <w:rsid w:val="2B604E23"/>
    <w:rsid w:val="2B7663F5"/>
    <w:rsid w:val="2B82151A"/>
    <w:rsid w:val="2B8F0F29"/>
    <w:rsid w:val="2BA936A8"/>
    <w:rsid w:val="2BAE2033"/>
    <w:rsid w:val="2BD1187D"/>
    <w:rsid w:val="2BD575BF"/>
    <w:rsid w:val="2BE05F64"/>
    <w:rsid w:val="2C315A5A"/>
    <w:rsid w:val="2C692ABE"/>
    <w:rsid w:val="2C844B41"/>
    <w:rsid w:val="2C884632"/>
    <w:rsid w:val="2C901738"/>
    <w:rsid w:val="2C9034E6"/>
    <w:rsid w:val="2CA174A1"/>
    <w:rsid w:val="2CCE014A"/>
    <w:rsid w:val="2D0B348C"/>
    <w:rsid w:val="2D200D0E"/>
    <w:rsid w:val="2D630BFB"/>
    <w:rsid w:val="2D7E77E3"/>
    <w:rsid w:val="2D8415D6"/>
    <w:rsid w:val="2D9708A4"/>
    <w:rsid w:val="2D9E56F5"/>
    <w:rsid w:val="2DB65067"/>
    <w:rsid w:val="2DD65871"/>
    <w:rsid w:val="2DEF06E0"/>
    <w:rsid w:val="2E667F96"/>
    <w:rsid w:val="2E8226AB"/>
    <w:rsid w:val="2E9848D4"/>
    <w:rsid w:val="2ED51684"/>
    <w:rsid w:val="2EE713B8"/>
    <w:rsid w:val="2F083808"/>
    <w:rsid w:val="2F171C9D"/>
    <w:rsid w:val="2F186BF5"/>
    <w:rsid w:val="2F356A5E"/>
    <w:rsid w:val="2F6F77C8"/>
    <w:rsid w:val="2F7F65C3"/>
    <w:rsid w:val="2F832C79"/>
    <w:rsid w:val="2F9C03F4"/>
    <w:rsid w:val="2FC574A1"/>
    <w:rsid w:val="2FD14541"/>
    <w:rsid w:val="2FEF2D58"/>
    <w:rsid w:val="2FFA3A98"/>
    <w:rsid w:val="2FFF1A0C"/>
    <w:rsid w:val="30055F99"/>
    <w:rsid w:val="30123CD3"/>
    <w:rsid w:val="30564A47"/>
    <w:rsid w:val="3057580E"/>
    <w:rsid w:val="30580BC9"/>
    <w:rsid w:val="305C270F"/>
    <w:rsid w:val="307A6791"/>
    <w:rsid w:val="307B4C03"/>
    <w:rsid w:val="30874C00"/>
    <w:rsid w:val="30BE1F06"/>
    <w:rsid w:val="30C714A1"/>
    <w:rsid w:val="30E12562"/>
    <w:rsid w:val="30F009F7"/>
    <w:rsid w:val="31012C04"/>
    <w:rsid w:val="310224D9"/>
    <w:rsid w:val="311E2ED7"/>
    <w:rsid w:val="313C59EB"/>
    <w:rsid w:val="3143321D"/>
    <w:rsid w:val="3148438F"/>
    <w:rsid w:val="314B3E80"/>
    <w:rsid w:val="315C449C"/>
    <w:rsid w:val="315F792B"/>
    <w:rsid w:val="31723B02"/>
    <w:rsid w:val="3180696A"/>
    <w:rsid w:val="318C4BC4"/>
    <w:rsid w:val="31B82709"/>
    <w:rsid w:val="31C2039C"/>
    <w:rsid w:val="31E51E01"/>
    <w:rsid w:val="31EA5447"/>
    <w:rsid w:val="31FB58A6"/>
    <w:rsid w:val="31FB7654"/>
    <w:rsid w:val="32400B34"/>
    <w:rsid w:val="324213FF"/>
    <w:rsid w:val="325D3E6B"/>
    <w:rsid w:val="326E6078"/>
    <w:rsid w:val="327318E0"/>
    <w:rsid w:val="32837649"/>
    <w:rsid w:val="328870BB"/>
    <w:rsid w:val="329E6876"/>
    <w:rsid w:val="32CB34CA"/>
    <w:rsid w:val="33400487"/>
    <w:rsid w:val="33694A91"/>
    <w:rsid w:val="33707BCD"/>
    <w:rsid w:val="3397278E"/>
    <w:rsid w:val="33A04957"/>
    <w:rsid w:val="33A651CD"/>
    <w:rsid w:val="33CB12A8"/>
    <w:rsid w:val="33CD206F"/>
    <w:rsid w:val="33D44600"/>
    <w:rsid w:val="33D934D4"/>
    <w:rsid w:val="33E505BB"/>
    <w:rsid w:val="33FB7DDF"/>
    <w:rsid w:val="33FE2F6A"/>
    <w:rsid w:val="34034EE6"/>
    <w:rsid w:val="340C5FD9"/>
    <w:rsid w:val="342A06C4"/>
    <w:rsid w:val="343147AA"/>
    <w:rsid w:val="34703364"/>
    <w:rsid w:val="34873A5C"/>
    <w:rsid w:val="34A04918"/>
    <w:rsid w:val="34AA013A"/>
    <w:rsid w:val="34AE4E51"/>
    <w:rsid w:val="34B14942"/>
    <w:rsid w:val="34E46AC5"/>
    <w:rsid w:val="34ED4490"/>
    <w:rsid w:val="35123632"/>
    <w:rsid w:val="351647A5"/>
    <w:rsid w:val="352C3FC8"/>
    <w:rsid w:val="353335A8"/>
    <w:rsid w:val="353D7F83"/>
    <w:rsid w:val="357065AB"/>
    <w:rsid w:val="35942299"/>
    <w:rsid w:val="3597647D"/>
    <w:rsid w:val="35A3072E"/>
    <w:rsid w:val="35A324DC"/>
    <w:rsid w:val="35A40002"/>
    <w:rsid w:val="35AB313F"/>
    <w:rsid w:val="36027E45"/>
    <w:rsid w:val="36074A7F"/>
    <w:rsid w:val="36385431"/>
    <w:rsid w:val="36413AA3"/>
    <w:rsid w:val="3652180C"/>
    <w:rsid w:val="365761FC"/>
    <w:rsid w:val="36617FF3"/>
    <w:rsid w:val="36647880"/>
    <w:rsid w:val="366A309E"/>
    <w:rsid w:val="36923549"/>
    <w:rsid w:val="369A310D"/>
    <w:rsid w:val="36A04C6E"/>
    <w:rsid w:val="36B70951"/>
    <w:rsid w:val="36B75FBF"/>
    <w:rsid w:val="36BD312A"/>
    <w:rsid w:val="36C80C21"/>
    <w:rsid w:val="36C941C4"/>
    <w:rsid w:val="36F809D4"/>
    <w:rsid w:val="36FB1EA4"/>
    <w:rsid w:val="36FB4891"/>
    <w:rsid w:val="371371EE"/>
    <w:rsid w:val="371F5B92"/>
    <w:rsid w:val="37647A49"/>
    <w:rsid w:val="37773C20"/>
    <w:rsid w:val="37875BB4"/>
    <w:rsid w:val="37B54749"/>
    <w:rsid w:val="37D71CEA"/>
    <w:rsid w:val="37DB610F"/>
    <w:rsid w:val="37F92887"/>
    <w:rsid w:val="380408E2"/>
    <w:rsid w:val="38333F25"/>
    <w:rsid w:val="38376F0C"/>
    <w:rsid w:val="384C423F"/>
    <w:rsid w:val="385E093C"/>
    <w:rsid w:val="38912AC0"/>
    <w:rsid w:val="389336C0"/>
    <w:rsid w:val="38B56F92"/>
    <w:rsid w:val="38EC419A"/>
    <w:rsid w:val="38F12CD3"/>
    <w:rsid w:val="38F94775"/>
    <w:rsid w:val="391B05DB"/>
    <w:rsid w:val="392971ED"/>
    <w:rsid w:val="392E030F"/>
    <w:rsid w:val="393C6ED0"/>
    <w:rsid w:val="39440D68"/>
    <w:rsid w:val="39455E2D"/>
    <w:rsid w:val="39934616"/>
    <w:rsid w:val="39A93E39"/>
    <w:rsid w:val="39B0341A"/>
    <w:rsid w:val="39B051C8"/>
    <w:rsid w:val="39C1682E"/>
    <w:rsid w:val="39D05D48"/>
    <w:rsid w:val="39D17D7D"/>
    <w:rsid w:val="39FF1CAB"/>
    <w:rsid w:val="3A267238"/>
    <w:rsid w:val="3A4B0FA7"/>
    <w:rsid w:val="3A563FC1"/>
    <w:rsid w:val="3A791A5E"/>
    <w:rsid w:val="3A8328DC"/>
    <w:rsid w:val="3A9E741E"/>
    <w:rsid w:val="3AB25844"/>
    <w:rsid w:val="3ACB57DD"/>
    <w:rsid w:val="3AD249E7"/>
    <w:rsid w:val="3AE14AF9"/>
    <w:rsid w:val="3AEB74EB"/>
    <w:rsid w:val="3B196D9D"/>
    <w:rsid w:val="3B365BA1"/>
    <w:rsid w:val="3B3763D1"/>
    <w:rsid w:val="3B927A22"/>
    <w:rsid w:val="3BE04A79"/>
    <w:rsid w:val="3BE13D5E"/>
    <w:rsid w:val="3BF16211"/>
    <w:rsid w:val="3C171239"/>
    <w:rsid w:val="3C261771"/>
    <w:rsid w:val="3C3420E0"/>
    <w:rsid w:val="3C3436C9"/>
    <w:rsid w:val="3C9E2003"/>
    <w:rsid w:val="3CA1620D"/>
    <w:rsid w:val="3CB701F2"/>
    <w:rsid w:val="3CD411CD"/>
    <w:rsid w:val="3CD66B22"/>
    <w:rsid w:val="3CDA245A"/>
    <w:rsid w:val="3CE05DC4"/>
    <w:rsid w:val="3CEE0A37"/>
    <w:rsid w:val="3D115F7D"/>
    <w:rsid w:val="3D17730C"/>
    <w:rsid w:val="3D1C4922"/>
    <w:rsid w:val="3D22462E"/>
    <w:rsid w:val="3D850359"/>
    <w:rsid w:val="3D9077EA"/>
    <w:rsid w:val="3D9D5A63"/>
    <w:rsid w:val="3DA23878"/>
    <w:rsid w:val="3DB070A9"/>
    <w:rsid w:val="3DB63FFD"/>
    <w:rsid w:val="3DC6585A"/>
    <w:rsid w:val="3DE972BB"/>
    <w:rsid w:val="3E1F46CA"/>
    <w:rsid w:val="3E241CE0"/>
    <w:rsid w:val="3E8135D7"/>
    <w:rsid w:val="3E834C59"/>
    <w:rsid w:val="3EAD7F28"/>
    <w:rsid w:val="3ECF4342"/>
    <w:rsid w:val="3EF435AA"/>
    <w:rsid w:val="3F340649"/>
    <w:rsid w:val="3F660E74"/>
    <w:rsid w:val="3F715D86"/>
    <w:rsid w:val="3F852C53"/>
    <w:rsid w:val="4041301D"/>
    <w:rsid w:val="40477F08"/>
    <w:rsid w:val="40535BC9"/>
    <w:rsid w:val="40552625"/>
    <w:rsid w:val="405B1F5D"/>
    <w:rsid w:val="406D3E12"/>
    <w:rsid w:val="406E7B8B"/>
    <w:rsid w:val="407207DE"/>
    <w:rsid w:val="407A6407"/>
    <w:rsid w:val="40A92971"/>
    <w:rsid w:val="40CB6D8B"/>
    <w:rsid w:val="40D63294"/>
    <w:rsid w:val="40E045E4"/>
    <w:rsid w:val="40E40243"/>
    <w:rsid w:val="40F7192E"/>
    <w:rsid w:val="40FD2008"/>
    <w:rsid w:val="41036525"/>
    <w:rsid w:val="412D35A2"/>
    <w:rsid w:val="41313AD7"/>
    <w:rsid w:val="415D0C03"/>
    <w:rsid w:val="417C49FE"/>
    <w:rsid w:val="41CD6A80"/>
    <w:rsid w:val="421502BE"/>
    <w:rsid w:val="42383FAC"/>
    <w:rsid w:val="423A3BCC"/>
    <w:rsid w:val="424566C9"/>
    <w:rsid w:val="424B3CDF"/>
    <w:rsid w:val="428216CB"/>
    <w:rsid w:val="42D00689"/>
    <w:rsid w:val="42DC702D"/>
    <w:rsid w:val="43000F6E"/>
    <w:rsid w:val="433A6FE6"/>
    <w:rsid w:val="4350713C"/>
    <w:rsid w:val="436653E0"/>
    <w:rsid w:val="436D3AAE"/>
    <w:rsid w:val="438751EB"/>
    <w:rsid w:val="43947AFD"/>
    <w:rsid w:val="43AD2778"/>
    <w:rsid w:val="43D56927"/>
    <w:rsid w:val="43DE0B83"/>
    <w:rsid w:val="43F3462F"/>
    <w:rsid w:val="43FC1739"/>
    <w:rsid w:val="44000AFA"/>
    <w:rsid w:val="440E7400"/>
    <w:rsid w:val="44531571"/>
    <w:rsid w:val="447D69D8"/>
    <w:rsid w:val="44A818BD"/>
    <w:rsid w:val="44C112A9"/>
    <w:rsid w:val="44C61D43"/>
    <w:rsid w:val="44C96B1C"/>
    <w:rsid w:val="44CD14E0"/>
    <w:rsid w:val="44D658D5"/>
    <w:rsid w:val="44D728CB"/>
    <w:rsid w:val="44E1092B"/>
    <w:rsid w:val="44EE3263"/>
    <w:rsid w:val="44FD328B"/>
    <w:rsid w:val="450308A1"/>
    <w:rsid w:val="455012EC"/>
    <w:rsid w:val="455E1F7C"/>
    <w:rsid w:val="45703A5D"/>
    <w:rsid w:val="458946E9"/>
    <w:rsid w:val="45B222C8"/>
    <w:rsid w:val="45B8657D"/>
    <w:rsid w:val="45CC3389"/>
    <w:rsid w:val="45D01E29"/>
    <w:rsid w:val="45DB35CC"/>
    <w:rsid w:val="45DD1C67"/>
    <w:rsid w:val="45E32B60"/>
    <w:rsid w:val="4606557D"/>
    <w:rsid w:val="462C3E28"/>
    <w:rsid w:val="4631143E"/>
    <w:rsid w:val="466A1D54"/>
    <w:rsid w:val="46761EE9"/>
    <w:rsid w:val="46A55988"/>
    <w:rsid w:val="46D55BEB"/>
    <w:rsid w:val="46D955A7"/>
    <w:rsid w:val="46EC35B7"/>
    <w:rsid w:val="470E1780"/>
    <w:rsid w:val="47133957"/>
    <w:rsid w:val="471C16C0"/>
    <w:rsid w:val="473D7EE1"/>
    <w:rsid w:val="475F6B28"/>
    <w:rsid w:val="4769780F"/>
    <w:rsid w:val="4779329E"/>
    <w:rsid w:val="478227F3"/>
    <w:rsid w:val="47A07E0C"/>
    <w:rsid w:val="48147269"/>
    <w:rsid w:val="483376F0"/>
    <w:rsid w:val="483772B0"/>
    <w:rsid w:val="48537D92"/>
    <w:rsid w:val="4856518C"/>
    <w:rsid w:val="48677399"/>
    <w:rsid w:val="4870272E"/>
    <w:rsid w:val="48AA54D8"/>
    <w:rsid w:val="48C4659A"/>
    <w:rsid w:val="48C81A9C"/>
    <w:rsid w:val="48C91E02"/>
    <w:rsid w:val="48DB38E3"/>
    <w:rsid w:val="48EC642D"/>
    <w:rsid w:val="48EE1869"/>
    <w:rsid w:val="490075CF"/>
    <w:rsid w:val="49172B6D"/>
    <w:rsid w:val="491C1193"/>
    <w:rsid w:val="4922204C"/>
    <w:rsid w:val="4934611B"/>
    <w:rsid w:val="49417BEA"/>
    <w:rsid w:val="49494CF1"/>
    <w:rsid w:val="49543DC1"/>
    <w:rsid w:val="496438D9"/>
    <w:rsid w:val="4976133E"/>
    <w:rsid w:val="498510AA"/>
    <w:rsid w:val="49B303BC"/>
    <w:rsid w:val="49DC7715"/>
    <w:rsid w:val="49EA64D4"/>
    <w:rsid w:val="49FD612F"/>
    <w:rsid w:val="4A023139"/>
    <w:rsid w:val="4A1E1CDA"/>
    <w:rsid w:val="4A7B576F"/>
    <w:rsid w:val="4AA236EF"/>
    <w:rsid w:val="4AA93AED"/>
    <w:rsid w:val="4AB81DF8"/>
    <w:rsid w:val="4ACE3700"/>
    <w:rsid w:val="4ADF3B5F"/>
    <w:rsid w:val="4AF05904"/>
    <w:rsid w:val="4AF07B1A"/>
    <w:rsid w:val="4B0A4FD7"/>
    <w:rsid w:val="4B180E1F"/>
    <w:rsid w:val="4B480542"/>
    <w:rsid w:val="4B555BCF"/>
    <w:rsid w:val="4B63653E"/>
    <w:rsid w:val="4B784F16"/>
    <w:rsid w:val="4B7C315C"/>
    <w:rsid w:val="4B83098E"/>
    <w:rsid w:val="4B871B00"/>
    <w:rsid w:val="4B944949"/>
    <w:rsid w:val="4BA97FB1"/>
    <w:rsid w:val="4BBA3C84"/>
    <w:rsid w:val="4BD20FCE"/>
    <w:rsid w:val="4BF32C84"/>
    <w:rsid w:val="4C0D46FC"/>
    <w:rsid w:val="4C4A0649"/>
    <w:rsid w:val="4C5639AD"/>
    <w:rsid w:val="4C661230"/>
    <w:rsid w:val="4C9646F1"/>
    <w:rsid w:val="4C9A2EA2"/>
    <w:rsid w:val="4CBD3A2C"/>
    <w:rsid w:val="4CCA6149"/>
    <w:rsid w:val="4CE470D3"/>
    <w:rsid w:val="4CE52F83"/>
    <w:rsid w:val="4CF51418"/>
    <w:rsid w:val="4D137AF0"/>
    <w:rsid w:val="4D16313C"/>
    <w:rsid w:val="4D21474F"/>
    <w:rsid w:val="4D4A6024"/>
    <w:rsid w:val="4D834C75"/>
    <w:rsid w:val="4DB839F4"/>
    <w:rsid w:val="4DDF231A"/>
    <w:rsid w:val="4DEC4FB0"/>
    <w:rsid w:val="4E075D8A"/>
    <w:rsid w:val="4E0D12D9"/>
    <w:rsid w:val="4E151645"/>
    <w:rsid w:val="4E191136"/>
    <w:rsid w:val="4E3E294A"/>
    <w:rsid w:val="4E3F6AB8"/>
    <w:rsid w:val="4E661EA1"/>
    <w:rsid w:val="4E720846"/>
    <w:rsid w:val="4EA07161"/>
    <w:rsid w:val="4ED4505D"/>
    <w:rsid w:val="4ED91947"/>
    <w:rsid w:val="4EFF657E"/>
    <w:rsid w:val="4F1D6A04"/>
    <w:rsid w:val="4F367AC5"/>
    <w:rsid w:val="4F691C49"/>
    <w:rsid w:val="4F764366"/>
    <w:rsid w:val="4F8E16AF"/>
    <w:rsid w:val="4FAF73E7"/>
    <w:rsid w:val="4FC62A8C"/>
    <w:rsid w:val="4FD33566"/>
    <w:rsid w:val="4FE20F0D"/>
    <w:rsid w:val="500B0F52"/>
    <w:rsid w:val="500E6D08"/>
    <w:rsid w:val="50252DEF"/>
    <w:rsid w:val="502D44A7"/>
    <w:rsid w:val="503B69E5"/>
    <w:rsid w:val="50504C4B"/>
    <w:rsid w:val="50850D04"/>
    <w:rsid w:val="5097212F"/>
    <w:rsid w:val="509C6E7C"/>
    <w:rsid w:val="509F7BCD"/>
    <w:rsid w:val="50A05B3E"/>
    <w:rsid w:val="50D94BAC"/>
    <w:rsid w:val="50E517A3"/>
    <w:rsid w:val="51031C29"/>
    <w:rsid w:val="51556929"/>
    <w:rsid w:val="5162104E"/>
    <w:rsid w:val="51646B6C"/>
    <w:rsid w:val="51B6770D"/>
    <w:rsid w:val="51CC64BF"/>
    <w:rsid w:val="51CD42AC"/>
    <w:rsid w:val="52287B99"/>
    <w:rsid w:val="5233653E"/>
    <w:rsid w:val="527270F8"/>
    <w:rsid w:val="52A6753F"/>
    <w:rsid w:val="52BA7E5F"/>
    <w:rsid w:val="52BC703E"/>
    <w:rsid w:val="52CB6777"/>
    <w:rsid w:val="52F67EAF"/>
    <w:rsid w:val="53004672"/>
    <w:rsid w:val="531168D3"/>
    <w:rsid w:val="53270D4B"/>
    <w:rsid w:val="535B5D4C"/>
    <w:rsid w:val="53A039CC"/>
    <w:rsid w:val="53A1505A"/>
    <w:rsid w:val="53A22137"/>
    <w:rsid w:val="53A25729"/>
    <w:rsid w:val="53A92F5C"/>
    <w:rsid w:val="53B813F1"/>
    <w:rsid w:val="53BB4A3D"/>
    <w:rsid w:val="53CC09AA"/>
    <w:rsid w:val="53EE096F"/>
    <w:rsid w:val="53F35F85"/>
    <w:rsid w:val="53FB308C"/>
    <w:rsid w:val="54063E08"/>
    <w:rsid w:val="54114F59"/>
    <w:rsid w:val="54232D0E"/>
    <w:rsid w:val="543437E8"/>
    <w:rsid w:val="543A3BB4"/>
    <w:rsid w:val="544F55AB"/>
    <w:rsid w:val="54717BEB"/>
    <w:rsid w:val="548117E3"/>
    <w:rsid w:val="5484403F"/>
    <w:rsid w:val="54A47FBB"/>
    <w:rsid w:val="54D264E2"/>
    <w:rsid w:val="54EC3868"/>
    <w:rsid w:val="54ED6E78"/>
    <w:rsid w:val="54FC530D"/>
    <w:rsid w:val="551408A9"/>
    <w:rsid w:val="552567F6"/>
    <w:rsid w:val="55287EB0"/>
    <w:rsid w:val="553B5E36"/>
    <w:rsid w:val="554F18E1"/>
    <w:rsid w:val="559B174B"/>
    <w:rsid w:val="55A06818"/>
    <w:rsid w:val="55CE0CF4"/>
    <w:rsid w:val="55D91343"/>
    <w:rsid w:val="55DC6417"/>
    <w:rsid w:val="55E92BE2"/>
    <w:rsid w:val="55F06C20"/>
    <w:rsid w:val="562008B0"/>
    <w:rsid w:val="563B3C13"/>
    <w:rsid w:val="56466B09"/>
    <w:rsid w:val="566118CC"/>
    <w:rsid w:val="566F46A9"/>
    <w:rsid w:val="56821842"/>
    <w:rsid w:val="56990CDB"/>
    <w:rsid w:val="56A31EE4"/>
    <w:rsid w:val="56AD68BF"/>
    <w:rsid w:val="56B22A9C"/>
    <w:rsid w:val="56BA5480"/>
    <w:rsid w:val="56D24578"/>
    <w:rsid w:val="56DD2EFD"/>
    <w:rsid w:val="56FB1D20"/>
    <w:rsid w:val="57034465"/>
    <w:rsid w:val="5706196A"/>
    <w:rsid w:val="571B7CCD"/>
    <w:rsid w:val="573D754B"/>
    <w:rsid w:val="57A67CB8"/>
    <w:rsid w:val="57B72A76"/>
    <w:rsid w:val="57C2639A"/>
    <w:rsid w:val="57DE6F4C"/>
    <w:rsid w:val="58240E03"/>
    <w:rsid w:val="5848468B"/>
    <w:rsid w:val="585316E8"/>
    <w:rsid w:val="5875165E"/>
    <w:rsid w:val="5886386C"/>
    <w:rsid w:val="588875E4"/>
    <w:rsid w:val="58E3481A"/>
    <w:rsid w:val="58F92290"/>
    <w:rsid w:val="59001CB9"/>
    <w:rsid w:val="591F781C"/>
    <w:rsid w:val="596811C3"/>
    <w:rsid w:val="5988716F"/>
    <w:rsid w:val="599B50F5"/>
    <w:rsid w:val="59B83EF9"/>
    <w:rsid w:val="59C60240"/>
    <w:rsid w:val="59CC1752"/>
    <w:rsid w:val="59FE5684"/>
    <w:rsid w:val="5A160C1F"/>
    <w:rsid w:val="5A225816"/>
    <w:rsid w:val="5A274BDA"/>
    <w:rsid w:val="5A3C747D"/>
    <w:rsid w:val="5A4214BD"/>
    <w:rsid w:val="5A5047C3"/>
    <w:rsid w:val="5A655703"/>
    <w:rsid w:val="5A673229"/>
    <w:rsid w:val="5A7F67C4"/>
    <w:rsid w:val="5ABE2233"/>
    <w:rsid w:val="5ACD0E0A"/>
    <w:rsid w:val="5B1C2265"/>
    <w:rsid w:val="5B276D18"/>
    <w:rsid w:val="5B6B7D14"/>
    <w:rsid w:val="5B6D486F"/>
    <w:rsid w:val="5B7174A0"/>
    <w:rsid w:val="5B8147BE"/>
    <w:rsid w:val="5B9938B6"/>
    <w:rsid w:val="5B9E7C0F"/>
    <w:rsid w:val="5BCF088B"/>
    <w:rsid w:val="5BDC4A0B"/>
    <w:rsid w:val="5BDF5D95"/>
    <w:rsid w:val="5BE82147"/>
    <w:rsid w:val="5BEC1C38"/>
    <w:rsid w:val="5BEF03FF"/>
    <w:rsid w:val="5BFE7BBD"/>
    <w:rsid w:val="5C272C70"/>
    <w:rsid w:val="5C295FAD"/>
    <w:rsid w:val="5C2E2250"/>
    <w:rsid w:val="5C317F92"/>
    <w:rsid w:val="5C444B79"/>
    <w:rsid w:val="5C4750C0"/>
    <w:rsid w:val="5C814A76"/>
    <w:rsid w:val="5C866B1F"/>
    <w:rsid w:val="5CD31049"/>
    <w:rsid w:val="5CD86660"/>
    <w:rsid w:val="5D153410"/>
    <w:rsid w:val="5D184CAE"/>
    <w:rsid w:val="5D1F7DEB"/>
    <w:rsid w:val="5D4635C9"/>
    <w:rsid w:val="5D9C4FA3"/>
    <w:rsid w:val="5D9F2CDA"/>
    <w:rsid w:val="5DBB55A0"/>
    <w:rsid w:val="5DBC76DF"/>
    <w:rsid w:val="5DC170F4"/>
    <w:rsid w:val="5DCB77B3"/>
    <w:rsid w:val="5DF87A0F"/>
    <w:rsid w:val="5E021BE6"/>
    <w:rsid w:val="5E1D05EB"/>
    <w:rsid w:val="5E2C27BF"/>
    <w:rsid w:val="5E404A40"/>
    <w:rsid w:val="5E525F9E"/>
    <w:rsid w:val="5E767EDE"/>
    <w:rsid w:val="5E7B54F5"/>
    <w:rsid w:val="5E7E50BF"/>
    <w:rsid w:val="5E8A398A"/>
    <w:rsid w:val="5EA07923"/>
    <w:rsid w:val="5EA26A51"/>
    <w:rsid w:val="5EB44658"/>
    <w:rsid w:val="5EC21376"/>
    <w:rsid w:val="5ECE1AC8"/>
    <w:rsid w:val="5ED12307"/>
    <w:rsid w:val="5EDD2E98"/>
    <w:rsid w:val="5EF41EF5"/>
    <w:rsid w:val="5EF77271"/>
    <w:rsid w:val="5F022E20"/>
    <w:rsid w:val="5F1A2B43"/>
    <w:rsid w:val="5F1B4938"/>
    <w:rsid w:val="5F1D47FE"/>
    <w:rsid w:val="5F3A0F0C"/>
    <w:rsid w:val="5F506C39"/>
    <w:rsid w:val="5F60729A"/>
    <w:rsid w:val="5F61293D"/>
    <w:rsid w:val="5F624E3F"/>
    <w:rsid w:val="5F645F89"/>
    <w:rsid w:val="5F920D48"/>
    <w:rsid w:val="5F946554"/>
    <w:rsid w:val="5F967D7B"/>
    <w:rsid w:val="5FAA6092"/>
    <w:rsid w:val="5FB837BB"/>
    <w:rsid w:val="5FC92290"/>
    <w:rsid w:val="5FD0361E"/>
    <w:rsid w:val="5FD50C35"/>
    <w:rsid w:val="60170BFF"/>
    <w:rsid w:val="6028345A"/>
    <w:rsid w:val="602A2D2E"/>
    <w:rsid w:val="602C4CF9"/>
    <w:rsid w:val="602D6CC3"/>
    <w:rsid w:val="602F2A3B"/>
    <w:rsid w:val="60344E6C"/>
    <w:rsid w:val="607849B5"/>
    <w:rsid w:val="60883EF9"/>
    <w:rsid w:val="609E54CA"/>
    <w:rsid w:val="60A8472B"/>
    <w:rsid w:val="60BF3DBF"/>
    <w:rsid w:val="60C30678"/>
    <w:rsid w:val="60D62A1C"/>
    <w:rsid w:val="60E47381"/>
    <w:rsid w:val="61067F30"/>
    <w:rsid w:val="610A6658"/>
    <w:rsid w:val="61500EBB"/>
    <w:rsid w:val="615C33BC"/>
    <w:rsid w:val="61722BDF"/>
    <w:rsid w:val="61732455"/>
    <w:rsid w:val="619012B7"/>
    <w:rsid w:val="61CF5101"/>
    <w:rsid w:val="61E33ADD"/>
    <w:rsid w:val="61FE400F"/>
    <w:rsid w:val="61FE4473"/>
    <w:rsid w:val="62046C99"/>
    <w:rsid w:val="62162F37"/>
    <w:rsid w:val="6220088D"/>
    <w:rsid w:val="622639C9"/>
    <w:rsid w:val="622C4E7A"/>
    <w:rsid w:val="6232236E"/>
    <w:rsid w:val="62364782"/>
    <w:rsid w:val="62377985"/>
    <w:rsid w:val="623C4F9B"/>
    <w:rsid w:val="625422E5"/>
    <w:rsid w:val="626F11F0"/>
    <w:rsid w:val="627A5E21"/>
    <w:rsid w:val="62A96AD4"/>
    <w:rsid w:val="62AC2121"/>
    <w:rsid w:val="62C0797A"/>
    <w:rsid w:val="62D33B51"/>
    <w:rsid w:val="62E05E9A"/>
    <w:rsid w:val="62E46507"/>
    <w:rsid w:val="62F45876"/>
    <w:rsid w:val="630770D2"/>
    <w:rsid w:val="63085933"/>
    <w:rsid w:val="632A6FAD"/>
    <w:rsid w:val="632C5010"/>
    <w:rsid w:val="63304B00"/>
    <w:rsid w:val="633345F0"/>
    <w:rsid w:val="63846BFA"/>
    <w:rsid w:val="639C2195"/>
    <w:rsid w:val="63AB23D8"/>
    <w:rsid w:val="63BB01EF"/>
    <w:rsid w:val="63BC6393"/>
    <w:rsid w:val="63C40731"/>
    <w:rsid w:val="63D40BE9"/>
    <w:rsid w:val="63E0211F"/>
    <w:rsid w:val="64000954"/>
    <w:rsid w:val="6424218B"/>
    <w:rsid w:val="644D7933"/>
    <w:rsid w:val="64833FCA"/>
    <w:rsid w:val="64BD59AE"/>
    <w:rsid w:val="64C56C7F"/>
    <w:rsid w:val="64CC2606"/>
    <w:rsid w:val="64CE2822"/>
    <w:rsid w:val="64F733FB"/>
    <w:rsid w:val="65077AE2"/>
    <w:rsid w:val="650C6EA7"/>
    <w:rsid w:val="65257F68"/>
    <w:rsid w:val="65297A59"/>
    <w:rsid w:val="65373578"/>
    <w:rsid w:val="654148A5"/>
    <w:rsid w:val="656071F2"/>
    <w:rsid w:val="65607882"/>
    <w:rsid w:val="65CC6636"/>
    <w:rsid w:val="65DF2825"/>
    <w:rsid w:val="6609788A"/>
    <w:rsid w:val="66100C18"/>
    <w:rsid w:val="662D3578"/>
    <w:rsid w:val="665F3BAB"/>
    <w:rsid w:val="66653458"/>
    <w:rsid w:val="668313EA"/>
    <w:rsid w:val="668C4743"/>
    <w:rsid w:val="668F170D"/>
    <w:rsid w:val="6693162F"/>
    <w:rsid w:val="66AB0941"/>
    <w:rsid w:val="66B2655C"/>
    <w:rsid w:val="66D87988"/>
    <w:rsid w:val="66E7011D"/>
    <w:rsid w:val="66F347C2"/>
    <w:rsid w:val="66FB5425"/>
    <w:rsid w:val="670A38BA"/>
    <w:rsid w:val="673D4B09"/>
    <w:rsid w:val="673F2C7A"/>
    <w:rsid w:val="67461B64"/>
    <w:rsid w:val="676F22AF"/>
    <w:rsid w:val="677B0314"/>
    <w:rsid w:val="67FF2CF3"/>
    <w:rsid w:val="680A3D07"/>
    <w:rsid w:val="681F6961"/>
    <w:rsid w:val="68330BEE"/>
    <w:rsid w:val="68502FE3"/>
    <w:rsid w:val="68610A2F"/>
    <w:rsid w:val="68805514"/>
    <w:rsid w:val="68833652"/>
    <w:rsid w:val="688B27D8"/>
    <w:rsid w:val="68AF64C7"/>
    <w:rsid w:val="68BC74E5"/>
    <w:rsid w:val="69117561"/>
    <w:rsid w:val="69126A56"/>
    <w:rsid w:val="69401815"/>
    <w:rsid w:val="694E2071"/>
    <w:rsid w:val="697A3B33"/>
    <w:rsid w:val="69905B64"/>
    <w:rsid w:val="69940D21"/>
    <w:rsid w:val="699A2D9C"/>
    <w:rsid w:val="699E2456"/>
    <w:rsid w:val="69A10C02"/>
    <w:rsid w:val="69A223DB"/>
    <w:rsid w:val="69A43B52"/>
    <w:rsid w:val="69AF285B"/>
    <w:rsid w:val="69D81A4D"/>
    <w:rsid w:val="69DD3507"/>
    <w:rsid w:val="69F820EF"/>
    <w:rsid w:val="69F9292B"/>
    <w:rsid w:val="6A0057D5"/>
    <w:rsid w:val="6A16691F"/>
    <w:rsid w:val="6A9A1E88"/>
    <w:rsid w:val="6B0A0146"/>
    <w:rsid w:val="6B2465C9"/>
    <w:rsid w:val="6B322639"/>
    <w:rsid w:val="6B3453A9"/>
    <w:rsid w:val="6B3E66B1"/>
    <w:rsid w:val="6B4F3947"/>
    <w:rsid w:val="6B59096C"/>
    <w:rsid w:val="6B8601A4"/>
    <w:rsid w:val="6B947BF6"/>
    <w:rsid w:val="6B96396E"/>
    <w:rsid w:val="6BF32B6E"/>
    <w:rsid w:val="6C292A34"/>
    <w:rsid w:val="6C3A079D"/>
    <w:rsid w:val="6C465394"/>
    <w:rsid w:val="6C4B4758"/>
    <w:rsid w:val="6C5428F6"/>
    <w:rsid w:val="6C636C38"/>
    <w:rsid w:val="6C6D2921"/>
    <w:rsid w:val="6CA275DE"/>
    <w:rsid w:val="6CB72DB9"/>
    <w:rsid w:val="6CC60283"/>
    <w:rsid w:val="6CD26C28"/>
    <w:rsid w:val="6CD72490"/>
    <w:rsid w:val="6CDC1EE4"/>
    <w:rsid w:val="6CDE55CC"/>
    <w:rsid w:val="6D0D4104"/>
    <w:rsid w:val="6D1C60F5"/>
    <w:rsid w:val="6D21370B"/>
    <w:rsid w:val="6D390A55"/>
    <w:rsid w:val="6D920165"/>
    <w:rsid w:val="6D965EA7"/>
    <w:rsid w:val="6D9C1930"/>
    <w:rsid w:val="6DA71FFD"/>
    <w:rsid w:val="6DAC7479"/>
    <w:rsid w:val="6DB34098"/>
    <w:rsid w:val="6DB545B6"/>
    <w:rsid w:val="6DC72505"/>
    <w:rsid w:val="6DC7540D"/>
    <w:rsid w:val="6DCC18C9"/>
    <w:rsid w:val="6DDB5FB0"/>
    <w:rsid w:val="6E0C6169"/>
    <w:rsid w:val="6E166FE8"/>
    <w:rsid w:val="6E4375A0"/>
    <w:rsid w:val="6E4C47B8"/>
    <w:rsid w:val="6E514CED"/>
    <w:rsid w:val="6E79491A"/>
    <w:rsid w:val="6E7D0E15"/>
    <w:rsid w:val="6EB45AE1"/>
    <w:rsid w:val="6EB563D5"/>
    <w:rsid w:val="6EB8009F"/>
    <w:rsid w:val="6EBF31DC"/>
    <w:rsid w:val="6EF015E7"/>
    <w:rsid w:val="6F176B74"/>
    <w:rsid w:val="6F1C23DC"/>
    <w:rsid w:val="6F225983"/>
    <w:rsid w:val="6F262186"/>
    <w:rsid w:val="6F3E67F6"/>
    <w:rsid w:val="6F4813FD"/>
    <w:rsid w:val="6F60051B"/>
    <w:rsid w:val="6F7E4E45"/>
    <w:rsid w:val="6FCA21E0"/>
    <w:rsid w:val="6FDB4045"/>
    <w:rsid w:val="6FEB1562"/>
    <w:rsid w:val="6FF44703"/>
    <w:rsid w:val="6FFC5590"/>
    <w:rsid w:val="70141305"/>
    <w:rsid w:val="70301DA3"/>
    <w:rsid w:val="705E19E3"/>
    <w:rsid w:val="706D1DD0"/>
    <w:rsid w:val="707D334E"/>
    <w:rsid w:val="70856B87"/>
    <w:rsid w:val="70933881"/>
    <w:rsid w:val="70C76E63"/>
    <w:rsid w:val="70D527EE"/>
    <w:rsid w:val="70DC1E23"/>
    <w:rsid w:val="70FE23F0"/>
    <w:rsid w:val="711E68DF"/>
    <w:rsid w:val="71233EF6"/>
    <w:rsid w:val="71465919"/>
    <w:rsid w:val="715220E5"/>
    <w:rsid w:val="715B5300"/>
    <w:rsid w:val="715F4BD7"/>
    <w:rsid w:val="71883D59"/>
    <w:rsid w:val="718E01A3"/>
    <w:rsid w:val="71A14E1B"/>
    <w:rsid w:val="71A60683"/>
    <w:rsid w:val="71A77275"/>
    <w:rsid w:val="71B52674"/>
    <w:rsid w:val="71D27F8A"/>
    <w:rsid w:val="71D64AC4"/>
    <w:rsid w:val="71ED0060"/>
    <w:rsid w:val="71F23269"/>
    <w:rsid w:val="71F744C6"/>
    <w:rsid w:val="71F960CF"/>
    <w:rsid w:val="721B4BCD"/>
    <w:rsid w:val="72200435"/>
    <w:rsid w:val="72BB3CBA"/>
    <w:rsid w:val="72FA6ED8"/>
    <w:rsid w:val="731F5D5E"/>
    <w:rsid w:val="733B55FA"/>
    <w:rsid w:val="73565C82"/>
    <w:rsid w:val="736111D0"/>
    <w:rsid w:val="739509AF"/>
    <w:rsid w:val="73970283"/>
    <w:rsid w:val="739C7F8F"/>
    <w:rsid w:val="73B5797B"/>
    <w:rsid w:val="73BA58F2"/>
    <w:rsid w:val="73D96AEE"/>
    <w:rsid w:val="74100FD5"/>
    <w:rsid w:val="741E793C"/>
    <w:rsid w:val="742F670E"/>
    <w:rsid w:val="743E2DF5"/>
    <w:rsid w:val="744A64A6"/>
    <w:rsid w:val="745368A0"/>
    <w:rsid w:val="745C64E4"/>
    <w:rsid w:val="745D3125"/>
    <w:rsid w:val="74836A59"/>
    <w:rsid w:val="748A7DE8"/>
    <w:rsid w:val="74A8778A"/>
    <w:rsid w:val="74F20C46"/>
    <w:rsid w:val="74FC6F38"/>
    <w:rsid w:val="753535B8"/>
    <w:rsid w:val="754E7FCB"/>
    <w:rsid w:val="755269F2"/>
    <w:rsid w:val="75680129"/>
    <w:rsid w:val="757D16FB"/>
    <w:rsid w:val="758D75E2"/>
    <w:rsid w:val="759C6025"/>
    <w:rsid w:val="75B4336E"/>
    <w:rsid w:val="75C22304"/>
    <w:rsid w:val="75DC7658"/>
    <w:rsid w:val="75EA3234"/>
    <w:rsid w:val="760065B4"/>
    <w:rsid w:val="76055EE2"/>
    <w:rsid w:val="762A587F"/>
    <w:rsid w:val="76452218"/>
    <w:rsid w:val="76674885"/>
    <w:rsid w:val="76740D50"/>
    <w:rsid w:val="76760624"/>
    <w:rsid w:val="76DD06A3"/>
    <w:rsid w:val="77073972"/>
    <w:rsid w:val="7709593C"/>
    <w:rsid w:val="772207AC"/>
    <w:rsid w:val="77251384"/>
    <w:rsid w:val="773A43A6"/>
    <w:rsid w:val="773D2804"/>
    <w:rsid w:val="77476464"/>
    <w:rsid w:val="77550B81"/>
    <w:rsid w:val="776C1A27"/>
    <w:rsid w:val="777033D5"/>
    <w:rsid w:val="77762421"/>
    <w:rsid w:val="777F5BFE"/>
    <w:rsid w:val="77A17922"/>
    <w:rsid w:val="77A92C7B"/>
    <w:rsid w:val="77DB3019"/>
    <w:rsid w:val="78014865"/>
    <w:rsid w:val="780D4FB8"/>
    <w:rsid w:val="780F09F4"/>
    <w:rsid w:val="78112CFA"/>
    <w:rsid w:val="782F4F2E"/>
    <w:rsid w:val="78523FC8"/>
    <w:rsid w:val="78576736"/>
    <w:rsid w:val="787212BF"/>
    <w:rsid w:val="789C4F47"/>
    <w:rsid w:val="78A74AFF"/>
    <w:rsid w:val="78A90480"/>
    <w:rsid w:val="78C22246"/>
    <w:rsid w:val="78C87131"/>
    <w:rsid w:val="78E57CE3"/>
    <w:rsid w:val="78EE4DE9"/>
    <w:rsid w:val="78FA612B"/>
    <w:rsid w:val="791A5FEE"/>
    <w:rsid w:val="79277E07"/>
    <w:rsid w:val="793842B6"/>
    <w:rsid w:val="797C64A0"/>
    <w:rsid w:val="79811327"/>
    <w:rsid w:val="79973143"/>
    <w:rsid w:val="799F7E92"/>
    <w:rsid w:val="79BF22E2"/>
    <w:rsid w:val="79EA2E23"/>
    <w:rsid w:val="7A1F0FD2"/>
    <w:rsid w:val="7A364017"/>
    <w:rsid w:val="7A4969E6"/>
    <w:rsid w:val="7A4D3D91"/>
    <w:rsid w:val="7A7C01D3"/>
    <w:rsid w:val="7A8265E1"/>
    <w:rsid w:val="7A903C7E"/>
    <w:rsid w:val="7A992B33"/>
    <w:rsid w:val="7A9B4AFD"/>
    <w:rsid w:val="7AAD65DE"/>
    <w:rsid w:val="7AB636E5"/>
    <w:rsid w:val="7ACD0A2E"/>
    <w:rsid w:val="7AE91D0C"/>
    <w:rsid w:val="7B42766E"/>
    <w:rsid w:val="7B656EB9"/>
    <w:rsid w:val="7B686D42"/>
    <w:rsid w:val="7B694BFB"/>
    <w:rsid w:val="7B841746"/>
    <w:rsid w:val="7BB06386"/>
    <w:rsid w:val="7BCC61A2"/>
    <w:rsid w:val="7BD04C7A"/>
    <w:rsid w:val="7BD209F2"/>
    <w:rsid w:val="7BE911A3"/>
    <w:rsid w:val="7BF554F9"/>
    <w:rsid w:val="7C375382"/>
    <w:rsid w:val="7C3C5E6C"/>
    <w:rsid w:val="7C8732AD"/>
    <w:rsid w:val="7C8810B1"/>
    <w:rsid w:val="7C977546"/>
    <w:rsid w:val="7C9A0433"/>
    <w:rsid w:val="7CA0289E"/>
    <w:rsid w:val="7CCE274E"/>
    <w:rsid w:val="7D012C11"/>
    <w:rsid w:val="7D0239FF"/>
    <w:rsid w:val="7D2A660C"/>
    <w:rsid w:val="7D2E4B27"/>
    <w:rsid w:val="7D366D5F"/>
    <w:rsid w:val="7D4625E5"/>
    <w:rsid w:val="7D5E40CD"/>
    <w:rsid w:val="7D693BED"/>
    <w:rsid w:val="7D7567E5"/>
    <w:rsid w:val="7D8939B5"/>
    <w:rsid w:val="7DA53247"/>
    <w:rsid w:val="7DAE0FEB"/>
    <w:rsid w:val="7DC82822"/>
    <w:rsid w:val="7DC93E75"/>
    <w:rsid w:val="7E162BE9"/>
    <w:rsid w:val="7E490D14"/>
    <w:rsid w:val="7E5B3D19"/>
    <w:rsid w:val="7E6D574C"/>
    <w:rsid w:val="7E722019"/>
    <w:rsid w:val="7E7713DD"/>
    <w:rsid w:val="7ECD54A1"/>
    <w:rsid w:val="7EE540FF"/>
    <w:rsid w:val="7EF0111F"/>
    <w:rsid w:val="7F0F7867"/>
    <w:rsid w:val="7F6531DB"/>
    <w:rsid w:val="7FA06711"/>
    <w:rsid w:val="7FA426A6"/>
    <w:rsid w:val="7FB421BD"/>
    <w:rsid w:val="7FB56661"/>
    <w:rsid w:val="7FC44AF6"/>
    <w:rsid w:val="7FD6270A"/>
    <w:rsid w:val="7FD665D7"/>
    <w:rsid w:val="7FDC1E3F"/>
    <w:rsid w:val="7FDF548C"/>
    <w:rsid w:val="7FE27212"/>
    <w:rsid w:val="7FE47E50"/>
    <w:rsid w:val="7FE9455C"/>
    <w:rsid w:val="7FE9630A"/>
    <w:rsid w:val="7FF37189"/>
    <w:rsid w:val="7FF85F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ocked="1"/>
    <w:lsdException w:qFormat="1" w:unhideWhenUsed="0" w:uiPriority="1"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4"/>
      <w:lang w:val="en-US" w:eastAsia="zh-CN" w:bidi="ar-SA"/>
    </w:rPr>
  </w:style>
  <w:style w:type="paragraph" w:styleId="2">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46"/>
    <w:qFormat/>
    <w:locked/>
    <w:uiPriority w:val="0"/>
    <w:pPr>
      <w:keepNext/>
      <w:keepLines/>
      <w:spacing w:before="260" w:after="260" w:line="416" w:lineRule="auto"/>
      <w:outlineLvl w:val="1"/>
    </w:pPr>
    <w:rPr>
      <w:rFonts w:ascii="等线 Light" w:hAnsi="等线 Light" w:eastAsia="等线 Light" w:cs="Times New Roman"/>
      <w:b/>
      <w:bCs/>
      <w:sz w:val="32"/>
      <w:szCs w:val="32"/>
    </w:rPr>
  </w:style>
  <w:style w:type="paragraph" w:styleId="4">
    <w:name w:val="heading 3"/>
    <w:basedOn w:val="1"/>
    <w:next w:val="1"/>
    <w:link w:val="47"/>
    <w:qFormat/>
    <w:locked/>
    <w:uiPriority w:val="0"/>
    <w:pPr>
      <w:keepNext/>
      <w:keepLines/>
      <w:spacing w:before="260" w:after="260" w:line="416" w:lineRule="auto"/>
      <w:outlineLvl w:val="2"/>
    </w:pPr>
    <w:rPr>
      <w:b/>
      <w:bCs/>
      <w:sz w:val="32"/>
      <w:szCs w:val="32"/>
    </w:rPr>
  </w:style>
  <w:style w:type="paragraph" w:styleId="5">
    <w:name w:val="heading 4"/>
    <w:basedOn w:val="1"/>
    <w:next w:val="1"/>
    <w:qFormat/>
    <w:locked/>
    <w:uiPriority w:val="1"/>
    <w:pPr>
      <w:ind w:left="100"/>
      <w:outlineLvl w:val="3"/>
    </w:pPr>
    <w:rPr>
      <w:rFonts w:ascii="宋体" w:hAnsi="宋体" w:cs="宋体"/>
      <w:sz w:val="28"/>
      <w:szCs w:val="28"/>
    </w:rPr>
  </w:style>
  <w:style w:type="paragraph" w:styleId="6">
    <w:name w:val="heading 5"/>
    <w:basedOn w:val="1"/>
    <w:next w:val="1"/>
    <w:link w:val="133"/>
    <w:semiHidden/>
    <w:unhideWhenUsed/>
    <w:qFormat/>
    <w:locked/>
    <w:uiPriority w:val="0"/>
    <w:pPr>
      <w:keepNext/>
      <w:keepLines/>
      <w:spacing w:before="280" w:after="290" w:line="376" w:lineRule="auto"/>
      <w:outlineLvl w:val="4"/>
    </w:pPr>
    <w:rPr>
      <w:b/>
      <w:bCs/>
      <w:sz w:val="28"/>
      <w:szCs w:val="28"/>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1"/>
    <w:link w:val="51"/>
    <w:qFormat/>
    <w:uiPriority w:val="99"/>
    <w:pPr>
      <w:spacing w:line="600" w:lineRule="exact"/>
      <w:ind w:firstLine="420"/>
    </w:pPr>
    <w:rPr>
      <w:rFonts w:ascii="宋体"/>
      <w:sz w:val="32"/>
      <w:szCs w:val="20"/>
    </w:rPr>
  </w:style>
  <w:style w:type="paragraph" w:styleId="8">
    <w:name w:val="caption"/>
    <w:basedOn w:val="1"/>
    <w:next w:val="1"/>
    <w:qFormat/>
    <w:locked/>
    <w:uiPriority w:val="0"/>
    <w:rPr>
      <w:rFonts w:ascii="Cambria" w:hAnsi="Cambria" w:eastAsia="黑体" w:cs="Times New Roman"/>
      <w:sz w:val="20"/>
      <w:szCs w:val="20"/>
    </w:rPr>
  </w:style>
  <w:style w:type="paragraph" w:styleId="9">
    <w:name w:val="annotation text"/>
    <w:basedOn w:val="1"/>
    <w:link w:val="57"/>
    <w:semiHidden/>
    <w:qFormat/>
    <w:uiPriority w:val="0"/>
    <w:pPr>
      <w:jc w:val="left"/>
    </w:pPr>
    <w:rPr>
      <w:kern w:val="0"/>
      <w:sz w:val="20"/>
    </w:rPr>
  </w:style>
  <w:style w:type="paragraph" w:styleId="10">
    <w:name w:val="Body Text"/>
    <w:basedOn w:val="1"/>
    <w:next w:val="1"/>
    <w:link w:val="54"/>
    <w:qFormat/>
    <w:uiPriority w:val="0"/>
    <w:pPr>
      <w:widowControl/>
      <w:snapToGrid w:val="0"/>
      <w:spacing w:before="60" w:after="160" w:line="259" w:lineRule="auto"/>
      <w:ind w:right="113"/>
    </w:pPr>
    <w:rPr>
      <w:kern w:val="0"/>
      <w:sz w:val="18"/>
      <w:szCs w:val="18"/>
    </w:rPr>
  </w:style>
  <w:style w:type="paragraph" w:styleId="11">
    <w:name w:val="Body Text Indent"/>
    <w:basedOn w:val="1"/>
    <w:link w:val="56"/>
    <w:semiHidden/>
    <w:qFormat/>
    <w:uiPriority w:val="0"/>
    <w:pPr>
      <w:spacing w:after="120"/>
      <w:ind w:left="420" w:leftChars="200"/>
    </w:pPr>
  </w:style>
  <w:style w:type="paragraph" w:styleId="12">
    <w:name w:val="List 2"/>
    <w:basedOn w:val="1"/>
    <w:qFormat/>
    <w:uiPriority w:val="0"/>
    <w:pPr>
      <w:spacing w:line="240" w:lineRule="auto"/>
      <w:jc w:val="center"/>
    </w:pPr>
    <w:rPr>
      <w:kern w:val="2"/>
      <w:sz w:val="21"/>
      <w:szCs w:val="20"/>
    </w:rPr>
  </w:style>
  <w:style w:type="paragraph" w:styleId="13">
    <w:name w:val="Plain Text"/>
    <w:basedOn w:val="1"/>
    <w:next w:val="1"/>
    <w:link w:val="72"/>
    <w:qFormat/>
    <w:uiPriority w:val="99"/>
    <w:rPr>
      <w:rFonts w:ascii="宋体" w:hAnsi="Courier New"/>
      <w:szCs w:val="20"/>
    </w:rPr>
  </w:style>
  <w:style w:type="paragraph" w:styleId="14">
    <w:name w:val="List Bullet 5"/>
    <w:basedOn w:val="1"/>
    <w:qFormat/>
    <w:uiPriority w:val="0"/>
    <w:pPr>
      <w:numPr>
        <w:ilvl w:val="0"/>
        <w:numId w:val="1"/>
      </w:numPr>
    </w:pPr>
  </w:style>
  <w:style w:type="paragraph" w:styleId="15">
    <w:name w:val="Date"/>
    <w:basedOn w:val="1"/>
    <w:next w:val="1"/>
    <w:link w:val="55"/>
    <w:qFormat/>
    <w:uiPriority w:val="0"/>
    <w:pPr>
      <w:ind w:left="100" w:leftChars="2500"/>
    </w:pPr>
    <w:rPr>
      <w:kern w:val="0"/>
      <w:sz w:val="20"/>
    </w:rPr>
  </w:style>
  <w:style w:type="paragraph" w:styleId="16">
    <w:name w:val="Body Text Indent 2"/>
    <w:basedOn w:val="1"/>
    <w:link w:val="135"/>
    <w:qFormat/>
    <w:uiPriority w:val="0"/>
    <w:pPr>
      <w:spacing w:after="120" w:line="480" w:lineRule="auto"/>
      <w:ind w:left="420" w:leftChars="200"/>
    </w:pPr>
  </w:style>
  <w:style w:type="paragraph" w:styleId="17">
    <w:name w:val="Balloon Text"/>
    <w:basedOn w:val="1"/>
    <w:link w:val="48"/>
    <w:semiHidden/>
    <w:qFormat/>
    <w:uiPriority w:val="0"/>
    <w:rPr>
      <w:sz w:val="18"/>
      <w:szCs w:val="18"/>
    </w:rPr>
  </w:style>
  <w:style w:type="paragraph" w:styleId="18">
    <w:name w:val="footer"/>
    <w:basedOn w:val="1"/>
    <w:link w:val="45"/>
    <w:qFormat/>
    <w:uiPriority w:val="0"/>
    <w:pPr>
      <w:tabs>
        <w:tab w:val="center" w:pos="4153"/>
        <w:tab w:val="right" w:pos="8306"/>
      </w:tabs>
      <w:snapToGrid w:val="0"/>
      <w:jc w:val="left"/>
    </w:pPr>
    <w:rPr>
      <w:sz w:val="18"/>
      <w:szCs w:val="18"/>
    </w:rPr>
  </w:style>
  <w:style w:type="paragraph" w:styleId="19">
    <w:name w:val="header"/>
    <w:basedOn w:val="1"/>
    <w:next w:val="20"/>
    <w:link w:val="59"/>
    <w:qFormat/>
    <w:uiPriority w:val="0"/>
    <w:pPr>
      <w:pBdr>
        <w:bottom w:val="single" w:color="auto" w:sz="6" w:space="1"/>
      </w:pBdr>
      <w:tabs>
        <w:tab w:val="center" w:pos="4153"/>
        <w:tab w:val="right" w:pos="8306"/>
      </w:tabs>
      <w:snapToGrid w:val="0"/>
      <w:jc w:val="center"/>
    </w:pPr>
    <w:rPr>
      <w:sz w:val="18"/>
      <w:szCs w:val="18"/>
    </w:rPr>
  </w:style>
  <w:style w:type="paragraph" w:customStyle="1" w:styleId="20">
    <w:name w:val="样式5"/>
    <w:basedOn w:val="21"/>
    <w:next w:val="22"/>
    <w:qFormat/>
    <w:uiPriority w:val="0"/>
    <w:pPr>
      <w:tabs>
        <w:tab w:val="left" w:pos="720"/>
      </w:tabs>
      <w:ind w:firstLine="0"/>
      <w:jc w:val="center"/>
    </w:pPr>
    <w:rPr>
      <w:rFonts w:ascii="黑体" w:hAnsi="黑体" w:eastAsia="黑体" w:cs="黑体"/>
      <w:sz w:val="28"/>
      <w:szCs w:val="30"/>
    </w:rPr>
  </w:style>
  <w:style w:type="paragraph" w:customStyle="1" w:styleId="21">
    <w:name w:val="正文1"/>
    <w:basedOn w:val="7"/>
    <w:next w:val="1"/>
    <w:qFormat/>
    <w:uiPriority w:val="0"/>
    <w:pPr>
      <w:jc w:val="both"/>
    </w:pPr>
    <w:rPr>
      <w:rFonts w:ascii="宋体" w:hAnsi="宋体" w:eastAsia="宋体" w:cs="宋体"/>
      <w:kern w:val="2"/>
      <w:sz w:val="21"/>
      <w:szCs w:val="21"/>
      <w:lang w:val="en-US" w:eastAsia="zh-CN" w:bidi="ar-SA"/>
    </w:rPr>
  </w:style>
  <w:style w:type="paragraph" w:customStyle="1" w:styleId="22">
    <w:name w:val="图框文字"/>
    <w:basedOn w:val="1"/>
    <w:qFormat/>
    <w:uiPriority w:val="0"/>
    <w:pPr>
      <w:jc w:val="center"/>
      <w:textAlignment w:val="center"/>
    </w:pPr>
  </w:style>
  <w:style w:type="paragraph" w:styleId="23">
    <w:name w:val="index heading"/>
    <w:basedOn w:val="1"/>
    <w:next w:val="24"/>
    <w:qFormat/>
    <w:uiPriority w:val="0"/>
    <w:rPr>
      <w:szCs w:val="20"/>
    </w:rPr>
  </w:style>
  <w:style w:type="paragraph" w:styleId="24">
    <w:name w:val="index 1"/>
    <w:basedOn w:val="1"/>
    <w:next w:val="1"/>
    <w:qFormat/>
    <w:uiPriority w:val="0"/>
    <w:pPr>
      <w:spacing w:line="320" w:lineRule="exact"/>
      <w:jc w:val="center"/>
    </w:pPr>
    <w:rPr>
      <w:color w:val="000000"/>
      <w:szCs w:val="21"/>
    </w:rPr>
  </w:style>
  <w:style w:type="paragraph" w:styleId="25">
    <w:name w:val="List"/>
    <w:basedOn w:val="1"/>
    <w:qFormat/>
    <w:uiPriority w:val="0"/>
    <w:pPr>
      <w:ind w:left="200" w:hanging="200" w:hangingChars="200"/>
    </w:pPr>
  </w:style>
  <w:style w:type="paragraph" w:styleId="26">
    <w:name w:val="Body Text Indent 3"/>
    <w:basedOn w:val="1"/>
    <w:link w:val="98"/>
    <w:qFormat/>
    <w:uiPriority w:val="0"/>
    <w:pPr>
      <w:spacing w:after="120"/>
      <w:ind w:left="420" w:leftChars="200"/>
    </w:pPr>
    <w:rPr>
      <w:rFonts w:cs="Times New Roman"/>
      <w:sz w:val="16"/>
      <w:szCs w:val="16"/>
    </w:rPr>
  </w:style>
  <w:style w:type="paragraph" w:styleId="27">
    <w:name w:val="Body Text 2"/>
    <w:basedOn w:val="1"/>
    <w:next w:val="1"/>
    <w:qFormat/>
    <w:uiPriority w:val="0"/>
    <w:pPr>
      <w:spacing w:after="120" w:line="480" w:lineRule="auto"/>
    </w:pPr>
  </w:style>
  <w:style w:type="paragraph" w:styleId="28">
    <w:name w:val="Normal (Web)"/>
    <w:basedOn w:val="1"/>
    <w:link w:val="60"/>
    <w:qFormat/>
    <w:uiPriority w:val="99"/>
    <w:pPr>
      <w:widowControl/>
      <w:spacing w:before="100" w:beforeAutospacing="1" w:after="100" w:afterAutospacing="1"/>
      <w:jc w:val="left"/>
    </w:pPr>
    <w:rPr>
      <w:rFonts w:ascii="宋体" w:hAnsi="宋体"/>
      <w:kern w:val="0"/>
      <w:sz w:val="24"/>
    </w:rPr>
  </w:style>
  <w:style w:type="paragraph" w:styleId="29">
    <w:name w:val="Title"/>
    <w:basedOn w:val="1"/>
    <w:qFormat/>
    <w:locked/>
    <w:uiPriority w:val="0"/>
    <w:pPr>
      <w:spacing w:before="240" w:after="60"/>
      <w:jc w:val="center"/>
    </w:pPr>
    <w:rPr>
      <w:rFonts w:ascii="Arial" w:hAnsi="Arial"/>
      <w:b/>
      <w:bCs/>
      <w:snapToGrid/>
      <w:kern w:val="2"/>
      <w:sz w:val="32"/>
      <w:szCs w:val="32"/>
      <w:lang w:val="zh-CN"/>
    </w:rPr>
  </w:style>
  <w:style w:type="paragraph" w:styleId="30">
    <w:name w:val="annotation subject"/>
    <w:basedOn w:val="9"/>
    <w:next w:val="9"/>
    <w:link w:val="66"/>
    <w:semiHidden/>
    <w:qFormat/>
    <w:uiPriority w:val="0"/>
    <w:rPr>
      <w:b/>
      <w:bCs/>
    </w:rPr>
  </w:style>
  <w:style w:type="paragraph" w:styleId="31">
    <w:name w:val="Body Text First Indent"/>
    <w:basedOn w:val="10"/>
    <w:unhideWhenUsed/>
    <w:qFormat/>
    <w:uiPriority w:val="0"/>
    <w:pPr>
      <w:spacing w:after="0"/>
      <w:ind w:firstLine="200"/>
    </w:pPr>
    <w:rPr>
      <w:rFonts w:ascii="Times New Roman" w:hAnsi="Times New Roman"/>
      <w:sz w:val="24"/>
    </w:rPr>
  </w:style>
  <w:style w:type="paragraph" w:styleId="32">
    <w:name w:val="Body Text First Indent 2"/>
    <w:basedOn w:val="11"/>
    <w:link w:val="108"/>
    <w:qFormat/>
    <w:uiPriority w:val="0"/>
    <w:pPr>
      <w:ind w:firstLine="420" w:firstLineChars="200"/>
    </w:pPr>
  </w:style>
  <w:style w:type="table" w:styleId="34">
    <w:name w:val="Table Grid"/>
    <w:basedOn w:val="33"/>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6">
    <w:name w:val="Strong"/>
    <w:basedOn w:val="35"/>
    <w:qFormat/>
    <w:locked/>
    <w:uiPriority w:val="0"/>
    <w:rPr>
      <w:b/>
    </w:rPr>
  </w:style>
  <w:style w:type="character" w:styleId="37">
    <w:name w:val="page number"/>
    <w:basedOn w:val="35"/>
    <w:qFormat/>
    <w:uiPriority w:val="0"/>
  </w:style>
  <w:style w:type="character" w:styleId="38">
    <w:name w:val="Emphasis"/>
    <w:basedOn w:val="35"/>
    <w:qFormat/>
    <w:locked/>
    <w:uiPriority w:val="0"/>
  </w:style>
  <w:style w:type="character" w:styleId="39">
    <w:name w:val="Hyperlink"/>
    <w:unhideWhenUsed/>
    <w:qFormat/>
    <w:uiPriority w:val="99"/>
    <w:rPr>
      <w:color w:val="0000FF"/>
      <w:u w:val="single"/>
    </w:rPr>
  </w:style>
  <w:style w:type="character" w:styleId="40">
    <w:name w:val="annotation reference"/>
    <w:semiHidden/>
    <w:qFormat/>
    <w:uiPriority w:val="0"/>
    <w:rPr>
      <w:sz w:val="21"/>
    </w:rPr>
  </w:style>
  <w:style w:type="paragraph" w:customStyle="1" w:styleId="41">
    <w:name w:val="表格"/>
    <w:basedOn w:val="1"/>
    <w:next w:val="1"/>
    <w:link w:val="61"/>
    <w:qFormat/>
    <w:uiPriority w:val="0"/>
    <w:pPr>
      <w:adjustRightInd w:val="0"/>
      <w:snapToGrid w:val="0"/>
      <w:spacing w:beforeLines="10" w:afterLines="10" w:line="259" w:lineRule="auto"/>
      <w:jc w:val="center"/>
    </w:pPr>
    <w:rPr>
      <w:rFonts w:ascii="宋体"/>
      <w:kern w:val="0"/>
      <w:sz w:val="20"/>
      <w:szCs w:val="21"/>
    </w:rPr>
  </w:style>
  <w:style w:type="paragraph" w:customStyle="1" w:styleId="42">
    <w:name w:val="Default"/>
    <w:basedOn w:val="43"/>
    <w:next w:val="1"/>
    <w:qFormat/>
    <w:uiPriority w:val="0"/>
    <w:pPr>
      <w:widowControl w:val="0"/>
      <w:autoSpaceDE w:val="0"/>
      <w:autoSpaceDN w:val="0"/>
      <w:adjustRightInd w:val="0"/>
    </w:pPr>
    <w:rPr>
      <w:rFonts w:ascii="宋体" w:hAnsi="宋体" w:eastAsia="Calibri" w:cs="宋体"/>
      <w:color w:val="000000"/>
      <w:sz w:val="24"/>
      <w:szCs w:val="24"/>
      <w:lang w:val="en-US" w:eastAsia="zh-CN" w:bidi="ar-SA"/>
    </w:rPr>
  </w:style>
  <w:style w:type="paragraph" w:customStyle="1" w:styleId="43">
    <w:name w:val="纯文本1"/>
    <w:basedOn w:val="1"/>
    <w:qFormat/>
    <w:uiPriority w:val="0"/>
    <w:pPr>
      <w:adjustRightInd w:val="0"/>
    </w:pPr>
    <w:rPr>
      <w:rFonts w:ascii="宋体" w:hAnsi="Courier New"/>
      <w:szCs w:val="20"/>
    </w:rPr>
  </w:style>
  <w:style w:type="paragraph" w:customStyle="1" w:styleId="44">
    <w:name w:val="Char"/>
    <w:qFormat/>
    <w:uiPriority w:val="0"/>
    <w:pPr>
      <w:widowControl w:val="0"/>
      <w:overflowPunct w:val="0"/>
      <w:snapToGrid w:val="0"/>
      <w:spacing w:line="360" w:lineRule="auto"/>
      <w:ind w:firstLine="480" w:firstLineChars="200"/>
    </w:pPr>
    <w:rPr>
      <w:rFonts w:ascii="仿宋_GB2312" w:hAnsi="宋体" w:eastAsia="仿宋_GB2312" w:cs="Times New Roman"/>
      <w:snapToGrid w:val="0"/>
      <w:sz w:val="24"/>
      <w:szCs w:val="24"/>
      <w:lang w:val="en-US" w:eastAsia="zh-CN" w:bidi="ar-SA"/>
    </w:rPr>
  </w:style>
  <w:style w:type="character" w:customStyle="1" w:styleId="45">
    <w:name w:val="页脚 Char"/>
    <w:link w:val="18"/>
    <w:qFormat/>
    <w:locked/>
    <w:uiPriority w:val="0"/>
    <w:rPr>
      <w:rFonts w:cs="Times New Roman"/>
      <w:sz w:val="18"/>
      <w:szCs w:val="18"/>
    </w:rPr>
  </w:style>
  <w:style w:type="character" w:customStyle="1" w:styleId="46">
    <w:name w:val="标题 2 Char"/>
    <w:link w:val="3"/>
    <w:semiHidden/>
    <w:qFormat/>
    <w:uiPriority w:val="0"/>
    <w:rPr>
      <w:rFonts w:ascii="等线 Light" w:hAnsi="等线 Light" w:eastAsia="等线 Light" w:cs="Times New Roman"/>
      <w:b/>
      <w:bCs/>
      <w:kern w:val="2"/>
      <w:sz w:val="32"/>
      <w:szCs w:val="32"/>
    </w:rPr>
  </w:style>
  <w:style w:type="character" w:customStyle="1" w:styleId="47">
    <w:name w:val="标题 3 Char"/>
    <w:link w:val="4"/>
    <w:qFormat/>
    <w:uiPriority w:val="0"/>
    <w:rPr>
      <w:b/>
      <w:bCs/>
      <w:kern w:val="2"/>
      <w:sz w:val="32"/>
      <w:szCs w:val="32"/>
    </w:rPr>
  </w:style>
  <w:style w:type="character" w:customStyle="1" w:styleId="48">
    <w:name w:val="批注框文本 Char"/>
    <w:link w:val="17"/>
    <w:semiHidden/>
    <w:qFormat/>
    <w:locked/>
    <w:uiPriority w:val="0"/>
    <w:rPr>
      <w:rFonts w:ascii="Times New Roman" w:hAnsi="Times New Roman" w:eastAsia="宋体" w:cs="Times New Roman"/>
      <w:sz w:val="18"/>
      <w:szCs w:val="18"/>
    </w:rPr>
  </w:style>
  <w:style w:type="character" w:customStyle="1" w:styleId="49">
    <w:name w:val="表格文字 Char"/>
    <w:link w:val="50"/>
    <w:qFormat/>
    <w:uiPriority w:val="0"/>
    <w:rPr>
      <w:rFonts w:ascii="Times New Roman" w:hAnsi="Times New Roman"/>
      <w:kern w:val="24"/>
      <w:sz w:val="24"/>
    </w:rPr>
  </w:style>
  <w:style w:type="paragraph" w:customStyle="1" w:styleId="50">
    <w:name w:val="表格文字"/>
    <w:basedOn w:val="1"/>
    <w:link w:val="49"/>
    <w:qFormat/>
    <w:uiPriority w:val="0"/>
    <w:pPr>
      <w:adjustRightInd w:val="0"/>
      <w:spacing w:line="400" w:lineRule="atLeast"/>
      <w:jc w:val="center"/>
    </w:pPr>
    <w:rPr>
      <w:rFonts w:ascii="Times New Roman" w:hAnsi="Times New Roman"/>
      <w:kern w:val="24"/>
      <w:sz w:val="24"/>
      <w:szCs w:val="20"/>
    </w:rPr>
  </w:style>
  <w:style w:type="character" w:customStyle="1" w:styleId="51">
    <w:name w:val="正文缩进 Char"/>
    <w:link w:val="7"/>
    <w:qFormat/>
    <w:uiPriority w:val="0"/>
    <w:rPr>
      <w:rFonts w:ascii="宋体"/>
      <w:kern w:val="2"/>
      <w:sz w:val="32"/>
    </w:rPr>
  </w:style>
  <w:style w:type="character" w:customStyle="1" w:styleId="52">
    <w:name w:val="font11"/>
    <w:qFormat/>
    <w:uiPriority w:val="0"/>
    <w:rPr>
      <w:rFonts w:hint="default" w:ascii="Times New Roman" w:hAnsi="Times New Roman" w:cs="Times New Roman"/>
      <w:color w:val="000000"/>
      <w:sz w:val="22"/>
      <w:szCs w:val="22"/>
      <w:u w:val="none"/>
    </w:rPr>
  </w:style>
  <w:style w:type="character" w:customStyle="1" w:styleId="53">
    <w:name w:val="批注文字 字符1"/>
    <w:semiHidden/>
    <w:qFormat/>
    <w:uiPriority w:val="0"/>
    <w:rPr>
      <w:rFonts w:ascii="Times New Roman" w:hAnsi="Times New Roman" w:eastAsia="宋体" w:cs="Times New Roman"/>
      <w:sz w:val="24"/>
      <w:szCs w:val="24"/>
    </w:rPr>
  </w:style>
  <w:style w:type="character" w:customStyle="1" w:styleId="54">
    <w:name w:val="正文文本 Char"/>
    <w:link w:val="10"/>
    <w:qFormat/>
    <w:locked/>
    <w:uiPriority w:val="0"/>
    <w:rPr>
      <w:sz w:val="18"/>
    </w:rPr>
  </w:style>
  <w:style w:type="character" w:customStyle="1" w:styleId="55">
    <w:name w:val="日期 Char"/>
    <w:link w:val="15"/>
    <w:qFormat/>
    <w:locked/>
    <w:uiPriority w:val="0"/>
    <w:rPr>
      <w:rFonts w:ascii="Times New Roman" w:hAnsi="Times New Roman" w:eastAsia="宋体"/>
      <w:sz w:val="24"/>
    </w:rPr>
  </w:style>
  <w:style w:type="character" w:customStyle="1" w:styleId="56">
    <w:name w:val="正文文本缩进 Char"/>
    <w:link w:val="11"/>
    <w:semiHidden/>
    <w:qFormat/>
    <w:locked/>
    <w:uiPriority w:val="0"/>
    <w:rPr>
      <w:rFonts w:ascii="Times New Roman" w:hAnsi="Times New Roman" w:eastAsia="宋体" w:cs="Times New Roman"/>
      <w:sz w:val="24"/>
      <w:szCs w:val="24"/>
    </w:rPr>
  </w:style>
  <w:style w:type="character" w:customStyle="1" w:styleId="57">
    <w:name w:val="批注文字 Char"/>
    <w:link w:val="9"/>
    <w:qFormat/>
    <w:locked/>
    <w:uiPriority w:val="0"/>
    <w:rPr>
      <w:rFonts w:ascii="Times New Roman" w:hAnsi="Times New Roman" w:eastAsia="宋体"/>
      <w:sz w:val="24"/>
    </w:rPr>
  </w:style>
  <w:style w:type="character" w:customStyle="1" w:styleId="58">
    <w:name w:val="日期 字符"/>
    <w:semiHidden/>
    <w:qFormat/>
    <w:uiPriority w:val="0"/>
    <w:rPr>
      <w:rFonts w:ascii="Times New Roman" w:hAnsi="Times New Roman" w:eastAsia="宋体" w:cs="Times New Roman"/>
      <w:sz w:val="24"/>
      <w:szCs w:val="24"/>
    </w:rPr>
  </w:style>
  <w:style w:type="character" w:customStyle="1" w:styleId="59">
    <w:name w:val="页眉 Char"/>
    <w:link w:val="19"/>
    <w:qFormat/>
    <w:locked/>
    <w:uiPriority w:val="0"/>
    <w:rPr>
      <w:rFonts w:cs="Times New Roman"/>
      <w:sz w:val="18"/>
      <w:szCs w:val="18"/>
    </w:rPr>
  </w:style>
  <w:style w:type="character" w:customStyle="1" w:styleId="60">
    <w:name w:val="普通(网站) Char1"/>
    <w:link w:val="28"/>
    <w:qFormat/>
    <w:locked/>
    <w:uiPriority w:val="0"/>
    <w:rPr>
      <w:rFonts w:ascii="宋体" w:hAnsi="宋体" w:eastAsia="宋体"/>
      <w:sz w:val="24"/>
    </w:rPr>
  </w:style>
  <w:style w:type="character" w:customStyle="1" w:styleId="61">
    <w:name w:val="表格 Char"/>
    <w:link w:val="41"/>
    <w:qFormat/>
    <w:locked/>
    <w:uiPriority w:val="0"/>
    <w:rPr>
      <w:rFonts w:ascii="宋体"/>
      <w:sz w:val="21"/>
    </w:rPr>
  </w:style>
  <w:style w:type="character" w:customStyle="1" w:styleId="62">
    <w:name w:val="正文文本 字符1"/>
    <w:semiHidden/>
    <w:qFormat/>
    <w:uiPriority w:val="0"/>
    <w:rPr>
      <w:rFonts w:ascii="Times New Roman" w:hAnsi="Times New Roman" w:eastAsia="宋体" w:cs="Times New Roman"/>
      <w:sz w:val="24"/>
      <w:szCs w:val="24"/>
    </w:rPr>
  </w:style>
  <w:style w:type="character" w:customStyle="1" w:styleId="63">
    <w:name w:val="正文文本_"/>
    <w:link w:val="64"/>
    <w:qFormat/>
    <w:uiPriority w:val="0"/>
    <w:rPr>
      <w:rFonts w:hint="eastAsia" w:ascii="微软雅黑" w:hAnsi="微软雅黑" w:eastAsia="微软雅黑"/>
      <w:kern w:val="0"/>
      <w:sz w:val="22"/>
      <w:szCs w:val="20"/>
    </w:rPr>
  </w:style>
  <w:style w:type="paragraph" w:customStyle="1" w:styleId="64">
    <w:name w:val="正文文本1"/>
    <w:basedOn w:val="1"/>
    <w:link w:val="63"/>
    <w:unhideWhenUsed/>
    <w:qFormat/>
    <w:uiPriority w:val="0"/>
    <w:pPr>
      <w:shd w:val="clear" w:color="auto" w:fill="FFFFFF"/>
      <w:spacing w:before="1320" w:line="1001" w:lineRule="exact"/>
      <w:ind w:hanging="500"/>
      <w:jc w:val="distribute"/>
    </w:pPr>
    <w:rPr>
      <w:rFonts w:hint="eastAsia" w:ascii="微软雅黑" w:hAnsi="微软雅黑" w:eastAsia="微软雅黑"/>
      <w:kern w:val="0"/>
      <w:sz w:val="22"/>
      <w:szCs w:val="20"/>
    </w:rPr>
  </w:style>
  <w:style w:type="character" w:customStyle="1" w:styleId="65">
    <w:name w:val="普通(网站) Char"/>
    <w:qFormat/>
    <w:locked/>
    <w:uiPriority w:val="0"/>
    <w:rPr>
      <w:rFonts w:ascii="宋体" w:hAnsi="宋体" w:eastAsia="宋体"/>
      <w:sz w:val="24"/>
    </w:rPr>
  </w:style>
  <w:style w:type="character" w:customStyle="1" w:styleId="66">
    <w:name w:val="批注主题 Char"/>
    <w:link w:val="30"/>
    <w:semiHidden/>
    <w:qFormat/>
    <w:locked/>
    <w:uiPriority w:val="0"/>
    <w:rPr>
      <w:rFonts w:ascii="Times New Roman" w:hAnsi="Times New Roman" w:eastAsia="宋体" w:cs="Times New Roman"/>
      <w:b/>
      <w:bCs/>
      <w:kern w:val="2"/>
      <w:sz w:val="24"/>
      <w:szCs w:val="24"/>
    </w:rPr>
  </w:style>
  <w:style w:type="character" w:customStyle="1" w:styleId="67">
    <w:name w:val="文章正文 Char Char"/>
    <w:link w:val="68"/>
    <w:qFormat/>
    <w:uiPriority w:val="0"/>
    <w:rPr>
      <w:rFonts w:ascii="Times New Roman" w:hAnsi="Times New Roman"/>
      <w:sz w:val="24"/>
    </w:rPr>
  </w:style>
  <w:style w:type="paragraph" w:customStyle="1" w:styleId="68">
    <w:name w:val="文章正文"/>
    <w:basedOn w:val="1"/>
    <w:next w:val="1"/>
    <w:link w:val="67"/>
    <w:qFormat/>
    <w:uiPriority w:val="0"/>
    <w:pPr>
      <w:spacing w:line="360" w:lineRule="auto"/>
      <w:ind w:firstLine="883" w:firstLineChars="200"/>
    </w:pPr>
    <w:rPr>
      <w:rFonts w:ascii="Times New Roman" w:hAnsi="Times New Roman"/>
      <w:kern w:val="0"/>
      <w:sz w:val="24"/>
      <w:szCs w:val="20"/>
    </w:rPr>
  </w:style>
  <w:style w:type="character" w:customStyle="1" w:styleId="69">
    <w:name w:val="表格 Char Char"/>
    <w:qFormat/>
    <w:uiPriority w:val="0"/>
    <w:rPr>
      <w:sz w:val="21"/>
    </w:rPr>
  </w:style>
  <w:style w:type="character" w:customStyle="1" w:styleId="70">
    <w:name w:val="表格标题 Char Char"/>
    <w:link w:val="71"/>
    <w:qFormat/>
    <w:uiPriority w:val="0"/>
    <w:rPr>
      <w:b/>
      <w:sz w:val="21"/>
    </w:rPr>
  </w:style>
  <w:style w:type="paragraph" w:customStyle="1" w:styleId="71">
    <w:name w:val="表格标题"/>
    <w:basedOn w:val="1"/>
    <w:link w:val="70"/>
    <w:qFormat/>
    <w:uiPriority w:val="0"/>
    <w:pPr>
      <w:jc w:val="center"/>
    </w:pPr>
    <w:rPr>
      <w:b/>
      <w:kern w:val="0"/>
      <w:szCs w:val="20"/>
    </w:rPr>
  </w:style>
  <w:style w:type="character" w:customStyle="1" w:styleId="72">
    <w:name w:val="纯文本 Char"/>
    <w:link w:val="13"/>
    <w:qFormat/>
    <w:uiPriority w:val="99"/>
    <w:rPr>
      <w:rFonts w:ascii="宋体" w:hAnsi="Courier New"/>
      <w:kern w:val="2"/>
      <w:sz w:val="21"/>
    </w:rPr>
  </w:style>
  <w:style w:type="character" w:customStyle="1" w:styleId="73">
    <w:name w:val="报告正文 Char Char"/>
    <w:link w:val="74"/>
    <w:qFormat/>
    <w:uiPriority w:val="0"/>
    <w:rPr>
      <w:rFonts w:ascii="Times New Roman" w:hAnsi="Times New Roman" w:cs="宋体"/>
      <w:sz w:val="24"/>
      <w:szCs w:val="24"/>
    </w:rPr>
  </w:style>
  <w:style w:type="paragraph" w:customStyle="1" w:styleId="74">
    <w:name w:val="报告正文"/>
    <w:link w:val="73"/>
    <w:qFormat/>
    <w:uiPriority w:val="0"/>
    <w:pPr>
      <w:spacing w:line="360" w:lineRule="auto"/>
      <w:ind w:firstLine="723" w:firstLineChars="200"/>
    </w:pPr>
    <w:rPr>
      <w:rFonts w:ascii="Times New Roman" w:hAnsi="Times New Roman" w:eastAsia="宋体" w:cs="宋体"/>
      <w:sz w:val="24"/>
      <w:szCs w:val="24"/>
      <w:lang w:val="en-US" w:eastAsia="zh-CN" w:bidi="ar-SA"/>
    </w:rPr>
  </w:style>
  <w:style w:type="character" w:customStyle="1" w:styleId="75">
    <w:name w:val="表格内容--1.15 Char"/>
    <w:link w:val="76"/>
    <w:qFormat/>
    <w:uiPriority w:val="0"/>
    <w:rPr>
      <w:color w:val="0D0D0D"/>
      <w:sz w:val="21"/>
      <w:szCs w:val="21"/>
    </w:rPr>
  </w:style>
  <w:style w:type="paragraph" w:customStyle="1" w:styleId="76">
    <w:name w:val="表格内容--1.15"/>
    <w:basedOn w:val="1"/>
    <w:link w:val="75"/>
    <w:qFormat/>
    <w:uiPriority w:val="0"/>
    <w:pPr>
      <w:tabs>
        <w:tab w:val="left" w:pos="567"/>
        <w:tab w:val="left" w:pos="1134"/>
        <w:tab w:val="right" w:leader="middleDot" w:pos="7938"/>
      </w:tabs>
      <w:spacing w:line="276" w:lineRule="auto"/>
      <w:jc w:val="center"/>
    </w:pPr>
    <w:rPr>
      <w:color w:val="0D0D0D"/>
      <w:kern w:val="0"/>
      <w:szCs w:val="21"/>
    </w:rPr>
  </w:style>
  <w:style w:type="character" w:customStyle="1" w:styleId="77">
    <w:name w:val="【表中文字】 Char"/>
    <w:link w:val="78"/>
    <w:qFormat/>
    <w:uiPriority w:val="0"/>
    <w:rPr>
      <w:rFonts w:ascii="Times New Roman" w:hAnsi="Times New Roman"/>
      <w:sz w:val="21"/>
      <w:szCs w:val="24"/>
    </w:rPr>
  </w:style>
  <w:style w:type="paragraph" w:customStyle="1" w:styleId="78">
    <w:name w:val="【表中文字】"/>
    <w:basedOn w:val="1"/>
    <w:link w:val="77"/>
    <w:qFormat/>
    <w:uiPriority w:val="0"/>
    <w:pPr>
      <w:jc w:val="center"/>
    </w:pPr>
    <w:rPr>
      <w:rFonts w:ascii="Times New Roman" w:hAnsi="Times New Roman"/>
      <w:kern w:val="0"/>
    </w:rPr>
  </w:style>
  <w:style w:type="character" w:customStyle="1" w:styleId="79">
    <w:name w:val="15"/>
    <w:qFormat/>
    <w:uiPriority w:val="0"/>
    <w:rPr>
      <w:sz w:val="24"/>
      <w:szCs w:val="24"/>
    </w:rPr>
  </w:style>
  <w:style w:type="character" w:customStyle="1" w:styleId="80">
    <w:name w:val="样式8 Char"/>
    <w:link w:val="81"/>
    <w:qFormat/>
    <w:uiPriority w:val="0"/>
    <w:rPr>
      <w:sz w:val="28"/>
    </w:rPr>
  </w:style>
  <w:style w:type="paragraph" w:customStyle="1" w:styleId="81">
    <w:name w:val="样式8"/>
    <w:basedOn w:val="1"/>
    <w:next w:val="1"/>
    <w:link w:val="80"/>
    <w:qFormat/>
    <w:uiPriority w:val="0"/>
    <w:pPr>
      <w:spacing w:line="360" w:lineRule="auto"/>
      <w:ind w:firstLine="640" w:firstLineChars="200"/>
    </w:pPr>
    <w:rPr>
      <w:kern w:val="0"/>
      <w:sz w:val="28"/>
      <w:szCs w:val="20"/>
    </w:rPr>
  </w:style>
  <w:style w:type="paragraph" w:customStyle="1" w:styleId="82">
    <w:name w:val="正文文本（1）"/>
    <w:basedOn w:val="10"/>
    <w:qFormat/>
    <w:uiPriority w:val="0"/>
    <w:pPr>
      <w:widowControl w:val="0"/>
      <w:autoSpaceDE w:val="0"/>
      <w:autoSpaceDN w:val="0"/>
      <w:snapToGrid/>
      <w:spacing w:before="100" w:beforeAutospacing="1" w:after="0" w:line="360" w:lineRule="auto"/>
      <w:ind w:right="0" w:firstLine="480" w:firstLineChars="200"/>
    </w:pPr>
    <w:rPr>
      <w:rFonts w:ascii="宋体" w:hAnsi="宋体" w:cs="宋体"/>
      <w:color w:val="000000"/>
      <w:sz w:val="24"/>
      <w:szCs w:val="24"/>
    </w:rPr>
  </w:style>
  <w:style w:type="paragraph" w:customStyle="1" w:styleId="83">
    <w:name w:val="hg正文文本"/>
    <w:basedOn w:val="10"/>
    <w:qFormat/>
    <w:uiPriority w:val="0"/>
    <w:pPr>
      <w:adjustRightInd w:val="0"/>
      <w:spacing w:line="360" w:lineRule="auto"/>
      <w:ind w:firstLine="200" w:firstLineChars="200"/>
    </w:pPr>
    <w:rPr>
      <w:rFonts w:ascii="Times New Roman" w:hAnsi="Times New Roman"/>
      <w:sz w:val="24"/>
    </w:rPr>
  </w:style>
  <w:style w:type="paragraph" w:customStyle="1" w:styleId="84">
    <w:name w:val="表格内容"/>
    <w:basedOn w:val="7"/>
    <w:next w:val="1"/>
    <w:qFormat/>
    <w:uiPriority w:val="0"/>
    <w:pPr>
      <w:overflowPunct w:val="0"/>
      <w:adjustRightInd w:val="0"/>
      <w:spacing w:before="40" w:after="60" w:line="200" w:lineRule="atLeast"/>
      <w:textAlignment w:val="baseline"/>
    </w:pPr>
    <w:rPr>
      <w:rFonts w:ascii="Arial" w:hAnsi="Arial" w:eastAsia="仿宋_GB2312"/>
      <w:kern w:val="0"/>
      <w:sz w:val="24"/>
    </w:rPr>
  </w:style>
  <w:style w:type="paragraph" w:customStyle="1" w:styleId="85">
    <w:name w:val="样式 正文 小四 行距: 1.5 倍行距 + 黑色 行距: 固定值 26 磅"/>
    <w:basedOn w:val="86"/>
    <w:qFormat/>
    <w:uiPriority w:val="0"/>
    <w:pPr>
      <w:spacing w:line="520" w:lineRule="exact"/>
    </w:pPr>
    <w:rPr>
      <w:color w:val="FF0000"/>
    </w:rPr>
  </w:style>
  <w:style w:type="paragraph" w:customStyle="1" w:styleId="86">
    <w:name w:val="正文 小四 行距: 1.5 倍行距"/>
    <w:basedOn w:val="1"/>
    <w:qFormat/>
    <w:uiPriority w:val="0"/>
    <w:pPr>
      <w:spacing w:line="360" w:lineRule="auto"/>
      <w:ind w:firstLine="480" w:firstLineChars="200"/>
    </w:pPr>
    <w:rPr>
      <w:rFonts w:cs="宋体"/>
      <w:sz w:val="24"/>
      <w:szCs w:val="20"/>
    </w:rPr>
  </w:style>
  <w:style w:type="paragraph" w:styleId="87">
    <w:name w:val="List Paragraph"/>
    <w:basedOn w:val="1"/>
    <w:qFormat/>
    <w:uiPriority w:val="1"/>
    <w:pPr>
      <w:ind w:left="1661" w:hanging="601"/>
    </w:pPr>
    <w:rPr>
      <w:rFonts w:ascii="宋体" w:hAnsi="宋体" w:cs="宋体"/>
    </w:rPr>
  </w:style>
  <w:style w:type="paragraph" w:customStyle="1" w:styleId="88">
    <w:name w:val="样式 首行缩进:  2 字符1"/>
    <w:basedOn w:val="1"/>
    <w:qFormat/>
    <w:uiPriority w:val="0"/>
    <w:pPr>
      <w:spacing w:line="360" w:lineRule="auto"/>
      <w:ind w:firstLine="200" w:firstLineChars="200"/>
    </w:pPr>
    <w:rPr>
      <w:rFonts w:cs="宋体"/>
      <w:sz w:val="24"/>
      <w:szCs w:val="20"/>
    </w:rPr>
  </w:style>
  <w:style w:type="paragraph" w:customStyle="1" w:styleId="89">
    <w:name w:val="报告正文 样式"/>
    <w:qFormat/>
    <w:uiPriority w:val="0"/>
    <w:pPr>
      <w:autoSpaceDE w:val="0"/>
      <w:autoSpaceDN w:val="0"/>
      <w:spacing w:line="360" w:lineRule="auto"/>
      <w:ind w:firstLine="480" w:firstLineChars="200"/>
      <w:jc w:val="both"/>
    </w:pPr>
    <w:rPr>
      <w:rFonts w:ascii="Times New Roman" w:hAnsi="Times New Roman" w:eastAsia="宋体" w:cs="Calibri"/>
      <w:color w:val="000000"/>
      <w:kern w:val="24"/>
      <w:sz w:val="24"/>
      <w:szCs w:val="21"/>
      <w:lang w:val="en-US" w:eastAsia="zh-CN" w:bidi="ar-SA"/>
    </w:rPr>
  </w:style>
  <w:style w:type="paragraph" w:customStyle="1" w:styleId="90">
    <w:name w:val="Table Paragraph"/>
    <w:basedOn w:val="1"/>
    <w:qFormat/>
    <w:uiPriority w:val="0"/>
    <w:pPr>
      <w:jc w:val="center"/>
    </w:pPr>
    <w:rPr>
      <w:rFonts w:ascii="Times New Roman" w:hAnsi="Times New Roman" w:eastAsia="Times New Roman" w:cs="Times New Roman"/>
      <w:lang w:val="zh-CN" w:bidi="zh-CN"/>
    </w:rPr>
  </w:style>
  <w:style w:type="paragraph" w:customStyle="1" w:styleId="91">
    <w:name w:val="表头，alt+D"/>
    <w:basedOn w:val="1"/>
    <w:qFormat/>
    <w:uiPriority w:val="0"/>
    <w:pPr>
      <w:spacing w:before="60" w:after="60" w:line="240" w:lineRule="atLeast"/>
      <w:ind w:left="-113" w:right="-113"/>
      <w:jc w:val="center"/>
    </w:pPr>
    <w:rPr>
      <w:rFonts w:ascii="宋体" w:hAnsi="Times New Roman" w:eastAsia="Times New Roman"/>
      <w:color w:val="808000"/>
      <w:kern w:val="0"/>
      <w:sz w:val="24"/>
      <w:szCs w:val="20"/>
    </w:rPr>
  </w:style>
  <w:style w:type="paragraph" w:customStyle="1" w:styleId="92">
    <w:name w:val="样式 13 磅 黑色 首行缩进:  0.92 厘米 行距: 1.5 倍行距"/>
    <w:basedOn w:val="1"/>
    <w:qFormat/>
    <w:uiPriority w:val="0"/>
    <w:pPr>
      <w:adjustRightInd w:val="0"/>
      <w:snapToGrid w:val="0"/>
      <w:spacing w:line="520" w:lineRule="exact"/>
      <w:ind w:firstLine="470" w:firstLineChars="196"/>
    </w:pPr>
    <w:rPr>
      <w:color w:val="000000"/>
      <w:sz w:val="24"/>
    </w:rPr>
  </w:style>
  <w:style w:type="paragraph" w:customStyle="1" w:styleId="93">
    <w:name w:val="样式 样式 样式 样式 样式 样式 样式 报告正文 + (符号) 宋体 左侧:  1 字符 + 左侧:  1 字符 首行缩进: ..."/>
    <w:basedOn w:val="1"/>
    <w:qFormat/>
    <w:uiPriority w:val="0"/>
    <w:pPr>
      <w:spacing w:line="480" w:lineRule="exact"/>
      <w:ind w:firstLine="200" w:firstLineChars="200"/>
    </w:pPr>
    <w:rPr>
      <w:rFonts w:hAnsi="宋体" w:cs="宋体"/>
      <w:sz w:val="24"/>
      <w:szCs w:val="20"/>
    </w:rPr>
  </w:style>
  <w:style w:type="paragraph" w:customStyle="1" w:styleId="94">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95">
    <w:name w:val="样式9"/>
    <w:basedOn w:val="1"/>
    <w:qFormat/>
    <w:uiPriority w:val="0"/>
    <w:pPr>
      <w:spacing w:line="360" w:lineRule="auto"/>
    </w:pPr>
    <w:rPr>
      <w:rFonts w:ascii="Times New Roman" w:hAnsi="Times New Roman" w:eastAsia="黑体"/>
      <w:sz w:val="28"/>
      <w:szCs w:val="20"/>
    </w:rPr>
  </w:style>
  <w:style w:type="paragraph" w:customStyle="1" w:styleId="96">
    <w:name w:val="+正文"/>
    <w:basedOn w:val="1"/>
    <w:qFormat/>
    <w:uiPriority w:val="0"/>
    <w:pPr>
      <w:spacing w:line="360" w:lineRule="auto"/>
      <w:ind w:firstLine="200" w:firstLineChars="200"/>
    </w:pPr>
    <w:rPr>
      <w:rFonts w:ascii="Times New Roman" w:hAnsi="宋体"/>
      <w:color w:val="FF0000"/>
      <w:sz w:val="24"/>
    </w:rPr>
  </w:style>
  <w:style w:type="table" w:customStyle="1" w:styleId="97">
    <w:name w:val="Table Normal"/>
    <w:unhideWhenUsed/>
    <w:qFormat/>
    <w:uiPriority w:val="2"/>
    <w:tblPr>
      <w:tblCellMar>
        <w:top w:w="0" w:type="dxa"/>
        <w:left w:w="0" w:type="dxa"/>
        <w:bottom w:w="0" w:type="dxa"/>
        <w:right w:w="0" w:type="dxa"/>
      </w:tblCellMar>
    </w:tblPr>
  </w:style>
  <w:style w:type="character" w:customStyle="1" w:styleId="98">
    <w:name w:val="正文文本缩进 3 Char"/>
    <w:basedOn w:val="35"/>
    <w:link w:val="26"/>
    <w:qFormat/>
    <w:uiPriority w:val="0"/>
    <w:rPr>
      <w:rFonts w:cs="Times New Roman"/>
      <w:kern w:val="2"/>
      <w:sz w:val="16"/>
      <w:szCs w:val="16"/>
    </w:rPr>
  </w:style>
  <w:style w:type="paragraph" w:customStyle="1" w:styleId="99">
    <w:name w:val="【正文】"/>
    <w:basedOn w:val="1"/>
    <w:qFormat/>
    <w:uiPriority w:val="0"/>
    <w:pPr>
      <w:snapToGrid w:val="0"/>
      <w:spacing w:line="360" w:lineRule="auto"/>
      <w:ind w:firstLine="200" w:firstLineChars="200"/>
    </w:pPr>
    <w:rPr>
      <w:rFonts w:cs="Times New Roman"/>
      <w:color w:val="FF0000"/>
      <w:sz w:val="24"/>
    </w:rPr>
  </w:style>
  <w:style w:type="paragraph" w:customStyle="1" w:styleId="100">
    <w:name w:val="aa正文"/>
    <w:basedOn w:val="1"/>
    <w:qFormat/>
    <w:uiPriority w:val="0"/>
    <w:pPr>
      <w:spacing w:line="360" w:lineRule="auto"/>
      <w:ind w:firstLine="200" w:firstLineChars="200"/>
    </w:pPr>
    <w:rPr>
      <w:rFonts w:ascii="Times New Roman" w:hAnsi="Times New Roman" w:cs="Times New Roman"/>
      <w:szCs w:val="21"/>
    </w:rPr>
  </w:style>
  <w:style w:type="paragraph" w:customStyle="1" w:styleId="101">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102">
    <w:name w:val="正文3"/>
    <w:qFormat/>
    <w:uiPriority w:val="0"/>
    <w:pPr>
      <w:jc w:val="both"/>
    </w:pPr>
    <w:rPr>
      <w:rFonts w:ascii="Times New Roman" w:hAnsi="Times New Roman" w:eastAsia="宋体" w:cs="Times New Roman"/>
      <w:kern w:val="2"/>
      <w:sz w:val="21"/>
      <w:szCs w:val="21"/>
      <w:lang w:val="en-US" w:eastAsia="zh-CN" w:bidi="ar-SA"/>
    </w:rPr>
  </w:style>
  <w:style w:type="paragraph" w:customStyle="1" w:styleId="103">
    <w:name w:val="表格式"/>
    <w:basedOn w:val="1"/>
    <w:qFormat/>
    <w:uiPriority w:val="0"/>
    <w:pPr>
      <w:jc w:val="center"/>
    </w:pPr>
    <w:rPr>
      <w:rFonts w:ascii="宋体" w:hAnsi="Brush Script MT" w:cs="宋体"/>
      <w:szCs w:val="21"/>
    </w:rPr>
  </w:style>
  <w:style w:type="paragraph" w:customStyle="1" w:styleId="104">
    <w:name w:val="00正文"/>
    <w:basedOn w:val="1"/>
    <w:qFormat/>
    <w:uiPriority w:val="0"/>
    <w:pPr>
      <w:widowControl/>
      <w:spacing w:line="480" w:lineRule="exact"/>
      <w:ind w:firstLine="200" w:firstLineChars="200"/>
      <w:jc w:val="left"/>
    </w:pPr>
    <w:rPr>
      <w:rFonts w:ascii="Times New Roman" w:hAnsi="Times New Roman" w:cs="Times New Roman"/>
      <w:sz w:val="24"/>
    </w:rPr>
  </w:style>
  <w:style w:type="paragraph" w:customStyle="1" w:styleId="105">
    <w:name w:val="列出段落1"/>
    <w:basedOn w:val="1"/>
    <w:qFormat/>
    <w:uiPriority w:val="0"/>
    <w:pPr>
      <w:autoSpaceDE w:val="0"/>
      <w:autoSpaceDN w:val="0"/>
      <w:ind w:left="2001" w:hanging="530"/>
      <w:jc w:val="left"/>
    </w:pPr>
    <w:rPr>
      <w:rFonts w:ascii="宋体" w:hAnsi="宋体" w:cs="宋体"/>
      <w:kern w:val="0"/>
      <w:sz w:val="22"/>
      <w:szCs w:val="22"/>
    </w:rPr>
  </w:style>
  <w:style w:type="paragraph" w:customStyle="1" w:styleId="106">
    <w:name w:val="1表格"/>
    <w:basedOn w:val="1"/>
    <w:link w:val="107"/>
    <w:qFormat/>
    <w:uiPriority w:val="0"/>
    <w:pPr>
      <w:snapToGrid w:val="0"/>
      <w:jc w:val="center"/>
      <w:outlineLvl w:val="4"/>
    </w:pPr>
    <w:rPr>
      <w:rFonts w:ascii="Times New Roman" w:hAnsi="Times New Roman" w:cs="Times New Roman"/>
      <w:spacing w:val="4"/>
    </w:rPr>
  </w:style>
  <w:style w:type="character" w:customStyle="1" w:styleId="107">
    <w:name w:val="1表格 Char"/>
    <w:link w:val="106"/>
    <w:qFormat/>
    <w:uiPriority w:val="0"/>
    <w:rPr>
      <w:rFonts w:ascii="Times New Roman" w:hAnsi="Times New Roman" w:cs="Times New Roman"/>
      <w:spacing w:val="4"/>
      <w:kern w:val="2"/>
      <w:sz w:val="21"/>
      <w:szCs w:val="24"/>
    </w:rPr>
  </w:style>
  <w:style w:type="character" w:customStyle="1" w:styleId="108">
    <w:name w:val="正文首行缩进 2 Char"/>
    <w:basedOn w:val="56"/>
    <w:link w:val="32"/>
    <w:qFormat/>
    <w:uiPriority w:val="0"/>
    <w:rPr>
      <w:rFonts w:ascii="Times New Roman" w:hAnsi="Times New Roman" w:eastAsia="宋体" w:cs="Times New Roman"/>
      <w:kern w:val="2"/>
      <w:sz w:val="21"/>
      <w:szCs w:val="24"/>
    </w:rPr>
  </w:style>
  <w:style w:type="paragraph" w:customStyle="1" w:styleId="109">
    <w:name w:val="正文文字"/>
    <w:basedOn w:val="1"/>
    <w:qFormat/>
    <w:uiPriority w:val="0"/>
    <w:pPr>
      <w:adjustRightInd w:val="0"/>
      <w:snapToGrid w:val="0"/>
      <w:spacing w:line="360" w:lineRule="auto"/>
      <w:ind w:firstLine="480" w:firstLineChars="200"/>
    </w:pPr>
    <w:rPr>
      <w:rFonts w:ascii="宋体" w:hAnsi="Times New Roman" w:eastAsia="Times New Roman" w:cs="Times New Roman"/>
      <w:kern w:val="0"/>
      <w:sz w:val="24"/>
    </w:rPr>
  </w:style>
  <w:style w:type="paragraph" w:customStyle="1" w:styleId="110">
    <w:name w:val="A 正文"/>
    <w:basedOn w:val="1"/>
    <w:qFormat/>
    <w:uiPriority w:val="0"/>
    <w:pPr>
      <w:spacing w:line="360" w:lineRule="auto"/>
      <w:ind w:firstLine="200" w:firstLineChars="200"/>
    </w:pPr>
    <w:rPr>
      <w:rFonts w:ascii="宋体" w:hAnsi="Times New Roman" w:eastAsia="Times New Roman" w:cs="Times New Roman"/>
      <w:kern w:val="0"/>
      <w:sz w:val="24"/>
    </w:rPr>
  </w:style>
  <w:style w:type="paragraph" w:customStyle="1" w:styleId="111">
    <w:name w:val="..表格内容"/>
    <w:basedOn w:val="1"/>
    <w:qFormat/>
    <w:uiPriority w:val="0"/>
    <w:pPr>
      <w:jc w:val="center"/>
    </w:pPr>
    <w:rPr>
      <w:rFonts w:ascii="Times New Roman" w:hAnsi="宋体" w:cs="Times New Roman"/>
      <w:kern w:val="0"/>
      <w:szCs w:val="21"/>
    </w:rPr>
  </w:style>
  <w:style w:type="paragraph" w:customStyle="1" w:styleId="112">
    <w:name w:val="3级标题"/>
    <w:basedOn w:val="1"/>
    <w:next w:val="1"/>
    <w:link w:val="119"/>
    <w:qFormat/>
    <w:uiPriority w:val="0"/>
    <w:pPr>
      <w:widowControl/>
      <w:adjustRightInd w:val="0"/>
      <w:snapToGrid w:val="0"/>
      <w:spacing w:line="360" w:lineRule="auto"/>
      <w:jc w:val="left"/>
      <w:outlineLvl w:val="2"/>
    </w:pPr>
    <w:rPr>
      <w:rFonts w:ascii="Times New Roman" w:hAnsi="Times New Roman" w:cs="Times New Roman"/>
      <w:b/>
      <w:bCs/>
      <w:sz w:val="24"/>
    </w:rPr>
  </w:style>
  <w:style w:type="paragraph" w:customStyle="1" w:styleId="113">
    <w:name w:val="~~~正文"/>
    <w:basedOn w:val="1"/>
    <w:qFormat/>
    <w:uiPriority w:val="0"/>
    <w:pPr>
      <w:widowControl/>
      <w:spacing w:line="360" w:lineRule="auto"/>
      <w:ind w:firstLine="200" w:firstLineChars="200"/>
      <w:jc w:val="left"/>
    </w:pPr>
    <w:rPr>
      <w:rFonts w:cs="Times New Roman"/>
      <w:sz w:val="24"/>
    </w:rPr>
  </w:style>
  <w:style w:type="paragraph" w:customStyle="1" w:styleId="114">
    <w:name w:val="List Paragraph1"/>
    <w:basedOn w:val="1"/>
    <w:qFormat/>
    <w:uiPriority w:val="0"/>
    <w:pPr>
      <w:spacing w:before="100" w:beforeAutospacing="1" w:after="100" w:afterAutospacing="1"/>
      <w:ind w:left="1661" w:hanging="601"/>
    </w:pPr>
    <w:rPr>
      <w:rFonts w:ascii="宋体" w:hAnsi="宋体" w:cs="宋体"/>
      <w:szCs w:val="21"/>
    </w:rPr>
  </w:style>
  <w:style w:type="paragraph" w:customStyle="1" w:styleId="115">
    <w:name w:val="正文4"/>
    <w:qFormat/>
    <w:uiPriority w:val="0"/>
    <w:pPr>
      <w:jc w:val="both"/>
    </w:pPr>
    <w:rPr>
      <w:rFonts w:ascii="Calibri" w:hAnsi="Calibri" w:eastAsia="宋体" w:cs="Calibri"/>
      <w:kern w:val="2"/>
      <w:sz w:val="21"/>
      <w:szCs w:val="21"/>
      <w:lang w:val="en-US" w:eastAsia="zh-CN" w:bidi="ar-SA"/>
    </w:rPr>
  </w:style>
  <w:style w:type="character" w:customStyle="1" w:styleId="116">
    <w:name w:val="b正文 Char"/>
    <w:link w:val="117"/>
    <w:qFormat/>
    <w:uiPriority w:val="0"/>
    <w:rPr>
      <w:rFonts w:ascii="宋体" w:hAnsi="宋体"/>
      <w:kern w:val="2"/>
      <w:sz w:val="28"/>
      <w:szCs w:val="28"/>
    </w:rPr>
  </w:style>
  <w:style w:type="paragraph" w:customStyle="1" w:styleId="117">
    <w:name w:val="b正文"/>
    <w:basedOn w:val="1"/>
    <w:link w:val="116"/>
    <w:qFormat/>
    <w:uiPriority w:val="0"/>
    <w:pPr>
      <w:spacing w:line="500" w:lineRule="exact"/>
      <w:ind w:firstLine="560" w:firstLineChars="200"/>
    </w:pPr>
    <w:rPr>
      <w:rFonts w:ascii="宋体" w:hAnsi="宋体"/>
      <w:sz w:val="28"/>
      <w:szCs w:val="28"/>
    </w:rPr>
  </w:style>
  <w:style w:type="character" w:customStyle="1" w:styleId="118">
    <w:name w:val="5级标题"/>
    <w:qFormat/>
    <w:uiPriority w:val="0"/>
    <w:rPr>
      <w:b/>
      <w:bCs/>
    </w:rPr>
  </w:style>
  <w:style w:type="character" w:customStyle="1" w:styleId="119">
    <w:name w:val="3级标题 Char"/>
    <w:link w:val="112"/>
    <w:qFormat/>
    <w:uiPriority w:val="0"/>
    <w:rPr>
      <w:rFonts w:ascii="Times New Roman" w:hAnsi="Times New Roman" w:cs="Times New Roman"/>
      <w:b/>
      <w:bCs/>
      <w:kern w:val="2"/>
      <w:sz w:val="24"/>
      <w:szCs w:val="24"/>
    </w:rPr>
  </w:style>
  <w:style w:type="paragraph" w:customStyle="1" w:styleId="120">
    <w:name w:val="b表头"/>
    <w:basedOn w:val="1"/>
    <w:qFormat/>
    <w:uiPriority w:val="0"/>
    <w:pPr>
      <w:spacing w:line="480" w:lineRule="exact"/>
      <w:jc w:val="left"/>
    </w:pPr>
    <w:rPr>
      <w:rFonts w:ascii="Times New Roman" w:hAnsi="Times New Roman" w:cs="Times New Roman"/>
      <w:b/>
      <w:sz w:val="26"/>
      <w:szCs w:val="22"/>
    </w:rPr>
  </w:style>
  <w:style w:type="character" w:customStyle="1" w:styleId="121">
    <w:name w:val="2级标题 Char"/>
    <w:link w:val="122"/>
    <w:qFormat/>
    <w:uiPriority w:val="0"/>
    <w:rPr>
      <w:rFonts w:ascii="宋体" w:hAnsi="宋体"/>
      <w:b/>
      <w:bCs/>
      <w:sz w:val="28"/>
      <w:szCs w:val="28"/>
    </w:rPr>
  </w:style>
  <w:style w:type="paragraph" w:customStyle="1" w:styleId="122">
    <w:name w:val="2级标题"/>
    <w:basedOn w:val="3"/>
    <w:link w:val="121"/>
    <w:qFormat/>
    <w:uiPriority w:val="0"/>
    <w:pPr>
      <w:keepNext w:val="0"/>
      <w:keepLines w:val="0"/>
      <w:adjustRightInd w:val="0"/>
      <w:snapToGrid w:val="0"/>
      <w:spacing w:before="0" w:after="0" w:line="500" w:lineRule="exact"/>
      <w:jc w:val="left"/>
    </w:pPr>
    <w:rPr>
      <w:rFonts w:ascii="宋体" w:hAnsi="宋体" w:eastAsia="宋体" w:cs="Calibri"/>
      <w:kern w:val="0"/>
      <w:sz w:val="28"/>
      <w:szCs w:val="28"/>
    </w:rPr>
  </w:style>
  <w:style w:type="character" w:customStyle="1" w:styleId="123">
    <w:name w:val="表头 Char1"/>
    <w:link w:val="124"/>
    <w:qFormat/>
    <w:uiPriority w:val="0"/>
    <w:rPr>
      <w:rFonts w:ascii="宋体" w:hAnsi="宋体"/>
      <w:b/>
      <w:kern w:val="2"/>
      <w:sz w:val="24"/>
      <w:szCs w:val="21"/>
    </w:rPr>
  </w:style>
  <w:style w:type="paragraph" w:customStyle="1" w:styleId="124">
    <w:name w:val="表头"/>
    <w:basedOn w:val="1"/>
    <w:next w:val="1"/>
    <w:link w:val="123"/>
    <w:qFormat/>
    <w:uiPriority w:val="0"/>
    <w:pPr>
      <w:spacing w:line="500" w:lineRule="exact"/>
      <w:jc w:val="left"/>
    </w:pPr>
    <w:rPr>
      <w:rFonts w:ascii="宋体" w:hAnsi="宋体"/>
      <w:b/>
      <w:sz w:val="24"/>
      <w:szCs w:val="21"/>
    </w:rPr>
  </w:style>
  <w:style w:type="character" w:customStyle="1" w:styleId="125">
    <w:name w:val="样式文字 Char"/>
    <w:link w:val="126"/>
    <w:qFormat/>
    <w:uiPriority w:val="0"/>
    <w:rPr>
      <w:rFonts w:ascii="宋体" w:hAnsi="宋体"/>
      <w:kern w:val="2"/>
      <w:sz w:val="28"/>
      <w:szCs w:val="21"/>
    </w:rPr>
  </w:style>
  <w:style w:type="paragraph" w:customStyle="1" w:styleId="126">
    <w:name w:val="样式文字"/>
    <w:basedOn w:val="124"/>
    <w:link w:val="125"/>
    <w:qFormat/>
    <w:uiPriority w:val="0"/>
    <w:pPr>
      <w:ind w:firstLine="200" w:firstLineChars="200"/>
      <w:jc w:val="both"/>
    </w:pPr>
    <w:rPr>
      <w:b w:val="0"/>
      <w:sz w:val="28"/>
    </w:rPr>
  </w:style>
  <w:style w:type="character" w:customStyle="1" w:styleId="127">
    <w:name w:val="font51"/>
    <w:basedOn w:val="35"/>
    <w:qFormat/>
    <w:uiPriority w:val="0"/>
    <w:rPr>
      <w:rFonts w:hint="eastAsia" w:ascii="MingLiU" w:hAnsi="MingLiU" w:eastAsia="MingLiU"/>
      <w:color w:val="000000"/>
      <w:sz w:val="28"/>
      <w:szCs w:val="28"/>
      <w:u w:val="none"/>
    </w:rPr>
  </w:style>
  <w:style w:type="character" w:customStyle="1" w:styleId="128">
    <w:name w:val="font01"/>
    <w:basedOn w:val="35"/>
    <w:qFormat/>
    <w:uiPriority w:val="0"/>
    <w:rPr>
      <w:rFonts w:hint="eastAsia" w:ascii="MingLiU" w:hAnsi="MingLiU" w:eastAsia="MingLiU"/>
      <w:color w:val="000000"/>
      <w:sz w:val="36"/>
      <w:szCs w:val="36"/>
      <w:u w:val="none"/>
    </w:rPr>
  </w:style>
  <w:style w:type="character" w:customStyle="1" w:styleId="129">
    <w:name w:val="font61"/>
    <w:basedOn w:val="35"/>
    <w:qFormat/>
    <w:uiPriority w:val="0"/>
    <w:rPr>
      <w:rFonts w:hint="eastAsia" w:ascii="MingLiU" w:hAnsi="MingLiU" w:eastAsia="MingLiU"/>
      <w:i/>
      <w:iCs/>
      <w:strike/>
      <w:color w:val="000000"/>
      <w:sz w:val="28"/>
      <w:szCs w:val="28"/>
    </w:rPr>
  </w:style>
  <w:style w:type="character" w:customStyle="1" w:styleId="130">
    <w:name w:val="font21"/>
    <w:basedOn w:val="35"/>
    <w:qFormat/>
    <w:uiPriority w:val="0"/>
    <w:rPr>
      <w:rFonts w:hint="eastAsia" w:ascii="MingLiU" w:hAnsi="MingLiU" w:eastAsia="MingLiU"/>
      <w:color w:val="000000"/>
      <w:sz w:val="28"/>
      <w:szCs w:val="28"/>
      <w:u w:val="single"/>
    </w:rPr>
  </w:style>
  <w:style w:type="character" w:customStyle="1" w:styleId="131">
    <w:name w:val="font31"/>
    <w:basedOn w:val="35"/>
    <w:qFormat/>
    <w:uiPriority w:val="0"/>
    <w:rPr>
      <w:rFonts w:hint="eastAsia" w:ascii="MingLiU" w:hAnsi="MingLiU" w:eastAsia="MingLiU"/>
      <w:color w:val="000000"/>
      <w:sz w:val="28"/>
      <w:szCs w:val="28"/>
      <w:u w:val="none"/>
      <w:vertAlign w:val="superscript"/>
    </w:rPr>
  </w:style>
  <w:style w:type="character" w:customStyle="1" w:styleId="132">
    <w:name w:val="font71"/>
    <w:basedOn w:val="35"/>
    <w:qFormat/>
    <w:uiPriority w:val="0"/>
    <w:rPr>
      <w:rFonts w:hint="default" w:ascii="Courier New" w:hAnsi="Courier New" w:cs="Courier New"/>
      <w:i/>
      <w:iCs/>
      <w:color w:val="000000"/>
      <w:sz w:val="14"/>
      <w:szCs w:val="14"/>
      <w:u w:val="none"/>
    </w:rPr>
  </w:style>
  <w:style w:type="character" w:customStyle="1" w:styleId="133">
    <w:name w:val="标题 5 Char"/>
    <w:basedOn w:val="35"/>
    <w:link w:val="6"/>
    <w:semiHidden/>
    <w:qFormat/>
    <w:uiPriority w:val="0"/>
    <w:rPr>
      <w:b/>
      <w:bCs/>
      <w:kern w:val="2"/>
      <w:sz w:val="28"/>
      <w:szCs w:val="28"/>
    </w:rPr>
  </w:style>
  <w:style w:type="paragraph" w:customStyle="1" w:styleId="134">
    <w:name w:val="正文5"/>
    <w:qFormat/>
    <w:uiPriority w:val="0"/>
    <w:pPr>
      <w:jc w:val="both"/>
    </w:pPr>
    <w:rPr>
      <w:rFonts w:ascii="Calibri" w:hAnsi="Calibri" w:eastAsia="宋体" w:cs="Calibri"/>
      <w:kern w:val="2"/>
      <w:sz w:val="21"/>
      <w:szCs w:val="21"/>
      <w:lang w:val="en-US" w:eastAsia="zh-CN" w:bidi="ar-SA"/>
    </w:rPr>
  </w:style>
  <w:style w:type="character" w:customStyle="1" w:styleId="135">
    <w:name w:val="正文文本缩进 2 Char"/>
    <w:basedOn w:val="35"/>
    <w:link w:val="16"/>
    <w:qFormat/>
    <w:uiPriority w:val="0"/>
    <w:rPr>
      <w:kern w:val="2"/>
      <w:sz w:val="21"/>
      <w:szCs w:val="24"/>
    </w:rPr>
  </w:style>
  <w:style w:type="paragraph" w:customStyle="1" w:styleId="136">
    <w:name w:val="表格正文"/>
    <w:basedOn w:val="1"/>
    <w:next w:val="1"/>
    <w:qFormat/>
    <w:uiPriority w:val="0"/>
    <w:pPr>
      <w:spacing w:line="360" w:lineRule="auto"/>
      <w:ind w:firstLine="200" w:firstLineChars="200"/>
      <w:jc w:val="center"/>
    </w:pPr>
    <w:rPr>
      <w:rFonts w:ascii="Times New Roman" w:hAnsi="Times New Roman" w:cs="Times New Roman"/>
      <w:kern w:val="0"/>
      <w:szCs w:val="21"/>
    </w:rPr>
  </w:style>
  <w:style w:type="paragraph" w:customStyle="1" w:styleId="137">
    <w:name w:val="Normal"/>
    <w:qFormat/>
    <w:uiPriority w:val="0"/>
    <w:pPr>
      <w:jc w:val="both"/>
    </w:pPr>
    <w:rPr>
      <w:rFonts w:ascii="Times New Roman" w:hAnsi="Times New Roman" w:eastAsia="宋体" w:cs="Times New Roman"/>
      <w:kern w:val="2"/>
      <w:sz w:val="21"/>
      <w:szCs w:val="21"/>
      <w:lang w:val="en-US" w:eastAsia="zh-CN" w:bidi="ar-SA"/>
    </w:rPr>
  </w:style>
  <w:style w:type="character" w:customStyle="1" w:styleId="138">
    <w:name w:val="font41"/>
    <w:basedOn w:val="35"/>
    <w:qFormat/>
    <w:uiPriority w:val="0"/>
    <w:rPr>
      <w:rFonts w:hint="eastAsia" w:ascii="宋体" w:hAnsi="宋体" w:eastAsia="宋体" w:cs="宋体"/>
      <w:color w:val="000000"/>
      <w:sz w:val="21"/>
      <w:szCs w:val="21"/>
      <w:u w:val="none"/>
    </w:rPr>
  </w:style>
  <w:style w:type="paragraph" w:customStyle="1" w:styleId="139">
    <w:name w:val="Other|1"/>
    <w:basedOn w:val="1"/>
    <w:qFormat/>
    <w:uiPriority w:val="0"/>
    <w:pPr>
      <w:widowControl w:val="0"/>
      <w:shd w:val="clear" w:color="auto" w:fill="auto"/>
      <w:spacing w:after="600"/>
      <w:ind w:firstLine="400"/>
    </w:pPr>
    <w:rPr>
      <w:rFonts w:ascii="宋体" w:hAnsi="宋体" w:eastAsia="宋体" w:cs="宋体"/>
      <w:b/>
      <w:bCs/>
      <w:sz w:val="32"/>
      <w:szCs w:val="32"/>
      <w:u w:val="none"/>
      <w:shd w:val="clear" w:color="auto" w:fill="auto"/>
      <w:lang w:val="zh-TW" w:eastAsia="zh-TW" w:bidi="zh-TW"/>
    </w:rPr>
  </w:style>
  <w:style w:type="paragraph" w:customStyle="1" w:styleId="140">
    <w:name w:val="Body text|2"/>
    <w:basedOn w:val="1"/>
    <w:qFormat/>
    <w:uiPriority w:val="0"/>
    <w:pPr>
      <w:widowControl w:val="0"/>
      <w:shd w:val="clear" w:color="auto" w:fill="auto"/>
      <w:spacing w:after="280"/>
      <w:ind w:firstLine="760"/>
    </w:pPr>
    <w:rPr>
      <w:sz w:val="22"/>
      <w:szCs w:val="22"/>
      <w:u w:val="none"/>
      <w:shd w:val="clear" w:color="auto" w:fill="auto"/>
    </w:rPr>
  </w:style>
  <w:style w:type="paragraph" w:customStyle="1" w:styleId="141">
    <w:name w:val="Body text|1"/>
    <w:basedOn w:val="1"/>
    <w:qFormat/>
    <w:uiPriority w:val="0"/>
    <w:pPr>
      <w:widowControl w:val="0"/>
      <w:shd w:val="clear" w:color="auto" w:fill="auto"/>
      <w:spacing w:after="70" w:line="427" w:lineRule="auto"/>
      <w:ind w:firstLine="400"/>
    </w:pPr>
    <w:rPr>
      <w:rFonts w:ascii="宋体" w:hAnsi="宋体" w:eastAsia="宋体" w:cs="宋体"/>
      <w:u w:val="none"/>
      <w:shd w:val="clear" w:color="auto" w:fill="auto"/>
      <w:lang w:val="zh-TW" w:eastAsia="zh-TW" w:bidi="zh-TW"/>
    </w:rPr>
  </w:style>
  <w:style w:type="paragraph" w:customStyle="1" w:styleId="142">
    <w:name w:val="Heading #3|1"/>
    <w:basedOn w:val="1"/>
    <w:qFormat/>
    <w:uiPriority w:val="0"/>
    <w:pPr>
      <w:widowControl w:val="0"/>
      <w:shd w:val="clear" w:color="auto" w:fill="auto"/>
      <w:spacing w:after="80"/>
      <w:outlineLvl w:val="2"/>
    </w:pPr>
    <w:rPr>
      <w:rFonts w:ascii="宋体" w:hAnsi="宋体" w:eastAsia="宋体" w:cs="宋体"/>
      <w:b/>
      <w:bCs/>
      <w:sz w:val="30"/>
      <w:szCs w:val="30"/>
      <w:u w:val="none"/>
      <w:shd w:val="clear" w:color="auto" w:fill="auto"/>
      <w:lang w:val="zh-TW" w:eastAsia="zh-TW" w:bidi="zh-TW"/>
    </w:rPr>
  </w:style>
  <w:style w:type="paragraph" w:customStyle="1" w:styleId="143">
    <w:name w:val="报告书 正文"/>
    <w:qFormat/>
    <w:uiPriority w:val="0"/>
    <w:pPr>
      <w:widowControl w:val="0"/>
      <w:adjustRightInd w:val="0"/>
      <w:snapToGrid w:val="0"/>
      <w:spacing w:line="360" w:lineRule="auto"/>
      <w:ind w:firstLine="566" w:firstLineChars="200"/>
      <w:jc w:val="both"/>
    </w:pPr>
    <w:rPr>
      <w:rFonts w:ascii="Times New Roman" w:hAnsi="Times New Roman" w:eastAsia="宋体" w:cs="Times New Roman"/>
      <w:snapToGrid w:val="0"/>
      <w:sz w:val="24"/>
      <w:szCs w:val="24"/>
      <w:lang w:val="en-US" w:eastAsia="zh-CN" w:bidi="ar-SA"/>
    </w:rPr>
  </w:style>
  <w:style w:type="paragraph" w:customStyle="1" w:styleId="144">
    <w:name w:val="表内文字"/>
    <w:basedOn w:val="1"/>
    <w:qFormat/>
    <w:uiPriority w:val="0"/>
    <w:pPr>
      <w:adjustRightInd w:val="0"/>
      <w:jc w:val="center"/>
    </w:pPr>
    <w:rPr>
      <w:rFonts w:ascii="宋体" w:hAnsi="宋体"/>
      <w:szCs w:val="21"/>
    </w:rPr>
  </w:style>
  <w:style w:type="paragraph" w:customStyle="1" w:styleId="145">
    <w:name w:val="Header or footer|1"/>
    <w:basedOn w:val="1"/>
    <w:qFormat/>
    <w:uiPriority w:val="0"/>
    <w:pPr>
      <w:widowControl w:val="0"/>
      <w:shd w:val="clear" w:color="auto" w:fill="auto"/>
    </w:pPr>
    <w:rPr>
      <w:sz w:val="18"/>
      <w:szCs w:val="18"/>
      <w:u w:val="none"/>
      <w:shd w:val="clear" w:color="auto" w:fill="auto"/>
      <w:lang w:val="zh-TW" w:eastAsia="zh-TW" w:bidi="zh-TW"/>
    </w:rPr>
  </w:style>
  <w:style w:type="paragraph" w:customStyle="1" w:styleId="146">
    <w:name w:val="Table Text"/>
    <w:basedOn w:val="1"/>
    <w:semiHidden/>
    <w:qFormat/>
    <w:uiPriority w:val="0"/>
    <w:rPr>
      <w:rFonts w:ascii="Arial" w:hAnsi="Arial" w:eastAsia="Arial" w:cs="Arial"/>
      <w:sz w:val="21"/>
      <w:szCs w:val="21"/>
      <w:lang w:val="en-US" w:eastAsia="en-US" w:bidi="ar-SA"/>
    </w:rPr>
  </w:style>
  <w:style w:type="character" w:customStyle="1" w:styleId="147">
    <w:name w:val="exap"/>
    <w:basedOn w:val="35"/>
    <w:qFormat/>
    <w:uiPriority w:val="0"/>
    <w:rPr>
      <w:sz w:val="27"/>
      <w:szCs w:val="27"/>
    </w:rPr>
  </w:style>
  <w:style w:type="character" w:customStyle="1" w:styleId="148">
    <w:name w:val="a_p_3"/>
    <w:basedOn w:val="35"/>
    <w:qFormat/>
    <w:uiPriority w:val="0"/>
    <w:rPr>
      <w:sz w:val="27"/>
      <w:szCs w:val="27"/>
    </w:rPr>
  </w:style>
  <w:style w:type="character" w:customStyle="1" w:styleId="149">
    <w:name w:val="a_p_1"/>
    <w:basedOn w:val="35"/>
    <w:qFormat/>
    <w:uiPriority w:val="0"/>
    <w:rPr>
      <w:sz w:val="27"/>
      <w:szCs w:val="27"/>
    </w:rPr>
  </w:style>
  <w:style w:type="character" w:customStyle="1" w:styleId="150">
    <w:name w:val="ul_li_a_1"/>
    <w:basedOn w:val="35"/>
    <w:qFormat/>
    <w:uiPriority w:val="0"/>
    <w:rPr>
      <w:b/>
      <w:bCs/>
      <w:color w:val="FFFFFF"/>
    </w:rPr>
  </w:style>
  <w:style w:type="character" w:customStyle="1" w:styleId="151">
    <w:name w:val="a_p_2"/>
    <w:basedOn w:val="35"/>
    <w:qFormat/>
    <w:uiPriority w:val="0"/>
  </w:style>
  <w:style w:type="character" w:customStyle="1" w:styleId="152">
    <w:name w:val="a_p_21"/>
    <w:basedOn w:val="35"/>
    <w:qFormat/>
    <w:uiPriority w:val="0"/>
    <w:rPr>
      <w:sz w:val="27"/>
      <w:szCs w:val="27"/>
    </w:r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image" Target="media/image3.wmf"/><Relationship Id="rId7" Type="http://schemas.openxmlformats.org/officeDocument/2006/relationships/image" Target="media/image2.wmf"/><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wmf"/><Relationship Id="rId10" Type="http://schemas.openxmlformats.org/officeDocument/2006/relationships/image" Target="media/image5.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F30431-FAE4-4DF1-B41E-94C535F1CA0C}">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76</Pages>
  <Words>30231</Words>
  <Characters>33009</Characters>
  <Lines>282</Lines>
  <Paragraphs>79</Paragraphs>
  <TotalTime>1</TotalTime>
  <ScaleCrop>false</ScaleCrop>
  <LinksUpToDate>false</LinksUpToDate>
  <CharactersWithSpaces>33053</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2021-08-17T02:55:00Z</dcterms:created>
  <dc:creator>lhj</dc:creator>
  <cp:lastModifiedBy>心里伤痕有你名</cp:lastModifiedBy>
  <cp:lastPrinted>2020-12-24T01:50:00Z</cp:lastPrinted>
  <dcterms:modified xsi:type="dcterms:W3CDTF">2025-06-03T10:39:53Z</dcterms:modified>
  <cp:revision>161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D18B30E74740451BBAF6CC464FE4ED20</vt:lpwstr>
  </property>
  <property fmtid="{D5CDD505-2E9C-101B-9397-08002B2CF9AE}" pid="4" name="KSOTemplateDocerSaveRecord">
    <vt:lpwstr>eyJoZGlkIjoiYTc4ZjdlYjJmNzhiNjA0Y2NiNjMyNWUzOWIxN2I5N2QiLCJ1c2VySWQiOiIxMjczMTkzOTI1In0=</vt:lpwstr>
  </property>
</Properties>
</file>